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DF" w:rsidRPr="00DE1FDF" w:rsidRDefault="00DE1FDF" w:rsidP="00DE1FDF">
      <w:pPr>
        <w:widowControl w:val="0"/>
        <w:tabs>
          <w:tab w:val="center" w:pos="4153"/>
          <w:tab w:val="right" w:pos="8306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DE1FDF" w:rsidRPr="00DE1FDF" w:rsidRDefault="00DE1FDF" w:rsidP="00DE1FDF">
      <w:pPr>
        <w:widowControl w:val="0"/>
        <w:tabs>
          <w:tab w:val="center" w:pos="4153"/>
          <w:tab w:val="right" w:pos="8306"/>
        </w:tabs>
        <w:spacing w:after="0" w:line="360" w:lineRule="auto"/>
        <w:rPr>
          <w:rFonts w:ascii="Verdana" w:eastAsia="Times New Roman" w:hAnsi="Verdana" w:cs="Verdana"/>
          <w:sz w:val="20"/>
          <w:szCs w:val="20"/>
          <w:lang w:eastAsia="bg-BG"/>
        </w:rPr>
      </w:pPr>
      <w:r w:rsidRPr="00DE1FDF">
        <w:rPr>
          <w:rFonts w:ascii="Verdana" w:eastAsia="Times New Roman" w:hAnsi="Verdana" w:cs="Verdana"/>
          <w:sz w:val="20"/>
          <w:szCs w:val="20"/>
          <w:lang w:eastAsia="bg-BG"/>
        </w:rPr>
        <w:t>………………………………………</w:t>
      </w:r>
    </w:p>
    <w:p w:rsidR="00DE1FDF" w:rsidRPr="00DE1FDF" w:rsidRDefault="00DE1FDF" w:rsidP="00DE1FDF">
      <w:pPr>
        <w:widowControl w:val="0"/>
        <w:tabs>
          <w:tab w:val="center" w:pos="4153"/>
          <w:tab w:val="right" w:pos="8306"/>
        </w:tabs>
        <w:spacing w:after="0" w:line="360" w:lineRule="auto"/>
        <w:rPr>
          <w:rFonts w:ascii="Verdana" w:eastAsia="Times New Roman" w:hAnsi="Verdana" w:cs="Verdana"/>
          <w:sz w:val="20"/>
          <w:szCs w:val="20"/>
          <w:lang w:eastAsia="bg-BG"/>
        </w:rPr>
      </w:pPr>
      <w:r w:rsidRPr="00DE1FDF">
        <w:rPr>
          <w:rFonts w:ascii="Verdana" w:eastAsia="Times New Roman" w:hAnsi="Verdana" w:cs="Verdana"/>
          <w:sz w:val="20"/>
          <w:szCs w:val="20"/>
          <w:lang w:eastAsia="bg-BG"/>
        </w:rPr>
        <w:t>……………………………………… г.</w:t>
      </w:r>
    </w:p>
    <w:p w:rsidR="00DE1FDF" w:rsidRPr="00DE1FDF" w:rsidRDefault="00DE1FDF" w:rsidP="00DE1FDF">
      <w:pPr>
        <w:tabs>
          <w:tab w:val="left" w:pos="5400"/>
          <w:tab w:val="left" w:pos="5580"/>
        </w:tabs>
        <w:overflowPunct w:val="0"/>
        <w:autoSpaceDE w:val="0"/>
        <w:autoSpaceDN w:val="0"/>
        <w:adjustRightInd w:val="0"/>
        <w:spacing w:after="0" w:line="360" w:lineRule="auto"/>
        <w:ind w:left="4956"/>
        <w:textAlignment w:val="baseline"/>
        <w:rPr>
          <w:rFonts w:ascii="Verdana" w:hAnsi="Verdana" w:cs="Times New Roman"/>
          <w:b/>
          <w:sz w:val="20"/>
          <w:szCs w:val="20"/>
        </w:rPr>
      </w:pPr>
    </w:p>
    <w:p w:rsidR="00DE1FDF" w:rsidRPr="00DE1FDF" w:rsidRDefault="00DE1FDF" w:rsidP="00DE1FDF">
      <w:pPr>
        <w:tabs>
          <w:tab w:val="left" w:pos="5400"/>
          <w:tab w:val="left" w:pos="5580"/>
        </w:tabs>
        <w:overflowPunct w:val="0"/>
        <w:autoSpaceDE w:val="0"/>
        <w:autoSpaceDN w:val="0"/>
        <w:adjustRightInd w:val="0"/>
        <w:spacing w:after="0" w:line="360" w:lineRule="auto"/>
        <w:ind w:left="4956"/>
        <w:textAlignment w:val="baseline"/>
        <w:rPr>
          <w:rFonts w:ascii="Verdana" w:hAnsi="Verdana" w:cs="Times New Roman"/>
          <w:b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DE1FDF" w:rsidRPr="00DE1FDF" w:rsidTr="00BA10C1">
        <w:tc>
          <w:tcPr>
            <w:tcW w:w="4503" w:type="dxa"/>
            <w:shd w:val="clear" w:color="auto" w:fill="auto"/>
          </w:tcPr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</w:pPr>
            <w:r w:rsidRPr="00DE1FD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</w:pPr>
            <w:r w:rsidRPr="00DE1FDF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  <w:t>ДО</w:t>
            </w:r>
          </w:p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</w:pPr>
            <w:r w:rsidRPr="00DE1FDF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  <w:t>МИНИСТЪРА НА ЗЕМЕДЕЛИЕТО</w:t>
            </w:r>
          </w:p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Verdana"/>
                <w:b/>
                <w:cap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Verdana"/>
                <w:b/>
                <w:bCs/>
                <w:caps/>
                <w:sz w:val="20"/>
                <w:szCs w:val="24"/>
                <w:lang w:eastAsia="bg-BG"/>
              </w:rPr>
              <w:t>д-р иван иванов</w:t>
            </w:r>
          </w:p>
        </w:tc>
        <w:tc>
          <w:tcPr>
            <w:tcW w:w="4961" w:type="dxa"/>
            <w:shd w:val="clear" w:color="auto" w:fill="auto"/>
          </w:tcPr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bg-BG"/>
              </w:rPr>
            </w:pPr>
            <w:r w:rsidRPr="00DE1FDF">
              <w:rPr>
                <w:rFonts w:ascii="Verdana" w:eastAsia="Times New Roman" w:hAnsi="Verdana" w:cs="Verdana"/>
                <w:b/>
                <w:sz w:val="20"/>
                <w:szCs w:val="20"/>
                <w:lang w:eastAsia="bg-BG"/>
              </w:rPr>
              <w:t>ОДОБРИЛ,</w:t>
            </w:r>
          </w:p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</w:pPr>
            <w:r w:rsidRPr="00DE1FDF">
              <w:rPr>
                <w:rFonts w:ascii="Verdana" w:eastAsia="Times New Roman" w:hAnsi="Verdana" w:cs="Verdana"/>
                <w:b/>
                <w:sz w:val="20"/>
                <w:szCs w:val="20"/>
                <w:lang w:eastAsia="bg-BG"/>
              </w:rPr>
              <w:t xml:space="preserve">МИНИСТЪР </w:t>
            </w:r>
            <w:r w:rsidRPr="00DE1FDF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bg-BG"/>
              </w:rPr>
              <w:t>НА ЗЕМЕДЕЛИЕТО:</w:t>
            </w:r>
          </w:p>
          <w:p w:rsidR="00DE1FDF" w:rsidRPr="00DE1FDF" w:rsidRDefault="00DE1FDF" w:rsidP="00DE1F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124"/>
              <w:jc w:val="right"/>
              <w:rPr>
                <w:rFonts w:ascii="Verdana" w:eastAsia="Times New Roman" w:hAnsi="Verdana" w:cs="Verdana"/>
                <w:b/>
                <w:cap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Verdana"/>
                <w:b/>
                <w:caps/>
                <w:sz w:val="20"/>
                <w:szCs w:val="20"/>
                <w:lang w:eastAsia="bg-BG"/>
              </w:rPr>
              <w:t>д-р иван иванов</w:t>
            </w:r>
          </w:p>
          <w:p w:rsidR="00DE1FDF" w:rsidRPr="00DE1FDF" w:rsidRDefault="00DE1FDF" w:rsidP="00DE1FDF">
            <w:pPr>
              <w:widowControl w:val="0"/>
              <w:shd w:val="clear" w:color="auto" w:fill="FFFFFF"/>
              <w:tabs>
                <w:tab w:val="left" w:leader="dot" w:pos="3802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Verdana" w:eastAsia="Times New Roman" w:hAnsi="Verdana" w:cs="Verdana"/>
                <w:b/>
                <w:sz w:val="20"/>
                <w:szCs w:val="20"/>
                <w:lang w:eastAsia="bg-BG"/>
              </w:rPr>
            </w:pPr>
          </w:p>
        </w:tc>
      </w:tr>
    </w:tbl>
    <w:p w:rsidR="00DE1FDF" w:rsidRDefault="00DE1FDF">
      <w:pPr>
        <w:keepNext/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DE1FDF" w:rsidRDefault="00DE1FDF">
      <w:pPr>
        <w:keepNext/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DE1FDF" w:rsidRPr="00DE1FDF" w:rsidRDefault="00DE1FDF" w:rsidP="00DE1FDF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spacing w:val="44"/>
          <w:sz w:val="24"/>
          <w:szCs w:val="24"/>
          <w:lang w:eastAsia="bg-BG"/>
        </w:rPr>
      </w:pPr>
      <w:r w:rsidRPr="00DE1FDF">
        <w:rPr>
          <w:rFonts w:ascii="Verdana" w:eastAsia="Times New Roman" w:hAnsi="Verdana" w:cs="Times New Roman"/>
          <w:b/>
          <w:spacing w:val="44"/>
          <w:sz w:val="24"/>
          <w:szCs w:val="24"/>
          <w:lang w:eastAsia="bg-BG"/>
        </w:rPr>
        <w:t>ДОКЛАД</w:t>
      </w:r>
    </w:p>
    <w:p w:rsidR="00DE1FDF" w:rsidRPr="00DE1FDF" w:rsidRDefault="00DE1FDF" w:rsidP="00DE1FDF">
      <w:pPr>
        <w:spacing w:after="0" w:line="360" w:lineRule="auto"/>
        <w:jc w:val="center"/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от </w:t>
      </w:r>
      <w:r w:rsidRPr="00D03618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д-р </w:t>
      </w:r>
      <w:r w:rsidR="00623FF2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Момчил Не</w:t>
      </w:r>
      <w:r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ков</w:t>
      </w:r>
      <w:r w:rsidRPr="00DE1FDF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 - зам</w:t>
      </w:r>
      <w:r w:rsidR="0042110B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естник-министър на земеделието</w:t>
      </w:r>
    </w:p>
    <w:p w:rsidR="007C7532" w:rsidRDefault="007C7532">
      <w:pPr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7532" w:rsidRDefault="007C7532">
      <w:pPr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7532" w:rsidRDefault="00CC637A">
      <w:pPr>
        <w:spacing w:after="0" w:line="360" w:lineRule="auto"/>
        <w:ind w:left="1134" w:hanging="113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Относно:</w:t>
      </w:r>
      <w:r>
        <w:rPr>
          <w:rFonts w:ascii="Verdana" w:eastAsia="Verdana" w:hAnsi="Verdana" w:cs="Verdana"/>
          <w:sz w:val="20"/>
          <w:szCs w:val="20"/>
        </w:rPr>
        <w:t xml:space="preserve"> Проект на Наредба за изменение</w:t>
      </w:r>
      <w:r w:rsidR="00BF0EEA">
        <w:rPr>
          <w:rFonts w:ascii="Verdana" w:eastAsia="Verdana" w:hAnsi="Verdana" w:cs="Verdana"/>
          <w:sz w:val="20"/>
          <w:szCs w:val="20"/>
        </w:rPr>
        <w:t xml:space="preserve"> и допълнение</w:t>
      </w:r>
      <w:r>
        <w:rPr>
          <w:rFonts w:ascii="Verdana" w:eastAsia="Verdana" w:hAnsi="Verdana" w:cs="Verdana"/>
          <w:sz w:val="20"/>
          <w:szCs w:val="20"/>
        </w:rPr>
        <w:t xml:space="preserve"> на Наредба № 6 от 2018 г. за условията и реда за предоставяне на финансова помощ по Национална програма за подпомагане на </w:t>
      </w:r>
      <w:proofErr w:type="spellStart"/>
      <w:r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-винарския сектор за периода </w:t>
      </w:r>
      <w:r w:rsidR="00DE1FDF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2019 – 2023 г.</w:t>
      </w:r>
    </w:p>
    <w:p w:rsidR="00310B9F" w:rsidRDefault="00310B9F">
      <w:pPr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310B9F" w:rsidRDefault="00310B9F">
      <w:pPr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7532" w:rsidRDefault="00CC637A">
      <w:pPr>
        <w:spacing w:after="12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УВАЖАЕМИ ГОСПОДИН </w:t>
      </w:r>
      <w:r w:rsidR="00291E5B">
        <w:rPr>
          <w:rFonts w:ascii="Verdana" w:eastAsia="Verdana" w:hAnsi="Verdana" w:cs="Verdana"/>
          <w:b/>
          <w:sz w:val="20"/>
          <w:szCs w:val="20"/>
        </w:rPr>
        <w:t>ИВАНОВ</w:t>
      </w:r>
      <w:r>
        <w:rPr>
          <w:rFonts w:ascii="Verdana" w:eastAsia="Verdana" w:hAnsi="Verdana" w:cs="Verdana"/>
          <w:b/>
          <w:sz w:val="20"/>
          <w:szCs w:val="20"/>
        </w:rPr>
        <w:t>,</w:t>
      </w: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На основание чл. 56, ал. 3 от Закона за прилагане на Общата организация на пазарите на земеделски продукти на Европейския съюз, внасям за одобряване проект на Наредба за изменение</w:t>
      </w:r>
      <w:r w:rsidR="003269F0">
        <w:rPr>
          <w:rFonts w:ascii="Verdana" w:eastAsia="Verdana" w:hAnsi="Verdana" w:cs="Verdana"/>
          <w:color w:val="000000"/>
          <w:sz w:val="20"/>
          <w:szCs w:val="20"/>
        </w:rPr>
        <w:t xml:space="preserve"> и допълнение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на Наредба № 6 от 2018 г. за условията и реда за предоставяне на финансова помощ по Национална програма за подпомагане на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лозаро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-винарския сектор за периода 2019 – 2023 г.</w:t>
      </w:r>
    </w:p>
    <w:p w:rsidR="007C7532" w:rsidRDefault="007C75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Причини, които налагат приемането на акта</w:t>
      </w:r>
    </w:p>
    <w:p w:rsidR="00DE1FDF" w:rsidRDefault="00291E5B" w:rsidP="00291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291E5B">
        <w:rPr>
          <w:rFonts w:ascii="Verdana" w:eastAsia="Verdana" w:hAnsi="Verdana" w:cs="Verdana"/>
          <w:sz w:val="20"/>
          <w:szCs w:val="20"/>
        </w:rPr>
        <w:t>На 22 н</w:t>
      </w:r>
      <w:r>
        <w:rPr>
          <w:rFonts w:ascii="Verdana" w:eastAsia="Verdana" w:hAnsi="Verdana" w:cs="Verdana"/>
          <w:sz w:val="20"/>
          <w:szCs w:val="20"/>
        </w:rPr>
        <w:t xml:space="preserve">оември 2021 г. </w:t>
      </w:r>
      <w:r w:rsidR="0042110B" w:rsidRPr="00D03618">
        <w:rPr>
          <w:rFonts w:ascii="Verdana" w:eastAsia="Verdana" w:hAnsi="Verdana" w:cs="Verdana"/>
          <w:sz w:val="20"/>
          <w:szCs w:val="20"/>
        </w:rPr>
        <w:t>влязоха</w:t>
      </w:r>
      <w:r w:rsidR="0042110B" w:rsidRPr="0042110B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в сила </w:t>
      </w:r>
      <w:r w:rsidRPr="00291E5B">
        <w:rPr>
          <w:rFonts w:ascii="Verdana" w:eastAsia="Verdana" w:hAnsi="Verdana" w:cs="Verdana"/>
          <w:i/>
          <w:sz w:val="20"/>
          <w:szCs w:val="20"/>
        </w:rPr>
        <w:t xml:space="preserve">Делегиран Регламент (ЕС) 2021/2026 на Комисията от 13 септември 2021 година за изменение на Делегиран регламент (ЕС) 2020/592 по отношение на някои временни </w:t>
      </w:r>
      <w:proofErr w:type="spellStart"/>
      <w:r w:rsidRPr="00291E5B">
        <w:rPr>
          <w:rFonts w:ascii="Verdana" w:eastAsia="Verdana" w:hAnsi="Verdana" w:cs="Verdana"/>
          <w:i/>
          <w:sz w:val="20"/>
          <w:szCs w:val="20"/>
        </w:rPr>
        <w:t>дерогации</w:t>
      </w:r>
      <w:proofErr w:type="spellEnd"/>
      <w:r w:rsidRPr="00291E5B">
        <w:rPr>
          <w:rFonts w:ascii="Verdana" w:eastAsia="Verdana" w:hAnsi="Verdana" w:cs="Verdana"/>
          <w:i/>
          <w:sz w:val="20"/>
          <w:szCs w:val="20"/>
        </w:rPr>
        <w:t xml:space="preserve"> от Регламент (ЕС) № 1308/2013 на Европейския парламент и на Съвета с цел преодоляване на пазарните смущения в </w:t>
      </w:r>
      <w:proofErr w:type="spellStart"/>
      <w:r w:rsidRPr="00291E5B">
        <w:rPr>
          <w:rFonts w:ascii="Verdana" w:eastAsia="Verdana" w:hAnsi="Verdana" w:cs="Verdana"/>
          <w:i/>
          <w:sz w:val="20"/>
          <w:szCs w:val="20"/>
        </w:rPr>
        <w:t>лозаро</w:t>
      </w:r>
      <w:proofErr w:type="spellEnd"/>
      <w:r w:rsidRPr="00291E5B">
        <w:rPr>
          <w:rFonts w:ascii="Verdana" w:eastAsia="Verdana" w:hAnsi="Verdana" w:cs="Verdana"/>
          <w:i/>
          <w:sz w:val="20"/>
          <w:szCs w:val="20"/>
        </w:rPr>
        <w:t xml:space="preserve">-винарския сектор, породени от пандемията от COVID-19, и срока на прилагане </w:t>
      </w:r>
      <w:r w:rsidRPr="00291E5B">
        <w:rPr>
          <w:rFonts w:ascii="Verdana" w:eastAsia="Verdana" w:hAnsi="Verdana" w:cs="Verdana"/>
          <w:i/>
          <w:sz w:val="20"/>
          <w:szCs w:val="20"/>
        </w:rPr>
        <w:lastRenderedPageBreak/>
        <w:t xml:space="preserve">на тези </w:t>
      </w:r>
      <w:proofErr w:type="spellStart"/>
      <w:r w:rsidRPr="00291E5B">
        <w:rPr>
          <w:rFonts w:ascii="Verdana" w:eastAsia="Verdana" w:hAnsi="Verdana" w:cs="Verdana"/>
          <w:i/>
          <w:sz w:val="20"/>
          <w:szCs w:val="20"/>
        </w:rPr>
        <w:t>дерогации</w:t>
      </w:r>
      <w:proofErr w:type="spellEnd"/>
      <w:r w:rsidR="00594AFF">
        <w:rPr>
          <w:rFonts w:ascii="Verdana" w:eastAsia="Verdana" w:hAnsi="Verdana" w:cs="Verdana"/>
          <w:i/>
          <w:sz w:val="20"/>
          <w:szCs w:val="20"/>
        </w:rPr>
        <w:t xml:space="preserve"> (</w:t>
      </w:r>
      <w:r w:rsidR="00594AFF" w:rsidRPr="00594AFF">
        <w:rPr>
          <w:rFonts w:ascii="Verdana" w:eastAsia="Verdana" w:hAnsi="Verdana" w:cs="Verdana"/>
          <w:i/>
          <w:sz w:val="20"/>
          <w:szCs w:val="20"/>
        </w:rPr>
        <w:t>OB L 415, 22.11.2021</w:t>
      </w:r>
      <w:r w:rsidR="00594AFF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594AFF" w:rsidRPr="00594AFF">
        <w:rPr>
          <w:rFonts w:ascii="Verdana" w:eastAsia="Verdana" w:hAnsi="Verdana" w:cs="Verdana"/>
          <w:i/>
          <w:sz w:val="20"/>
          <w:szCs w:val="20"/>
        </w:rPr>
        <w:t>г.</w:t>
      </w:r>
      <w:r w:rsidR="00594AFF">
        <w:rPr>
          <w:rFonts w:ascii="Verdana" w:eastAsia="Verdana" w:hAnsi="Verdana" w:cs="Verdana"/>
          <w:i/>
          <w:sz w:val="20"/>
          <w:szCs w:val="20"/>
        </w:rPr>
        <w:t>)</w:t>
      </w:r>
      <w:r w:rsidRPr="00291E5B">
        <w:rPr>
          <w:rFonts w:ascii="Verdana" w:eastAsia="Verdana" w:hAnsi="Verdana" w:cs="Verdana"/>
          <w:sz w:val="20"/>
          <w:szCs w:val="20"/>
        </w:rPr>
        <w:t xml:space="preserve"> и </w:t>
      </w:r>
      <w:r w:rsidRPr="00291E5B">
        <w:rPr>
          <w:rFonts w:ascii="Verdana" w:eastAsia="Verdana" w:hAnsi="Verdana" w:cs="Verdana"/>
          <w:i/>
          <w:sz w:val="20"/>
          <w:szCs w:val="20"/>
        </w:rPr>
        <w:t xml:space="preserve">Делегиран Регламент (ЕС) 2021/2027 на Комисията от 13 септември 2021 година за изменение на Делегиран регламент (ЕС) 2020/884 по отношение на </w:t>
      </w:r>
      <w:proofErr w:type="spellStart"/>
      <w:r w:rsidRPr="00291E5B">
        <w:rPr>
          <w:rFonts w:ascii="Verdana" w:eastAsia="Verdana" w:hAnsi="Verdana" w:cs="Verdana"/>
          <w:i/>
          <w:sz w:val="20"/>
          <w:szCs w:val="20"/>
        </w:rPr>
        <w:t>дерогациите</w:t>
      </w:r>
      <w:proofErr w:type="spellEnd"/>
      <w:r w:rsidRPr="00291E5B">
        <w:rPr>
          <w:rFonts w:ascii="Verdana" w:eastAsia="Verdana" w:hAnsi="Verdana" w:cs="Verdana"/>
          <w:i/>
          <w:sz w:val="20"/>
          <w:szCs w:val="20"/>
        </w:rPr>
        <w:t xml:space="preserve"> от Делегиран регламент (ЕС) 2016/1149 с цел преодоляване на кризата, предизвикана от пандемията от COVID-19 в </w:t>
      </w:r>
      <w:proofErr w:type="spellStart"/>
      <w:r w:rsidRPr="00291E5B">
        <w:rPr>
          <w:rFonts w:ascii="Verdana" w:eastAsia="Verdana" w:hAnsi="Verdana" w:cs="Verdana"/>
          <w:i/>
          <w:sz w:val="20"/>
          <w:szCs w:val="20"/>
        </w:rPr>
        <w:t>лозаро</w:t>
      </w:r>
      <w:proofErr w:type="spellEnd"/>
      <w:r w:rsidRPr="00291E5B">
        <w:rPr>
          <w:rFonts w:ascii="Verdana" w:eastAsia="Verdana" w:hAnsi="Verdana" w:cs="Verdana"/>
          <w:i/>
          <w:sz w:val="20"/>
          <w:szCs w:val="20"/>
        </w:rPr>
        <w:t>-винарския сектор, и за изменение на Делегиран регламент (ЕС) 2016/1149</w:t>
      </w:r>
      <w:r w:rsidR="00594AFF">
        <w:rPr>
          <w:rFonts w:ascii="Verdana" w:eastAsia="Verdana" w:hAnsi="Verdana" w:cs="Verdana"/>
          <w:i/>
          <w:sz w:val="20"/>
          <w:szCs w:val="20"/>
        </w:rPr>
        <w:t xml:space="preserve"> (</w:t>
      </w:r>
      <w:r w:rsidR="00594AFF" w:rsidRPr="00594AFF">
        <w:rPr>
          <w:rFonts w:ascii="Verdana" w:eastAsia="Verdana" w:hAnsi="Verdana" w:cs="Verdana"/>
          <w:i/>
          <w:sz w:val="20"/>
          <w:szCs w:val="20"/>
        </w:rPr>
        <w:t>OB L 415, 22.11.2021</w:t>
      </w:r>
      <w:r w:rsidR="00594AFF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594AFF" w:rsidRPr="00594AFF">
        <w:rPr>
          <w:rFonts w:ascii="Verdana" w:eastAsia="Verdana" w:hAnsi="Verdana" w:cs="Verdana"/>
          <w:i/>
          <w:sz w:val="20"/>
          <w:szCs w:val="20"/>
        </w:rPr>
        <w:t>г</w:t>
      </w:r>
      <w:r w:rsidR="00594AFF">
        <w:rPr>
          <w:rFonts w:ascii="Segoe UI" w:hAnsi="Segoe UI" w:cs="Segoe UI"/>
          <w:i/>
          <w:iCs/>
          <w:color w:val="444444"/>
          <w:sz w:val="20"/>
          <w:szCs w:val="20"/>
          <w:shd w:val="clear" w:color="auto" w:fill="FFFFFF"/>
        </w:rPr>
        <w:t>.</w:t>
      </w:r>
      <w:r w:rsidR="00594AFF">
        <w:rPr>
          <w:rFonts w:ascii="Verdana" w:eastAsia="Verdana" w:hAnsi="Verdana" w:cs="Verdana"/>
          <w:i/>
          <w:sz w:val="20"/>
          <w:szCs w:val="20"/>
        </w:rPr>
        <w:t>)</w:t>
      </w:r>
      <w:r w:rsidRPr="00291E5B">
        <w:rPr>
          <w:rFonts w:ascii="Verdana" w:eastAsia="Verdana" w:hAnsi="Verdana" w:cs="Verdana"/>
          <w:sz w:val="20"/>
          <w:szCs w:val="20"/>
        </w:rPr>
        <w:t xml:space="preserve">. </w:t>
      </w:r>
    </w:p>
    <w:p w:rsidR="007C7532" w:rsidRDefault="00291E5B" w:rsidP="00291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291E5B">
        <w:rPr>
          <w:rFonts w:ascii="Verdana" w:eastAsia="Verdana" w:hAnsi="Verdana" w:cs="Verdana"/>
          <w:sz w:val="20"/>
          <w:szCs w:val="20"/>
        </w:rPr>
        <w:t>Поради продължаващата криза, предизвикана от панд</w:t>
      </w:r>
      <w:r>
        <w:rPr>
          <w:rFonts w:ascii="Verdana" w:eastAsia="Verdana" w:hAnsi="Verdana" w:cs="Verdana"/>
          <w:sz w:val="20"/>
          <w:szCs w:val="20"/>
        </w:rPr>
        <w:t xml:space="preserve">емията от COVID-19, регламентите </w:t>
      </w:r>
      <w:r w:rsidRPr="00291E5B">
        <w:rPr>
          <w:rFonts w:ascii="Verdana" w:eastAsia="Verdana" w:hAnsi="Verdana" w:cs="Verdana"/>
          <w:sz w:val="20"/>
          <w:szCs w:val="20"/>
        </w:rPr>
        <w:t>предвижда</w:t>
      </w:r>
      <w:r>
        <w:rPr>
          <w:rFonts w:ascii="Verdana" w:eastAsia="Verdana" w:hAnsi="Verdana" w:cs="Verdana"/>
          <w:sz w:val="20"/>
          <w:szCs w:val="20"/>
        </w:rPr>
        <w:t>т част от пакета</w:t>
      </w:r>
      <w:r w:rsidRPr="00291E5B">
        <w:rPr>
          <w:rFonts w:ascii="Verdana" w:eastAsia="Verdana" w:hAnsi="Verdana" w:cs="Verdana"/>
          <w:sz w:val="20"/>
          <w:szCs w:val="20"/>
        </w:rPr>
        <w:t xml:space="preserve"> от кризисни мерки за подпомагане на </w:t>
      </w:r>
      <w:proofErr w:type="spellStart"/>
      <w:r w:rsidRPr="00291E5B"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 w:rsidRPr="00291E5B">
        <w:rPr>
          <w:rFonts w:ascii="Verdana" w:eastAsia="Verdana" w:hAnsi="Verdana" w:cs="Verdana"/>
          <w:sz w:val="20"/>
          <w:szCs w:val="20"/>
        </w:rPr>
        <w:t xml:space="preserve">-винарския сектор, въведен през 2020 г., да продължи своето действие и през 2022 г. За целта е необходимо Наредба № 6 от 2018 г. за условията и реда за предоставяне на финансова помощ по Национална програма за подпомагане на </w:t>
      </w:r>
      <w:proofErr w:type="spellStart"/>
      <w:r w:rsidRPr="00291E5B"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 w:rsidRPr="00291E5B">
        <w:rPr>
          <w:rFonts w:ascii="Verdana" w:eastAsia="Verdana" w:hAnsi="Verdana" w:cs="Verdana"/>
          <w:sz w:val="20"/>
          <w:szCs w:val="20"/>
        </w:rPr>
        <w:t xml:space="preserve">-винарския сектор за периода 2019 – 2023 г. да бъде изменена и в нея </w:t>
      </w:r>
      <w:r w:rsidR="00BF0EEA">
        <w:rPr>
          <w:rFonts w:ascii="Verdana" w:eastAsia="Verdana" w:hAnsi="Verdana" w:cs="Verdana"/>
          <w:sz w:val="20"/>
          <w:szCs w:val="20"/>
        </w:rPr>
        <w:t xml:space="preserve">да </w:t>
      </w:r>
      <w:r w:rsidRPr="00291E5B">
        <w:rPr>
          <w:rFonts w:ascii="Verdana" w:eastAsia="Verdana" w:hAnsi="Verdana" w:cs="Verdana"/>
          <w:sz w:val="20"/>
          <w:szCs w:val="20"/>
        </w:rPr>
        <w:t xml:space="preserve">бъдат </w:t>
      </w:r>
      <w:r w:rsidR="003A16EA">
        <w:rPr>
          <w:rFonts w:ascii="Verdana" w:eastAsia="Verdana" w:hAnsi="Verdana" w:cs="Verdana"/>
          <w:sz w:val="20"/>
          <w:szCs w:val="20"/>
        </w:rPr>
        <w:t>заложени</w:t>
      </w:r>
      <w:r w:rsidR="003A16EA" w:rsidRPr="00291E5B">
        <w:rPr>
          <w:rFonts w:ascii="Verdana" w:eastAsia="Verdana" w:hAnsi="Verdana" w:cs="Verdana"/>
          <w:sz w:val="20"/>
          <w:szCs w:val="20"/>
        </w:rPr>
        <w:t xml:space="preserve"> </w:t>
      </w:r>
      <w:r w:rsidRPr="00291E5B">
        <w:rPr>
          <w:rFonts w:ascii="Verdana" w:eastAsia="Verdana" w:hAnsi="Verdana" w:cs="Verdana"/>
          <w:sz w:val="20"/>
          <w:szCs w:val="20"/>
        </w:rPr>
        <w:t>текстове</w:t>
      </w:r>
      <w:r w:rsidR="00236A99">
        <w:rPr>
          <w:rFonts w:ascii="Verdana" w:eastAsia="Verdana" w:hAnsi="Verdana" w:cs="Verdana"/>
          <w:sz w:val="20"/>
          <w:szCs w:val="20"/>
        </w:rPr>
        <w:t xml:space="preserve"> за прилагане на предвидените</w:t>
      </w:r>
      <w:r w:rsidRPr="00291E5B">
        <w:rPr>
          <w:rFonts w:ascii="Verdana" w:eastAsia="Verdana" w:hAnsi="Verdana" w:cs="Verdana"/>
          <w:sz w:val="20"/>
          <w:szCs w:val="20"/>
        </w:rPr>
        <w:t xml:space="preserve"> от Европейската комисия кризисни мерки.</w:t>
      </w:r>
    </w:p>
    <w:p w:rsidR="00791C5B" w:rsidRDefault="00791C5B" w:rsidP="00791C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Друго основание за промяната в </w:t>
      </w:r>
      <w:r w:rsidR="00F9098A">
        <w:rPr>
          <w:rFonts w:ascii="Verdana" w:eastAsia="Verdana" w:hAnsi="Verdana" w:cs="Verdana"/>
          <w:sz w:val="20"/>
          <w:szCs w:val="20"/>
        </w:rPr>
        <w:t>подзаконовия нормативен акт</w:t>
      </w:r>
      <w:r>
        <w:rPr>
          <w:rFonts w:ascii="Verdana" w:eastAsia="Verdana" w:hAnsi="Verdana" w:cs="Verdana"/>
          <w:sz w:val="20"/>
          <w:szCs w:val="20"/>
        </w:rPr>
        <w:t xml:space="preserve"> е </w:t>
      </w:r>
      <w:r w:rsidRPr="00791C5B">
        <w:rPr>
          <w:rFonts w:ascii="Verdana" w:eastAsia="Verdana" w:hAnsi="Verdana" w:cs="Verdana"/>
          <w:i/>
          <w:sz w:val="20"/>
          <w:szCs w:val="20"/>
        </w:rPr>
        <w:t xml:space="preserve">Регламент (ЕС) 2021/2117 на Европейския парламент и на Съвета от 2 декември 2021 година за изменение на регламенти (ЕС) № 1308/2013 за установяване на обща организация на пазарите на селскостопански продукти, (ЕС) № 1151/2012 относно схемите за качество на селскостопанските продукти и храни, (ЕС) № 251/2014 за определяне, описание, представяне, етикетиране и правна закрила на географските указания на ароматизирани </w:t>
      </w:r>
      <w:proofErr w:type="spellStart"/>
      <w:r w:rsidRPr="00791C5B">
        <w:rPr>
          <w:rFonts w:ascii="Verdana" w:eastAsia="Verdana" w:hAnsi="Verdana" w:cs="Verdana"/>
          <w:i/>
          <w:sz w:val="20"/>
          <w:szCs w:val="20"/>
        </w:rPr>
        <w:t>лозаро</w:t>
      </w:r>
      <w:proofErr w:type="spellEnd"/>
      <w:r w:rsidRPr="00791C5B">
        <w:rPr>
          <w:rFonts w:ascii="Verdana" w:eastAsia="Verdana" w:hAnsi="Verdana" w:cs="Verdana"/>
          <w:i/>
          <w:sz w:val="20"/>
          <w:szCs w:val="20"/>
        </w:rPr>
        <w:t>-винарски продукти и (ЕС) № 228/2013 за определяне на специфични мерки за селското стопанство в най-отдалечените региони на Съюза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91C5B">
        <w:rPr>
          <w:rFonts w:ascii="Verdana" w:eastAsia="Verdana" w:hAnsi="Verdana" w:cs="Verdana"/>
          <w:i/>
          <w:sz w:val="20"/>
          <w:szCs w:val="20"/>
        </w:rPr>
        <w:t>(OB L 435, 6.12.2021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791C5B">
        <w:rPr>
          <w:rFonts w:ascii="Verdana" w:eastAsia="Verdana" w:hAnsi="Verdana" w:cs="Verdana"/>
          <w:i/>
          <w:sz w:val="20"/>
          <w:szCs w:val="20"/>
        </w:rPr>
        <w:t>г.)</w:t>
      </w:r>
      <w:r>
        <w:rPr>
          <w:rFonts w:ascii="Verdana" w:eastAsia="Verdana" w:hAnsi="Verdana" w:cs="Verdana"/>
          <w:sz w:val="20"/>
          <w:szCs w:val="20"/>
        </w:rPr>
        <w:t>, който налага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необходимостта от уреждане на правила за управление на мерките от Националната програма в преходния период между настоящата програма и новия Стратегически план, който по отношение на подпомагането в </w:t>
      </w:r>
      <w:proofErr w:type="spellStart"/>
      <w:r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-винарския сектор ще се прилага от 16 октомври 2023 г. </w:t>
      </w:r>
    </w:p>
    <w:p w:rsidR="00791C5B" w:rsidRPr="00791C5B" w:rsidRDefault="0058095A" w:rsidP="00791C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58095A">
        <w:rPr>
          <w:rFonts w:ascii="Verdana" w:eastAsia="Verdana" w:hAnsi="Verdana" w:cs="Verdana"/>
          <w:sz w:val="20"/>
          <w:szCs w:val="20"/>
        </w:rPr>
        <w:t xml:space="preserve">Националната програма за подпомагане на </w:t>
      </w:r>
      <w:proofErr w:type="spellStart"/>
      <w:r w:rsidRPr="0058095A"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 w:rsidRPr="0058095A">
        <w:rPr>
          <w:rFonts w:ascii="Verdana" w:eastAsia="Verdana" w:hAnsi="Verdana" w:cs="Verdana"/>
          <w:sz w:val="20"/>
          <w:szCs w:val="20"/>
        </w:rPr>
        <w:t xml:space="preserve">-винарския сектор за периода 2019 – 2023 година </w:t>
      </w:r>
      <w:r>
        <w:rPr>
          <w:rFonts w:ascii="Verdana" w:eastAsia="Verdana" w:hAnsi="Verdana" w:cs="Verdana"/>
          <w:sz w:val="20"/>
          <w:szCs w:val="20"/>
        </w:rPr>
        <w:t xml:space="preserve">ще </w:t>
      </w:r>
      <w:r w:rsidRPr="0058095A">
        <w:rPr>
          <w:rFonts w:ascii="Verdana" w:eastAsia="Verdana" w:hAnsi="Verdana" w:cs="Verdana"/>
          <w:sz w:val="20"/>
          <w:szCs w:val="20"/>
        </w:rPr>
        <w:t>се прилага до 15 октомври 2023 г.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236A99">
        <w:rPr>
          <w:rFonts w:ascii="Verdana" w:eastAsia="Verdana" w:hAnsi="Verdana" w:cs="Verdana"/>
          <w:sz w:val="20"/>
          <w:szCs w:val="20"/>
        </w:rPr>
        <w:t>О</w:t>
      </w:r>
      <w:r w:rsidR="00791C5B">
        <w:rPr>
          <w:rFonts w:ascii="Verdana" w:eastAsia="Verdana" w:hAnsi="Verdana" w:cs="Verdana"/>
          <w:sz w:val="20"/>
          <w:szCs w:val="20"/>
        </w:rPr>
        <w:t xml:space="preserve">птималното управление на бюджета </w:t>
      </w:r>
      <w:r w:rsidR="003A16EA">
        <w:rPr>
          <w:rFonts w:ascii="Verdana" w:eastAsia="Verdana" w:hAnsi="Verdana" w:cs="Verdana"/>
          <w:sz w:val="20"/>
          <w:szCs w:val="20"/>
        </w:rPr>
        <w:t xml:space="preserve">за </w:t>
      </w:r>
      <w:r w:rsidR="00791C5B">
        <w:rPr>
          <w:rFonts w:ascii="Verdana" w:eastAsia="Verdana" w:hAnsi="Verdana" w:cs="Verdana"/>
          <w:sz w:val="20"/>
          <w:szCs w:val="20"/>
        </w:rPr>
        <w:t>последните две финансови години от програма</w:t>
      </w:r>
      <w:r>
        <w:rPr>
          <w:rFonts w:ascii="Verdana" w:eastAsia="Verdana" w:hAnsi="Verdana" w:cs="Verdana"/>
          <w:sz w:val="20"/>
          <w:szCs w:val="20"/>
        </w:rPr>
        <w:t>та</w:t>
      </w:r>
      <w:r w:rsidR="00791C5B">
        <w:rPr>
          <w:rFonts w:ascii="Verdana" w:eastAsia="Verdana" w:hAnsi="Verdana" w:cs="Verdana"/>
          <w:sz w:val="20"/>
          <w:szCs w:val="20"/>
        </w:rPr>
        <w:t xml:space="preserve"> също налага предвиждане на някои правила относно заявяването на авансово подпомагане по мярка „Преструктуриране и конверсия на лозя“ и мярка „Инвестиции в предприятия“.</w:t>
      </w:r>
    </w:p>
    <w:p w:rsidR="00DE1FDF" w:rsidRDefault="00DE1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Цели </w:t>
      </w:r>
    </w:p>
    <w:p w:rsidR="007C7532" w:rsidRDefault="00CC637A" w:rsidP="00291E5B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С изменението на наредбата ще се осигури </w:t>
      </w:r>
      <w:r w:rsidR="00291E5B">
        <w:rPr>
          <w:rFonts w:ascii="Verdana" w:eastAsia="Verdana" w:hAnsi="Verdana" w:cs="Verdana"/>
          <w:sz w:val="20"/>
          <w:szCs w:val="20"/>
        </w:rPr>
        <w:t xml:space="preserve">прилагане на мерките за подпомагане в </w:t>
      </w:r>
      <w:proofErr w:type="spellStart"/>
      <w:r w:rsidR="00291E5B"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 w:rsidR="00291E5B">
        <w:rPr>
          <w:rFonts w:ascii="Verdana" w:eastAsia="Verdana" w:hAnsi="Verdana" w:cs="Verdana"/>
          <w:sz w:val="20"/>
          <w:szCs w:val="20"/>
        </w:rPr>
        <w:t>-винарския сектор съобразно предприетите от Европейската ком</w:t>
      </w:r>
      <w:r w:rsidR="00DE1FDF">
        <w:rPr>
          <w:rFonts w:ascii="Verdana" w:eastAsia="Verdana" w:hAnsi="Verdana" w:cs="Verdana"/>
          <w:sz w:val="20"/>
          <w:szCs w:val="20"/>
        </w:rPr>
        <w:t xml:space="preserve">исия действия за смекчаване на </w:t>
      </w:r>
      <w:r w:rsidR="00291E5B">
        <w:rPr>
          <w:rFonts w:ascii="Verdana" w:eastAsia="Verdana" w:hAnsi="Verdana" w:cs="Verdana"/>
          <w:sz w:val="20"/>
          <w:szCs w:val="20"/>
        </w:rPr>
        <w:t xml:space="preserve">икономическия ефект от пандемията от </w:t>
      </w:r>
      <w:r w:rsidR="00236A99" w:rsidRPr="00236A99">
        <w:rPr>
          <w:rFonts w:ascii="Verdana" w:eastAsia="Verdana" w:hAnsi="Verdana" w:cs="Verdana"/>
          <w:sz w:val="20"/>
          <w:szCs w:val="20"/>
        </w:rPr>
        <w:t>COVID-19</w:t>
      </w:r>
      <w:r w:rsidR="00291E5B">
        <w:rPr>
          <w:rFonts w:ascii="Verdana" w:eastAsia="Verdana" w:hAnsi="Verdana" w:cs="Verdana"/>
          <w:sz w:val="20"/>
          <w:szCs w:val="20"/>
        </w:rPr>
        <w:t xml:space="preserve"> върху нормалната земеделска и пазарна дейност в сектора. </w:t>
      </w:r>
    </w:p>
    <w:p w:rsidR="007D7470" w:rsidRDefault="007D7470" w:rsidP="00291E5B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Предложените промени в наредбата се отнасят до:</w:t>
      </w:r>
    </w:p>
    <w:p w:rsidR="007D7470" w:rsidRPr="00886793" w:rsidRDefault="00323F2B" w:rsidP="0041570A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hAnsi="Verdana"/>
          <w:iCs/>
          <w:sz w:val="20"/>
          <w:szCs w:val="20"/>
          <w:lang w:val="bg-BG"/>
        </w:rPr>
      </w:pPr>
      <w:r>
        <w:rPr>
          <w:rFonts w:ascii="Verdana" w:hAnsi="Verdana"/>
          <w:iCs/>
          <w:sz w:val="20"/>
          <w:szCs w:val="20"/>
          <w:lang w:val="bg-BG"/>
        </w:rPr>
        <w:t>Запазване на у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>величения размер на подпомагането по мерките от програмата и през 2022 г. по следния начин: по мярка „Преструктуриране и конверсия на</w:t>
      </w:r>
      <w:r w:rsidR="007429B1">
        <w:rPr>
          <w:rFonts w:ascii="Verdana" w:hAnsi="Verdana"/>
          <w:iCs/>
          <w:sz w:val="20"/>
          <w:szCs w:val="20"/>
          <w:lang w:val="bg-BG"/>
        </w:rPr>
        <w:t xml:space="preserve"> лозя“ </w:t>
      </w:r>
      <w:r w:rsidR="007429B1">
        <w:rPr>
          <w:rFonts w:ascii="Verdana" w:hAnsi="Verdana"/>
          <w:iCs/>
          <w:sz w:val="20"/>
          <w:szCs w:val="20"/>
          <w:lang w:val="bg-BG"/>
        </w:rPr>
        <w:lastRenderedPageBreak/>
        <w:t>помощта е 90% (вместо 75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 xml:space="preserve">%) от </w:t>
      </w:r>
      <w:r w:rsidR="0041570A">
        <w:rPr>
          <w:rFonts w:ascii="Verdana" w:hAnsi="Verdana"/>
          <w:iCs/>
          <w:sz w:val="20"/>
          <w:szCs w:val="20"/>
          <w:lang w:val="bg-BG"/>
        </w:rPr>
        <w:t xml:space="preserve">направените допустими разходи; 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>по мерки, „Инвестиции в предприятия“ и „Събиране на реколтата на зелено“ помощта е 70% (вместо 50%); за мерки „Популяризиране в трети държави“ и „И</w:t>
      </w:r>
      <w:r w:rsidR="0041570A">
        <w:rPr>
          <w:rFonts w:ascii="Verdana" w:hAnsi="Verdana"/>
          <w:iCs/>
          <w:sz w:val="20"/>
          <w:szCs w:val="20"/>
          <w:lang w:val="bg-BG"/>
        </w:rPr>
        <w:t xml:space="preserve">нформиране в държавите членки“ 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 xml:space="preserve">помощта от </w:t>
      </w:r>
      <w:r w:rsidR="0041570A" w:rsidRPr="00D03618">
        <w:rPr>
          <w:rFonts w:ascii="Verdana" w:hAnsi="Verdana"/>
          <w:iCs/>
          <w:sz w:val="20"/>
          <w:szCs w:val="20"/>
          <w:lang w:val="bg-BG"/>
        </w:rPr>
        <w:t>Европейския съюз (</w:t>
      </w:r>
      <w:r w:rsidR="007D7470" w:rsidRPr="00D03618">
        <w:rPr>
          <w:rFonts w:ascii="Verdana" w:hAnsi="Verdana"/>
          <w:iCs/>
          <w:sz w:val="20"/>
          <w:szCs w:val="20"/>
          <w:lang w:val="bg-BG"/>
        </w:rPr>
        <w:t>ЕС</w:t>
      </w:r>
      <w:r w:rsidR="0041570A" w:rsidRPr="00D03618">
        <w:rPr>
          <w:rFonts w:ascii="Verdana" w:hAnsi="Verdana"/>
          <w:iCs/>
          <w:sz w:val="20"/>
          <w:szCs w:val="20"/>
          <w:lang w:val="bg-BG"/>
        </w:rPr>
        <w:t>)</w:t>
      </w:r>
      <w:r w:rsidR="007D7470" w:rsidRPr="00D03618">
        <w:rPr>
          <w:rFonts w:ascii="Verdana" w:hAnsi="Verdana"/>
          <w:iCs/>
          <w:sz w:val="20"/>
          <w:szCs w:val="20"/>
          <w:lang w:val="bg-BG"/>
        </w:rPr>
        <w:t xml:space="preserve"> 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 xml:space="preserve">също е увеличена на 70% (вместо 50%), но в случай че </w:t>
      </w:r>
      <w:proofErr w:type="spellStart"/>
      <w:r w:rsidR="007D7470" w:rsidRPr="00886793">
        <w:rPr>
          <w:rFonts w:ascii="Verdana" w:hAnsi="Verdana"/>
          <w:iCs/>
          <w:sz w:val="20"/>
          <w:szCs w:val="20"/>
          <w:lang w:val="bg-BG"/>
        </w:rPr>
        <w:t>бенефицие</w:t>
      </w:r>
      <w:r w:rsidR="00301F48">
        <w:rPr>
          <w:rFonts w:ascii="Verdana" w:hAnsi="Verdana"/>
          <w:iCs/>
          <w:sz w:val="20"/>
          <w:szCs w:val="20"/>
          <w:lang w:val="bg-BG"/>
        </w:rPr>
        <w:t>р</w:t>
      </w:r>
      <w:proofErr w:type="spellEnd"/>
      <w:r w:rsidR="007D7470" w:rsidRPr="00886793">
        <w:rPr>
          <w:rFonts w:ascii="Verdana" w:hAnsi="Verdana"/>
          <w:iCs/>
          <w:sz w:val="20"/>
          <w:szCs w:val="20"/>
          <w:lang w:val="bg-BG"/>
        </w:rPr>
        <w:t xml:space="preserve"> отговаря на критериите и за държавна помощ, крайният размер на помощта остава 80%. Този размер на подпомагане ще се отнася за кандидати, сключили </w:t>
      </w:r>
      <w:r w:rsidRPr="00886793">
        <w:rPr>
          <w:rFonts w:ascii="Verdana" w:hAnsi="Verdana"/>
          <w:iCs/>
          <w:sz w:val="20"/>
          <w:szCs w:val="20"/>
          <w:lang w:val="bg-BG"/>
        </w:rPr>
        <w:t>през финансова 2022 г.</w:t>
      </w:r>
      <w:r>
        <w:rPr>
          <w:rFonts w:ascii="Verdana" w:hAnsi="Verdana"/>
          <w:iCs/>
          <w:sz w:val="20"/>
          <w:szCs w:val="20"/>
          <w:lang w:val="bg-BG"/>
        </w:rPr>
        <w:t xml:space="preserve"> </w:t>
      </w:r>
      <w:r w:rsidR="007D7470" w:rsidRPr="00886793">
        <w:rPr>
          <w:rFonts w:ascii="Verdana" w:hAnsi="Verdana"/>
          <w:iCs/>
          <w:sz w:val="20"/>
          <w:szCs w:val="20"/>
          <w:lang w:val="bg-BG"/>
        </w:rPr>
        <w:t>договор за предоставяне на финансова помощ по мерките от програмата;</w:t>
      </w:r>
    </w:p>
    <w:p w:rsidR="007D7470" w:rsidRPr="00886793" w:rsidRDefault="007D7470" w:rsidP="0041570A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hAnsi="Verdana"/>
          <w:iCs/>
          <w:sz w:val="20"/>
          <w:szCs w:val="20"/>
          <w:lang w:val="bg-BG"/>
        </w:rPr>
      </w:pPr>
      <w:r>
        <w:rPr>
          <w:rFonts w:ascii="Verdana" w:hAnsi="Verdana"/>
          <w:iCs/>
          <w:sz w:val="20"/>
          <w:szCs w:val="20"/>
          <w:lang w:val="bg-BG"/>
        </w:rPr>
        <w:t>По мярка „Застраховане на реколтата“ подпомагането се увеличава на 80% от разходите за застрахователни премии, за всички видове рискове. Този размер на подпомагането от ЕС се прилага за периода от</w:t>
      </w:r>
      <w:r w:rsidRPr="00886793">
        <w:rPr>
          <w:rFonts w:ascii="Verdana" w:hAnsi="Verdana"/>
          <w:iCs/>
          <w:sz w:val="20"/>
          <w:szCs w:val="20"/>
          <w:lang w:val="bg-BG"/>
        </w:rPr>
        <w:t xml:space="preserve"> 16 октомври 2021 г. до 15 октомври 2023 г.</w:t>
      </w:r>
      <w:r>
        <w:rPr>
          <w:rFonts w:ascii="Verdana" w:hAnsi="Verdana"/>
          <w:iCs/>
          <w:sz w:val="20"/>
          <w:szCs w:val="20"/>
          <w:lang w:val="bg-BG"/>
        </w:rPr>
        <w:t>;</w:t>
      </w:r>
    </w:p>
    <w:p w:rsidR="007D7470" w:rsidRDefault="007D7470" w:rsidP="0041570A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hAnsi="Verdana"/>
          <w:iCs/>
          <w:sz w:val="20"/>
          <w:szCs w:val="20"/>
          <w:lang w:val="bg-BG"/>
        </w:rPr>
      </w:pPr>
      <w:r w:rsidRPr="00886793">
        <w:rPr>
          <w:rFonts w:ascii="Verdana" w:hAnsi="Verdana"/>
          <w:iCs/>
          <w:sz w:val="20"/>
          <w:szCs w:val="20"/>
          <w:lang w:val="bg-BG"/>
        </w:rPr>
        <w:t>Прилагане на мярка „Събиране на реколтата на зелено“ по облекчени правила и през 2022 г.</w:t>
      </w:r>
    </w:p>
    <w:p w:rsidR="00791C5B" w:rsidRDefault="00791C5B" w:rsidP="00A64EA4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С изменението на наредбата ще се осигурят условия за плавен преход </w:t>
      </w:r>
      <w:r w:rsidR="00A64EA4">
        <w:rPr>
          <w:rFonts w:ascii="Verdana" w:hAnsi="Verdana"/>
          <w:iCs/>
          <w:sz w:val="20"/>
          <w:szCs w:val="20"/>
        </w:rPr>
        <w:t xml:space="preserve">между подпомагането в сектора по реда на настоящата национална програма и Стратегическия план. Ще бъдат предвидени разпоредби в съответствие с приложимото европейско законодателство, които да осигурят ясни правила по отношение на сроковете за договаряне, изпълнение и изплащане на помощта. Тези условия ще важат основно за </w:t>
      </w:r>
      <w:r w:rsidR="00A64EA4">
        <w:rPr>
          <w:rFonts w:ascii="Verdana" w:eastAsia="Verdana" w:hAnsi="Verdana" w:cs="Verdana"/>
          <w:sz w:val="20"/>
          <w:szCs w:val="20"/>
        </w:rPr>
        <w:t>мярка „Преструктуриране и конверсия на лозя“ и мярка „Инвестиции в предприятия“, по които договорите за подпомагане по реда на настоящата про</w:t>
      </w:r>
      <w:r w:rsidR="00CD51CC">
        <w:rPr>
          <w:rFonts w:ascii="Verdana" w:eastAsia="Verdana" w:hAnsi="Verdana" w:cs="Verdana"/>
          <w:sz w:val="20"/>
          <w:szCs w:val="20"/>
        </w:rPr>
        <w:t xml:space="preserve">грама следва да бъдат сключени </w:t>
      </w:r>
      <w:r w:rsidR="00A64EA4">
        <w:rPr>
          <w:rFonts w:ascii="Verdana" w:eastAsia="Verdana" w:hAnsi="Verdana" w:cs="Verdana"/>
          <w:sz w:val="20"/>
          <w:szCs w:val="20"/>
        </w:rPr>
        <w:t xml:space="preserve">до 31 декември 2022 г. (това изискване важи и за договорите по всички други мерки), а изпълнението на дейностите може да продължи най-късно до 15 октомври 2025 г. </w:t>
      </w:r>
      <w:r w:rsidR="000A17DF">
        <w:rPr>
          <w:rFonts w:ascii="Verdana" w:eastAsia="Verdana" w:hAnsi="Verdana" w:cs="Verdana"/>
          <w:sz w:val="20"/>
          <w:szCs w:val="20"/>
        </w:rPr>
        <w:t>По тези две мерки</w:t>
      </w:r>
      <w:r w:rsidR="00A64EA4">
        <w:rPr>
          <w:rFonts w:ascii="Verdana" w:eastAsia="Verdana" w:hAnsi="Verdana" w:cs="Verdana"/>
          <w:sz w:val="20"/>
          <w:szCs w:val="20"/>
        </w:rPr>
        <w:t xml:space="preserve"> обаче, одобрените заявители следва да изпълнят такава част от договорените дейности по двете мерки, която съответства на поне 30% от общата одобрена за финансиране сума до 15 октомври 2023 г. В този срок въпросният размер от общото подпомагане следва да бъде и изплатен на </w:t>
      </w:r>
      <w:proofErr w:type="spellStart"/>
      <w:r w:rsidR="00A64EA4">
        <w:rPr>
          <w:rFonts w:ascii="Verdana" w:eastAsia="Verdana" w:hAnsi="Verdana" w:cs="Verdana"/>
          <w:sz w:val="20"/>
          <w:szCs w:val="20"/>
        </w:rPr>
        <w:t>бенефици</w:t>
      </w:r>
      <w:r w:rsidR="000A17DF">
        <w:rPr>
          <w:rFonts w:ascii="Verdana" w:eastAsia="Verdana" w:hAnsi="Verdana" w:cs="Verdana"/>
          <w:sz w:val="20"/>
          <w:szCs w:val="20"/>
        </w:rPr>
        <w:t>е</w:t>
      </w:r>
      <w:r w:rsidR="00301F48">
        <w:rPr>
          <w:rFonts w:ascii="Verdana" w:eastAsia="Verdana" w:hAnsi="Verdana" w:cs="Verdana"/>
          <w:sz w:val="20"/>
          <w:szCs w:val="20"/>
        </w:rPr>
        <w:t>рите</w:t>
      </w:r>
      <w:proofErr w:type="spellEnd"/>
      <w:r w:rsidR="00A64EA4">
        <w:rPr>
          <w:rFonts w:ascii="Verdana" w:eastAsia="Verdana" w:hAnsi="Verdana" w:cs="Verdana"/>
          <w:sz w:val="20"/>
          <w:szCs w:val="20"/>
        </w:rPr>
        <w:t xml:space="preserve">. </w:t>
      </w:r>
    </w:p>
    <w:p w:rsidR="00A64EA4" w:rsidRDefault="00A64EA4" w:rsidP="00A64EA4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В проекта е предвидено и условие за заявителите по </w:t>
      </w:r>
      <w:r w:rsidRPr="00A64EA4">
        <w:rPr>
          <w:rFonts w:ascii="Verdana" w:eastAsia="Verdana" w:hAnsi="Verdana" w:cs="Verdana"/>
          <w:sz w:val="20"/>
          <w:szCs w:val="20"/>
        </w:rPr>
        <w:t>мярка „Преструктуриране и конверсия на лозя“ и мярка „Инвестиции в предприятия“</w:t>
      </w:r>
      <w:r>
        <w:rPr>
          <w:rFonts w:ascii="Verdana" w:eastAsia="Verdana" w:hAnsi="Verdana" w:cs="Verdana"/>
          <w:sz w:val="20"/>
          <w:szCs w:val="20"/>
        </w:rPr>
        <w:t xml:space="preserve"> през 2022 и 2023 г.</w:t>
      </w:r>
      <w:r w:rsidR="003A16EA">
        <w:rPr>
          <w:rFonts w:ascii="Verdana" w:eastAsia="Verdana" w:hAnsi="Verdana" w:cs="Verdana"/>
          <w:sz w:val="20"/>
          <w:szCs w:val="20"/>
        </w:rPr>
        <w:t xml:space="preserve">, </w:t>
      </w:r>
      <w:r w:rsidR="00CC4749">
        <w:rPr>
          <w:rFonts w:ascii="Verdana" w:eastAsia="Verdana" w:hAnsi="Verdana" w:cs="Verdana"/>
          <w:sz w:val="20"/>
          <w:szCs w:val="20"/>
        </w:rPr>
        <w:t>които</w:t>
      </w:r>
      <w:r w:rsidR="003A16EA">
        <w:rPr>
          <w:rFonts w:ascii="Verdana" w:eastAsia="Verdana" w:hAnsi="Verdana" w:cs="Verdana"/>
          <w:sz w:val="20"/>
          <w:szCs w:val="20"/>
        </w:rPr>
        <w:t xml:space="preserve"> заявяват авансово плащане, </w:t>
      </w:r>
      <w:r w:rsidR="00CC4749">
        <w:rPr>
          <w:rFonts w:ascii="Verdana" w:eastAsia="Verdana" w:hAnsi="Verdana" w:cs="Verdana"/>
          <w:sz w:val="20"/>
          <w:szCs w:val="20"/>
        </w:rPr>
        <w:t>същото</w:t>
      </w:r>
      <w:r w:rsidR="003A16EA">
        <w:rPr>
          <w:rFonts w:ascii="Verdana" w:eastAsia="Verdana" w:hAnsi="Verdana" w:cs="Verdana"/>
          <w:sz w:val="20"/>
          <w:szCs w:val="20"/>
        </w:rPr>
        <w:t xml:space="preserve"> да бъде посочено </w:t>
      </w:r>
      <w:r>
        <w:rPr>
          <w:rFonts w:ascii="Verdana" w:eastAsia="Verdana" w:hAnsi="Verdana" w:cs="Verdana"/>
          <w:sz w:val="20"/>
          <w:szCs w:val="20"/>
        </w:rPr>
        <w:t xml:space="preserve">в заявлението за предоставяне на финансово подпомагане, </w:t>
      </w:r>
      <w:r w:rsidR="003A16EA">
        <w:rPr>
          <w:rFonts w:ascii="Verdana" w:eastAsia="Verdana" w:hAnsi="Verdana" w:cs="Verdana"/>
          <w:sz w:val="20"/>
          <w:szCs w:val="20"/>
        </w:rPr>
        <w:t>както</w:t>
      </w:r>
      <w:r w:rsidR="00CD51CC">
        <w:rPr>
          <w:rFonts w:ascii="Verdana" w:eastAsia="Verdana" w:hAnsi="Verdana" w:cs="Verdana"/>
          <w:sz w:val="20"/>
          <w:szCs w:val="20"/>
        </w:rPr>
        <w:t xml:space="preserve"> и в заявлението за предоставяне на авансово плащане. В противен случай (ако е посочен различен размер) заявлението за предоставяне на авансово плащане ще бъде отказано</w:t>
      </w:r>
      <w:r w:rsidR="00CC4749">
        <w:rPr>
          <w:rFonts w:ascii="Verdana" w:eastAsia="Verdana" w:hAnsi="Verdana" w:cs="Verdana"/>
          <w:sz w:val="20"/>
          <w:szCs w:val="20"/>
        </w:rPr>
        <w:t>, а договорът прекратен</w:t>
      </w:r>
      <w:r w:rsidR="00CD51CC">
        <w:rPr>
          <w:rFonts w:ascii="Verdana" w:eastAsia="Verdana" w:hAnsi="Verdana" w:cs="Verdana"/>
          <w:sz w:val="20"/>
          <w:szCs w:val="20"/>
        </w:rPr>
        <w:t xml:space="preserve">. Това се налага поради необходимостта от оптимално управление на наличния бюджет по програмата. </w:t>
      </w:r>
    </w:p>
    <w:p w:rsidR="00A437C0" w:rsidRPr="00791C5B" w:rsidRDefault="00A437C0" w:rsidP="00A64EA4">
      <w:pPr>
        <w:spacing w:after="0" w:line="360" w:lineRule="auto"/>
        <w:ind w:firstLine="72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Предвидено е изменение и на изискването кои две години да се взимат предвид при изчисление на средния доход при обезщетение за загуба на доход, както и изменение на изискването за продължителността на договора за наем на площите с лозови насаждения по мярка „Събиране на реколтата на зелено“. И двете изменения </w:t>
      </w:r>
      <w:r>
        <w:rPr>
          <w:rFonts w:ascii="Verdana" w:eastAsia="Verdana" w:hAnsi="Verdana" w:cs="Verdana"/>
          <w:sz w:val="20"/>
          <w:szCs w:val="20"/>
        </w:rPr>
        <w:lastRenderedPageBreak/>
        <w:t>целят прецизиране на текстовете от гледна точка на практическото прилагане на мерките.</w:t>
      </w:r>
    </w:p>
    <w:p w:rsidR="007C7532" w:rsidRDefault="007C75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Финансови и други средства, необходими за прилагането на новата уредба</w:t>
      </w:r>
    </w:p>
    <w:p w:rsidR="003B6242" w:rsidRDefault="00CC637A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Приемането на проекта на акт не води до въздействие върху държавния бюджет. За приемането на проекта на акт не са необходими допълнителни разходи/трансфери и други плащания. Не се предвиждат допълнителни разходи и за </w:t>
      </w:r>
      <w:r w:rsidR="00B21F40">
        <w:rPr>
          <w:rFonts w:ascii="Verdana" w:eastAsia="Verdana" w:hAnsi="Verdana" w:cs="Verdana"/>
          <w:sz w:val="20"/>
          <w:szCs w:val="20"/>
        </w:rPr>
        <w:t>неговите</w:t>
      </w:r>
      <w:r>
        <w:rPr>
          <w:rFonts w:ascii="Verdana" w:eastAsia="Verdana" w:hAnsi="Verdana" w:cs="Verdana"/>
          <w:sz w:val="20"/>
          <w:szCs w:val="20"/>
        </w:rPr>
        <w:t xml:space="preserve"> а</w:t>
      </w:r>
      <w:r w:rsidR="007D7470">
        <w:rPr>
          <w:rFonts w:ascii="Verdana" w:eastAsia="Verdana" w:hAnsi="Verdana" w:cs="Verdana"/>
          <w:sz w:val="20"/>
          <w:szCs w:val="20"/>
        </w:rPr>
        <w:t xml:space="preserve">дресати. </w:t>
      </w:r>
      <w:r w:rsidR="003B6242" w:rsidRPr="003B6242">
        <w:rPr>
          <w:rFonts w:ascii="Verdana" w:eastAsia="Verdana" w:hAnsi="Verdana" w:cs="Verdana"/>
          <w:sz w:val="20"/>
          <w:szCs w:val="20"/>
        </w:rPr>
        <w:t xml:space="preserve">Потенциално заинтересовани страни от приемането на наредбата са всички регистрирани </w:t>
      </w:r>
      <w:proofErr w:type="spellStart"/>
      <w:r w:rsidR="003B6242" w:rsidRPr="003B6242">
        <w:rPr>
          <w:rFonts w:ascii="Verdana" w:eastAsia="Verdana" w:hAnsi="Verdana" w:cs="Verdana"/>
          <w:sz w:val="20"/>
          <w:szCs w:val="20"/>
        </w:rPr>
        <w:t>гроздо</w:t>
      </w:r>
      <w:proofErr w:type="spellEnd"/>
      <w:r w:rsidR="003B6242" w:rsidRPr="003B6242">
        <w:rPr>
          <w:rFonts w:ascii="Verdana" w:eastAsia="Verdana" w:hAnsi="Verdana" w:cs="Verdana"/>
          <w:sz w:val="20"/>
          <w:szCs w:val="20"/>
        </w:rPr>
        <w:t>- и винопроизводители в страната, които желаят да кандидатстват по мерките от програмата през 2022 г., техни признати организации, асоциации и професионални сдружения.</w:t>
      </w:r>
      <w:r w:rsidR="003B6242">
        <w:rPr>
          <w:rFonts w:ascii="Verdana" w:eastAsia="Verdana" w:hAnsi="Verdana" w:cs="Verdana"/>
          <w:sz w:val="20"/>
          <w:szCs w:val="20"/>
        </w:rPr>
        <w:t xml:space="preserve"> </w:t>
      </w:r>
    </w:p>
    <w:p w:rsidR="007C7532" w:rsidRDefault="007D7470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Финансирането на мерките от Националната програма за подпомагане на </w:t>
      </w:r>
      <w:proofErr w:type="spellStart"/>
      <w:r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-винарския сектор ще бъде </w:t>
      </w:r>
      <w:r w:rsidR="00CC637A">
        <w:rPr>
          <w:rFonts w:ascii="Verdana" w:eastAsia="Verdana" w:hAnsi="Verdana" w:cs="Verdana"/>
          <w:sz w:val="20"/>
          <w:szCs w:val="20"/>
        </w:rPr>
        <w:t xml:space="preserve">в рамките на </w:t>
      </w:r>
      <w:r>
        <w:rPr>
          <w:rFonts w:ascii="Verdana" w:eastAsia="Verdana" w:hAnsi="Verdana" w:cs="Verdana"/>
          <w:sz w:val="20"/>
          <w:szCs w:val="20"/>
        </w:rPr>
        <w:t>определения за програмата бюджет</w:t>
      </w:r>
      <w:r w:rsidR="00CC637A">
        <w:rPr>
          <w:rFonts w:ascii="Verdana" w:eastAsia="Verdana" w:hAnsi="Verdana" w:cs="Verdana"/>
          <w:sz w:val="20"/>
          <w:szCs w:val="20"/>
        </w:rPr>
        <w:t>.</w:t>
      </w:r>
    </w:p>
    <w:p w:rsidR="007C7532" w:rsidRDefault="007C7532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Очаквани резултати от прилагането на акта</w:t>
      </w: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Измененията в наредбата са насочени към </w:t>
      </w:r>
      <w:r w:rsidR="00885C2E">
        <w:rPr>
          <w:rFonts w:ascii="Verdana" w:eastAsia="Verdana" w:hAnsi="Verdana" w:cs="Verdana"/>
          <w:color w:val="000000"/>
          <w:sz w:val="20"/>
          <w:szCs w:val="20"/>
        </w:rPr>
        <w:t xml:space="preserve">осигуряване на по-плавно адаптиране на сектора към кризата и </w:t>
      </w:r>
      <w:r w:rsidR="00B31995">
        <w:rPr>
          <w:rFonts w:ascii="Verdana" w:eastAsia="Verdana" w:hAnsi="Verdana" w:cs="Verdana"/>
          <w:color w:val="000000"/>
          <w:sz w:val="20"/>
          <w:szCs w:val="20"/>
        </w:rPr>
        <w:t>подпомагане, което да посрещне нуждите н</w:t>
      </w:r>
      <w:r w:rsidR="008B1D96">
        <w:rPr>
          <w:rFonts w:ascii="Verdana" w:eastAsia="Verdana" w:hAnsi="Verdana" w:cs="Verdana"/>
          <w:color w:val="000000"/>
          <w:sz w:val="20"/>
          <w:szCs w:val="20"/>
        </w:rPr>
        <w:t xml:space="preserve">а </w:t>
      </w:r>
      <w:proofErr w:type="spellStart"/>
      <w:r w:rsidR="008B1D96">
        <w:rPr>
          <w:rFonts w:ascii="Verdana" w:eastAsia="Verdana" w:hAnsi="Verdana" w:cs="Verdana"/>
          <w:color w:val="000000"/>
          <w:sz w:val="20"/>
          <w:szCs w:val="20"/>
        </w:rPr>
        <w:t>гроздо</w:t>
      </w:r>
      <w:proofErr w:type="spellEnd"/>
      <w:r w:rsidR="008B1D96">
        <w:rPr>
          <w:rFonts w:ascii="Verdana" w:eastAsia="Verdana" w:hAnsi="Verdana" w:cs="Verdana"/>
          <w:color w:val="000000"/>
          <w:sz w:val="20"/>
          <w:szCs w:val="20"/>
        </w:rPr>
        <w:t>- и винопроизводителите, както и към осигуряване на ясни и точни правила за прилагане на мерките през последните две години от програмния период и прехода към подпомагане по реда на Стратегическия план.</w:t>
      </w:r>
    </w:p>
    <w:p w:rsidR="007C7532" w:rsidRDefault="007C75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7C7532" w:rsidRDefault="00CC637A">
      <w:pP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Анализ за съответствие с правото на Европейския съюз</w:t>
      </w:r>
    </w:p>
    <w:p w:rsidR="007C7532" w:rsidRDefault="00CC637A">
      <w:pPr>
        <w:spacing w:after="0" w:line="360" w:lineRule="auto"/>
        <w:ind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Проектът на Наредба </w:t>
      </w:r>
      <w:r>
        <w:rPr>
          <w:rFonts w:ascii="Verdana" w:eastAsia="Verdana" w:hAnsi="Verdana" w:cs="Verdana"/>
          <w:sz w:val="20"/>
          <w:szCs w:val="20"/>
          <w:shd w:val="clear" w:color="auto" w:fill="FEFEFE"/>
        </w:rPr>
        <w:t>не съдържа разпоредби, транспониращи актове на Европейския съюз, поради което не е приложена таблица на съответствието с правото на Европейския съюз.</w:t>
      </w:r>
    </w:p>
    <w:p w:rsidR="007C7532" w:rsidRDefault="007C7532">
      <w:pPr>
        <w:spacing w:after="0" w:line="360" w:lineRule="auto"/>
        <w:ind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Default="00CC63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Информация за проведените обществени консултации</w:t>
      </w:r>
    </w:p>
    <w:p w:rsidR="007C7532" w:rsidRDefault="00CC637A">
      <w:pPr>
        <w:spacing w:after="0" w:line="360" w:lineRule="auto"/>
        <w:ind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На основание чл. 26, ал. 3 и 4 от Закона за нормативните актове проектът на доклад (мотиви) и проектът на наредба са публикувани за обществена консултация на интернет страницата на Министерството на земеделието и на Портала за обществени консултации със срок за предложения и становища 30 дни.</w:t>
      </w:r>
    </w:p>
    <w:p w:rsidR="007C7532" w:rsidRDefault="00CC637A">
      <w:pPr>
        <w:spacing w:after="0" w:line="360" w:lineRule="auto"/>
        <w:ind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 изпълнение на чл. 26, ал. 5 от Закона за нормативните актове справката за постъпилите предложения от проведената обществена консултация заедно с обосновка за неприетите предложения е публикувана на интернет страницата на Министерството на земеделието и на Портала за обществени консултации.</w:t>
      </w:r>
    </w:p>
    <w:p w:rsidR="00310B9F" w:rsidRDefault="00CC637A" w:rsidP="00310B9F">
      <w:pPr>
        <w:spacing w:after="0" w:line="360" w:lineRule="auto"/>
        <w:ind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Проектът е съгласуван в съответствие с Правилата за изготвяне и съгласуване на проекти на актове в системата на Министерството на земеделието</w:t>
      </w:r>
      <w:r w:rsidR="00496016">
        <w:rPr>
          <w:rFonts w:ascii="Verdana" w:eastAsia="Verdana" w:hAnsi="Verdana" w:cs="Verdana"/>
          <w:sz w:val="20"/>
          <w:szCs w:val="20"/>
        </w:rPr>
        <w:t>, храните и горите</w:t>
      </w:r>
      <w:r>
        <w:rPr>
          <w:rFonts w:ascii="Verdana" w:eastAsia="Verdana" w:hAnsi="Verdana" w:cs="Verdana"/>
          <w:sz w:val="20"/>
          <w:szCs w:val="20"/>
        </w:rPr>
        <w:t>. Направените целесъобразни бележки и предложения са отразени.</w:t>
      </w:r>
    </w:p>
    <w:p w:rsidR="00310B9F" w:rsidRDefault="00310B9F" w:rsidP="00310B9F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Default="00CC637A" w:rsidP="0042110B">
      <w:pPr>
        <w:spacing w:after="120" w:line="360" w:lineRule="auto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  <w:r>
        <w:rPr>
          <w:rFonts w:ascii="Verdana" w:eastAsia="Verdana" w:hAnsi="Verdana" w:cs="Verdana"/>
          <w:b/>
          <w:smallCaps/>
          <w:sz w:val="20"/>
          <w:szCs w:val="20"/>
        </w:rPr>
        <w:lastRenderedPageBreak/>
        <w:t xml:space="preserve">УВАЖАЕМИ ГОСПОДИН </w:t>
      </w:r>
      <w:r w:rsidR="00B31995">
        <w:rPr>
          <w:rFonts w:ascii="Verdana" w:eastAsia="Verdana" w:hAnsi="Verdana" w:cs="Verdana"/>
          <w:b/>
          <w:smallCaps/>
          <w:sz w:val="20"/>
          <w:szCs w:val="20"/>
        </w:rPr>
        <w:t>ИВАНОВ</w:t>
      </w:r>
      <w:r>
        <w:rPr>
          <w:rFonts w:ascii="Verdana" w:eastAsia="Verdana" w:hAnsi="Verdana" w:cs="Verdana"/>
          <w:b/>
          <w:smallCaps/>
          <w:sz w:val="20"/>
          <w:szCs w:val="20"/>
        </w:rPr>
        <w:t>,</w:t>
      </w:r>
    </w:p>
    <w:p w:rsidR="007C7532" w:rsidRDefault="00CC637A">
      <w:pPr>
        <w:widowControl w:val="0"/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Във връзка с гореизложеното и на основание чл. 56, ал. 3 от Закона за прилагане на Общата организация на пазарите на земеделски продукти на Европейския съюз, предлагам да одобрите Наредбата за изменение</w:t>
      </w:r>
      <w:r w:rsidR="003269F0">
        <w:rPr>
          <w:rFonts w:ascii="Verdana" w:eastAsia="Verdana" w:hAnsi="Verdana" w:cs="Verdana"/>
          <w:sz w:val="20"/>
          <w:szCs w:val="20"/>
        </w:rPr>
        <w:t xml:space="preserve"> и допълнение</w:t>
      </w:r>
      <w:r>
        <w:rPr>
          <w:rFonts w:ascii="Verdana" w:eastAsia="Verdana" w:hAnsi="Verdana" w:cs="Verdana"/>
          <w:sz w:val="20"/>
          <w:szCs w:val="20"/>
        </w:rPr>
        <w:t xml:space="preserve"> на Наредба № 6 от 2018 г. за условията и реда за предоставяне на финансова помощ по Национална програма за подпомагане на </w:t>
      </w:r>
      <w:proofErr w:type="spellStart"/>
      <w:r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-винарския сектор за периода 2019 – 2023 г. </w:t>
      </w:r>
    </w:p>
    <w:p w:rsidR="007C7532" w:rsidRDefault="007C7532">
      <w:pPr>
        <w:widowControl w:val="0"/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8404" w:type="dxa"/>
        <w:tblInd w:w="668" w:type="dxa"/>
        <w:tblLayout w:type="fixed"/>
        <w:tblLook w:val="0000" w:firstRow="0" w:lastRow="0" w:firstColumn="0" w:lastColumn="0" w:noHBand="0" w:noVBand="0"/>
      </w:tblPr>
      <w:tblGrid>
        <w:gridCol w:w="1850"/>
        <w:gridCol w:w="6554"/>
      </w:tblGrid>
      <w:tr w:rsidR="007C7532">
        <w:tc>
          <w:tcPr>
            <w:tcW w:w="1850" w:type="dxa"/>
          </w:tcPr>
          <w:p w:rsidR="007C7532" w:rsidRDefault="00CC637A">
            <w:pPr>
              <w:spacing w:after="0" w:line="36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Приложениe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554" w:type="dxa"/>
          </w:tcPr>
          <w:p w:rsidR="007C7532" w:rsidRDefault="00CC637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Наредба за изменение</w:t>
            </w:r>
            <w:r w:rsidR="003269F0">
              <w:rPr>
                <w:rFonts w:ascii="Verdana" w:eastAsia="Verdana" w:hAnsi="Verdana" w:cs="Verdana"/>
                <w:sz w:val="20"/>
                <w:szCs w:val="20"/>
              </w:rPr>
              <w:t xml:space="preserve"> и допълнение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на Наредба № 6 от 2018 г. за условията и реда за предоставяне на финансова помощ по Национална програма за подпомагане на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лозаро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-винарския сектор за периода 2019 – 2023 г.;</w:t>
            </w:r>
          </w:p>
          <w:p w:rsidR="007C7532" w:rsidRDefault="00CC637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Справка за отразяване на постъпилите становища;</w:t>
            </w:r>
          </w:p>
          <w:p w:rsidR="007C7532" w:rsidRDefault="00CC637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Постъпили становища;</w:t>
            </w:r>
          </w:p>
          <w:p w:rsidR="007C7532" w:rsidRDefault="00CC637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Справка за отразяване на получените предложения и становища от проведената обществена консултация;</w:t>
            </w:r>
          </w:p>
          <w:p w:rsidR="007C7532" w:rsidRDefault="00CC637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Получени предложения и становища от проведената обществена консултация.</w:t>
            </w:r>
          </w:p>
        </w:tc>
      </w:tr>
    </w:tbl>
    <w:p w:rsidR="007C7532" w:rsidRDefault="007C753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1570A" w:rsidRDefault="0041570A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Default="00CC637A">
      <w:pPr>
        <w:spacing w:after="0" w:line="360" w:lineRule="auto"/>
        <w:ind w:right="-46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С уважение,</w:t>
      </w:r>
    </w:p>
    <w:p w:rsidR="007C7532" w:rsidRDefault="007C7532">
      <w:pPr>
        <w:spacing w:after="0" w:line="360" w:lineRule="auto"/>
        <w:ind w:right="-468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</w:p>
    <w:p w:rsidR="007C7532" w:rsidRDefault="007C7532">
      <w:pPr>
        <w:spacing w:after="0" w:line="360" w:lineRule="auto"/>
        <w:ind w:right="-468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</w:p>
    <w:p w:rsidR="007C7532" w:rsidRDefault="0041570A">
      <w:pPr>
        <w:spacing w:after="0" w:line="360" w:lineRule="auto"/>
        <w:ind w:right="-468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  <w:r w:rsidRPr="00D03618">
        <w:rPr>
          <w:rFonts w:ascii="Verdana" w:eastAsia="Verdana" w:hAnsi="Verdana" w:cs="Verdana"/>
          <w:b/>
          <w:smallCaps/>
          <w:sz w:val="20"/>
          <w:szCs w:val="20"/>
        </w:rPr>
        <w:t xml:space="preserve">Д-Р </w:t>
      </w:r>
      <w:r w:rsidR="00B31995">
        <w:rPr>
          <w:rFonts w:ascii="Verdana" w:eastAsia="Verdana" w:hAnsi="Verdana" w:cs="Verdana"/>
          <w:b/>
          <w:smallCaps/>
          <w:sz w:val="20"/>
          <w:szCs w:val="20"/>
        </w:rPr>
        <w:t>МОМЧИЛ НЕКОВ</w:t>
      </w:r>
    </w:p>
    <w:p w:rsidR="007C7532" w:rsidRDefault="00CC637A">
      <w:pPr>
        <w:spacing w:after="0" w:line="360" w:lineRule="auto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Заместник-министър</w:t>
      </w:r>
    </w:p>
    <w:p w:rsidR="007C7532" w:rsidRDefault="007C7532">
      <w:pPr>
        <w:spacing w:after="0" w:line="360" w:lineRule="auto"/>
        <w:rPr>
          <w:smallCaps/>
          <w:sz w:val="20"/>
          <w:szCs w:val="20"/>
        </w:rPr>
      </w:pPr>
      <w:bookmarkStart w:id="0" w:name="_GoBack"/>
      <w:bookmarkEnd w:id="0"/>
    </w:p>
    <w:sectPr w:rsidR="007C7532" w:rsidSect="0042110B">
      <w:footerReference w:type="default" r:id="rId7"/>
      <w:headerReference w:type="first" r:id="rId8"/>
      <w:pgSz w:w="11907" w:h="16840" w:code="9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8B" w:rsidRDefault="00DA748B">
      <w:pPr>
        <w:spacing w:after="0" w:line="240" w:lineRule="auto"/>
      </w:pPr>
      <w:r>
        <w:separator/>
      </w:r>
    </w:p>
  </w:endnote>
  <w:endnote w:type="continuationSeparator" w:id="0">
    <w:p w:rsidR="00DA748B" w:rsidRDefault="00DA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Times New Roman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32" w:rsidRDefault="00CC63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AC5AAD">
      <w:rPr>
        <w:rFonts w:ascii="Verdana" w:eastAsia="Verdana" w:hAnsi="Verdana" w:cs="Verdana"/>
        <w:noProof/>
        <w:color w:val="000000"/>
        <w:sz w:val="16"/>
        <w:szCs w:val="16"/>
      </w:rPr>
      <w:t>4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8B" w:rsidRDefault="00DA748B">
      <w:pPr>
        <w:spacing w:after="0" w:line="240" w:lineRule="auto"/>
      </w:pPr>
      <w:r>
        <w:separator/>
      </w:r>
    </w:p>
  </w:footnote>
  <w:footnote w:type="continuationSeparator" w:id="0">
    <w:p w:rsidR="00DA748B" w:rsidRDefault="00DA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DF" w:rsidRP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en-US" w:eastAsia="bg-BG"/>
      </w:rPr>
    </w:pPr>
    <w:r w:rsidRPr="00DE1FDF">
      <w:rPr>
        <w:rFonts w:ascii="Verdana" w:eastAsia="Times New Roman" w:hAnsi="Verdana" w:cs="Verdana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07C89BA1" wp14:editId="360713AE">
          <wp:simplePos x="0" y="0"/>
          <wp:positionH relativeFrom="column">
            <wp:posOffset>2352751</wp:posOffset>
          </wp:positionH>
          <wp:positionV relativeFrom="paragraph">
            <wp:posOffset>-92710</wp:posOffset>
          </wp:positionV>
          <wp:extent cx="1189355" cy="11880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88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E1FDF" w:rsidRP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en-US" w:eastAsia="bg-BG"/>
      </w:rPr>
    </w:pPr>
  </w:p>
  <w:p w:rsidR="00DE1FDF" w:rsidRP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en-US" w:eastAsia="bg-BG"/>
      </w:rPr>
    </w:pPr>
  </w:p>
  <w:p w:rsidR="00DE1FDF" w:rsidRP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eastAsia="bg-BG"/>
      </w:rPr>
    </w:pPr>
  </w:p>
  <w:p w:rsidR="00DE1FDF" w:rsidRP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en-US" w:eastAsia="bg-BG"/>
      </w:rPr>
    </w:pPr>
  </w:p>
  <w:p w:rsidR="00DE1FDF" w:rsidRPr="00DE1FDF" w:rsidRDefault="00DE1FDF" w:rsidP="00DE1FDF">
    <w:pPr>
      <w:keepNext/>
      <w:spacing w:before="120" w:after="0" w:line="240" w:lineRule="auto"/>
      <w:jc w:val="center"/>
      <w:outlineLvl w:val="0"/>
      <w:rPr>
        <w:rFonts w:ascii="Platinum Bg" w:eastAsia="Times New Roman" w:hAnsi="Platinum Bg" w:cs="Platinum Bg"/>
        <w:spacing w:val="40"/>
        <w:kern w:val="32"/>
        <w:sz w:val="36"/>
        <w:szCs w:val="36"/>
        <w:lang w:eastAsia="bg-BG"/>
      </w:rPr>
    </w:pPr>
    <w:r w:rsidRPr="00DE1FDF">
      <w:rPr>
        <w:rFonts w:ascii="Platinum Bg" w:eastAsia="Times New Roman" w:hAnsi="Platinum Bg" w:cs="Platinum Bg"/>
        <w:spacing w:val="40"/>
        <w:kern w:val="32"/>
        <w:sz w:val="36"/>
        <w:szCs w:val="36"/>
        <w:lang w:eastAsia="bg-BG"/>
      </w:rPr>
      <w:t>РЕПУБЛИКА БЪЛГАРИЯ</w:t>
    </w:r>
  </w:p>
  <w:p w:rsidR="00DE1FDF" w:rsidRPr="00DE1FDF" w:rsidRDefault="00DE1FDF" w:rsidP="00DE1FDF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360" w:lineRule="auto"/>
      <w:jc w:val="center"/>
      <w:rPr>
        <w:rFonts w:ascii="Timok" w:eastAsia="Times New Roman" w:hAnsi="Timok" w:cs="Timok"/>
        <w:spacing w:val="38"/>
        <w:sz w:val="32"/>
        <w:szCs w:val="32"/>
        <w:lang w:val="ru-RU" w:eastAsia="bg-BG"/>
      </w:rPr>
    </w:pPr>
    <w:r w:rsidRPr="00DE1FDF">
      <w:rPr>
        <w:rFonts w:ascii="Platinum Bg" w:eastAsia="Times New Roman" w:hAnsi="Platinum Bg" w:cs="Platinum Bg"/>
        <w:spacing w:val="30"/>
        <w:sz w:val="32"/>
        <w:szCs w:val="32"/>
        <w:lang w:eastAsia="bg-BG"/>
      </w:rPr>
      <w:t>Заместник-министър на земеделието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207"/>
    <w:multiLevelType w:val="multilevel"/>
    <w:tmpl w:val="A796A4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7B10D0A"/>
    <w:multiLevelType w:val="multilevel"/>
    <w:tmpl w:val="5E545AC8"/>
    <w:lvl w:ilvl="0">
      <w:numFmt w:val="bullet"/>
      <w:suff w:val="space"/>
      <w:lvlText w:val="-"/>
      <w:lvlJc w:val="left"/>
      <w:pPr>
        <w:ind w:left="1440" w:hanging="72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32"/>
    <w:rsid w:val="00002660"/>
    <w:rsid w:val="0003062D"/>
    <w:rsid w:val="00077E57"/>
    <w:rsid w:val="00090758"/>
    <w:rsid w:val="000A17DF"/>
    <w:rsid w:val="00163724"/>
    <w:rsid w:val="00167BA0"/>
    <w:rsid w:val="001776BB"/>
    <w:rsid w:val="001B503D"/>
    <w:rsid w:val="001C21A3"/>
    <w:rsid w:val="001D4AD0"/>
    <w:rsid w:val="00203E0C"/>
    <w:rsid w:val="00220B88"/>
    <w:rsid w:val="0022579D"/>
    <w:rsid w:val="00236A99"/>
    <w:rsid w:val="0026392B"/>
    <w:rsid w:val="00281297"/>
    <w:rsid w:val="00291E5B"/>
    <w:rsid w:val="002C3FB9"/>
    <w:rsid w:val="00301F48"/>
    <w:rsid w:val="00310B9F"/>
    <w:rsid w:val="00317210"/>
    <w:rsid w:val="00323F2B"/>
    <w:rsid w:val="003269F0"/>
    <w:rsid w:val="0037135D"/>
    <w:rsid w:val="003A16EA"/>
    <w:rsid w:val="003B6242"/>
    <w:rsid w:val="00404FC6"/>
    <w:rsid w:val="0041570A"/>
    <w:rsid w:val="0042110B"/>
    <w:rsid w:val="00440711"/>
    <w:rsid w:val="00496016"/>
    <w:rsid w:val="0058095A"/>
    <w:rsid w:val="00594AFF"/>
    <w:rsid w:val="005B3FBB"/>
    <w:rsid w:val="005C6BB0"/>
    <w:rsid w:val="00623FF2"/>
    <w:rsid w:val="00662F5A"/>
    <w:rsid w:val="0070429E"/>
    <w:rsid w:val="007429B1"/>
    <w:rsid w:val="007851C5"/>
    <w:rsid w:val="00791C5B"/>
    <w:rsid w:val="007C7532"/>
    <w:rsid w:val="007D71B4"/>
    <w:rsid w:val="007D7470"/>
    <w:rsid w:val="007F7AD3"/>
    <w:rsid w:val="0081067F"/>
    <w:rsid w:val="008110E6"/>
    <w:rsid w:val="00885C2E"/>
    <w:rsid w:val="008B1D96"/>
    <w:rsid w:val="00974973"/>
    <w:rsid w:val="00997760"/>
    <w:rsid w:val="009A0E4C"/>
    <w:rsid w:val="009E68E9"/>
    <w:rsid w:val="00A437C0"/>
    <w:rsid w:val="00A64EA4"/>
    <w:rsid w:val="00A73607"/>
    <w:rsid w:val="00AC5AAD"/>
    <w:rsid w:val="00B21F40"/>
    <w:rsid w:val="00B3129E"/>
    <w:rsid w:val="00B31995"/>
    <w:rsid w:val="00BF0EEA"/>
    <w:rsid w:val="00C17B27"/>
    <w:rsid w:val="00C51E56"/>
    <w:rsid w:val="00C85ADC"/>
    <w:rsid w:val="00CA77EB"/>
    <w:rsid w:val="00CC4749"/>
    <w:rsid w:val="00CC637A"/>
    <w:rsid w:val="00CD51CC"/>
    <w:rsid w:val="00D03618"/>
    <w:rsid w:val="00DA748B"/>
    <w:rsid w:val="00DD6E1F"/>
    <w:rsid w:val="00DE1FDF"/>
    <w:rsid w:val="00E432AC"/>
    <w:rsid w:val="00EA535F"/>
    <w:rsid w:val="00ED6161"/>
    <w:rsid w:val="00EE3D74"/>
    <w:rsid w:val="00F20D08"/>
    <w:rsid w:val="00F9098A"/>
    <w:rsid w:val="00F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01D6B-70C5-48A4-80A6-64CDC24C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BB"/>
  </w:style>
  <w:style w:type="paragraph" w:styleId="Footer">
    <w:name w:val="footer"/>
    <w:basedOn w:val="Normal"/>
    <w:link w:val="FooterChar"/>
    <w:uiPriority w:val="99"/>
    <w:unhideWhenUsed/>
    <w:rsid w:val="001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BB"/>
  </w:style>
  <w:style w:type="paragraph" w:styleId="ListParagraph">
    <w:name w:val="List Paragraph"/>
    <w:basedOn w:val="Normal"/>
    <w:uiPriority w:val="34"/>
    <w:qFormat/>
    <w:rsid w:val="007D7470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Tuteva</dc:creator>
  <cp:lastModifiedBy>Kristiana Pavlova</cp:lastModifiedBy>
  <cp:revision>3</cp:revision>
  <cp:lastPrinted>2022-01-14T07:52:00Z</cp:lastPrinted>
  <dcterms:created xsi:type="dcterms:W3CDTF">2022-01-24T10:12:00Z</dcterms:created>
  <dcterms:modified xsi:type="dcterms:W3CDTF">2022-01-24T11:58:00Z</dcterms:modified>
</cp:coreProperties>
</file>