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167F2" w14:textId="77777777" w:rsidR="00197512" w:rsidRPr="0062092A" w:rsidRDefault="00197512" w:rsidP="00197512">
      <w:pPr>
        <w:spacing w:after="160" w:line="276" w:lineRule="auto"/>
        <w:jc w:val="right"/>
        <w:rPr>
          <w:rFonts w:ascii="Verdana" w:eastAsia="Calibri" w:hAnsi="Verdana"/>
          <w:b/>
          <w:sz w:val="18"/>
          <w:szCs w:val="18"/>
          <w:lang w:eastAsia="en-US"/>
        </w:rPr>
      </w:pPr>
    </w:p>
    <w:p w14:paraId="1EDD9C76" w14:textId="5CF9B6C3" w:rsidR="00197512" w:rsidRDefault="0062092A" w:rsidP="00197512">
      <w:pPr>
        <w:spacing w:line="276" w:lineRule="auto"/>
        <w:jc w:val="center"/>
        <w:rPr>
          <w:b/>
          <w:bCs/>
          <w:color w:val="000000"/>
          <w:spacing w:val="54"/>
          <w:sz w:val="28"/>
          <w:szCs w:val="28"/>
        </w:rPr>
      </w:pPr>
      <w:r w:rsidRPr="0062092A">
        <w:rPr>
          <w:b/>
          <w:bCs/>
          <w:color w:val="000000"/>
          <w:spacing w:val="54"/>
          <w:sz w:val="28"/>
          <w:szCs w:val="28"/>
        </w:rPr>
        <w:t>ПРОГРАМА</w:t>
      </w:r>
    </w:p>
    <w:p w14:paraId="6955E107" w14:textId="77777777" w:rsidR="0062092A" w:rsidRPr="0062092A" w:rsidRDefault="0062092A" w:rsidP="00197512">
      <w:pPr>
        <w:spacing w:line="276" w:lineRule="auto"/>
        <w:jc w:val="center"/>
        <w:rPr>
          <w:b/>
          <w:bCs/>
          <w:color w:val="000000"/>
          <w:spacing w:val="54"/>
          <w:sz w:val="28"/>
          <w:szCs w:val="28"/>
        </w:rPr>
      </w:pPr>
    </w:p>
    <w:p w14:paraId="36C823C6" w14:textId="4DEC3C10" w:rsidR="00197512" w:rsidRPr="0062092A" w:rsidRDefault="00197512" w:rsidP="00197512">
      <w:pPr>
        <w:autoSpaceDE w:val="0"/>
        <w:autoSpaceDN w:val="0"/>
        <w:adjustRightInd w:val="0"/>
        <w:spacing w:line="276" w:lineRule="auto"/>
        <w:jc w:val="center"/>
        <w:rPr>
          <w:b/>
          <w:smallCaps/>
          <w:sz w:val="28"/>
          <w:szCs w:val="28"/>
        </w:rPr>
      </w:pPr>
      <w:r w:rsidRPr="00B907F3">
        <w:rPr>
          <w:rFonts w:ascii="Verdana" w:hAnsi="Verdana"/>
          <w:b/>
          <w:sz w:val="20"/>
          <w:szCs w:val="20"/>
        </w:rPr>
        <w:t xml:space="preserve">ЗА </w:t>
      </w:r>
      <w:r w:rsidR="0062092A" w:rsidRPr="0062092A">
        <w:rPr>
          <w:b/>
          <w:smallCaps/>
          <w:sz w:val="28"/>
          <w:szCs w:val="28"/>
        </w:rPr>
        <w:t xml:space="preserve">компенсиране на разходите на небитови крайни клиенти за електрическа енергия и на операторите на </w:t>
      </w:r>
    </w:p>
    <w:p w14:paraId="371132A7" w14:textId="40F2A71A" w:rsidR="00197512" w:rsidRPr="0062092A" w:rsidRDefault="0062092A" w:rsidP="00197512">
      <w:pPr>
        <w:autoSpaceDE w:val="0"/>
        <w:autoSpaceDN w:val="0"/>
        <w:adjustRightInd w:val="0"/>
        <w:spacing w:line="276" w:lineRule="auto"/>
        <w:jc w:val="center"/>
        <w:rPr>
          <w:b/>
          <w:smallCaps/>
          <w:sz w:val="28"/>
          <w:szCs w:val="28"/>
        </w:rPr>
      </w:pPr>
      <w:r w:rsidRPr="0062092A">
        <w:rPr>
          <w:b/>
          <w:smallCaps/>
          <w:sz w:val="28"/>
          <w:szCs w:val="28"/>
        </w:rPr>
        <w:t>електропреносната и на електроразпределителните мрежи за закупуване на количествата електрическа енергия, потребена за технологични разходи, за периода от 01.09.2026 г. до 30.06.2027 г.</w:t>
      </w:r>
    </w:p>
    <w:p w14:paraId="29D114B3" w14:textId="77777777" w:rsidR="00197512" w:rsidRPr="00B907F3" w:rsidRDefault="00197512" w:rsidP="00197512">
      <w:pPr>
        <w:spacing w:after="160" w:line="276" w:lineRule="auto"/>
        <w:jc w:val="center"/>
        <w:rPr>
          <w:rFonts w:ascii="Verdana" w:eastAsia="Calibri" w:hAnsi="Verdana"/>
          <w:b/>
          <w:sz w:val="20"/>
          <w:szCs w:val="20"/>
          <w:lang w:eastAsia="en-US"/>
        </w:rPr>
      </w:pPr>
    </w:p>
    <w:p w14:paraId="761E0812" w14:textId="0C2EEC31" w:rsidR="00197512" w:rsidRPr="00C815B8" w:rsidRDefault="00197512" w:rsidP="00C815B8">
      <w:pPr>
        <w:widowControl w:val="0"/>
        <w:spacing w:line="360" w:lineRule="auto"/>
        <w:ind w:firstLine="1134"/>
        <w:jc w:val="both"/>
        <w:rPr>
          <w:color w:val="000000"/>
          <w:sz w:val="28"/>
          <w:szCs w:val="28"/>
        </w:rPr>
      </w:pPr>
      <w:r w:rsidRPr="00C815B8">
        <w:rPr>
          <w:color w:val="000000"/>
          <w:sz w:val="28"/>
          <w:szCs w:val="28"/>
        </w:rPr>
        <w:t xml:space="preserve">Настоящата Програма за компенсиране на разходите на небитовите крайни клиенти за електрическа енергия, в т.ч. и на операторите на електропреносната и на електроразпределителните мрежи (Операторите) за закупуване на количествата електрическа енергия, потребена за технологични разходи, за периода от 1 </w:t>
      </w:r>
      <w:r w:rsidR="004D605E" w:rsidRPr="00C815B8">
        <w:rPr>
          <w:color w:val="000000"/>
          <w:sz w:val="28"/>
          <w:szCs w:val="28"/>
        </w:rPr>
        <w:t xml:space="preserve">септември </w:t>
      </w:r>
      <w:r w:rsidRPr="00C815B8">
        <w:rPr>
          <w:color w:val="000000"/>
          <w:sz w:val="28"/>
          <w:szCs w:val="28"/>
        </w:rPr>
        <w:t>2026 г. до 30 юни 2027 г. (Програмата) e разработена като продължение на предходните програми, приети за преодоляване на последиците от резките промени на цените на електрическата енергия на основание чл. 36б, ал. 1, т. 4 от Закона за енергетиката (Обн. ДВ, бр.107 от 9 Декември 2003 г., </w:t>
      </w:r>
      <w:proofErr w:type="spellStart"/>
      <w:r w:rsidRPr="00C815B8">
        <w:rPr>
          <w:color w:val="000000"/>
          <w:sz w:val="28"/>
          <w:szCs w:val="28"/>
        </w:rPr>
        <w:t>посл</w:t>
      </w:r>
      <w:proofErr w:type="spellEnd"/>
      <w:r w:rsidRPr="00C815B8">
        <w:rPr>
          <w:color w:val="000000"/>
          <w:sz w:val="28"/>
          <w:szCs w:val="28"/>
        </w:rPr>
        <w:t>. доп. ДВ. бр. 70 от 4 Август 2026г.).</w:t>
      </w:r>
    </w:p>
    <w:p w14:paraId="79289BB6" w14:textId="761EDAE8" w:rsidR="00197512" w:rsidRPr="00C815B8" w:rsidRDefault="00197512" w:rsidP="00C815B8">
      <w:pPr>
        <w:pStyle w:val="NoSpacing"/>
        <w:spacing w:line="360" w:lineRule="auto"/>
        <w:ind w:firstLine="1134"/>
        <w:jc w:val="both"/>
        <w:rPr>
          <w:rFonts w:ascii="Times New Roman" w:eastAsia="Times New Roman" w:hAnsi="Times New Roman"/>
          <w:sz w:val="28"/>
          <w:szCs w:val="28"/>
        </w:rPr>
      </w:pPr>
      <w:r w:rsidRPr="00C815B8">
        <w:rPr>
          <w:rFonts w:ascii="Times New Roman" w:eastAsia="Times New Roman" w:hAnsi="Times New Roman"/>
          <w:sz w:val="28"/>
          <w:szCs w:val="28"/>
        </w:rPr>
        <w:t>Предложението ще даде възможност за прилагане на автоматизиран компенсаторен механизъм за подкрепа на всички небитови крайни клиенти на електрическа енергия</w:t>
      </w:r>
      <w:r w:rsidRPr="00C815B8">
        <w:rPr>
          <w:rFonts w:ascii="Times New Roman" w:hAnsi="Times New Roman"/>
          <w:sz w:val="28"/>
          <w:szCs w:val="28"/>
        </w:rPr>
        <w:t xml:space="preserve"> по смисъла на § 1, т. 27г и т. 33в от Допълнителните разпоредби на Закона за енергетиката (ЗЕ) независимо от мрежата към която са присъединени</w:t>
      </w:r>
      <w:r w:rsidRPr="00C815B8">
        <w:rPr>
          <w:rFonts w:ascii="Times New Roman" w:eastAsia="Times New Roman" w:hAnsi="Times New Roman"/>
          <w:sz w:val="28"/>
          <w:szCs w:val="28"/>
        </w:rPr>
        <w:t xml:space="preserve">, в т.ч. и Операторите при трайна тенденция на повишаване на цената, предвид продължаващата ситуация с волатилност и периоди с високи цени на електрическата енергия, по-конкретно в региона на югоизточна Европа, която подкрепа във връзка с цените на електрическата енергия се явява критична най-вече за конкурентоспособността на българската икономика. </w:t>
      </w:r>
      <w:r w:rsidRPr="00C815B8">
        <w:rPr>
          <w:rFonts w:ascii="Times New Roman" w:hAnsi="Times New Roman"/>
          <w:color w:val="000000"/>
          <w:sz w:val="28"/>
          <w:szCs w:val="28"/>
        </w:rPr>
        <w:t xml:space="preserve">Операторите в изпълнение на законовите си задължения закупуват електрическата енергия, необходима за покриване на технологичните им разходи, само и единствено </w:t>
      </w:r>
      <w:r w:rsidRPr="00C815B8">
        <w:rPr>
          <w:rFonts w:ascii="Times New Roman" w:hAnsi="Times New Roman"/>
          <w:color w:val="000000"/>
          <w:sz w:val="28"/>
          <w:szCs w:val="28"/>
        </w:rPr>
        <w:lastRenderedPageBreak/>
        <w:t xml:space="preserve">от борсов пазар и също се явяват крайни клиенти. С официално писмо (рег. № Е-92-00-970/03.11.2021 г.) Комисията за енергийно и водно регулиране (КЕВР) е предоставила разяснения във връзка с понятието „небитов краен клиент“ по смисъла на § 1, т. 27г и 33а от Допълнителните разпоредби на Закона за енергетиката, съгласно което Операторите попадат в обхвата на определенията за „краен клиент“ и „небитов клиент“ и в този смисъл подлежат на компенсиране. </w:t>
      </w:r>
      <w:r w:rsidRPr="00C815B8">
        <w:rPr>
          <w:rFonts w:ascii="Times New Roman" w:eastAsia="Times New Roman" w:hAnsi="Times New Roman"/>
          <w:sz w:val="28"/>
          <w:szCs w:val="28"/>
        </w:rPr>
        <w:t xml:space="preserve">Чрез компенсиране на разходите на Операторите през периода 1 </w:t>
      </w:r>
      <w:r w:rsidR="004D605E" w:rsidRPr="00C815B8">
        <w:rPr>
          <w:rFonts w:ascii="Times New Roman" w:eastAsia="Times New Roman" w:hAnsi="Times New Roman"/>
          <w:sz w:val="28"/>
          <w:szCs w:val="28"/>
        </w:rPr>
        <w:t xml:space="preserve">септември </w:t>
      </w:r>
      <w:r w:rsidRPr="00C815B8">
        <w:rPr>
          <w:rFonts w:ascii="Times New Roman" w:eastAsia="Times New Roman" w:hAnsi="Times New Roman"/>
          <w:sz w:val="28"/>
          <w:szCs w:val="28"/>
        </w:rPr>
        <w:t>2026 г. – 30 юни 2027 г. ще се ограничи и необходимостта от повишаване на утвърдените вече цени на мрежовите услуги за всички крайни клиенти, в т.ч. и битовите, през действащия ценови период.</w:t>
      </w:r>
    </w:p>
    <w:p w14:paraId="01494C35" w14:textId="7F27BDFB" w:rsidR="00CB39C5" w:rsidRPr="00C815B8" w:rsidRDefault="00AF5650" w:rsidP="00C815B8">
      <w:pPr>
        <w:pStyle w:val="NoSpacing"/>
        <w:spacing w:line="360" w:lineRule="auto"/>
        <w:ind w:firstLine="1134"/>
        <w:jc w:val="both"/>
        <w:rPr>
          <w:rFonts w:ascii="Times New Roman" w:eastAsia="Times New Roman" w:hAnsi="Times New Roman"/>
          <w:sz w:val="28"/>
          <w:szCs w:val="28"/>
          <w:highlight w:val="yellow"/>
        </w:rPr>
      </w:pPr>
      <w:r w:rsidRPr="00C815B8">
        <w:rPr>
          <w:rFonts w:ascii="Times New Roman" w:eastAsia="Times New Roman" w:hAnsi="Times New Roman"/>
          <w:sz w:val="28"/>
          <w:szCs w:val="28"/>
        </w:rPr>
        <w:t xml:space="preserve">Към настоящия момент е налице тенденция на значително покачване на цената на енергоносителите, породена от продължаващия конфликт в Близкия изток, което оказа пряко влияние върху цените на електрическата енергия. </w:t>
      </w:r>
      <w:r w:rsidR="00197512" w:rsidRPr="00C815B8">
        <w:rPr>
          <w:rFonts w:ascii="Times New Roman" w:eastAsia="Times New Roman" w:hAnsi="Times New Roman"/>
          <w:sz w:val="28"/>
          <w:szCs w:val="28"/>
        </w:rPr>
        <w:t xml:space="preserve">Междувременно екстремните температури, оказаха сериозни щети на производството на електрическа енергия в региона, което доведе до </w:t>
      </w:r>
      <w:r w:rsidRPr="00C815B8">
        <w:rPr>
          <w:rFonts w:ascii="Times New Roman" w:eastAsia="Times New Roman" w:hAnsi="Times New Roman"/>
          <w:sz w:val="28"/>
          <w:szCs w:val="28"/>
        </w:rPr>
        <w:t xml:space="preserve">недостиг на енергия и </w:t>
      </w:r>
      <w:r w:rsidR="00197512" w:rsidRPr="00C815B8">
        <w:rPr>
          <w:rFonts w:ascii="Times New Roman" w:eastAsia="Times New Roman" w:hAnsi="Times New Roman"/>
          <w:sz w:val="28"/>
          <w:szCs w:val="28"/>
        </w:rPr>
        <w:t xml:space="preserve">значително повишаване на цените. Тези фактори директно се отразяват върху достъпността и </w:t>
      </w:r>
      <w:proofErr w:type="spellStart"/>
      <w:r w:rsidR="00197512" w:rsidRPr="00C815B8">
        <w:rPr>
          <w:rFonts w:ascii="Times New Roman" w:eastAsia="Times New Roman" w:hAnsi="Times New Roman"/>
          <w:sz w:val="28"/>
          <w:szCs w:val="28"/>
        </w:rPr>
        <w:t>позволимостта</w:t>
      </w:r>
      <w:proofErr w:type="spellEnd"/>
      <w:r w:rsidR="00197512" w:rsidRPr="00C815B8">
        <w:rPr>
          <w:rFonts w:ascii="Times New Roman" w:eastAsia="Times New Roman" w:hAnsi="Times New Roman"/>
          <w:sz w:val="28"/>
          <w:szCs w:val="28"/>
        </w:rPr>
        <w:t xml:space="preserve"> на доставките на енергията за небитовите крайни клиенти, докато битовите потребители се ползват със степен на защита през компенсаторния механизъм по чл. 36л от ЗЕ.</w:t>
      </w:r>
    </w:p>
    <w:p w14:paraId="0FC3DD1C" w14:textId="72417A74" w:rsidR="002F43C4" w:rsidRPr="00C815B8" w:rsidRDefault="00CB39C5" w:rsidP="00C815B8">
      <w:pPr>
        <w:pStyle w:val="NoSpacing"/>
        <w:spacing w:line="360" w:lineRule="auto"/>
        <w:ind w:firstLine="1134"/>
        <w:jc w:val="both"/>
        <w:rPr>
          <w:rFonts w:ascii="Times New Roman" w:eastAsia="Times New Roman" w:hAnsi="Times New Roman"/>
          <w:sz w:val="28"/>
          <w:szCs w:val="28"/>
        </w:rPr>
      </w:pPr>
      <w:r w:rsidRPr="00C815B8">
        <w:rPr>
          <w:rFonts w:ascii="Times New Roman" w:eastAsia="Times New Roman" w:hAnsi="Times New Roman"/>
          <w:sz w:val="28"/>
          <w:szCs w:val="28"/>
        </w:rPr>
        <w:t>В</w:t>
      </w:r>
      <w:r w:rsidR="00197512" w:rsidRPr="00C815B8">
        <w:rPr>
          <w:rFonts w:ascii="Times New Roman" w:eastAsia="Times New Roman" w:hAnsi="Times New Roman"/>
          <w:sz w:val="28"/>
          <w:szCs w:val="28"/>
        </w:rPr>
        <w:t xml:space="preserve"> Решение № Ц-13/01.07.2026 г. КЕВР </w:t>
      </w:r>
      <w:r w:rsidRPr="00C815B8">
        <w:rPr>
          <w:rFonts w:ascii="Times New Roman" w:eastAsia="Times New Roman" w:hAnsi="Times New Roman"/>
          <w:sz w:val="28"/>
          <w:szCs w:val="28"/>
        </w:rPr>
        <w:t xml:space="preserve">е </w:t>
      </w:r>
      <w:r w:rsidR="00197512" w:rsidRPr="00C815B8">
        <w:rPr>
          <w:rFonts w:ascii="Times New Roman" w:eastAsia="Times New Roman" w:hAnsi="Times New Roman"/>
          <w:sz w:val="28"/>
          <w:szCs w:val="28"/>
        </w:rPr>
        <w:t>утвърди</w:t>
      </w:r>
      <w:r w:rsidRPr="00C815B8">
        <w:rPr>
          <w:rFonts w:ascii="Times New Roman" w:eastAsia="Times New Roman" w:hAnsi="Times New Roman"/>
          <w:sz w:val="28"/>
          <w:szCs w:val="28"/>
        </w:rPr>
        <w:t>л</w:t>
      </w:r>
      <w:r w:rsidR="00197512" w:rsidRPr="00C815B8">
        <w:rPr>
          <w:rFonts w:ascii="Times New Roman" w:eastAsia="Times New Roman" w:hAnsi="Times New Roman"/>
          <w:sz w:val="28"/>
          <w:szCs w:val="28"/>
        </w:rPr>
        <w:t xml:space="preserve"> приходно-разходния баланс на бюджета на Фонд „Сигурност на електроенергийната система“ (Фонда, ФСЕС) за ценовия период 1 юли 2026 г.-30.06.2027 г., в който са отчетени прогнозните разходи за изплащане на компенсации по други действащи програми приети от Министерския съвет, както и разходите свързани със законоустановения компенсаторен механизъм за всички битови крайни клиенти.</w:t>
      </w:r>
      <w:r w:rsidR="008674D9" w:rsidRPr="00C815B8">
        <w:rPr>
          <w:rFonts w:ascii="Times New Roman" w:eastAsia="Times New Roman" w:hAnsi="Times New Roman"/>
          <w:sz w:val="28"/>
          <w:szCs w:val="28"/>
        </w:rPr>
        <w:t xml:space="preserve"> Доколкото разходите по настоящата Програма</w:t>
      </w:r>
      <w:r w:rsidR="00AC37F9" w:rsidRPr="00C815B8">
        <w:rPr>
          <w:rFonts w:ascii="Times New Roman" w:eastAsia="Times New Roman" w:hAnsi="Times New Roman"/>
          <w:sz w:val="28"/>
          <w:szCs w:val="28"/>
        </w:rPr>
        <w:t>,</w:t>
      </w:r>
      <w:r w:rsidR="008674D9" w:rsidRPr="00C815B8">
        <w:rPr>
          <w:rFonts w:ascii="Times New Roman" w:eastAsia="Times New Roman" w:hAnsi="Times New Roman"/>
          <w:sz w:val="28"/>
          <w:szCs w:val="28"/>
        </w:rPr>
        <w:t xml:space="preserve"> не са предвидени</w:t>
      </w:r>
      <w:r w:rsidR="00AC37F9" w:rsidRPr="00C815B8">
        <w:rPr>
          <w:rFonts w:ascii="Times New Roman" w:eastAsia="Times New Roman" w:hAnsi="Times New Roman"/>
          <w:sz w:val="28"/>
          <w:szCs w:val="28"/>
        </w:rPr>
        <w:t xml:space="preserve"> от Комисията в предложения в настоящото</w:t>
      </w:r>
      <w:r w:rsidR="008674D9" w:rsidRPr="00C815B8">
        <w:rPr>
          <w:rFonts w:ascii="Times New Roman" w:eastAsia="Times New Roman" w:hAnsi="Times New Roman"/>
          <w:sz w:val="28"/>
          <w:szCs w:val="28"/>
        </w:rPr>
        <w:t xml:space="preserve"> </w:t>
      </w:r>
      <w:r w:rsidR="008674D9" w:rsidRPr="00C815B8">
        <w:rPr>
          <w:rFonts w:ascii="Times New Roman" w:eastAsia="Times New Roman" w:hAnsi="Times New Roman"/>
          <w:sz w:val="28"/>
          <w:szCs w:val="28"/>
        </w:rPr>
        <w:lastRenderedPageBreak/>
        <w:t>решение</w:t>
      </w:r>
      <w:r w:rsidR="00AC37F9" w:rsidRPr="00C815B8">
        <w:rPr>
          <w:rFonts w:ascii="Times New Roman" w:eastAsia="Times New Roman" w:hAnsi="Times New Roman"/>
          <w:sz w:val="28"/>
          <w:szCs w:val="28"/>
        </w:rPr>
        <w:t xml:space="preserve"> размер</w:t>
      </w:r>
      <w:r w:rsidR="008674D9" w:rsidRPr="00C815B8">
        <w:rPr>
          <w:rFonts w:ascii="Times New Roman" w:eastAsia="Times New Roman" w:hAnsi="Times New Roman"/>
          <w:sz w:val="28"/>
          <w:szCs w:val="28"/>
        </w:rPr>
        <w:t xml:space="preserve">, е необходимо да бъде намерен баланс при компенсирането на небитовите крайни клиенти, като бъде отчетено отражението върху цените </w:t>
      </w:r>
      <w:r w:rsidR="002F43C4" w:rsidRPr="00C815B8">
        <w:rPr>
          <w:rFonts w:ascii="Times New Roman" w:eastAsia="Times New Roman" w:hAnsi="Times New Roman"/>
          <w:sz w:val="28"/>
          <w:szCs w:val="28"/>
        </w:rPr>
        <w:t xml:space="preserve">на електрическата енергия </w:t>
      </w:r>
      <w:r w:rsidR="008674D9" w:rsidRPr="00C815B8">
        <w:rPr>
          <w:rFonts w:ascii="Times New Roman" w:eastAsia="Times New Roman" w:hAnsi="Times New Roman"/>
          <w:sz w:val="28"/>
          <w:szCs w:val="28"/>
        </w:rPr>
        <w:t>в рамките на по-</w:t>
      </w:r>
      <w:r w:rsidR="00D705E1" w:rsidRPr="00C815B8">
        <w:rPr>
          <w:rFonts w:ascii="Times New Roman" w:eastAsia="Times New Roman" w:hAnsi="Times New Roman"/>
          <w:sz w:val="28"/>
          <w:szCs w:val="28"/>
        </w:rPr>
        <w:t>дълъг</w:t>
      </w:r>
      <w:r w:rsidR="002F43C4" w:rsidRPr="00C815B8">
        <w:rPr>
          <w:rFonts w:ascii="Times New Roman" w:eastAsia="Times New Roman" w:hAnsi="Times New Roman"/>
          <w:sz w:val="28"/>
          <w:szCs w:val="28"/>
        </w:rPr>
        <w:t xml:space="preserve"> период на компенсиране, </w:t>
      </w:r>
      <w:r w:rsidR="00D550C6" w:rsidRPr="00C815B8">
        <w:rPr>
          <w:rFonts w:ascii="Times New Roman" w:eastAsia="Times New Roman" w:hAnsi="Times New Roman"/>
          <w:sz w:val="28"/>
          <w:szCs w:val="28"/>
        </w:rPr>
        <w:t xml:space="preserve">който </w:t>
      </w:r>
      <w:r w:rsidR="00D705E1" w:rsidRPr="00C815B8">
        <w:rPr>
          <w:rFonts w:ascii="Times New Roman" w:eastAsia="Times New Roman" w:hAnsi="Times New Roman"/>
          <w:sz w:val="28"/>
          <w:szCs w:val="28"/>
        </w:rPr>
        <w:t>да</w:t>
      </w:r>
      <w:r w:rsidR="00D550C6" w:rsidRPr="00C815B8">
        <w:rPr>
          <w:rFonts w:ascii="Times New Roman" w:eastAsia="Times New Roman" w:hAnsi="Times New Roman"/>
          <w:sz w:val="28"/>
          <w:szCs w:val="28"/>
        </w:rPr>
        <w:t xml:space="preserve"> държи сметка </w:t>
      </w:r>
      <w:r w:rsidR="00D705E1" w:rsidRPr="00C815B8">
        <w:rPr>
          <w:rFonts w:ascii="Times New Roman" w:eastAsia="Times New Roman" w:hAnsi="Times New Roman"/>
          <w:sz w:val="28"/>
          <w:szCs w:val="28"/>
        </w:rPr>
        <w:t xml:space="preserve">както за динамиката на цените на енергията, така </w:t>
      </w:r>
      <w:r w:rsidR="00D550C6" w:rsidRPr="00C815B8">
        <w:rPr>
          <w:rFonts w:ascii="Times New Roman" w:eastAsia="Times New Roman" w:hAnsi="Times New Roman"/>
          <w:sz w:val="28"/>
          <w:szCs w:val="28"/>
        </w:rPr>
        <w:t>и за прогнозните приходи, с които този вид разходи може да бъде покриван.</w:t>
      </w:r>
    </w:p>
    <w:p w14:paraId="0A59A3D2" w14:textId="310D2454" w:rsidR="00197512" w:rsidRPr="00C815B8" w:rsidRDefault="00197512" w:rsidP="00C815B8">
      <w:pPr>
        <w:widowControl w:val="0"/>
        <w:spacing w:line="360" w:lineRule="auto"/>
        <w:ind w:firstLine="1134"/>
        <w:jc w:val="both"/>
        <w:rPr>
          <w:color w:val="000000"/>
          <w:sz w:val="28"/>
          <w:szCs w:val="28"/>
        </w:rPr>
      </w:pPr>
      <w:r w:rsidRPr="00C815B8">
        <w:rPr>
          <w:color w:val="000000"/>
          <w:sz w:val="28"/>
          <w:szCs w:val="28"/>
        </w:rPr>
        <w:t xml:space="preserve">Едновременно с посоченото, при утвърждаване на цените на мрежовите услуги за текущия ценови период КЕВР със същото Решение </w:t>
      </w:r>
      <w:r w:rsidR="00C815B8">
        <w:rPr>
          <w:color w:val="000000"/>
          <w:sz w:val="28"/>
          <w:szCs w:val="28"/>
        </w:rPr>
        <w:br/>
      </w:r>
      <w:r w:rsidRPr="00C815B8">
        <w:rPr>
          <w:color w:val="000000"/>
          <w:sz w:val="28"/>
          <w:szCs w:val="28"/>
        </w:rPr>
        <w:t>№ Ц-13 от 01.07.2026 г. е определила прогнозна пазарна цена на електрическата енергия за покриване на технологичните разходи за текущия регулаторен период за Операторите. След приемане на решението обаче се наблюдава тенденция за чувствително покачване на действителните борсови покупни цени спрямо определените от КЕВР прогнозни пазарни цени, което създава риск от финансови дефицити при Операторите.</w:t>
      </w:r>
    </w:p>
    <w:p w14:paraId="2BEE6F81" w14:textId="73B6C9C3" w:rsidR="00197512" w:rsidRPr="00C815B8" w:rsidRDefault="00197512" w:rsidP="00C815B8">
      <w:pPr>
        <w:widowControl w:val="0"/>
        <w:spacing w:line="360" w:lineRule="auto"/>
        <w:ind w:firstLine="1134"/>
        <w:jc w:val="both"/>
        <w:rPr>
          <w:rFonts w:eastAsia="Calibri"/>
          <w:sz w:val="28"/>
          <w:szCs w:val="28"/>
          <w:lang w:eastAsia="en-US"/>
        </w:rPr>
      </w:pPr>
      <w:r w:rsidRPr="00C815B8">
        <w:rPr>
          <w:color w:val="000000"/>
          <w:sz w:val="28"/>
          <w:szCs w:val="28"/>
        </w:rPr>
        <w:t xml:space="preserve">С цел смекчаване на икономическите последици от нестабилност на цените на енергийния пазар чрез подпомагане на всички небитови крайни клиенти, както и на операторите на електропреносната и на електроразпределителните мрежи и отчитайки </w:t>
      </w:r>
      <w:r w:rsidR="00D550C6" w:rsidRPr="00C815B8">
        <w:rPr>
          <w:color w:val="000000"/>
          <w:sz w:val="28"/>
          <w:szCs w:val="28"/>
        </w:rPr>
        <w:t>необходимостта от балансиран</w:t>
      </w:r>
      <w:r w:rsidRPr="00C815B8">
        <w:rPr>
          <w:color w:val="000000"/>
          <w:sz w:val="28"/>
          <w:szCs w:val="28"/>
        </w:rPr>
        <w:t xml:space="preserve"> бюджет на Фонд „Сигурност на електроенергийната система“ за ценовия период 01.07.2026-30.06.2027 г., с настоящата Програма е предложен механизъм за компенсиране, отчитащ влиянието на изменението на цените на електрическата енергия за </w:t>
      </w:r>
      <w:r w:rsidR="00D550C6" w:rsidRPr="00C815B8">
        <w:rPr>
          <w:color w:val="000000"/>
          <w:sz w:val="28"/>
          <w:szCs w:val="28"/>
        </w:rPr>
        <w:t xml:space="preserve">десетмесечен период, а именно </w:t>
      </w:r>
      <w:r w:rsidR="00C815B8">
        <w:rPr>
          <w:color w:val="000000"/>
          <w:sz w:val="28"/>
          <w:szCs w:val="28"/>
        </w:rPr>
        <w:br/>
      </w:r>
      <w:r w:rsidR="00EE72DA" w:rsidRPr="00C815B8">
        <w:rPr>
          <w:color w:val="000000"/>
          <w:sz w:val="28"/>
          <w:szCs w:val="28"/>
        </w:rPr>
        <w:t>1 септември 2026 г. – 30 юни 2027 г.</w:t>
      </w:r>
      <w:r w:rsidRPr="00C815B8">
        <w:rPr>
          <w:color w:val="000000"/>
          <w:sz w:val="28"/>
          <w:szCs w:val="28"/>
        </w:rPr>
        <w:t>, попадащи в действащия ценови период.</w:t>
      </w:r>
      <w:r w:rsidRPr="00C815B8">
        <w:rPr>
          <w:color w:val="000000"/>
          <w:sz w:val="28"/>
          <w:szCs w:val="28"/>
          <w:lang w:val="en-US"/>
        </w:rPr>
        <w:t xml:space="preserve"> </w:t>
      </w:r>
      <w:r w:rsidR="00690E5D" w:rsidRPr="00C815B8">
        <w:rPr>
          <w:color w:val="000000"/>
          <w:sz w:val="28"/>
          <w:szCs w:val="28"/>
        </w:rPr>
        <w:t>От друга страна е предвиден автоматичен механизъм за подпомагане на бизнеса</w:t>
      </w:r>
      <w:r w:rsidR="00F364FF" w:rsidRPr="00C815B8">
        <w:rPr>
          <w:color w:val="000000"/>
          <w:sz w:val="28"/>
          <w:szCs w:val="28"/>
        </w:rPr>
        <w:t>, в случай на</w:t>
      </w:r>
      <w:r w:rsidR="00690E5D" w:rsidRPr="00C815B8">
        <w:rPr>
          <w:color w:val="000000"/>
          <w:sz w:val="28"/>
          <w:szCs w:val="28"/>
        </w:rPr>
        <w:t xml:space="preserve"> екстремно покачване на цената на енергията</w:t>
      </w:r>
      <w:r w:rsidR="00F364FF" w:rsidRPr="00C815B8">
        <w:rPr>
          <w:color w:val="000000"/>
          <w:sz w:val="28"/>
          <w:szCs w:val="28"/>
        </w:rPr>
        <w:t xml:space="preserve"> през някой от месеците</w:t>
      </w:r>
      <w:r w:rsidR="00690E5D" w:rsidRPr="00C815B8">
        <w:rPr>
          <w:color w:val="000000"/>
          <w:sz w:val="28"/>
          <w:szCs w:val="28"/>
        </w:rPr>
        <w:t xml:space="preserve">. </w:t>
      </w:r>
      <w:r w:rsidRPr="00C815B8">
        <w:rPr>
          <w:rFonts w:eastAsia="Calibri"/>
          <w:sz w:val="28"/>
          <w:szCs w:val="28"/>
          <w:lang w:eastAsia="en-US"/>
        </w:rPr>
        <w:t xml:space="preserve">Плащанията по програмата се извършват до достигане на определения в нея индикативен бюджет за периода или до достигане на лимита от наличните във Фонд „Сигурност на електроенергийната система“ средства, събрани по чл.  36д, ал. 1, т. 11 от ЗЕ от целеви вноски </w:t>
      </w:r>
      <w:r w:rsidR="001D751B" w:rsidRPr="00C815B8">
        <w:rPr>
          <w:rFonts w:eastAsia="Calibri"/>
          <w:sz w:val="28"/>
          <w:szCs w:val="28"/>
          <w:lang w:eastAsia="en-US"/>
        </w:rPr>
        <w:t xml:space="preserve">и/или от </w:t>
      </w:r>
      <w:r w:rsidR="001D751B" w:rsidRPr="00C815B8">
        <w:rPr>
          <w:rFonts w:eastAsia="Calibri"/>
          <w:sz w:val="28"/>
          <w:szCs w:val="28"/>
          <w:lang w:eastAsia="en-US"/>
        </w:rPr>
        <w:lastRenderedPageBreak/>
        <w:t xml:space="preserve">определените средства по чл. 21, ал. 1, т. 8д от Закона за енергетиката </w:t>
      </w:r>
      <w:r w:rsidRPr="00C815B8">
        <w:rPr>
          <w:rFonts w:eastAsia="Calibri"/>
          <w:sz w:val="28"/>
          <w:szCs w:val="28"/>
          <w:lang w:eastAsia="en-US"/>
        </w:rPr>
        <w:t>- което от условията настъпи първо.</w:t>
      </w:r>
    </w:p>
    <w:p w14:paraId="753874E3" w14:textId="25D18754" w:rsidR="00197512" w:rsidRPr="00C815B8" w:rsidRDefault="00197512" w:rsidP="00C815B8">
      <w:pPr>
        <w:widowControl w:val="0"/>
        <w:spacing w:line="360" w:lineRule="auto"/>
        <w:ind w:firstLine="1134"/>
        <w:jc w:val="both"/>
        <w:rPr>
          <w:color w:val="000000"/>
          <w:sz w:val="28"/>
          <w:szCs w:val="28"/>
        </w:rPr>
      </w:pPr>
      <w:r w:rsidRPr="00C815B8">
        <w:rPr>
          <w:color w:val="000000"/>
          <w:sz w:val="28"/>
          <w:szCs w:val="28"/>
        </w:rPr>
        <w:t xml:space="preserve">Индикативният бюджет по Програмата е в размер до </w:t>
      </w:r>
      <w:r w:rsidR="00731D3D" w:rsidRPr="00C815B8">
        <w:rPr>
          <w:color w:val="000000"/>
          <w:sz w:val="28"/>
          <w:szCs w:val="28"/>
        </w:rPr>
        <w:t>140</w:t>
      </w:r>
      <w:r w:rsidR="004D605E" w:rsidRPr="00C815B8">
        <w:rPr>
          <w:color w:val="000000"/>
          <w:sz w:val="28"/>
          <w:szCs w:val="28"/>
        </w:rPr>
        <w:t xml:space="preserve"> </w:t>
      </w:r>
      <w:r w:rsidRPr="00C815B8">
        <w:rPr>
          <w:color w:val="000000"/>
          <w:sz w:val="28"/>
          <w:szCs w:val="28"/>
        </w:rPr>
        <w:t>млн. €, за потребена електрическа енергия през периода 1</w:t>
      </w:r>
      <w:r w:rsidR="00EE72DA" w:rsidRPr="00C815B8">
        <w:rPr>
          <w:color w:val="000000"/>
          <w:sz w:val="28"/>
          <w:szCs w:val="28"/>
        </w:rPr>
        <w:t xml:space="preserve"> септември</w:t>
      </w:r>
      <w:r w:rsidR="00EE72DA" w:rsidRPr="00C815B8" w:rsidDel="00EE72DA">
        <w:rPr>
          <w:color w:val="000000"/>
          <w:sz w:val="28"/>
          <w:szCs w:val="28"/>
        </w:rPr>
        <w:t xml:space="preserve"> </w:t>
      </w:r>
      <w:r w:rsidRPr="00C815B8">
        <w:rPr>
          <w:color w:val="000000"/>
          <w:sz w:val="28"/>
          <w:szCs w:val="28"/>
        </w:rPr>
        <w:t>2026 г. - 30</w:t>
      </w:r>
      <w:r w:rsidR="004D605E" w:rsidRPr="00C815B8">
        <w:rPr>
          <w:color w:val="000000"/>
          <w:sz w:val="28"/>
          <w:szCs w:val="28"/>
        </w:rPr>
        <w:t xml:space="preserve"> юни </w:t>
      </w:r>
      <w:r w:rsidRPr="00C815B8">
        <w:rPr>
          <w:color w:val="000000"/>
          <w:sz w:val="28"/>
          <w:szCs w:val="28"/>
        </w:rPr>
        <w:t>2027</w:t>
      </w:r>
      <w:r w:rsidR="00C815B8">
        <w:rPr>
          <w:color w:val="000000"/>
          <w:sz w:val="28"/>
          <w:szCs w:val="28"/>
        </w:rPr>
        <w:t xml:space="preserve"> </w:t>
      </w:r>
      <w:r w:rsidRPr="00C815B8">
        <w:rPr>
          <w:color w:val="000000"/>
          <w:sz w:val="28"/>
          <w:szCs w:val="28"/>
        </w:rPr>
        <w:t>г.</w:t>
      </w:r>
    </w:p>
    <w:p w14:paraId="11E91E2E" w14:textId="03EC5958" w:rsidR="00197512" w:rsidRPr="00C815B8" w:rsidRDefault="00197512" w:rsidP="00C815B8">
      <w:pPr>
        <w:widowControl w:val="0"/>
        <w:spacing w:line="360" w:lineRule="auto"/>
        <w:ind w:firstLine="1134"/>
        <w:jc w:val="both"/>
        <w:rPr>
          <w:color w:val="000000"/>
          <w:sz w:val="28"/>
          <w:szCs w:val="28"/>
        </w:rPr>
      </w:pPr>
      <w:r w:rsidRPr="00C815B8">
        <w:rPr>
          <w:color w:val="000000"/>
          <w:sz w:val="28"/>
          <w:szCs w:val="28"/>
        </w:rPr>
        <w:t>Компенсациите по Програмата ще бъдат изплатени до 31 декември 2027 г.</w:t>
      </w:r>
    </w:p>
    <w:p w14:paraId="37378BF9" w14:textId="1D2C3394" w:rsidR="00197512" w:rsidRPr="00C815B8" w:rsidRDefault="00197512" w:rsidP="00C815B8">
      <w:pPr>
        <w:pStyle w:val="NoSpacing"/>
        <w:spacing w:line="360" w:lineRule="auto"/>
        <w:ind w:firstLine="1134"/>
        <w:jc w:val="both"/>
        <w:rPr>
          <w:rFonts w:ascii="Times New Roman" w:hAnsi="Times New Roman"/>
          <w:sz w:val="28"/>
          <w:szCs w:val="28"/>
        </w:rPr>
      </w:pPr>
      <w:r w:rsidRPr="00C815B8">
        <w:rPr>
          <w:rFonts w:ascii="Times New Roman" w:hAnsi="Times New Roman"/>
          <w:sz w:val="28"/>
          <w:szCs w:val="28"/>
        </w:rPr>
        <w:t xml:space="preserve">Компенсацията се предоставя чрез търговците на електрическа енергия, доставчиците от последна инстанция, производителите на електрическа енергия, продаващи директно на крайни небитови клиенти, или оператора на организиран борсов пазар на електрическа енергия (Доставчиците), </w:t>
      </w:r>
      <w:r w:rsidRPr="00C815B8">
        <w:rPr>
          <w:rFonts w:ascii="Times New Roman" w:hAnsi="Times New Roman"/>
          <w:color w:val="000000"/>
          <w:sz w:val="28"/>
          <w:szCs w:val="28"/>
        </w:rPr>
        <w:t>с които небитовите крайни клиенти имат сключен договор за доставка на електрическа енергия чрез намаляване на дължимата сума за плащане.</w:t>
      </w:r>
    </w:p>
    <w:p w14:paraId="6901B150" w14:textId="458FA6A7" w:rsidR="00197512" w:rsidRPr="00C815B8" w:rsidRDefault="00197512" w:rsidP="00C815B8">
      <w:pPr>
        <w:widowControl w:val="0"/>
        <w:spacing w:line="360" w:lineRule="auto"/>
        <w:ind w:firstLine="1134"/>
        <w:jc w:val="both"/>
        <w:rPr>
          <w:color w:val="000000"/>
          <w:sz w:val="28"/>
          <w:szCs w:val="28"/>
        </w:rPr>
      </w:pPr>
      <w:r w:rsidRPr="00C815B8">
        <w:rPr>
          <w:color w:val="000000"/>
          <w:sz w:val="28"/>
          <w:szCs w:val="28"/>
        </w:rPr>
        <w:t xml:space="preserve">Програмата предвижда компенсация да се предоставя след изтичане на </w:t>
      </w:r>
      <w:r w:rsidR="00731D3D" w:rsidRPr="00C815B8">
        <w:rPr>
          <w:color w:val="000000"/>
          <w:sz w:val="28"/>
          <w:szCs w:val="28"/>
        </w:rPr>
        <w:t xml:space="preserve">десетмесечния </w:t>
      </w:r>
      <w:r w:rsidRPr="00C815B8">
        <w:rPr>
          <w:color w:val="000000"/>
          <w:sz w:val="28"/>
          <w:szCs w:val="28"/>
        </w:rPr>
        <w:t>период, започващ на 1</w:t>
      </w:r>
      <w:r w:rsidR="00EE72DA" w:rsidRPr="00C815B8">
        <w:rPr>
          <w:color w:val="000000"/>
          <w:sz w:val="28"/>
          <w:szCs w:val="28"/>
        </w:rPr>
        <w:t xml:space="preserve"> септември </w:t>
      </w:r>
      <w:r w:rsidRPr="00C815B8">
        <w:rPr>
          <w:color w:val="000000"/>
          <w:sz w:val="28"/>
          <w:szCs w:val="28"/>
        </w:rPr>
        <w:t>2026 г.</w:t>
      </w:r>
      <w:r w:rsidR="00EE72DA" w:rsidRPr="00C815B8">
        <w:rPr>
          <w:color w:val="000000"/>
          <w:sz w:val="28"/>
          <w:szCs w:val="28"/>
        </w:rPr>
        <w:t xml:space="preserve"> и приключващ на 30 юни 2027 г.</w:t>
      </w:r>
      <w:r w:rsidRPr="00C815B8">
        <w:rPr>
          <w:color w:val="000000"/>
          <w:sz w:val="28"/>
          <w:szCs w:val="28"/>
        </w:rPr>
        <w:t xml:space="preserve">, на базата на количествата активна електрическа енергия, върху които по принцип следва да се начисли цена „задължение към обществото“ </w:t>
      </w:r>
      <w:r w:rsidR="001D751B" w:rsidRPr="00C815B8">
        <w:rPr>
          <w:color w:val="000000"/>
          <w:sz w:val="28"/>
          <w:szCs w:val="28"/>
        </w:rPr>
        <w:t xml:space="preserve">за същия период, </w:t>
      </w:r>
      <w:r w:rsidRPr="00C815B8">
        <w:rPr>
          <w:color w:val="000000"/>
          <w:sz w:val="28"/>
          <w:szCs w:val="28"/>
        </w:rPr>
        <w:t>като в сумата на компенсацията не се включва ДДС.</w:t>
      </w:r>
    </w:p>
    <w:p w14:paraId="1DDCD0E4" w14:textId="40D955E0" w:rsidR="00C253B6" w:rsidRPr="00C815B8" w:rsidRDefault="00197512"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Компенсацията ще се предоставя еднократно след изтичане на период</w:t>
      </w:r>
      <w:r w:rsidR="00EE72DA" w:rsidRPr="00C815B8">
        <w:rPr>
          <w:rFonts w:eastAsia="Calibri"/>
          <w:sz w:val="28"/>
          <w:szCs w:val="28"/>
          <w:lang w:eastAsia="en-US"/>
        </w:rPr>
        <w:t xml:space="preserve">а </w:t>
      </w:r>
      <w:r w:rsidR="00C253B6" w:rsidRPr="00C815B8">
        <w:rPr>
          <w:rFonts w:eastAsia="Calibri"/>
          <w:sz w:val="28"/>
          <w:szCs w:val="28"/>
          <w:lang w:eastAsia="en-US"/>
        </w:rPr>
        <w:t xml:space="preserve">започващ от </w:t>
      </w:r>
      <w:r w:rsidR="00EE72DA" w:rsidRPr="00C815B8">
        <w:rPr>
          <w:color w:val="000000"/>
          <w:sz w:val="28"/>
          <w:szCs w:val="28"/>
        </w:rPr>
        <w:t xml:space="preserve">01 септември 2026 г. и приключващ на 30 юни 2027 г. </w:t>
      </w:r>
      <w:r w:rsidRPr="00C815B8">
        <w:rPr>
          <w:rFonts w:eastAsia="Calibri"/>
          <w:sz w:val="28"/>
          <w:szCs w:val="28"/>
          <w:lang w:eastAsia="en-US"/>
        </w:rPr>
        <w:t xml:space="preserve">и се изчислява в максимален размер като подкрепа за всеки потребен 1 </w:t>
      </w:r>
      <w:proofErr w:type="spellStart"/>
      <w:r w:rsidRPr="00C815B8">
        <w:rPr>
          <w:rFonts w:eastAsia="Calibri"/>
          <w:sz w:val="28"/>
          <w:szCs w:val="28"/>
          <w:lang w:eastAsia="en-US"/>
        </w:rPr>
        <w:t>MWh</w:t>
      </w:r>
      <w:proofErr w:type="spellEnd"/>
      <w:r w:rsidRPr="00C815B8">
        <w:rPr>
          <w:rFonts w:eastAsia="Calibri"/>
          <w:sz w:val="28"/>
          <w:szCs w:val="28"/>
          <w:lang w:eastAsia="en-US"/>
        </w:rPr>
        <w:t xml:space="preserve"> в размер </w:t>
      </w:r>
      <w:r w:rsidR="009C1556" w:rsidRPr="00C815B8">
        <w:rPr>
          <w:rFonts w:eastAsia="Calibri"/>
          <w:sz w:val="28"/>
          <w:szCs w:val="28"/>
          <w:lang w:eastAsia="en-US"/>
        </w:rPr>
        <w:t>до</w:t>
      </w:r>
      <w:r w:rsidRPr="00C815B8">
        <w:rPr>
          <w:rFonts w:eastAsia="Calibri"/>
          <w:sz w:val="28"/>
          <w:szCs w:val="28"/>
          <w:lang w:eastAsia="en-US"/>
        </w:rPr>
        <w:t xml:space="preserve"> 80 на сто от разликата между постигнатата средноаритметична цена за периода 1</w:t>
      </w:r>
      <w:r w:rsidR="00EE72DA" w:rsidRPr="00C815B8">
        <w:rPr>
          <w:rFonts w:eastAsia="Calibri"/>
          <w:sz w:val="28"/>
          <w:szCs w:val="28"/>
          <w:lang w:eastAsia="en-US"/>
        </w:rPr>
        <w:t xml:space="preserve"> септември </w:t>
      </w:r>
      <w:r w:rsidRPr="00C815B8">
        <w:rPr>
          <w:rFonts w:eastAsia="Calibri"/>
          <w:sz w:val="28"/>
          <w:szCs w:val="28"/>
          <w:lang w:eastAsia="en-US"/>
        </w:rPr>
        <w:t>2026 г. – 30.06.2027 г. за базов товар на сегмента „Ден напред</w:t>
      </w:r>
      <w:r w:rsidR="00C815B8">
        <w:rPr>
          <w:rFonts w:eastAsia="Calibri"/>
          <w:sz w:val="28"/>
          <w:szCs w:val="28"/>
          <w:lang w:eastAsia="en-US"/>
        </w:rPr>
        <w:t>“</w:t>
      </w:r>
      <w:r w:rsidRPr="00C815B8">
        <w:rPr>
          <w:rFonts w:eastAsia="Calibri"/>
          <w:sz w:val="28"/>
          <w:szCs w:val="28"/>
          <w:lang w:eastAsia="en-US"/>
        </w:rPr>
        <w:t xml:space="preserve"> на „Българска независима енергийна борса</w:t>
      </w:r>
      <w:r w:rsidR="00C815B8">
        <w:rPr>
          <w:rFonts w:eastAsia="Calibri"/>
          <w:sz w:val="28"/>
          <w:szCs w:val="28"/>
          <w:lang w:eastAsia="en-US"/>
        </w:rPr>
        <w:t>“</w:t>
      </w:r>
      <w:r w:rsidRPr="00C815B8">
        <w:rPr>
          <w:rFonts w:eastAsia="Calibri"/>
          <w:sz w:val="28"/>
          <w:szCs w:val="28"/>
          <w:lang w:eastAsia="en-US"/>
        </w:rPr>
        <w:t xml:space="preserve"> ЕАД (БНЕБ), изчислена от БНЕБ, и определената базова цена в размер на </w:t>
      </w:r>
      <w:r w:rsidR="00C815B8">
        <w:rPr>
          <w:rFonts w:eastAsia="Calibri"/>
          <w:sz w:val="28"/>
          <w:szCs w:val="28"/>
          <w:lang w:eastAsia="en-US"/>
        </w:rPr>
        <w:br/>
      </w:r>
      <w:r w:rsidRPr="00C815B8">
        <w:rPr>
          <w:rFonts w:eastAsia="Calibri"/>
          <w:sz w:val="28"/>
          <w:szCs w:val="28"/>
          <w:lang w:eastAsia="en-US"/>
        </w:rPr>
        <w:t>122,71 €/</w:t>
      </w:r>
      <w:proofErr w:type="spellStart"/>
      <w:r w:rsidRPr="00C815B8">
        <w:rPr>
          <w:rFonts w:eastAsia="Calibri"/>
          <w:sz w:val="28"/>
          <w:szCs w:val="28"/>
          <w:lang w:eastAsia="en-US"/>
        </w:rPr>
        <w:t>MWh</w:t>
      </w:r>
      <w:proofErr w:type="spellEnd"/>
      <w:r w:rsidRPr="00C815B8">
        <w:rPr>
          <w:rFonts w:eastAsia="Calibri"/>
          <w:sz w:val="28"/>
          <w:szCs w:val="28"/>
          <w:lang w:eastAsia="en-US"/>
        </w:rPr>
        <w:t>. В тази стойност не е включен ДДС.</w:t>
      </w:r>
    </w:p>
    <w:p w14:paraId="499D66C0" w14:textId="77777777" w:rsidR="00C815B8" w:rsidRDefault="00C815B8" w:rsidP="00C815B8">
      <w:pPr>
        <w:widowControl w:val="0"/>
        <w:spacing w:line="360" w:lineRule="auto"/>
        <w:ind w:firstLine="1134"/>
        <w:jc w:val="both"/>
        <w:rPr>
          <w:rFonts w:eastAsia="Calibri"/>
          <w:sz w:val="28"/>
          <w:szCs w:val="28"/>
          <w:lang w:eastAsia="en-US"/>
        </w:rPr>
      </w:pPr>
    </w:p>
    <w:p w14:paraId="2FA886CD" w14:textId="6AD151FB" w:rsidR="002C3B92" w:rsidRPr="00C815B8" w:rsidRDefault="00E62ABA"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lastRenderedPageBreak/>
        <w:t xml:space="preserve">В случай че в някой от месеците </w:t>
      </w:r>
      <w:r w:rsidR="00D00108" w:rsidRPr="00C815B8">
        <w:rPr>
          <w:rFonts w:eastAsia="Calibri"/>
          <w:sz w:val="28"/>
          <w:szCs w:val="28"/>
          <w:lang w:eastAsia="en-US"/>
        </w:rPr>
        <w:t>от</w:t>
      </w:r>
      <w:r w:rsidR="007F5A84" w:rsidRPr="00C815B8">
        <w:rPr>
          <w:rFonts w:eastAsia="Calibri"/>
          <w:sz w:val="28"/>
          <w:szCs w:val="28"/>
          <w:lang w:eastAsia="en-US"/>
        </w:rPr>
        <w:t xml:space="preserve"> десетмесечния период </w:t>
      </w:r>
      <w:r w:rsidR="002C3B92" w:rsidRPr="00C815B8">
        <w:rPr>
          <w:rFonts w:eastAsia="Calibri"/>
          <w:sz w:val="28"/>
          <w:szCs w:val="28"/>
          <w:lang w:eastAsia="en-US"/>
        </w:rPr>
        <w:t xml:space="preserve">постигната средноаритметична цена за базов товар на сегмента „Ден напред“ на БНЕБ </w:t>
      </w:r>
      <w:r w:rsidR="00E27025" w:rsidRPr="00C815B8">
        <w:rPr>
          <w:rFonts w:eastAsia="Calibri"/>
          <w:sz w:val="28"/>
          <w:szCs w:val="28"/>
          <w:lang w:eastAsia="en-US"/>
        </w:rPr>
        <w:t>достигне</w:t>
      </w:r>
      <w:r w:rsidR="007F5A84" w:rsidRPr="00C815B8">
        <w:rPr>
          <w:rFonts w:eastAsia="Calibri"/>
          <w:sz w:val="28"/>
          <w:szCs w:val="28"/>
          <w:lang w:eastAsia="en-US"/>
        </w:rPr>
        <w:t xml:space="preserve"> размер над</w:t>
      </w:r>
      <w:r w:rsidR="002C3B92" w:rsidRPr="00C815B8">
        <w:rPr>
          <w:rFonts w:eastAsia="Calibri"/>
          <w:sz w:val="28"/>
          <w:szCs w:val="28"/>
          <w:lang w:eastAsia="en-US"/>
        </w:rPr>
        <w:t xml:space="preserve"> 180 €/</w:t>
      </w:r>
      <w:proofErr w:type="spellStart"/>
      <w:r w:rsidR="002C3B92" w:rsidRPr="00C815B8">
        <w:rPr>
          <w:rFonts w:eastAsia="Calibri"/>
          <w:sz w:val="28"/>
          <w:szCs w:val="28"/>
          <w:lang w:eastAsia="en-US"/>
        </w:rPr>
        <w:t>MWh</w:t>
      </w:r>
      <w:proofErr w:type="spellEnd"/>
      <w:r w:rsidR="00E27025" w:rsidRPr="00C815B8">
        <w:rPr>
          <w:rFonts w:eastAsia="Calibri"/>
          <w:sz w:val="28"/>
          <w:szCs w:val="28"/>
          <w:lang w:eastAsia="en-US"/>
        </w:rPr>
        <w:t xml:space="preserve">, се предоставя компенсация за този отчетен месец </w:t>
      </w:r>
      <w:r w:rsidR="002C3B92" w:rsidRPr="00C815B8">
        <w:rPr>
          <w:rFonts w:eastAsia="Calibri"/>
          <w:sz w:val="28"/>
          <w:szCs w:val="28"/>
          <w:lang w:eastAsia="en-US"/>
        </w:rPr>
        <w:t xml:space="preserve">в размер </w:t>
      </w:r>
      <w:r w:rsidR="005D4CA4" w:rsidRPr="00C815B8">
        <w:rPr>
          <w:rFonts w:eastAsia="Calibri"/>
          <w:sz w:val="28"/>
          <w:szCs w:val="28"/>
          <w:lang w:eastAsia="en-US"/>
        </w:rPr>
        <w:t>на</w:t>
      </w:r>
      <w:r w:rsidR="002C3B92" w:rsidRPr="00C815B8">
        <w:rPr>
          <w:rFonts w:eastAsia="Calibri"/>
          <w:sz w:val="28"/>
          <w:szCs w:val="28"/>
          <w:lang w:eastAsia="en-US"/>
        </w:rPr>
        <w:t xml:space="preserve"> 80</w:t>
      </w:r>
      <w:r w:rsidR="005D4CA4" w:rsidRPr="00C815B8">
        <w:rPr>
          <w:rFonts w:eastAsia="Calibri"/>
          <w:sz w:val="28"/>
          <w:szCs w:val="28"/>
          <w:lang w:eastAsia="en-US"/>
        </w:rPr>
        <w:t xml:space="preserve"> </w:t>
      </w:r>
      <w:r w:rsidR="00E27025" w:rsidRPr="00C815B8">
        <w:rPr>
          <w:rFonts w:eastAsia="Calibri"/>
          <w:sz w:val="28"/>
          <w:szCs w:val="28"/>
          <w:lang w:eastAsia="en-US"/>
        </w:rPr>
        <w:t>на сто от</w:t>
      </w:r>
      <w:r w:rsidR="002C3B92" w:rsidRPr="00C815B8">
        <w:rPr>
          <w:rFonts w:eastAsia="Calibri"/>
          <w:sz w:val="28"/>
          <w:szCs w:val="28"/>
          <w:lang w:eastAsia="en-US"/>
        </w:rPr>
        <w:t xml:space="preserve"> разликата между </w:t>
      </w:r>
      <w:r w:rsidR="00D00108" w:rsidRPr="00C815B8">
        <w:rPr>
          <w:rFonts w:eastAsia="Calibri"/>
          <w:sz w:val="28"/>
          <w:szCs w:val="28"/>
          <w:lang w:eastAsia="en-US"/>
        </w:rPr>
        <w:t xml:space="preserve">реалната </w:t>
      </w:r>
      <w:r w:rsidR="00E27025" w:rsidRPr="00C815B8">
        <w:rPr>
          <w:rFonts w:eastAsia="Calibri"/>
          <w:sz w:val="28"/>
          <w:szCs w:val="28"/>
          <w:lang w:eastAsia="en-US"/>
        </w:rPr>
        <w:t xml:space="preserve">средноаритметична цена за базов товар на сегмента „Ден напред“ на БНЕБ </w:t>
      </w:r>
      <w:r w:rsidR="005D4CA4" w:rsidRPr="00C815B8">
        <w:rPr>
          <w:rFonts w:eastAsia="Calibri"/>
          <w:sz w:val="28"/>
          <w:szCs w:val="28"/>
          <w:lang w:eastAsia="en-US"/>
        </w:rPr>
        <w:t>за конкретния месец</w:t>
      </w:r>
      <w:r w:rsidR="00E27025" w:rsidRPr="00C815B8">
        <w:rPr>
          <w:rFonts w:eastAsia="Calibri"/>
          <w:sz w:val="28"/>
          <w:szCs w:val="28"/>
          <w:lang w:eastAsia="en-US"/>
        </w:rPr>
        <w:t xml:space="preserve"> </w:t>
      </w:r>
      <w:r w:rsidR="002C3B92" w:rsidRPr="00C815B8">
        <w:rPr>
          <w:rFonts w:eastAsia="Calibri"/>
          <w:sz w:val="28"/>
          <w:szCs w:val="28"/>
          <w:lang w:eastAsia="en-US"/>
        </w:rPr>
        <w:t>и 180 €/</w:t>
      </w:r>
      <w:proofErr w:type="spellStart"/>
      <w:r w:rsidR="002C3B92" w:rsidRPr="00C815B8">
        <w:rPr>
          <w:rFonts w:eastAsia="Calibri"/>
          <w:sz w:val="28"/>
          <w:szCs w:val="28"/>
          <w:lang w:eastAsia="en-US"/>
        </w:rPr>
        <w:t>MWh</w:t>
      </w:r>
      <w:proofErr w:type="spellEnd"/>
      <w:r w:rsidR="002C3B92" w:rsidRPr="00C815B8">
        <w:rPr>
          <w:rFonts w:eastAsia="Calibri"/>
          <w:sz w:val="28"/>
          <w:szCs w:val="28"/>
          <w:lang w:eastAsia="en-US"/>
        </w:rPr>
        <w:t xml:space="preserve">. </w:t>
      </w:r>
      <w:r w:rsidR="005D4CA4" w:rsidRPr="00C815B8">
        <w:rPr>
          <w:rFonts w:eastAsia="Calibri"/>
          <w:sz w:val="28"/>
          <w:szCs w:val="28"/>
          <w:lang w:eastAsia="en-US"/>
        </w:rPr>
        <w:t xml:space="preserve">При предоставяне на дължимата за десетмесечния период компенсация, Доставчиците </w:t>
      </w:r>
      <w:r w:rsidR="002C3B92" w:rsidRPr="00C815B8">
        <w:rPr>
          <w:rFonts w:eastAsia="Calibri"/>
          <w:sz w:val="28"/>
          <w:szCs w:val="28"/>
          <w:lang w:eastAsia="en-US"/>
        </w:rPr>
        <w:t xml:space="preserve">приспадат от </w:t>
      </w:r>
      <w:r w:rsidR="005D4CA4" w:rsidRPr="00C815B8">
        <w:rPr>
          <w:rFonts w:eastAsia="Calibri"/>
          <w:sz w:val="28"/>
          <w:szCs w:val="28"/>
          <w:lang w:eastAsia="en-US"/>
        </w:rPr>
        <w:t xml:space="preserve">изчисления </w:t>
      </w:r>
      <w:r w:rsidR="002C3B92" w:rsidRPr="00C815B8">
        <w:rPr>
          <w:rFonts w:eastAsia="Calibri"/>
          <w:sz w:val="28"/>
          <w:szCs w:val="28"/>
          <w:lang w:eastAsia="en-US"/>
        </w:rPr>
        <w:t xml:space="preserve">общ размер </w:t>
      </w:r>
      <w:r w:rsidR="005D4CA4" w:rsidRPr="00C815B8">
        <w:rPr>
          <w:rFonts w:eastAsia="Calibri"/>
          <w:sz w:val="28"/>
          <w:szCs w:val="28"/>
          <w:lang w:eastAsia="en-US"/>
        </w:rPr>
        <w:t>предоставените вече месечни компенсации, ако такива са налице.</w:t>
      </w:r>
    </w:p>
    <w:p w14:paraId="00FC2C73" w14:textId="412DB209" w:rsidR="00197512" w:rsidRPr="00C815B8" w:rsidRDefault="00197512"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 xml:space="preserve">В случай на клиенти със среднопретеглена цена за периода </w:t>
      </w:r>
      <w:r w:rsidR="00A11124">
        <w:rPr>
          <w:rFonts w:eastAsia="Calibri"/>
          <w:sz w:val="28"/>
          <w:szCs w:val="28"/>
          <w:lang w:eastAsia="en-US"/>
        </w:rPr>
        <w:br/>
      </w:r>
      <w:r w:rsidR="009C1556" w:rsidRPr="00C815B8">
        <w:rPr>
          <w:rFonts w:eastAsia="Calibri"/>
          <w:sz w:val="28"/>
          <w:szCs w:val="28"/>
          <w:lang w:eastAsia="en-US"/>
        </w:rPr>
        <w:t xml:space="preserve">1 септември </w:t>
      </w:r>
      <w:r w:rsidR="00EE72DA" w:rsidRPr="00C815B8">
        <w:rPr>
          <w:rFonts w:eastAsia="Calibri"/>
          <w:sz w:val="28"/>
          <w:szCs w:val="28"/>
          <w:lang w:eastAsia="en-US"/>
        </w:rPr>
        <w:t xml:space="preserve">2026 г. </w:t>
      </w:r>
      <w:r w:rsidR="009C1556" w:rsidRPr="00C815B8">
        <w:rPr>
          <w:rFonts w:eastAsia="Calibri"/>
          <w:sz w:val="28"/>
          <w:szCs w:val="28"/>
          <w:lang w:eastAsia="en-US"/>
        </w:rPr>
        <w:t xml:space="preserve">- </w:t>
      </w:r>
      <w:r w:rsidR="00EE72DA" w:rsidRPr="00C815B8">
        <w:rPr>
          <w:rFonts w:eastAsia="Calibri"/>
          <w:sz w:val="28"/>
          <w:szCs w:val="28"/>
          <w:lang w:eastAsia="en-US"/>
        </w:rPr>
        <w:t>30 юни 2027 г.</w:t>
      </w:r>
      <w:r w:rsidRPr="00C815B8">
        <w:rPr>
          <w:rStyle w:val="FootnoteReference"/>
          <w:rFonts w:eastAsia="Calibri"/>
          <w:sz w:val="28"/>
          <w:szCs w:val="28"/>
          <w:lang w:eastAsia="en-US"/>
        </w:rPr>
        <w:footnoteReference w:id="1"/>
      </w:r>
      <w:r w:rsidRPr="00C815B8">
        <w:rPr>
          <w:rFonts w:eastAsia="Calibri"/>
          <w:sz w:val="28"/>
          <w:szCs w:val="28"/>
          <w:lang w:eastAsia="en-US"/>
        </w:rPr>
        <w:t xml:space="preserve">, която е по-малка от постигнатата средноаритметична цена за </w:t>
      </w:r>
      <w:r w:rsidR="009C1556" w:rsidRPr="00C815B8">
        <w:rPr>
          <w:rFonts w:eastAsia="Calibri"/>
          <w:sz w:val="28"/>
          <w:szCs w:val="28"/>
          <w:lang w:eastAsia="en-US"/>
        </w:rPr>
        <w:t xml:space="preserve">същия </w:t>
      </w:r>
      <w:r w:rsidRPr="00C815B8">
        <w:rPr>
          <w:rFonts w:eastAsia="Calibri"/>
          <w:sz w:val="28"/>
          <w:szCs w:val="28"/>
          <w:lang w:eastAsia="en-US"/>
        </w:rPr>
        <w:t>период  за базов товар на сегмента „Ден напред</w:t>
      </w:r>
      <w:r w:rsidR="00A11124">
        <w:rPr>
          <w:rFonts w:eastAsia="Calibri"/>
          <w:sz w:val="28"/>
          <w:szCs w:val="28"/>
          <w:lang w:eastAsia="en-US"/>
        </w:rPr>
        <w:t>“</w:t>
      </w:r>
      <w:r w:rsidRPr="00C815B8">
        <w:rPr>
          <w:rFonts w:eastAsia="Calibri"/>
          <w:sz w:val="28"/>
          <w:szCs w:val="28"/>
          <w:lang w:eastAsia="en-US"/>
        </w:rPr>
        <w:t xml:space="preserve"> на „Българска независима енергийна борса</w:t>
      </w:r>
      <w:r w:rsidR="00A11124">
        <w:rPr>
          <w:rFonts w:eastAsia="Calibri"/>
          <w:sz w:val="28"/>
          <w:szCs w:val="28"/>
          <w:lang w:eastAsia="en-US"/>
        </w:rPr>
        <w:t>“</w:t>
      </w:r>
      <w:r w:rsidRPr="00C815B8">
        <w:rPr>
          <w:rFonts w:eastAsia="Calibri"/>
          <w:sz w:val="28"/>
          <w:szCs w:val="28"/>
          <w:lang w:eastAsia="en-US"/>
        </w:rPr>
        <w:t xml:space="preserve"> ЕАД, се изплаща компенсация в размер </w:t>
      </w:r>
      <w:r w:rsidR="009C1556" w:rsidRPr="00C815B8">
        <w:rPr>
          <w:rFonts w:eastAsia="Calibri"/>
          <w:sz w:val="28"/>
          <w:szCs w:val="28"/>
          <w:lang w:eastAsia="en-US"/>
        </w:rPr>
        <w:t xml:space="preserve">до </w:t>
      </w:r>
      <w:r w:rsidRPr="00C815B8">
        <w:rPr>
          <w:rFonts w:eastAsia="Calibri"/>
          <w:sz w:val="28"/>
          <w:szCs w:val="28"/>
          <w:lang w:eastAsia="en-US"/>
        </w:rPr>
        <w:t xml:space="preserve">80% от разликата между реалната среднопретеглена цена за клиента за </w:t>
      </w:r>
      <w:r w:rsidR="00C253B6" w:rsidRPr="00C815B8">
        <w:rPr>
          <w:rFonts w:eastAsia="Calibri"/>
          <w:sz w:val="28"/>
          <w:szCs w:val="28"/>
          <w:lang w:eastAsia="en-US"/>
        </w:rPr>
        <w:t xml:space="preserve">посочения </w:t>
      </w:r>
      <w:r w:rsidRPr="00C815B8">
        <w:rPr>
          <w:rFonts w:eastAsia="Calibri"/>
          <w:sz w:val="28"/>
          <w:szCs w:val="28"/>
          <w:lang w:eastAsia="en-US"/>
        </w:rPr>
        <w:t>период</w:t>
      </w:r>
      <w:r w:rsidR="009C1556" w:rsidRPr="00C815B8">
        <w:rPr>
          <w:rFonts w:eastAsia="Calibri"/>
          <w:sz w:val="28"/>
          <w:szCs w:val="28"/>
          <w:lang w:eastAsia="en-US"/>
        </w:rPr>
        <w:t xml:space="preserve">, </w:t>
      </w:r>
      <w:r w:rsidRPr="00C815B8">
        <w:rPr>
          <w:rFonts w:eastAsia="Calibri"/>
          <w:sz w:val="28"/>
          <w:szCs w:val="28"/>
          <w:lang w:eastAsia="en-US"/>
        </w:rPr>
        <w:t>и базовата цена.</w:t>
      </w:r>
      <w:r w:rsidR="009C1556" w:rsidRPr="00C815B8">
        <w:rPr>
          <w:rFonts w:eastAsia="Calibri"/>
          <w:sz w:val="28"/>
          <w:szCs w:val="28"/>
          <w:lang w:eastAsia="en-US"/>
        </w:rPr>
        <w:t xml:space="preserve"> </w:t>
      </w:r>
      <w:r w:rsidR="00731D3D" w:rsidRPr="00C815B8">
        <w:rPr>
          <w:rFonts w:eastAsia="Calibri"/>
          <w:sz w:val="28"/>
          <w:szCs w:val="28"/>
          <w:lang w:eastAsia="en-US"/>
        </w:rPr>
        <w:t xml:space="preserve">С отделен акт </w:t>
      </w:r>
      <w:r w:rsidR="009C1556" w:rsidRPr="00C815B8">
        <w:rPr>
          <w:rFonts w:eastAsia="Calibri"/>
          <w:sz w:val="28"/>
          <w:szCs w:val="28"/>
          <w:lang w:eastAsia="en-US"/>
        </w:rPr>
        <w:t>Министерския</w:t>
      </w:r>
      <w:r w:rsidR="00731D3D" w:rsidRPr="00C815B8">
        <w:rPr>
          <w:rFonts w:eastAsia="Calibri"/>
          <w:sz w:val="28"/>
          <w:szCs w:val="28"/>
          <w:lang w:eastAsia="en-US"/>
        </w:rPr>
        <w:t>т</w:t>
      </w:r>
      <w:r w:rsidR="009C1556" w:rsidRPr="00C815B8">
        <w:rPr>
          <w:rFonts w:eastAsia="Calibri"/>
          <w:sz w:val="28"/>
          <w:szCs w:val="28"/>
          <w:lang w:eastAsia="en-US"/>
        </w:rPr>
        <w:t xml:space="preserve"> съвет определя конкретния процент на компенсиране </w:t>
      </w:r>
      <w:r w:rsidR="00731D3D" w:rsidRPr="00C815B8">
        <w:rPr>
          <w:rFonts w:eastAsia="Calibri"/>
          <w:sz w:val="28"/>
          <w:szCs w:val="28"/>
          <w:lang w:eastAsia="en-US"/>
        </w:rPr>
        <w:t xml:space="preserve">за </w:t>
      </w:r>
      <w:r w:rsidR="00162862" w:rsidRPr="00C815B8">
        <w:rPr>
          <w:rFonts w:eastAsia="Calibri"/>
          <w:sz w:val="28"/>
          <w:szCs w:val="28"/>
          <w:lang w:eastAsia="en-US"/>
        </w:rPr>
        <w:t xml:space="preserve">десетмесечния </w:t>
      </w:r>
      <w:r w:rsidR="00731D3D" w:rsidRPr="00C815B8">
        <w:rPr>
          <w:rFonts w:eastAsia="Calibri"/>
          <w:sz w:val="28"/>
          <w:szCs w:val="28"/>
          <w:lang w:eastAsia="en-US"/>
        </w:rPr>
        <w:t>период на Програмата от</w:t>
      </w:r>
      <w:r w:rsidR="009C1556" w:rsidRPr="00C815B8">
        <w:rPr>
          <w:rFonts w:eastAsia="Calibri"/>
          <w:sz w:val="28"/>
          <w:szCs w:val="28"/>
          <w:lang w:eastAsia="en-US"/>
        </w:rPr>
        <w:t xml:space="preserve"> </w:t>
      </w:r>
      <w:r w:rsidR="00731D3D" w:rsidRPr="00C815B8">
        <w:rPr>
          <w:rFonts w:eastAsia="Calibri"/>
          <w:sz w:val="28"/>
          <w:szCs w:val="28"/>
          <w:lang w:eastAsia="en-US"/>
        </w:rPr>
        <w:t xml:space="preserve">разликата между постигнатата за периода средноаритметична цена на базов товар </w:t>
      </w:r>
      <w:r w:rsidR="00C253B6" w:rsidRPr="00C815B8">
        <w:rPr>
          <w:rFonts w:eastAsia="Calibri"/>
          <w:sz w:val="28"/>
          <w:szCs w:val="28"/>
          <w:lang w:eastAsia="en-US"/>
        </w:rPr>
        <w:t>на сегмента „Ден напред</w:t>
      </w:r>
      <w:r w:rsidR="00A11124">
        <w:rPr>
          <w:rFonts w:eastAsia="Calibri"/>
          <w:sz w:val="28"/>
          <w:szCs w:val="28"/>
          <w:lang w:eastAsia="en-US"/>
        </w:rPr>
        <w:t>“</w:t>
      </w:r>
      <w:r w:rsidR="00C253B6" w:rsidRPr="00C815B8">
        <w:rPr>
          <w:rFonts w:eastAsia="Calibri"/>
          <w:sz w:val="28"/>
          <w:szCs w:val="28"/>
          <w:lang w:eastAsia="en-US"/>
        </w:rPr>
        <w:t xml:space="preserve"> на „Българска независима енергийна борса</w:t>
      </w:r>
      <w:r w:rsidR="00A11124">
        <w:rPr>
          <w:rFonts w:eastAsia="Calibri"/>
          <w:sz w:val="28"/>
          <w:szCs w:val="28"/>
          <w:lang w:eastAsia="en-US"/>
        </w:rPr>
        <w:t>“</w:t>
      </w:r>
      <w:r w:rsidR="00C253B6" w:rsidRPr="00C815B8">
        <w:rPr>
          <w:rFonts w:eastAsia="Calibri"/>
          <w:sz w:val="28"/>
          <w:szCs w:val="28"/>
          <w:lang w:eastAsia="en-US"/>
        </w:rPr>
        <w:t xml:space="preserve"> ЕАД </w:t>
      </w:r>
      <w:r w:rsidR="00731D3D" w:rsidRPr="00C815B8">
        <w:rPr>
          <w:rFonts w:eastAsia="Calibri"/>
          <w:sz w:val="28"/>
          <w:szCs w:val="28"/>
          <w:lang w:eastAsia="en-US"/>
        </w:rPr>
        <w:t>и</w:t>
      </w:r>
      <w:r w:rsidR="009C1556" w:rsidRPr="00C815B8">
        <w:rPr>
          <w:rFonts w:eastAsia="Calibri"/>
          <w:sz w:val="28"/>
          <w:szCs w:val="28"/>
          <w:lang w:eastAsia="en-US"/>
        </w:rPr>
        <w:t xml:space="preserve"> базова цена</w:t>
      </w:r>
      <w:r w:rsidR="00731D3D" w:rsidRPr="00C815B8">
        <w:rPr>
          <w:rFonts w:eastAsia="Calibri"/>
          <w:sz w:val="28"/>
          <w:szCs w:val="28"/>
          <w:lang w:eastAsia="en-US"/>
        </w:rPr>
        <w:t xml:space="preserve">. Актът на Министерският съвет се приема </w:t>
      </w:r>
      <w:r w:rsidR="009C1556" w:rsidRPr="00C815B8">
        <w:rPr>
          <w:rFonts w:eastAsia="Calibri"/>
          <w:sz w:val="28"/>
          <w:szCs w:val="28"/>
          <w:lang w:eastAsia="en-US"/>
        </w:rPr>
        <w:t xml:space="preserve">след </w:t>
      </w:r>
      <w:r w:rsidR="00731D3D" w:rsidRPr="00C815B8">
        <w:rPr>
          <w:rFonts w:eastAsia="Calibri"/>
          <w:sz w:val="28"/>
          <w:szCs w:val="28"/>
          <w:lang w:eastAsia="en-US"/>
        </w:rPr>
        <w:t>30.06.2027 г.</w:t>
      </w:r>
      <w:r w:rsidR="009C1556" w:rsidRPr="00C815B8">
        <w:rPr>
          <w:rFonts w:eastAsia="Calibri"/>
          <w:sz w:val="28"/>
          <w:szCs w:val="28"/>
          <w:lang w:eastAsia="en-US"/>
        </w:rPr>
        <w:t>, при съобразяване с наличните средства във Фонд „Сигурност на електроенергийната система“</w:t>
      </w:r>
      <w:r w:rsidR="00731D3D" w:rsidRPr="00C815B8">
        <w:rPr>
          <w:rFonts w:eastAsia="Calibri"/>
          <w:sz w:val="28"/>
          <w:szCs w:val="28"/>
          <w:lang w:eastAsia="en-US"/>
        </w:rPr>
        <w:t>, предназначени за изплащане на компенсациите</w:t>
      </w:r>
      <w:r w:rsidR="009C1556" w:rsidRPr="00C815B8">
        <w:rPr>
          <w:rFonts w:eastAsia="Calibri"/>
          <w:sz w:val="28"/>
          <w:szCs w:val="28"/>
          <w:lang w:eastAsia="en-US"/>
        </w:rPr>
        <w:t>.</w:t>
      </w:r>
      <w:r w:rsidRPr="00C815B8">
        <w:rPr>
          <w:rFonts w:eastAsia="Calibri"/>
          <w:sz w:val="28"/>
          <w:szCs w:val="28"/>
          <w:lang w:eastAsia="en-US"/>
        </w:rPr>
        <w:t xml:space="preserve"> Компенсация за клиенти с</w:t>
      </w:r>
      <w:r w:rsidR="00162862" w:rsidRPr="00C815B8">
        <w:rPr>
          <w:rFonts w:eastAsia="Calibri"/>
          <w:sz w:val="28"/>
          <w:szCs w:val="28"/>
          <w:lang w:eastAsia="en-US"/>
        </w:rPr>
        <w:t>ъс среднопретеглени</w:t>
      </w:r>
      <w:r w:rsidRPr="00C815B8">
        <w:rPr>
          <w:rFonts w:eastAsia="Calibri"/>
          <w:sz w:val="28"/>
          <w:szCs w:val="28"/>
          <w:lang w:eastAsia="en-US"/>
        </w:rPr>
        <w:t xml:space="preserve"> цени </w:t>
      </w:r>
      <w:r w:rsidR="00162862" w:rsidRPr="00C815B8">
        <w:rPr>
          <w:rFonts w:eastAsia="Calibri"/>
          <w:sz w:val="28"/>
          <w:szCs w:val="28"/>
          <w:lang w:eastAsia="en-US"/>
        </w:rPr>
        <w:t xml:space="preserve">за десетмесечния период </w:t>
      </w:r>
      <w:r w:rsidRPr="00C815B8">
        <w:rPr>
          <w:rFonts w:eastAsia="Calibri"/>
          <w:sz w:val="28"/>
          <w:szCs w:val="28"/>
          <w:lang w:eastAsia="en-US"/>
        </w:rPr>
        <w:t>под базовата цена</w:t>
      </w:r>
      <w:r w:rsidR="00EB1B4D" w:rsidRPr="00C815B8">
        <w:rPr>
          <w:rFonts w:eastAsia="Calibri"/>
          <w:sz w:val="28"/>
          <w:szCs w:val="28"/>
          <w:lang w:eastAsia="en-US"/>
        </w:rPr>
        <w:t xml:space="preserve"> </w:t>
      </w:r>
      <w:r w:rsidR="00BB0F2D" w:rsidRPr="00C815B8">
        <w:rPr>
          <w:rFonts w:eastAsia="Calibri"/>
          <w:sz w:val="28"/>
          <w:szCs w:val="28"/>
          <w:lang w:eastAsia="en-US"/>
        </w:rPr>
        <w:t>в размер на 122,71 €/</w:t>
      </w:r>
      <w:proofErr w:type="spellStart"/>
      <w:r w:rsidR="00BB0F2D" w:rsidRPr="00C815B8">
        <w:rPr>
          <w:rFonts w:eastAsia="Calibri"/>
          <w:sz w:val="28"/>
          <w:szCs w:val="28"/>
          <w:lang w:eastAsia="en-US"/>
        </w:rPr>
        <w:t>MWh</w:t>
      </w:r>
      <w:proofErr w:type="spellEnd"/>
      <w:r w:rsidRPr="00C815B8">
        <w:rPr>
          <w:rFonts w:eastAsia="Calibri"/>
          <w:sz w:val="28"/>
          <w:szCs w:val="28"/>
          <w:lang w:eastAsia="en-US"/>
        </w:rPr>
        <w:t xml:space="preserve"> не се предвижда.</w:t>
      </w:r>
      <w:r w:rsidR="00EE72DA" w:rsidRPr="00C815B8">
        <w:rPr>
          <w:rFonts w:eastAsia="Calibri"/>
          <w:sz w:val="28"/>
          <w:szCs w:val="28"/>
          <w:lang w:eastAsia="en-US"/>
        </w:rPr>
        <w:t xml:space="preserve"> </w:t>
      </w:r>
    </w:p>
    <w:p w14:paraId="2A026FC9" w14:textId="1688A477" w:rsidR="00197512" w:rsidRPr="00C815B8" w:rsidRDefault="00197512"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При смяна на Доставчик, компенсацията се предоставя чрез Доставчик</w:t>
      </w:r>
      <w:r w:rsidR="00C253B6" w:rsidRPr="00C815B8">
        <w:rPr>
          <w:rFonts w:eastAsia="Calibri"/>
          <w:sz w:val="28"/>
          <w:szCs w:val="28"/>
          <w:lang w:eastAsia="en-US"/>
        </w:rPr>
        <w:t>а</w:t>
      </w:r>
      <w:r w:rsidRPr="00C815B8">
        <w:rPr>
          <w:rFonts w:eastAsia="Calibri"/>
          <w:sz w:val="28"/>
          <w:szCs w:val="28"/>
          <w:lang w:eastAsia="en-US"/>
        </w:rPr>
        <w:t xml:space="preserve">, с </w:t>
      </w:r>
      <w:r w:rsidR="00C253B6" w:rsidRPr="00C815B8">
        <w:rPr>
          <w:rFonts w:eastAsia="Calibri"/>
          <w:sz w:val="28"/>
          <w:szCs w:val="28"/>
          <w:lang w:eastAsia="en-US"/>
        </w:rPr>
        <w:t xml:space="preserve">когото </w:t>
      </w:r>
      <w:r w:rsidRPr="00C815B8">
        <w:rPr>
          <w:rFonts w:eastAsia="Calibri"/>
          <w:sz w:val="28"/>
          <w:szCs w:val="28"/>
          <w:lang w:eastAsia="en-US"/>
        </w:rPr>
        <w:t xml:space="preserve">крайния небитов клиент има действащ договор за доставка на електрическа енергия към момента на предоставяне на </w:t>
      </w:r>
      <w:r w:rsidRPr="00C815B8">
        <w:rPr>
          <w:rFonts w:eastAsia="Calibri"/>
          <w:sz w:val="28"/>
          <w:szCs w:val="28"/>
          <w:lang w:eastAsia="en-US"/>
        </w:rPr>
        <w:lastRenderedPageBreak/>
        <w:t>компенсация.</w:t>
      </w:r>
      <w:r w:rsidRPr="00C815B8">
        <w:rPr>
          <w:sz w:val="28"/>
          <w:szCs w:val="28"/>
        </w:rPr>
        <w:t xml:space="preserve"> </w:t>
      </w:r>
      <w:r w:rsidRPr="00C815B8">
        <w:rPr>
          <w:rFonts w:eastAsia="Calibri"/>
          <w:sz w:val="28"/>
          <w:szCs w:val="28"/>
          <w:lang w:eastAsia="en-US"/>
        </w:rPr>
        <w:t>В случай, че полагащата се компенсация на небитовия краен клиент е по-голяма от сумата по фактура, доставчикът се задължава да погасява със стойността на компенсацията други налични или бъдещи задължения за електрическа енергия на клиента до пълното й изчерпване или чрез реално плащане към клиента. В този случай ФСЕС извършва плащане към Доставчика, след като Доставчикът представи доказателства, че реално е предоставил компенсацията на небитовия краен клиент.</w:t>
      </w:r>
    </w:p>
    <w:p w14:paraId="3A8729B1" w14:textId="4307C1FB" w:rsidR="00197512" w:rsidRPr="00C815B8" w:rsidRDefault="00197512"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ФСЕС ще сключи индивидуални договори с Доставчиците и ще изплаща полагащата се компенсация за фактурираните количества електрическа енергия, върху които по принцип следва да се начисли цена „задължение към обществото“ за период</w:t>
      </w:r>
      <w:r w:rsidR="00EE72DA" w:rsidRPr="00C815B8">
        <w:rPr>
          <w:rFonts w:eastAsia="Calibri"/>
          <w:sz w:val="28"/>
          <w:szCs w:val="28"/>
          <w:lang w:eastAsia="en-US"/>
        </w:rPr>
        <w:t>а</w:t>
      </w:r>
      <w:r w:rsidRPr="00C815B8">
        <w:rPr>
          <w:rFonts w:eastAsia="Calibri"/>
          <w:sz w:val="28"/>
          <w:szCs w:val="28"/>
          <w:lang w:eastAsia="en-US"/>
        </w:rPr>
        <w:t xml:space="preserve"> </w:t>
      </w:r>
      <w:r w:rsidR="009C1556" w:rsidRPr="00C815B8">
        <w:rPr>
          <w:rFonts w:eastAsia="Calibri"/>
          <w:sz w:val="28"/>
          <w:szCs w:val="28"/>
          <w:lang w:eastAsia="en-US"/>
        </w:rPr>
        <w:t xml:space="preserve">1 септември </w:t>
      </w:r>
      <w:r w:rsidR="00EE72DA" w:rsidRPr="00C815B8">
        <w:rPr>
          <w:rFonts w:eastAsia="Calibri"/>
          <w:sz w:val="28"/>
          <w:szCs w:val="28"/>
          <w:lang w:eastAsia="en-US"/>
        </w:rPr>
        <w:t>2026 г. и приключващ на 30 юни 2027 г.</w:t>
      </w:r>
      <w:r w:rsidRPr="00C815B8">
        <w:rPr>
          <w:rFonts w:eastAsia="Calibri"/>
          <w:sz w:val="28"/>
          <w:szCs w:val="28"/>
          <w:lang w:eastAsia="en-US"/>
        </w:rPr>
        <w:t>, след като извърши съпоставка на предоставените от съответния Доставчик данни за тези количества с данните от наличната във фонда информация. Условията и редът за подаване на заявления от Доставчиците, тяхното разглеждане и изплащането на средствата за компенсации се определят със сключените договори. Образците на договорите се одобряват от УС на ФСЕС и се публикуват на интернет страницата на Фонда.</w:t>
      </w:r>
    </w:p>
    <w:p w14:paraId="6E574390" w14:textId="1BA992AD" w:rsidR="00197512" w:rsidRPr="00C815B8" w:rsidRDefault="00197512"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Доставчикът следва да посочи във фактурите, които издава, полагащата се компенсация за период</w:t>
      </w:r>
      <w:r w:rsidR="009C1556" w:rsidRPr="00C815B8">
        <w:rPr>
          <w:rFonts w:eastAsia="Calibri"/>
          <w:sz w:val="28"/>
          <w:szCs w:val="28"/>
          <w:lang w:eastAsia="en-US"/>
        </w:rPr>
        <w:t>а на прилагане на настоящата Програма</w:t>
      </w:r>
      <w:r w:rsidRPr="00C815B8">
        <w:rPr>
          <w:rFonts w:eastAsia="Calibri"/>
          <w:sz w:val="28"/>
          <w:szCs w:val="28"/>
          <w:lang w:eastAsia="en-US"/>
        </w:rPr>
        <w:t>, като чрез компенсацията ще бъде намалена дължимата за плащане сума от небитовите крайни клиенти.</w:t>
      </w:r>
    </w:p>
    <w:p w14:paraId="24C7EA78" w14:textId="536CBE2E" w:rsidR="00197512" w:rsidRPr="00C815B8" w:rsidRDefault="00197512" w:rsidP="00C815B8">
      <w:pPr>
        <w:widowControl w:val="0"/>
        <w:spacing w:line="360" w:lineRule="auto"/>
        <w:ind w:firstLine="1134"/>
        <w:jc w:val="both"/>
        <w:rPr>
          <w:color w:val="000000"/>
          <w:sz w:val="28"/>
          <w:szCs w:val="28"/>
        </w:rPr>
      </w:pPr>
      <w:r w:rsidRPr="00C815B8">
        <w:rPr>
          <w:rFonts w:eastAsia="Calibri"/>
          <w:sz w:val="28"/>
          <w:szCs w:val="28"/>
          <w:lang w:eastAsia="en-US"/>
        </w:rPr>
        <w:t>Крайни клиенти, които са сменили Доставчика си на електрическа енергия и не са компенсирани от предишния си Доставчик, се компенсират от новия си Доставчик, при условия и ред определени в договорите на Доставчиците с ФСЕС.</w:t>
      </w:r>
    </w:p>
    <w:p w14:paraId="247ABA83" w14:textId="0DC8C18E" w:rsidR="00197512" w:rsidRPr="00C815B8" w:rsidRDefault="00197512"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 xml:space="preserve">Подкрепата по настоящата Програма не </w:t>
      </w:r>
      <w:r w:rsidR="00E475D2" w:rsidRPr="00C815B8">
        <w:rPr>
          <w:rFonts w:eastAsia="Calibri"/>
          <w:sz w:val="28"/>
          <w:szCs w:val="28"/>
          <w:lang w:eastAsia="en-US"/>
        </w:rPr>
        <w:t xml:space="preserve">може да се предоставя на небитови крайни клиенти, които получават компенсации за цените на електрическата енергия по други приети от Министерския съвет Програми, </w:t>
      </w:r>
      <w:r w:rsidR="00E475D2" w:rsidRPr="00C815B8">
        <w:rPr>
          <w:rFonts w:eastAsia="Calibri"/>
          <w:sz w:val="28"/>
          <w:szCs w:val="28"/>
          <w:lang w:eastAsia="en-US"/>
        </w:rPr>
        <w:lastRenderedPageBreak/>
        <w:t>чиито период на действие съвпада с настоящата Програма.</w:t>
      </w:r>
    </w:p>
    <w:p w14:paraId="23B31EC7" w14:textId="1E11B44A" w:rsidR="00ED394E" w:rsidRPr="00C815B8" w:rsidRDefault="00ED394E" w:rsidP="00C815B8">
      <w:pPr>
        <w:widowControl w:val="0"/>
        <w:spacing w:line="360" w:lineRule="auto"/>
        <w:ind w:firstLine="1134"/>
        <w:jc w:val="both"/>
        <w:rPr>
          <w:rFonts w:eastAsia="Calibri"/>
          <w:sz w:val="28"/>
          <w:szCs w:val="28"/>
          <w:lang w:eastAsia="en-US"/>
        </w:rPr>
      </w:pPr>
      <w:r w:rsidRPr="00C815B8">
        <w:rPr>
          <w:rFonts w:eastAsia="Calibri"/>
          <w:sz w:val="28"/>
          <w:szCs w:val="28"/>
          <w:lang w:eastAsia="en-US"/>
        </w:rPr>
        <w:t>Не се предоставят компенсации на небитови крайни клиенти, които са обект на наложени от Европейския съюз или други международни организации санкции, които са собственост или са под контрола на лица, които са обект на такива санкции, както и такива, които осъществяват дейност в отрасли, обект на такива санкции.</w:t>
      </w:r>
    </w:p>
    <w:p w14:paraId="504E3A80" w14:textId="69B62C11" w:rsidR="00016B3A" w:rsidRPr="00A11124" w:rsidRDefault="00197512" w:rsidP="00A11124">
      <w:pPr>
        <w:widowControl w:val="0"/>
        <w:spacing w:line="360" w:lineRule="auto"/>
        <w:ind w:firstLine="1134"/>
        <w:jc w:val="both"/>
        <w:rPr>
          <w:rFonts w:eastAsia="Calibri"/>
          <w:sz w:val="28"/>
          <w:szCs w:val="28"/>
          <w:lang w:eastAsia="en-US"/>
        </w:rPr>
      </w:pPr>
      <w:r w:rsidRPr="00C815B8">
        <w:rPr>
          <w:rFonts w:eastAsia="Calibri"/>
          <w:sz w:val="28"/>
          <w:szCs w:val="28"/>
          <w:lang w:eastAsia="en-US"/>
        </w:rPr>
        <w:t>Фонд „Сигурност на електроенергийната система“ чрез официалната си интернет страница осигурява публичен достъп до данни за предоставените чрез Доставчиците компенсации по настоящата програма за преодоляване на икономическите последици от промените на цените на електрическата енергия на всеки небитов краен клиент, при съобразяване с изискванията за опазване на търговски чувствителна информация.</w:t>
      </w:r>
    </w:p>
    <w:sectPr w:rsidR="00016B3A" w:rsidRPr="00A11124" w:rsidSect="007F7EC9">
      <w:footerReference w:type="default" r:id="rId7"/>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B0D5F" w14:textId="77777777" w:rsidR="0022111C" w:rsidRDefault="0022111C" w:rsidP="00197512">
      <w:r>
        <w:separator/>
      </w:r>
    </w:p>
  </w:endnote>
  <w:endnote w:type="continuationSeparator" w:id="0">
    <w:p w14:paraId="6AC372F0" w14:textId="77777777" w:rsidR="0022111C" w:rsidRDefault="0022111C" w:rsidP="0019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635766"/>
      <w:docPartObj>
        <w:docPartGallery w:val="Page Numbers (Bottom of Page)"/>
        <w:docPartUnique/>
      </w:docPartObj>
    </w:sdtPr>
    <w:sdtEndPr>
      <w:rPr>
        <w:rFonts w:ascii="Verdana" w:hAnsi="Verdana"/>
        <w:noProof/>
        <w:sz w:val="18"/>
        <w:szCs w:val="18"/>
      </w:rPr>
    </w:sdtEndPr>
    <w:sdtContent>
      <w:p w14:paraId="049DB15C" w14:textId="3EAFFC5D" w:rsidR="005D2AE2" w:rsidRPr="00B0612D" w:rsidRDefault="00404AC0" w:rsidP="00C815B8">
        <w:pPr>
          <w:pStyle w:val="Footer"/>
          <w:jc w:val="center"/>
          <w:rPr>
            <w:rFonts w:ascii="Verdana" w:hAnsi="Verdana"/>
            <w:sz w:val="18"/>
            <w:szCs w:val="18"/>
          </w:rPr>
        </w:pPr>
        <w:r w:rsidRPr="00B0612D">
          <w:rPr>
            <w:rFonts w:ascii="Verdana" w:hAnsi="Verdana"/>
            <w:sz w:val="18"/>
            <w:szCs w:val="18"/>
          </w:rPr>
          <w:fldChar w:fldCharType="begin"/>
        </w:r>
        <w:r w:rsidRPr="00B0612D">
          <w:rPr>
            <w:rFonts w:ascii="Verdana" w:hAnsi="Verdana"/>
            <w:sz w:val="18"/>
            <w:szCs w:val="18"/>
          </w:rPr>
          <w:instrText xml:space="preserve"> PAGE   \* MERGEFORMAT </w:instrText>
        </w:r>
        <w:r w:rsidRPr="00B0612D">
          <w:rPr>
            <w:rFonts w:ascii="Verdana" w:hAnsi="Verdana"/>
            <w:sz w:val="18"/>
            <w:szCs w:val="18"/>
          </w:rPr>
          <w:fldChar w:fldCharType="separate"/>
        </w:r>
        <w:r w:rsidR="008F5F08">
          <w:rPr>
            <w:rFonts w:ascii="Verdana" w:hAnsi="Verdana"/>
            <w:noProof/>
            <w:sz w:val="18"/>
            <w:szCs w:val="18"/>
          </w:rPr>
          <w:t>4</w:t>
        </w:r>
        <w:r w:rsidRPr="00B0612D">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67131" w14:textId="77777777" w:rsidR="0022111C" w:rsidRDefault="0022111C" w:rsidP="00197512">
      <w:r>
        <w:separator/>
      </w:r>
    </w:p>
  </w:footnote>
  <w:footnote w:type="continuationSeparator" w:id="0">
    <w:p w14:paraId="753FD76C" w14:textId="77777777" w:rsidR="0022111C" w:rsidRDefault="0022111C" w:rsidP="00197512">
      <w:r>
        <w:continuationSeparator/>
      </w:r>
    </w:p>
  </w:footnote>
  <w:footnote w:id="1">
    <w:p w14:paraId="1D987A15" w14:textId="77777777" w:rsidR="00197512" w:rsidRPr="00D52E6A" w:rsidRDefault="00197512" w:rsidP="00197512">
      <w:pPr>
        <w:pStyle w:val="FootnoteText"/>
        <w:rPr>
          <w:rFonts w:ascii="Verdana" w:hAnsi="Verdana"/>
          <w:sz w:val="16"/>
          <w:szCs w:val="16"/>
        </w:rPr>
      </w:pPr>
      <w:r w:rsidRPr="00D52E6A">
        <w:rPr>
          <w:rStyle w:val="FootnoteReference"/>
          <w:rFonts w:ascii="Verdana" w:hAnsi="Verdana"/>
          <w:sz w:val="16"/>
          <w:szCs w:val="16"/>
        </w:rPr>
        <w:footnoteRef/>
      </w:r>
      <w:r w:rsidRPr="00D52E6A">
        <w:rPr>
          <w:rFonts w:ascii="Verdana" w:hAnsi="Verdana"/>
          <w:sz w:val="16"/>
          <w:szCs w:val="16"/>
        </w:rPr>
        <w:t xml:space="preserve"> Цена за активна енергия без ДДС, акциз, цени за мрежови услуги, ЗКО и други услуги и налози.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12"/>
    <w:rsid w:val="000019DF"/>
    <w:rsid w:val="00016B3A"/>
    <w:rsid w:val="0006080B"/>
    <w:rsid w:val="00153526"/>
    <w:rsid w:val="00155563"/>
    <w:rsid w:val="00162862"/>
    <w:rsid w:val="00192945"/>
    <w:rsid w:val="00195B56"/>
    <w:rsid w:val="00197512"/>
    <w:rsid w:val="001B56A6"/>
    <w:rsid w:val="001D751B"/>
    <w:rsid w:val="001F65A8"/>
    <w:rsid w:val="00207E05"/>
    <w:rsid w:val="0022111C"/>
    <w:rsid w:val="00241DC2"/>
    <w:rsid w:val="002C3B92"/>
    <w:rsid w:val="002F43C4"/>
    <w:rsid w:val="003A38D9"/>
    <w:rsid w:val="00404AC0"/>
    <w:rsid w:val="004D605E"/>
    <w:rsid w:val="005D2AE2"/>
    <w:rsid w:val="005D4CA4"/>
    <w:rsid w:val="0062092A"/>
    <w:rsid w:val="00681E31"/>
    <w:rsid w:val="00687C68"/>
    <w:rsid w:val="00690E5D"/>
    <w:rsid w:val="007250CC"/>
    <w:rsid w:val="00731D3D"/>
    <w:rsid w:val="007403D6"/>
    <w:rsid w:val="007527BB"/>
    <w:rsid w:val="00786644"/>
    <w:rsid w:val="007F5A84"/>
    <w:rsid w:val="008674D9"/>
    <w:rsid w:val="008F5F08"/>
    <w:rsid w:val="00983F9B"/>
    <w:rsid w:val="009C1556"/>
    <w:rsid w:val="009F46C3"/>
    <w:rsid w:val="00A11124"/>
    <w:rsid w:val="00AC37F9"/>
    <w:rsid w:val="00AD17D4"/>
    <w:rsid w:val="00AF5650"/>
    <w:rsid w:val="00B34ECA"/>
    <w:rsid w:val="00B901B7"/>
    <w:rsid w:val="00BA1EA2"/>
    <w:rsid w:val="00BB0F2D"/>
    <w:rsid w:val="00BF0A4F"/>
    <w:rsid w:val="00C253B6"/>
    <w:rsid w:val="00C517B4"/>
    <w:rsid w:val="00C815B8"/>
    <w:rsid w:val="00CA7246"/>
    <w:rsid w:val="00CB39C5"/>
    <w:rsid w:val="00CF7331"/>
    <w:rsid w:val="00D00108"/>
    <w:rsid w:val="00D550C6"/>
    <w:rsid w:val="00D56C41"/>
    <w:rsid w:val="00D705E1"/>
    <w:rsid w:val="00DA0436"/>
    <w:rsid w:val="00DA7DA0"/>
    <w:rsid w:val="00E27025"/>
    <w:rsid w:val="00E475D2"/>
    <w:rsid w:val="00E62ABA"/>
    <w:rsid w:val="00EB1B4D"/>
    <w:rsid w:val="00EC129D"/>
    <w:rsid w:val="00ED394E"/>
    <w:rsid w:val="00EE72DA"/>
    <w:rsid w:val="00F364FF"/>
    <w:rsid w:val="00FB2A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808F"/>
  <w15:chartTrackingRefBased/>
  <w15:docId w15:val="{1D2BD032-7933-4478-8BBC-CE699C72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512"/>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97512"/>
    <w:rPr>
      <w:vertAlign w:val="superscript"/>
    </w:rPr>
  </w:style>
  <w:style w:type="paragraph" w:styleId="FootnoteText">
    <w:name w:val="footnote text"/>
    <w:basedOn w:val="Normal"/>
    <w:link w:val="FootnoteTextChar1"/>
    <w:uiPriority w:val="99"/>
    <w:semiHidden/>
    <w:unhideWhenUsed/>
    <w:rsid w:val="00197512"/>
    <w:rPr>
      <w:sz w:val="20"/>
      <w:szCs w:val="20"/>
    </w:rPr>
  </w:style>
  <w:style w:type="character" w:customStyle="1" w:styleId="FootnoteTextChar">
    <w:name w:val="Footnote Text Char"/>
    <w:basedOn w:val="DefaultParagraphFont"/>
    <w:uiPriority w:val="99"/>
    <w:semiHidden/>
    <w:rsid w:val="00197512"/>
    <w:rPr>
      <w:rFonts w:ascii="Times New Roman" w:eastAsia="Times New Roman" w:hAnsi="Times New Roman" w:cs="Times New Roman"/>
      <w:sz w:val="20"/>
      <w:szCs w:val="20"/>
      <w:lang w:eastAsia="bg-BG"/>
    </w:rPr>
  </w:style>
  <w:style w:type="character" w:customStyle="1" w:styleId="FootnoteTextChar1">
    <w:name w:val="Footnote Text Char1"/>
    <w:basedOn w:val="DefaultParagraphFont"/>
    <w:link w:val="FootnoteText"/>
    <w:uiPriority w:val="99"/>
    <w:semiHidden/>
    <w:rsid w:val="00197512"/>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rsid w:val="00197512"/>
    <w:pPr>
      <w:tabs>
        <w:tab w:val="center" w:pos="4536"/>
        <w:tab w:val="right" w:pos="9072"/>
      </w:tabs>
    </w:pPr>
  </w:style>
  <w:style w:type="character" w:customStyle="1" w:styleId="FooterChar">
    <w:name w:val="Footer Char"/>
    <w:basedOn w:val="DefaultParagraphFont"/>
    <w:link w:val="Footer"/>
    <w:uiPriority w:val="99"/>
    <w:rsid w:val="00197512"/>
    <w:rPr>
      <w:rFonts w:ascii="Times New Roman" w:eastAsia="Times New Roman" w:hAnsi="Times New Roman" w:cs="Times New Roman"/>
      <w:sz w:val="24"/>
      <w:szCs w:val="24"/>
      <w:lang w:eastAsia="bg-BG"/>
    </w:rPr>
  </w:style>
  <w:style w:type="paragraph" w:styleId="NoSpacing">
    <w:name w:val="No Spacing"/>
    <w:uiPriority w:val="1"/>
    <w:qFormat/>
    <w:rsid w:val="0019751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72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2DA"/>
    <w:rPr>
      <w:rFonts w:ascii="Segoe UI" w:eastAsia="Times New Roman" w:hAnsi="Segoe UI" w:cs="Segoe UI"/>
      <w:sz w:val="18"/>
      <w:szCs w:val="18"/>
      <w:lang w:eastAsia="bg-BG"/>
    </w:rPr>
  </w:style>
  <w:style w:type="paragraph" w:styleId="Revision">
    <w:name w:val="Revision"/>
    <w:hidden/>
    <w:uiPriority w:val="99"/>
    <w:semiHidden/>
    <w:rsid w:val="00AF5650"/>
    <w:pPr>
      <w:spacing w:after="0" w:line="240" w:lineRule="auto"/>
    </w:pPr>
    <w:rPr>
      <w:rFonts w:ascii="Times New Roman" w:eastAsia="Times New Roman" w:hAnsi="Times New Roman" w:cs="Times New Roman"/>
      <w:sz w:val="24"/>
      <w:szCs w:val="24"/>
      <w:lang w:eastAsia="bg-BG"/>
    </w:rPr>
  </w:style>
  <w:style w:type="character" w:styleId="CommentReference">
    <w:name w:val="annotation reference"/>
    <w:basedOn w:val="DefaultParagraphFont"/>
    <w:uiPriority w:val="99"/>
    <w:semiHidden/>
    <w:unhideWhenUsed/>
    <w:rsid w:val="007250CC"/>
    <w:rPr>
      <w:sz w:val="16"/>
      <w:szCs w:val="16"/>
    </w:rPr>
  </w:style>
  <w:style w:type="paragraph" w:styleId="CommentText">
    <w:name w:val="annotation text"/>
    <w:basedOn w:val="Normal"/>
    <w:link w:val="CommentTextChar"/>
    <w:uiPriority w:val="99"/>
    <w:unhideWhenUsed/>
    <w:rsid w:val="007250CC"/>
    <w:rPr>
      <w:sz w:val="20"/>
      <w:szCs w:val="20"/>
    </w:rPr>
  </w:style>
  <w:style w:type="character" w:customStyle="1" w:styleId="CommentTextChar">
    <w:name w:val="Comment Text Char"/>
    <w:basedOn w:val="DefaultParagraphFont"/>
    <w:link w:val="CommentText"/>
    <w:uiPriority w:val="99"/>
    <w:rsid w:val="007250CC"/>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7250CC"/>
    <w:rPr>
      <w:b/>
      <w:bCs/>
    </w:rPr>
  </w:style>
  <w:style w:type="character" w:customStyle="1" w:styleId="CommentSubjectChar">
    <w:name w:val="Comment Subject Char"/>
    <w:basedOn w:val="CommentTextChar"/>
    <w:link w:val="CommentSubject"/>
    <w:uiPriority w:val="99"/>
    <w:semiHidden/>
    <w:rsid w:val="007250CC"/>
    <w:rPr>
      <w:rFonts w:ascii="Times New Roman" w:eastAsia="Times New Roman" w:hAnsi="Times New Roman" w:cs="Times New Roman"/>
      <w:b/>
      <w:bCs/>
      <w:sz w:val="20"/>
      <w:szCs w:val="20"/>
      <w:lang w:eastAsia="bg-BG"/>
    </w:rPr>
  </w:style>
  <w:style w:type="paragraph" w:styleId="Header">
    <w:name w:val="header"/>
    <w:basedOn w:val="Normal"/>
    <w:link w:val="HeaderChar"/>
    <w:uiPriority w:val="99"/>
    <w:unhideWhenUsed/>
    <w:rsid w:val="00C815B8"/>
    <w:pPr>
      <w:tabs>
        <w:tab w:val="center" w:pos="4536"/>
        <w:tab w:val="right" w:pos="9072"/>
      </w:tabs>
    </w:pPr>
  </w:style>
  <w:style w:type="character" w:customStyle="1" w:styleId="HeaderChar">
    <w:name w:val="Header Char"/>
    <w:basedOn w:val="DefaultParagraphFont"/>
    <w:link w:val="Header"/>
    <w:uiPriority w:val="99"/>
    <w:rsid w:val="00C815B8"/>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3BA0A-4B33-4AB1-9176-BE2F0149A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1713</Words>
  <Characters>9768</Characters>
  <Application>Microsoft Office Word</Application>
  <DocSecurity>0</DocSecurity>
  <Lines>81</Lines>
  <Paragraphs>22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Гергана Лазарова</dc:creator>
  <cp:keywords/>
  <dc:description/>
  <cp:lastModifiedBy>Мария Любомирова Карагьозова</cp:lastModifiedBy>
  <cp:revision>2</cp:revision>
  <cp:lastPrinted>2026-09-17T07:18:00Z</cp:lastPrinted>
  <dcterms:created xsi:type="dcterms:W3CDTF">2026-09-18T08:43:00Z</dcterms:created>
  <dcterms:modified xsi:type="dcterms:W3CDTF">2026-09-18T08:43:00Z</dcterms:modified>
</cp:coreProperties>
</file>