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3AE88" w14:textId="77777777" w:rsidR="008E2450" w:rsidRPr="00AA668E" w:rsidRDefault="008E2450" w:rsidP="00722BC7">
      <w:pPr>
        <w:spacing w:after="0"/>
        <w:ind w:firstLine="720"/>
        <w:jc w:val="center"/>
        <w:rPr>
          <w:rFonts w:ascii="Times New Roman" w:hAnsi="Times New Roman" w:cs="Times New Roman"/>
          <w:sz w:val="24"/>
          <w:szCs w:val="24"/>
          <w:u w:val="single"/>
        </w:rPr>
      </w:pPr>
      <w:r w:rsidRPr="00AA668E">
        <w:rPr>
          <w:rFonts w:ascii="Times New Roman" w:hAnsi="Times New Roman" w:cs="Times New Roman"/>
          <w:sz w:val="24"/>
          <w:szCs w:val="24"/>
          <w:u w:val="single"/>
        </w:rPr>
        <w:t xml:space="preserve">ОРГАНИЗАЦИЯ НА НАТО ЗА </w:t>
      </w:r>
      <w:r w:rsidR="008E334D">
        <w:rPr>
          <w:rFonts w:ascii="Times New Roman" w:hAnsi="Times New Roman" w:cs="Times New Roman"/>
          <w:sz w:val="24"/>
          <w:szCs w:val="24"/>
          <w:u w:val="single"/>
          <w:lang w:val="bg-BG"/>
        </w:rPr>
        <w:t>ПОДДРЪЖКА И ПРИДОБИВАНЕ</w:t>
      </w:r>
      <w:r w:rsidR="008E334D" w:rsidRPr="00AA668E">
        <w:rPr>
          <w:rFonts w:ascii="Times New Roman" w:hAnsi="Times New Roman" w:cs="Times New Roman"/>
          <w:sz w:val="24"/>
          <w:szCs w:val="24"/>
          <w:u w:val="single"/>
        </w:rPr>
        <w:t xml:space="preserve"> </w:t>
      </w:r>
      <w:r w:rsidRPr="00AA668E">
        <w:rPr>
          <w:rFonts w:ascii="Times New Roman" w:hAnsi="Times New Roman" w:cs="Times New Roman"/>
          <w:sz w:val="24"/>
          <w:szCs w:val="24"/>
          <w:u w:val="single"/>
        </w:rPr>
        <w:t>(NSPO)</w:t>
      </w:r>
    </w:p>
    <w:p w14:paraId="297B5C91" w14:textId="77777777" w:rsidR="00AA668E" w:rsidRDefault="00AA668E" w:rsidP="00722BC7">
      <w:pPr>
        <w:spacing w:after="0"/>
        <w:ind w:firstLine="720"/>
        <w:jc w:val="center"/>
        <w:rPr>
          <w:rFonts w:ascii="Times New Roman" w:hAnsi="Times New Roman" w:cs="Times New Roman"/>
          <w:sz w:val="28"/>
          <w:szCs w:val="28"/>
        </w:rPr>
      </w:pPr>
    </w:p>
    <w:p w14:paraId="7C9AF340" w14:textId="77777777" w:rsidR="008E2450" w:rsidRDefault="008E2450" w:rsidP="00722BC7">
      <w:pPr>
        <w:spacing w:after="0"/>
        <w:ind w:firstLine="720"/>
        <w:jc w:val="center"/>
        <w:rPr>
          <w:rFonts w:ascii="Times New Roman" w:hAnsi="Times New Roman" w:cs="Times New Roman"/>
          <w:sz w:val="28"/>
          <w:szCs w:val="28"/>
        </w:rPr>
      </w:pPr>
      <w:r w:rsidRPr="00490CC8">
        <w:rPr>
          <w:rFonts w:ascii="Times New Roman" w:hAnsi="Times New Roman" w:cs="Times New Roman"/>
          <w:b/>
          <w:sz w:val="28"/>
          <w:szCs w:val="28"/>
        </w:rPr>
        <w:t>СПОРАЗУМЕНИЕ № 1809</w:t>
      </w:r>
      <w:r w:rsidRPr="00831A5B">
        <w:rPr>
          <w:rFonts w:ascii="Times New Roman" w:hAnsi="Times New Roman" w:cs="Times New Roman"/>
          <w:sz w:val="28"/>
          <w:szCs w:val="28"/>
        </w:rPr>
        <w:t xml:space="preserve"> /</w:t>
      </w:r>
    </w:p>
    <w:p w14:paraId="5F72D084" w14:textId="77777777" w:rsidR="003267E9" w:rsidRPr="00831A5B" w:rsidRDefault="003267E9" w:rsidP="00722BC7">
      <w:pPr>
        <w:spacing w:after="0"/>
        <w:ind w:firstLine="720"/>
        <w:jc w:val="center"/>
        <w:rPr>
          <w:rFonts w:ascii="Times New Roman" w:hAnsi="Times New Roman" w:cs="Times New Roman"/>
          <w:sz w:val="28"/>
          <w:szCs w:val="28"/>
        </w:rPr>
      </w:pPr>
    </w:p>
    <w:p w14:paraId="52B631F1" w14:textId="77777777" w:rsidR="008E2450" w:rsidRPr="00AA668E" w:rsidRDefault="00EA1BF8" w:rsidP="003267E9">
      <w:pPr>
        <w:spacing w:after="0"/>
        <w:ind w:firstLine="720"/>
        <w:jc w:val="center"/>
        <w:rPr>
          <w:rFonts w:ascii="Times New Roman" w:hAnsi="Times New Roman" w:cs="Times New Roman"/>
          <w:sz w:val="24"/>
          <w:szCs w:val="24"/>
        </w:rPr>
      </w:pPr>
      <w:r w:rsidRPr="00AA668E">
        <w:rPr>
          <w:rFonts w:ascii="Times New Roman" w:hAnsi="Times New Roman" w:cs="Times New Roman"/>
          <w:sz w:val="24"/>
          <w:szCs w:val="24"/>
        </w:rPr>
        <w:t xml:space="preserve">УПРАВЛЕНИЕ НА МАТЕРИАЛНИ СРЕДСТВА </w:t>
      </w:r>
      <w:r w:rsidR="003267E9" w:rsidRPr="00AA668E">
        <w:rPr>
          <w:rFonts w:ascii="Times New Roman" w:hAnsi="Times New Roman" w:cs="Times New Roman"/>
          <w:sz w:val="24"/>
          <w:szCs w:val="24"/>
          <w:lang w:val="bg-BG"/>
        </w:rPr>
        <w:t>С</w:t>
      </w:r>
      <w:r w:rsidRPr="00AA668E">
        <w:rPr>
          <w:rFonts w:ascii="Times New Roman" w:hAnsi="Times New Roman" w:cs="Times New Roman"/>
          <w:sz w:val="24"/>
          <w:szCs w:val="24"/>
        </w:rPr>
        <w:t xml:space="preserve"> ОБЩО ПРЕДНАЗНАЧЕНИЕ</w:t>
      </w:r>
      <w:r w:rsidRPr="00AA668E">
        <w:rPr>
          <w:rFonts w:ascii="Times New Roman" w:hAnsi="Times New Roman" w:cs="Times New Roman"/>
          <w:sz w:val="24"/>
          <w:szCs w:val="24"/>
          <w:lang w:val="bg-BG"/>
        </w:rPr>
        <w:t xml:space="preserve"> </w:t>
      </w:r>
      <w:r w:rsidR="008E2450" w:rsidRPr="00AA668E">
        <w:rPr>
          <w:rFonts w:ascii="Times New Roman" w:hAnsi="Times New Roman" w:cs="Times New Roman"/>
          <w:sz w:val="24"/>
          <w:szCs w:val="24"/>
        </w:rPr>
        <w:t>(</w:t>
      </w:r>
      <w:r w:rsidR="00AA668E">
        <w:rPr>
          <w:rFonts w:ascii="Times New Roman" w:hAnsi="Times New Roman" w:cs="Times New Roman"/>
          <w:sz w:val="24"/>
          <w:szCs w:val="24"/>
        </w:rPr>
        <w:t>COMMIT</w:t>
      </w:r>
      <w:r w:rsidR="008E2450" w:rsidRPr="00AA668E">
        <w:rPr>
          <w:rFonts w:ascii="Times New Roman" w:hAnsi="Times New Roman" w:cs="Times New Roman"/>
          <w:sz w:val="24"/>
          <w:szCs w:val="24"/>
        </w:rPr>
        <w:t>)</w:t>
      </w:r>
    </w:p>
    <w:p w14:paraId="32A6CA29" w14:textId="77777777" w:rsidR="008E2450" w:rsidRPr="00490CC8" w:rsidRDefault="008E2450" w:rsidP="00722BC7">
      <w:pPr>
        <w:spacing w:after="0"/>
        <w:ind w:firstLine="720"/>
        <w:jc w:val="center"/>
        <w:rPr>
          <w:rFonts w:ascii="Times New Roman" w:hAnsi="Times New Roman" w:cs="Times New Roman"/>
          <w:sz w:val="24"/>
          <w:szCs w:val="24"/>
          <w:lang w:val="bg-BG"/>
        </w:rPr>
      </w:pPr>
      <w:r w:rsidRPr="00490CC8">
        <w:rPr>
          <w:rFonts w:ascii="Times New Roman" w:hAnsi="Times New Roman" w:cs="Times New Roman"/>
          <w:sz w:val="24"/>
          <w:szCs w:val="24"/>
        </w:rPr>
        <w:t xml:space="preserve">СПОРАЗУМЕНИЕ ЗА ПАРТНЬОРСТВО </w:t>
      </w:r>
      <w:r w:rsidR="00AA668E" w:rsidRPr="00490CC8">
        <w:rPr>
          <w:rFonts w:ascii="Times New Roman" w:hAnsi="Times New Roman" w:cs="Times New Roman"/>
          <w:sz w:val="24"/>
          <w:szCs w:val="24"/>
          <w:lang w:val="bg-BG"/>
        </w:rPr>
        <w:t xml:space="preserve">И </w:t>
      </w:r>
      <w:r w:rsidR="00EA1BF8" w:rsidRPr="00490CC8">
        <w:rPr>
          <w:rFonts w:ascii="Times New Roman" w:hAnsi="Times New Roman" w:cs="Times New Roman"/>
          <w:sz w:val="24"/>
          <w:szCs w:val="24"/>
          <w:lang w:val="bg-BG"/>
        </w:rPr>
        <w:t>ПОДДРЪЖКА</w:t>
      </w:r>
    </w:p>
    <w:p w14:paraId="43A6580B" w14:textId="77777777" w:rsidR="00AA668E" w:rsidRPr="00831A5B" w:rsidRDefault="00AA668E" w:rsidP="00722BC7">
      <w:pPr>
        <w:spacing w:after="0"/>
        <w:ind w:firstLine="720"/>
        <w:jc w:val="center"/>
        <w:rPr>
          <w:rFonts w:ascii="Times New Roman" w:hAnsi="Times New Roman" w:cs="Times New Roman"/>
          <w:sz w:val="28"/>
          <w:szCs w:val="28"/>
        </w:rPr>
      </w:pPr>
    </w:p>
    <w:p w14:paraId="5F8C6CF8" w14:textId="77777777" w:rsidR="00831A5B" w:rsidRPr="00831A5B" w:rsidRDefault="00AE2106" w:rsidP="000D70A6">
      <w:pPr>
        <w:spacing w:after="0"/>
        <w:ind w:left="709" w:firstLine="11"/>
        <w:jc w:val="center"/>
        <w:rPr>
          <w:rFonts w:ascii="Times New Roman" w:hAnsi="Times New Roman" w:cs="Times New Roman"/>
          <w:sz w:val="24"/>
          <w:szCs w:val="24"/>
        </w:rPr>
      </w:pPr>
      <w:proofErr w:type="spellStart"/>
      <w:r>
        <w:rPr>
          <w:rFonts w:ascii="Times New Roman" w:hAnsi="Times New Roman" w:cs="Times New Roman"/>
          <w:sz w:val="24"/>
          <w:szCs w:val="24"/>
        </w:rPr>
        <w:t>Четвърта</w:t>
      </w:r>
      <w:proofErr w:type="spellEnd"/>
      <w:r w:rsidR="008E2450" w:rsidRPr="00831A5B">
        <w:rPr>
          <w:rFonts w:ascii="Times New Roman" w:hAnsi="Times New Roman" w:cs="Times New Roman"/>
          <w:sz w:val="24"/>
          <w:szCs w:val="24"/>
        </w:rPr>
        <w:t xml:space="preserve"> </w:t>
      </w:r>
      <w:r>
        <w:rPr>
          <w:rFonts w:ascii="Times New Roman" w:hAnsi="Times New Roman" w:cs="Times New Roman"/>
          <w:sz w:val="24"/>
          <w:szCs w:val="24"/>
          <w:lang w:val="bg-BG"/>
        </w:rPr>
        <w:t>редакция</w:t>
      </w:r>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одобрен</w:t>
      </w:r>
      <w:proofErr w:type="spellEnd"/>
      <w:r>
        <w:rPr>
          <w:rFonts w:ascii="Times New Roman" w:hAnsi="Times New Roman" w:cs="Times New Roman"/>
          <w:sz w:val="24"/>
          <w:szCs w:val="24"/>
          <w:lang w:val="bg-BG"/>
        </w:rPr>
        <w:t>а</w:t>
      </w:r>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от</w:t>
      </w:r>
      <w:proofErr w:type="spellEnd"/>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Надзорния</w:t>
      </w:r>
      <w:proofErr w:type="spellEnd"/>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съвет</w:t>
      </w:r>
      <w:proofErr w:type="spellEnd"/>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на</w:t>
      </w:r>
      <w:proofErr w:type="spellEnd"/>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агенцията</w:t>
      </w:r>
      <w:proofErr w:type="spellEnd"/>
      <w:r w:rsidR="008E2450" w:rsidRPr="00831A5B">
        <w:rPr>
          <w:rFonts w:ascii="Times New Roman" w:hAnsi="Times New Roman" w:cs="Times New Roman"/>
          <w:sz w:val="24"/>
          <w:szCs w:val="24"/>
        </w:rPr>
        <w:t xml:space="preserve"> NSPO </w:t>
      </w:r>
      <w:proofErr w:type="spellStart"/>
      <w:r w:rsidR="008E2450" w:rsidRPr="00831A5B">
        <w:rPr>
          <w:rFonts w:ascii="Times New Roman" w:hAnsi="Times New Roman" w:cs="Times New Roman"/>
          <w:sz w:val="24"/>
          <w:szCs w:val="24"/>
        </w:rPr>
        <w:t>на</w:t>
      </w:r>
      <w:proofErr w:type="spellEnd"/>
      <w:r w:rsidR="008E2450" w:rsidRPr="00831A5B">
        <w:rPr>
          <w:rFonts w:ascii="Times New Roman" w:hAnsi="Times New Roman" w:cs="Times New Roman"/>
          <w:sz w:val="24"/>
          <w:szCs w:val="24"/>
        </w:rPr>
        <w:t xml:space="preserve"> 2 </w:t>
      </w:r>
      <w:proofErr w:type="spellStart"/>
      <w:r w:rsidR="008E2450" w:rsidRPr="00831A5B">
        <w:rPr>
          <w:rFonts w:ascii="Times New Roman" w:hAnsi="Times New Roman" w:cs="Times New Roman"/>
          <w:sz w:val="24"/>
          <w:szCs w:val="24"/>
        </w:rPr>
        <w:t>април</w:t>
      </w:r>
      <w:proofErr w:type="spellEnd"/>
      <w:r w:rsidR="008E2450" w:rsidRPr="00831A5B">
        <w:rPr>
          <w:rFonts w:ascii="Times New Roman" w:hAnsi="Times New Roman" w:cs="Times New Roman"/>
          <w:sz w:val="24"/>
          <w:szCs w:val="24"/>
        </w:rPr>
        <w:t xml:space="preserve"> 2024 г. (</w:t>
      </w:r>
      <w:proofErr w:type="spellStart"/>
      <w:r w:rsidR="008E2450" w:rsidRPr="00831A5B">
        <w:rPr>
          <w:rFonts w:ascii="Times New Roman" w:hAnsi="Times New Roman" w:cs="Times New Roman"/>
          <w:sz w:val="24"/>
          <w:szCs w:val="24"/>
        </w:rPr>
        <w:t>Членство</w:t>
      </w:r>
      <w:proofErr w:type="spellEnd"/>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на</w:t>
      </w:r>
      <w:proofErr w:type="spellEnd"/>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Швеция</w:t>
      </w:r>
      <w:proofErr w:type="spellEnd"/>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като</w:t>
      </w:r>
      <w:proofErr w:type="spellEnd"/>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страна</w:t>
      </w:r>
      <w:proofErr w:type="spellEnd"/>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членка</w:t>
      </w:r>
      <w:proofErr w:type="spellEnd"/>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на</w:t>
      </w:r>
      <w:proofErr w:type="spellEnd"/>
      <w:r w:rsidR="008E2450" w:rsidRPr="00831A5B">
        <w:rPr>
          <w:rFonts w:ascii="Times New Roman" w:hAnsi="Times New Roman" w:cs="Times New Roman"/>
          <w:sz w:val="24"/>
          <w:szCs w:val="24"/>
        </w:rPr>
        <w:t xml:space="preserve"> </w:t>
      </w:r>
      <w:proofErr w:type="spellStart"/>
      <w:r w:rsidR="008E2450" w:rsidRPr="00831A5B">
        <w:rPr>
          <w:rFonts w:ascii="Times New Roman" w:hAnsi="Times New Roman" w:cs="Times New Roman"/>
          <w:sz w:val="24"/>
          <w:szCs w:val="24"/>
        </w:rPr>
        <w:t>партньорството</w:t>
      </w:r>
      <w:proofErr w:type="spellEnd"/>
      <w:r w:rsidR="008E2450" w:rsidRPr="00831A5B">
        <w:rPr>
          <w:rFonts w:ascii="Times New Roman" w:hAnsi="Times New Roman" w:cs="Times New Roman"/>
          <w:sz w:val="24"/>
          <w:szCs w:val="24"/>
        </w:rPr>
        <w:t>)</w:t>
      </w:r>
    </w:p>
    <w:p w14:paraId="293D512B" w14:textId="77777777" w:rsidR="008E2450" w:rsidRPr="00831A5B" w:rsidRDefault="008E2450" w:rsidP="000D70A6">
      <w:pPr>
        <w:spacing w:after="0"/>
        <w:ind w:firstLine="720"/>
        <w:jc w:val="center"/>
        <w:rPr>
          <w:rFonts w:ascii="Times New Roman" w:hAnsi="Times New Roman" w:cs="Times New Roman"/>
          <w:sz w:val="24"/>
          <w:szCs w:val="24"/>
        </w:rPr>
      </w:pPr>
      <w:r w:rsidRPr="00831A5B">
        <w:rPr>
          <w:rFonts w:ascii="Times New Roman" w:hAnsi="Times New Roman" w:cs="Times New Roman"/>
          <w:sz w:val="24"/>
          <w:szCs w:val="24"/>
        </w:rPr>
        <w:t>[AC/338-</w:t>
      </w:r>
      <w:proofErr w:type="gramStart"/>
      <w:r w:rsidRPr="00831A5B">
        <w:rPr>
          <w:rFonts w:ascii="Times New Roman" w:hAnsi="Times New Roman" w:cs="Times New Roman"/>
          <w:sz w:val="24"/>
          <w:szCs w:val="24"/>
        </w:rPr>
        <w:t>D(</w:t>
      </w:r>
      <w:proofErr w:type="gramEnd"/>
      <w:r w:rsidRPr="00831A5B">
        <w:rPr>
          <w:rFonts w:ascii="Times New Roman" w:hAnsi="Times New Roman" w:cs="Times New Roman"/>
          <w:sz w:val="24"/>
          <w:szCs w:val="24"/>
        </w:rPr>
        <w:t xml:space="preserve">2024)0043, 11 </w:t>
      </w:r>
      <w:proofErr w:type="spellStart"/>
      <w:r w:rsidRPr="00831A5B">
        <w:rPr>
          <w:rFonts w:ascii="Times New Roman" w:hAnsi="Times New Roman" w:cs="Times New Roman"/>
          <w:sz w:val="24"/>
          <w:szCs w:val="24"/>
        </w:rPr>
        <w:t>март</w:t>
      </w:r>
      <w:proofErr w:type="spellEnd"/>
      <w:r w:rsidRPr="00831A5B">
        <w:rPr>
          <w:rFonts w:ascii="Times New Roman" w:hAnsi="Times New Roman" w:cs="Times New Roman"/>
          <w:sz w:val="24"/>
          <w:szCs w:val="24"/>
        </w:rPr>
        <w:t xml:space="preserve"> 2024 г. и </w:t>
      </w:r>
      <w:proofErr w:type="spellStart"/>
      <w:r w:rsidRPr="00831A5B">
        <w:rPr>
          <w:rFonts w:ascii="Times New Roman" w:hAnsi="Times New Roman" w:cs="Times New Roman"/>
          <w:sz w:val="24"/>
          <w:szCs w:val="24"/>
        </w:rPr>
        <w:t>лист</w:t>
      </w:r>
      <w:proofErr w:type="spellEnd"/>
      <w:r w:rsidRPr="00831A5B">
        <w:rPr>
          <w:rFonts w:ascii="Times New Roman" w:hAnsi="Times New Roman" w:cs="Times New Roman"/>
          <w:sz w:val="24"/>
          <w:szCs w:val="24"/>
        </w:rPr>
        <w:t xml:space="preserve"> </w:t>
      </w:r>
      <w:proofErr w:type="spellStart"/>
      <w:r w:rsidRPr="00831A5B">
        <w:rPr>
          <w:rFonts w:ascii="Times New Roman" w:hAnsi="Times New Roman" w:cs="Times New Roman"/>
          <w:sz w:val="24"/>
          <w:szCs w:val="24"/>
        </w:rPr>
        <w:t>за</w:t>
      </w:r>
      <w:proofErr w:type="spellEnd"/>
      <w:r w:rsidRPr="00831A5B">
        <w:rPr>
          <w:rFonts w:ascii="Times New Roman" w:hAnsi="Times New Roman" w:cs="Times New Roman"/>
          <w:sz w:val="24"/>
          <w:szCs w:val="24"/>
        </w:rPr>
        <w:t xml:space="preserve"> </w:t>
      </w:r>
      <w:proofErr w:type="spellStart"/>
      <w:r w:rsidRPr="00831A5B">
        <w:rPr>
          <w:rFonts w:ascii="Times New Roman" w:hAnsi="Times New Roman" w:cs="Times New Roman"/>
          <w:sz w:val="24"/>
          <w:szCs w:val="24"/>
        </w:rPr>
        <w:t>действие</w:t>
      </w:r>
      <w:proofErr w:type="spellEnd"/>
      <w:r w:rsidRPr="00831A5B">
        <w:rPr>
          <w:rFonts w:ascii="Times New Roman" w:hAnsi="Times New Roman" w:cs="Times New Roman"/>
          <w:sz w:val="24"/>
          <w:szCs w:val="24"/>
        </w:rPr>
        <w:t xml:space="preserve">, 2 </w:t>
      </w:r>
      <w:proofErr w:type="spellStart"/>
      <w:r w:rsidRPr="00831A5B">
        <w:rPr>
          <w:rFonts w:ascii="Times New Roman" w:hAnsi="Times New Roman" w:cs="Times New Roman"/>
          <w:sz w:val="24"/>
          <w:szCs w:val="24"/>
        </w:rPr>
        <w:t>април</w:t>
      </w:r>
      <w:proofErr w:type="spellEnd"/>
      <w:r w:rsidRPr="00831A5B">
        <w:rPr>
          <w:rFonts w:ascii="Times New Roman" w:hAnsi="Times New Roman" w:cs="Times New Roman"/>
          <w:sz w:val="24"/>
          <w:szCs w:val="24"/>
        </w:rPr>
        <w:t xml:space="preserve"> 2024 г.]</w:t>
      </w:r>
    </w:p>
    <w:p w14:paraId="305FA7C1" w14:textId="77777777" w:rsidR="00831A5B" w:rsidRDefault="00831A5B" w:rsidP="000D70A6">
      <w:pPr>
        <w:spacing w:after="0"/>
        <w:ind w:firstLine="720"/>
        <w:jc w:val="center"/>
        <w:rPr>
          <w:rFonts w:ascii="Times New Roman" w:hAnsi="Times New Roman" w:cs="Times New Roman"/>
          <w:sz w:val="28"/>
          <w:szCs w:val="28"/>
        </w:rPr>
      </w:pPr>
    </w:p>
    <w:p w14:paraId="60B35561" w14:textId="77777777" w:rsidR="00AA668E" w:rsidRPr="00AA668E" w:rsidRDefault="00AA668E" w:rsidP="00722BC7">
      <w:pPr>
        <w:spacing w:after="0"/>
        <w:ind w:firstLine="720"/>
        <w:jc w:val="center"/>
        <w:rPr>
          <w:rFonts w:ascii="Times New Roman" w:hAnsi="Times New Roman" w:cs="Times New Roman"/>
          <w:b/>
          <w:sz w:val="28"/>
          <w:szCs w:val="28"/>
        </w:rPr>
      </w:pPr>
    </w:p>
    <w:p w14:paraId="5ADF41E7" w14:textId="77777777" w:rsidR="008E2450" w:rsidRPr="00AA668E" w:rsidRDefault="008E2450" w:rsidP="00722BC7">
      <w:pPr>
        <w:spacing w:after="0"/>
        <w:ind w:firstLine="720"/>
        <w:jc w:val="center"/>
        <w:rPr>
          <w:rFonts w:ascii="Times New Roman" w:hAnsi="Times New Roman" w:cs="Times New Roman"/>
          <w:b/>
          <w:sz w:val="24"/>
          <w:szCs w:val="24"/>
        </w:rPr>
      </w:pPr>
      <w:r w:rsidRPr="00AA668E">
        <w:rPr>
          <w:rFonts w:ascii="Times New Roman" w:hAnsi="Times New Roman" w:cs="Times New Roman"/>
          <w:b/>
          <w:sz w:val="24"/>
          <w:szCs w:val="24"/>
        </w:rPr>
        <w:t xml:space="preserve">НАДЗОРЕН СЪВЕТ НА АГЕНЦИЯТА </w:t>
      </w:r>
      <w:r w:rsidR="00AA668E">
        <w:rPr>
          <w:rFonts w:ascii="Times New Roman" w:hAnsi="Times New Roman" w:cs="Times New Roman"/>
          <w:b/>
          <w:sz w:val="24"/>
          <w:szCs w:val="24"/>
        </w:rPr>
        <w:t xml:space="preserve">(NSB) </w:t>
      </w:r>
      <w:r w:rsidRPr="00AA668E">
        <w:rPr>
          <w:rFonts w:ascii="Times New Roman" w:hAnsi="Times New Roman" w:cs="Times New Roman"/>
          <w:b/>
          <w:sz w:val="24"/>
          <w:szCs w:val="24"/>
        </w:rPr>
        <w:t>NSPO</w:t>
      </w:r>
    </w:p>
    <w:p w14:paraId="41F028B0" w14:textId="77777777" w:rsidR="008E2450" w:rsidRPr="00AA668E" w:rsidRDefault="008E2450" w:rsidP="00722BC7">
      <w:pPr>
        <w:spacing w:after="0"/>
        <w:ind w:firstLine="720"/>
        <w:jc w:val="center"/>
        <w:rPr>
          <w:rFonts w:ascii="Times New Roman" w:hAnsi="Times New Roman" w:cs="Times New Roman"/>
          <w:sz w:val="24"/>
          <w:szCs w:val="24"/>
        </w:rPr>
      </w:pPr>
      <w:r w:rsidRPr="00AA668E">
        <w:rPr>
          <w:rFonts w:ascii="Times New Roman" w:hAnsi="Times New Roman" w:cs="Times New Roman"/>
          <w:sz w:val="24"/>
          <w:szCs w:val="24"/>
        </w:rPr>
        <w:t xml:space="preserve">ОРГАНИЗАЦИЯ ЗА </w:t>
      </w:r>
      <w:r w:rsidR="00AA668E">
        <w:rPr>
          <w:rFonts w:ascii="Times New Roman" w:hAnsi="Times New Roman" w:cs="Times New Roman"/>
          <w:sz w:val="24"/>
          <w:szCs w:val="24"/>
          <w:lang w:val="bg-BG"/>
        </w:rPr>
        <w:t>ПОДДРЪЖКА И ПРИДОБИВАНЕ</w:t>
      </w:r>
      <w:r w:rsidR="00AA668E" w:rsidRPr="00AA668E">
        <w:rPr>
          <w:rFonts w:ascii="Times New Roman" w:hAnsi="Times New Roman" w:cs="Times New Roman"/>
          <w:sz w:val="24"/>
          <w:szCs w:val="24"/>
        </w:rPr>
        <w:t xml:space="preserve"> </w:t>
      </w:r>
      <w:r w:rsidRPr="00AA668E">
        <w:rPr>
          <w:rFonts w:ascii="Times New Roman" w:hAnsi="Times New Roman" w:cs="Times New Roman"/>
          <w:sz w:val="24"/>
          <w:szCs w:val="24"/>
        </w:rPr>
        <w:t>НА НАТО (NSPO)</w:t>
      </w:r>
    </w:p>
    <w:p w14:paraId="3555C5C0" w14:textId="77777777" w:rsidR="008E2450" w:rsidRPr="00490CC8" w:rsidRDefault="008E2450" w:rsidP="00722BC7">
      <w:pPr>
        <w:spacing w:after="0"/>
        <w:ind w:firstLine="720"/>
        <w:jc w:val="center"/>
        <w:rPr>
          <w:rFonts w:ascii="Times New Roman" w:hAnsi="Times New Roman" w:cs="Times New Roman"/>
          <w:b/>
          <w:sz w:val="24"/>
          <w:szCs w:val="24"/>
        </w:rPr>
      </w:pPr>
      <w:r w:rsidRPr="00490CC8">
        <w:rPr>
          <w:rFonts w:ascii="Times New Roman" w:hAnsi="Times New Roman" w:cs="Times New Roman"/>
          <w:b/>
          <w:sz w:val="24"/>
          <w:szCs w:val="24"/>
        </w:rPr>
        <w:t>СПОРАЗУМЕНИЕ № 1809</w:t>
      </w:r>
    </w:p>
    <w:p w14:paraId="36901A1D" w14:textId="77777777" w:rsidR="00AA668E" w:rsidRDefault="00AA668E" w:rsidP="00722BC7">
      <w:pPr>
        <w:spacing w:after="0"/>
        <w:ind w:firstLine="720"/>
        <w:jc w:val="center"/>
        <w:rPr>
          <w:rFonts w:ascii="Times New Roman" w:hAnsi="Times New Roman" w:cs="Times New Roman"/>
          <w:sz w:val="24"/>
          <w:szCs w:val="24"/>
        </w:rPr>
      </w:pPr>
      <w:r w:rsidRPr="00AA668E">
        <w:rPr>
          <w:rFonts w:ascii="Times New Roman" w:hAnsi="Times New Roman" w:cs="Times New Roman"/>
          <w:sz w:val="24"/>
          <w:szCs w:val="24"/>
        </w:rPr>
        <w:t>УПРАВЛЕНИЕ НА МАТЕРИАЛНИ СРЕДСТВА С ОБЩО ПРЕДНАЗНАЧЕНИЕ (COMMIT)</w:t>
      </w:r>
    </w:p>
    <w:p w14:paraId="51468953" w14:textId="77777777" w:rsidR="008E2450" w:rsidRPr="006121B1" w:rsidRDefault="008E2450" w:rsidP="00722BC7">
      <w:pPr>
        <w:spacing w:after="0"/>
        <w:ind w:firstLine="720"/>
        <w:jc w:val="center"/>
        <w:rPr>
          <w:rFonts w:ascii="Times New Roman" w:hAnsi="Times New Roman" w:cs="Times New Roman"/>
          <w:sz w:val="24"/>
          <w:szCs w:val="24"/>
          <w:lang w:val="bg-BG"/>
        </w:rPr>
      </w:pPr>
      <w:r w:rsidRPr="00AA668E">
        <w:rPr>
          <w:rFonts w:ascii="Times New Roman" w:hAnsi="Times New Roman" w:cs="Times New Roman"/>
          <w:sz w:val="24"/>
          <w:szCs w:val="24"/>
        </w:rPr>
        <w:t xml:space="preserve">СПОРАЗУМЕНИЕ ЗА ПАРТНЬОРСТВО </w:t>
      </w:r>
      <w:r w:rsidR="006121B1">
        <w:rPr>
          <w:rFonts w:ascii="Times New Roman" w:hAnsi="Times New Roman" w:cs="Times New Roman"/>
          <w:sz w:val="24"/>
          <w:szCs w:val="24"/>
          <w:lang w:val="bg-BG"/>
        </w:rPr>
        <w:t>И</w:t>
      </w:r>
      <w:r w:rsidR="006121B1" w:rsidRPr="00AA668E">
        <w:rPr>
          <w:rFonts w:ascii="Times New Roman" w:hAnsi="Times New Roman" w:cs="Times New Roman"/>
          <w:sz w:val="24"/>
          <w:szCs w:val="24"/>
        </w:rPr>
        <w:t xml:space="preserve"> </w:t>
      </w:r>
      <w:r w:rsidR="006121B1">
        <w:rPr>
          <w:rFonts w:ascii="Times New Roman" w:hAnsi="Times New Roman" w:cs="Times New Roman"/>
          <w:sz w:val="24"/>
          <w:szCs w:val="24"/>
          <w:lang w:val="bg-BG"/>
        </w:rPr>
        <w:t>ПОДДРЪЖКА</w:t>
      </w:r>
    </w:p>
    <w:p w14:paraId="1A0F173C" w14:textId="77777777" w:rsidR="006121B1" w:rsidRDefault="006121B1" w:rsidP="00AA668E">
      <w:pPr>
        <w:spacing w:after="0"/>
        <w:ind w:firstLine="720"/>
        <w:rPr>
          <w:rFonts w:ascii="Times New Roman" w:hAnsi="Times New Roman" w:cs="Times New Roman"/>
          <w:sz w:val="24"/>
          <w:szCs w:val="24"/>
          <w:lang w:val="bg-BG"/>
        </w:rPr>
      </w:pPr>
    </w:p>
    <w:p w14:paraId="4FFB29B8" w14:textId="77777777" w:rsidR="008E2450" w:rsidRPr="0033710D" w:rsidRDefault="00490CC8" w:rsidP="00AA668E">
      <w:pPr>
        <w:spacing w:after="0"/>
        <w:ind w:firstLine="720"/>
        <w:rPr>
          <w:rFonts w:ascii="Times New Roman" w:hAnsi="Times New Roman" w:cs="Times New Roman"/>
          <w:sz w:val="28"/>
          <w:szCs w:val="28"/>
          <w:lang w:val="bg-BG"/>
        </w:rPr>
      </w:pPr>
      <w:r w:rsidRPr="0033710D">
        <w:rPr>
          <w:rFonts w:ascii="Times New Roman" w:hAnsi="Times New Roman" w:cs="Times New Roman"/>
          <w:sz w:val="28"/>
          <w:szCs w:val="28"/>
          <w:lang w:val="bg-BG"/>
        </w:rPr>
        <w:t>Предговор</w:t>
      </w:r>
      <w:r w:rsidR="006121B1" w:rsidRPr="0033710D">
        <w:rPr>
          <w:rFonts w:ascii="Times New Roman" w:hAnsi="Times New Roman" w:cs="Times New Roman"/>
          <w:sz w:val="28"/>
          <w:szCs w:val="28"/>
          <w:lang w:val="bg-BG"/>
        </w:rPr>
        <w:t>:</w:t>
      </w:r>
    </w:p>
    <w:p w14:paraId="717C5846" w14:textId="77777777" w:rsidR="008E2450" w:rsidRPr="00831A5B" w:rsidRDefault="008E2450" w:rsidP="00722BC7">
      <w:pPr>
        <w:spacing w:after="0"/>
        <w:ind w:firstLine="720"/>
        <w:jc w:val="both"/>
        <w:rPr>
          <w:rFonts w:ascii="Times New Roman" w:hAnsi="Times New Roman" w:cs="Times New Roman"/>
          <w:sz w:val="28"/>
          <w:szCs w:val="28"/>
        </w:rPr>
      </w:pP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предвид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w:t>
      </w:r>
    </w:p>
    <w:p w14:paraId="4A536CDD" w14:textId="77777777" w:rsidR="003B2055"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през</w:t>
      </w:r>
      <w:proofErr w:type="spellEnd"/>
      <w:r w:rsidRPr="00831A5B">
        <w:rPr>
          <w:rFonts w:ascii="Times New Roman" w:hAnsi="Times New Roman" w:cs="Times New Roman"/>
          <w:sz w:val="28"/>
          <w:szCs w:val="28"/>
        </w:rPr>
        <w:t xml:space="preserve"> 1991 г. </w:t>
      </w:r>
      <w:proofErr w:type="spellStart"/>
      <w:r w:rsidRPr="00831A5B">
        <w:rPr>
          <w:rFonts w:ascii="Times New Roman" w:hAnsi="Times New Roman" w:cs="Times New Roman"/>
          <w:sz w:val="28"/>
          <w:szCs w:val="28"/>
        </w:rPr>
        <w:t>Северноатлантическият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съвет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нови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насоки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съвместната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логистика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Колективната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логистичната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поддръжка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сътрудничеството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между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страните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и </w:t>
      </w:r>
      <w:proofErr w:type="spellStart"/>
      <w:r w:rsidRPr="00831A5B">
        <w:rPr>
          <w:rFonts w:ascii="Times New Roman" w:hAnsi="Times New Roman" w:cs="Times New Roman"/>
          <w:sz w:val="28"/>
          <w:szCs w:val="28"/>
        </w:rPr>
        <w:t>властите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и </w:t>
      </w:r>
      <w:proofErr w:type="spellStart"/>
      <w:r w:rsidRPr="00831A5B">
        <w:rPr>
          <w:rFonts w:ascii="Times New Roman" w:hAnsi="Times New Roman" w:cs="Times New Roman"/>
          <w:sz w:val="28"/>
          <w:szCs w:val="28"/>
        </w:rPr>
        <w:t>видимостта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информацията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относно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логистичните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активи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предоставени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страните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бяха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някои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ключовите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елементи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насоките</w:t>
      </w:r>
      <w:proofErr w:type="spellEnd"/>
      <w:r w:rsidRPr="00831A5B">
        <w:rPr>
          <w:rFonts w:ascii="Times New Roman" w:hAnsi="Times New Roman" w:cs="Times New Roman"/>
          <w:sz w:val="28"/>
          <w:szCs w:val="28"/>
        </w:rPr>
        <w:t>;</w:t>
      </w:r>
    </w:p>
    <w:p w14:paraId="7D8448CD"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улесни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преразпределението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придобиването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попълването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запасите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стоки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предвидено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членове</w:t>
      </w:r>
      <w:proofErr w:type="spellEnd"/>
      <w:r w:rsidRPr="00831A5B">
        <w:rPr>
          <w:rFonts w:ascii="Times New Roman" w:hAnsi="Times New Roman" w:cs="Times New Roman"/>
          <w:sz w:val="28"/>
          <w:szCs w:val="28"/>
        </w:rPr>
        <w:t xml:space="preserve"> 3 и 4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Хартата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Организацията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поддръжка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снабдяване</w:t>
      </w:r>
      <w:proofErr w:type="spellEnd"/>
      <w:r w:rsidRPr="00831A5B">
        <w:rPr>
          <w:rFonts w:ascii="Times New Roman" w:hAnsi="Times New Roman" w:cs="Times New Roman"/>
          <w:sz w:val="28"/>
          <w:szCs w:val="28"/>
        </w:rPr>
        <w:t xml:space="preserve"> (NAMSO), </w:t>
      </w:r>
      <w:proofErr w:type="spellStart"/>
      <w:r w:rsidRPr="00831A5B">
        <w:rPr>
          <w:rFonts w:ascii="Times New Roman" w:hAnsi="Times New Roman" w:cs="Times New Roman"/>
          <w:sz w:val="28"/>
          <w:szCs w:val="28"/>
        </w:rPr>
        <w:t>Агенцията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поддръжка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снабдяване</w:t>
      </w:r>
      <w:proofErr w:type="spellEnd"/>
      <w:r w:rsidRPr="00831A5B">
        <w:rPr>
          <w:rFonts w:ascii="Times New Roman" w:hAnsi="Times New Roman" w:cs="Times New Roman"/>
          <w:sz w:val="28"/>
          <w:szCs w:val="28"/>
        </w:rPr>
        <w:t xml:space="preserve"> (NAMSA)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ангажира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организира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по-ефективно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планирането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консолидирането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логистичните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стоки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Заедно</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Конференцията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старшите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логистици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Съветът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директорите</w:t>
      </w:r>
      <w:proofErr w:type="spellEnd"/>
      <w:r w:rsidRPr="00831A5B">
        <w:rPr>
          <w:rFonts w:ascii="Times New Roman" w:hAnsi="Times New Roman" w:cs="Times New Roman"/>
          <w:sz w:val="28"/>
          <w:szCs w:val="28"/>
        </w:rPr>
        <w:t xml:space="preserve"> (BOD)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NAMSO </w:t>
      </w:r>
      <w:proofErr w:type="spellStart"/>
      <w:r w:rsidRPr="00831A5B">
        <w:rPr>
          <w:rFonts w:ascii="Times New Roman" w:hAnsi="Times New Roman" w:cs="Times New Roman"/>
          <w:sz w:val="28"/>
          <w:szCs w:val="28"/>
        </w:rPr>
        <w:t>направи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предложения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подобряване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логистичната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архитектура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в </w:t>
      </w:r>
      <w:proofErr w:type="spellStart"/>
      <w:r w:rsidRPr="00831A5B">
        <w:rPr>
          <w:rFonts w:ascii="Times New Roman" w:hAnsi="Times New Roman" w:cs="Times New Roman"/>
          <w:sz w:val="28"/>
          <w:szCs w:val="28"/>
        </w:rPr>
        <w:t>областта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управлението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материалите</w:t>
      </w:r>
      <w:proofErr w:type="spellEnd"/>
      <w:r w:rsidRPr="00831A5B">
        <w:rPr>
          <w:rFonts w:ascii="Times New Roman" w:hAnsi="Times New Roman" w:cs="Times New Roman"/>
          <w:sz w:val="28"/>
          <w:szCs w:val="28"/>
        </w:rPr>
        <w:t>;</w:t>
      </w:r>
    </w:p>
    <w:p w14:paraId="56E9DD9A"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бяха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разработени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проекта</w:t>
      </w:r>
      <w:proofErr w:type="spellEnd"/>
      <w:r w:rsidRPr="00831A5B">
        <w:rPr>
          <w:rFonts w:ascii="Times New Roman" w:hAnsi="Times New Roman" w:cs="Times New Roman"/>
          <w:sz w:val="28"/>
          <w:szCs w:val="28"/>
        </w:rPr>
        <w:t>:</w:t>
      </w:r>
    </w:p>
    <w:p w14:paraId="64E743F8"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Складово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стопанство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обмен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proofErr w:type="gramStart"/>
      <w:r w:rsidRPr="00831A5B">
        <w:rPr>
          <w:rFonts w:ascii="Times New Roman" w:hAnsi="Times New Roman" w:cs="Times New Roman"/>
          <w:sz w:val="28"/>
          <w:szCs w:val="28"/>
        </w:rPr>
        <w:t>активи</w:t>
      </w:r>
      <w:proofErr w:type="spellEnd"/>
      <w:r w:rsidRPr="00831A5B">
        <w:rPr>
          <w:rFonts w:ascii="Times New Roman" w:hAnsi="Times New Roman" w:cs="Times New Roman"/>
          <w:sz w:val="28"/>
          <w:szCs w:val="28"/>
        </w:rPr>
        <w:t>“ (</w:t>
      </w:r>
      <w:proofErr w:type="gramEnd"/>
      <w:r w:rsidRPr="00831A5B">
        <w:rPr>
          <w:rFonts w:ascii="Times New Roman" w:hAnsi="Times New Roman" w:cs="Times New Roman"/>
          <w:sz w:val="28"/>
          <w:szCs w:val="28"/>
        </w:rPr>
        <w:t xml:space="preserve">SHARE), </w:t>
      </w:r>
      <w:proofErr w:type="spellStart"/>
      <w:r w:rsidRPr="00831A5B">
        <w:rPr>
          <w:rFonts w:ascii="Times New Roman" w:hAnsi="Times New Roman" w:cs="Times New Roman"/>
          <w:sz w:val="28"/>
          <w:szCs w:val="28"/>
        </w:rPr>
        <w:t>фокусиран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върху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преразпределението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излишните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материали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NAMSO BOD;</w:t>
      </w:r>
    </w:p>
    <w:p w14:paraId="172777EF"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00AE2106" w:rsidRPr="00831A5B">
        <w:rPr>
          <w:rFonts w:ascii="Times New Roman" w:hAnsi="Times New Roman" w:cs="Times New Roman"/>
          <w:sz w:val="28"/>
          <w:szCs w:val="28"/>
        </w:rPr>
        <w:t>Управление</w:t>
      </w:r>
      <w:proofErr w:type="spellEnd"/>
      <w:r w:rsidR="00AE2106"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материални</w:t>
      </w:r>
      <w:proofErr w:type="spellEnd"/>
      <w:r w:rsidRPr="00831A5B">
        <w:rPr>
          <w:rFonts w:ascii="Times New Roman" w:hAnsi="Times New Roman" w:cs="Times New Roman"/>
          <w:sz w:val="28"/>
          <w:szCs w:val="28"/>
        </w:rPr>
        <w:t xml:space="preserve"> </w:t>
      </w:r>
      <w:r w:rsidR="00AE2106">
        <w:rPr>
          <w:rFonts w:ascii="Times New Roman" w:hAnsi="Times New Roman" w:cs="Times New Roman"/>
          <w:sz w:val="28"/>
          <w:szCs w:val="28"/>
          <w:lang w:val="bg-BG"/>
        </w:rPr>
        <w:t>средства с общо предназначение</w:t>
      </w:r>
      <w:r w:rsidRPr="00831A5B">
        <w:rPr>
          <w:rFonts w:ascii="Times New Roman" w:hAnsi="Times New Roman" w:cs="Times New Roman"/>
          <w:sz w:val="28"/>
          <w:szCs w:val="28"/>
        </w:rPr>
        <w:t xml:space="preserve"> (COMMIT) </w:t>
      </w:r>
      <w:proofErr w:type="spellStart"/>
      <w:r w:rsidRPr="00831A5B">
        <w:rPr>
          <w:rFonts w:ascii="Times New Roman" w:hAnsi="Times New Roman" w:cs="Times New Roman"/>
          <w:sz w:val="28"/>
          <w:szCs w:val="28"/>
        </w:rPr>
        <w:t>имаше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цел</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осигури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логистична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поддръжка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съвместно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управлявани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артикули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използвани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държавите-членки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NAMSO, </w:t>
      </w:r>
      <w:proofErr w:type="spellStart"/>
      <w:r w:rsidRPr="00831A5B">
        <w:rPr>
          <w:rFonts w:ascii="Times New Roman" w:hAnsi="Times New Roman" w:cs="Times New Roman"/>
          <w:sz w:val="28"/>
          <w:szCs w:val="28"/>
        </w:rPr>
        <w:t>което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доведе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създаването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специално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NAMSO </w:t>
      </w:r>
      <w:proofErr w:type="spellStart"/>
      <w:r w:rsidRPr="00831A5B">
        <w:rPr>
          <w:rFonts w:ascii="Times New Roman" w:hAnsi="Times New Roman" w:cs="Times New Roman"/>
          <w:sz w:val="28"/>
          <w:szCs w:val="28"/>
        </w:rPr>
        <w:t>през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април</w:t>
      </w:r>
      <w:proofErr w:type="spellEnd"/>
      <w:r w:rsidRPr="00831A5B">
        <w:rPr>
          <w:rFonts w:ascii="Times New Roman" w:hAnsi="Times New Roman" w:cs="Times New Roman"/>
          <w:sz w:val="28"/>
          <w:szCs w:val="28"/>
        </w:rPr>
        <w:t xml:space="preserve"> 1999 г.;</w:t>
      </w:r>
    </w:p>
    <w:p w14:paraId="6030C272"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lastRenderedPageBreak/>
        <w:t xml:space="preserve">■ </w:t>
      </w:r>
      <w:proofErr w:type="spellStart"/>
      <w:r w:rsidRPr="00831A5B">
        <w:rPr>
          <w:rFonts w:ascii="Times New Roman" w:hAnsi="Times New Roman" w:cs="Times New Roman"/>
          <w:sz w:val="28"/>
          <w:szCs w:val="28"/>
        </w:rPr>
        <w:t>Проектът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Механизъм</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осигуряване</w:t>
      </w:r>
      <w:proofErr w:type="spellEnd"/>
      <w:r w:rsidRPr="00831A5B">
        <w:rPr>
          <w:rFonts w:ascii="Times New Roman" w:hAnsi="Times New Roman" w:cs="Times New Roman"/>
          <w:sz w:val="28"/>
          <w:szCs w:val="28"/>
        </w:rPr>
        <w:t xml:space="preserve"> (PROFIT) </w:t>
      </w:r>
      <w:proofErr w:type="spellStart"/>
      <w:r w:rsidRPr="00831A5B">
        <w:rPr>
          <w:rFonts w:ascii="Times New Roman" w:hAnsi="Times New Roman" w:cs="Times New Roman"/>
          <w:sz w:val="28"/>
          <w:szCs w:val="28"/>
        </w:rPr>
        <w:t>беше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проучен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начин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интегриране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индустрията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Разработването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обаче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беше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ограничено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разработването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дългосрочни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рамкови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договори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години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достъпни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онлайн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бяха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наречени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рамкови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споразумения</w:t>
      </w:r>
      <w:proofErr w:type="spellEnd"/>
      <w:r w:rsidRPr="00831A5B">
        <w:rPr>
          <w:rFonts w:ascii="Times New Roman" w:hAnsi="Times New Roman" w:cs="Times New Roman"/>
          <w:sz w:val="28"/>
          <w:szCs w:val="28"/>
        </w:rPr>
        <w:t xml:space="preserve"> eCat1 и </w:t>
      </w:r>
      <w:proofErr w:type="spellStart"/>
      <w:r w:rsidRPr="00831A5B">
        <w:rPr>
          <w:rFonts w:ascii="Times New Roman" w:hAnsi="Times New Roman" w:cs="Times New Roman"/>
          <w:sz w:val="28"/>
          <w:szCs w:val="28"/>
        </w:rPr>
        <w:t>бяха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поставени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участниците</w:t>
      </w:r>
      <w:proofErr w:type="spellEnd"/>
      <w:r w:rsidRPr="00831A5B">
        <w:rPr>
          <w:rFonts w:ascii="Times New Roman" w:hAnsi="Times New Roman" w:cs="Times New Roman"/>
          <w:sz w:val="28"/>
          <w:szCs w:val="28"/>
        </w:rPr>
        <w:t>;</w:t>
      </w:r>
    </w:p>
    <w:p w14:paraId="49A07936"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през</w:t>
      </w:r>
      <w:proofErr w:type="spellEnd"/>
      <w:r w:rsidRPr="00831A5B">
        <w:rPr>
          <w:rFonts w:ascii="Times New Roman" w:hAnsi="Times New Roman" w:cs="Times New Roman"/>
          <w:sz w:val="28"/>
          <w:szCs w:val="28"/>
        </w:rPr>
        <w:t xml:space="preserve"> 2001 г. </w:t>
      </w:r>
      <w:proofErr w:type="spellStart"/>
      <w:r w:rsidRPr="00831A5B">
        <w:rPr>
          <w:rFonts w:ascii="Times New Roman" w:hAnsi="Times New Roman" w:cs="Times New Roman"/>
          <w:sz w:val="28"/>
          <w:szCs w:val="28"/>
        </w:rPr>
        <w:t>проектът</w:t>
      </w:r>
      <w:proofErr w:type="spellEnd"/>
      <w:r w:rsidRPr="00831A5B">
        <w:rPr>
          <w:rFonts w:ascii="Times New Roman" w:hAnsi="Times New Roman" w:cs="Times New Roman"/>
          <w:sz w:val="28"/>
          <w:szCs w:val="28"/>
        </w:rPr>
        <w:t xml:space="preserve"> SHARE </w:t>
      </w:r>
      <w:proofErr w:type="spellStart"/>
      <w:r w:rsidRPr="00831A5B">
        <w:rPr>
          <w:rFonts w:ascii="Times New Roman" w:hAnsi="Times New Roman" w:cs="Times New Roman"/>
          <w:sz w:val="28"/>
          <w:szCs w:val="28"/>
        </w:rPr>
        <w:t>беше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обединен</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проекта</w:t>
      </w:r>
      <w:proofErr w:type="spellEnd"/>
      <w:r w:rsidRPr="00831A5B">
        <w:rPr>
          <w:rFonts w:ascii="Times New Roman" w:hAnsi="Times New Roman" w:cs="Times New Roman"/>
          <w:sz w:val="28"/>
          <w:szCs w:val="28"/>
        </w:rPr>
        <w:t xml:space="preserve"> COMMIT и </w:t>
      </w:r>
      <w:proofErr w:type="spellStart"/>
      <w:r w:rsidRPr="00831A5B">
        <w:rPr>
          <w:rFonts w:ascii="Times New Roman" w:hAnsi="Times New Roman" w:cs="Times New Roman"/>
          <w:sz w:val="28"/>
          <w:szCs w:val="28"/>
        </w:rPr>
        <w:t>беше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поставен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контрола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системното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COMMIT, а </w:t>
      </w:r>
      <w:proofErr w:type="spellStart"/>
      <w:r w:rsidRPr="00831A5B">
        <w:rPr>
          <w:rFonts w:ascii="Times New Roman" w:hAnsi="Times New Roman" w:cs="Times New Roman"/>
          <w:sz w:val="28"/>
          <w:szCs w:val="28"/>
        </w:rPr>
        <w:t>през</w:t>
      </w:r>
      <w:proofErr w:type="spellEnd"/>
      <w:r w:rsidRPr="00831A5B">
        <w:rPr>
          <w:rFonts w:ascii="Times New Roman" w:hAnsi="Times New Roman" w:cs="Times New Roman"/>
          <w:sz w:val="28"/>
          <w:szCs w:val="28"/>
        </w:rPr>
        <w:t xml:space="preserve"> 2004 г. </w:t>
      </w:r>
      <w:proofErr w:type="spellStart"/>
      <w:r w:rsidRPr="00831A5B">
        <w:rPr>
          <w:rFonts w:ascii="Times New Roman" w:hAnsi="Times New Roman" w:cs="Times New Roman"/>
          <w:sz w:val="28"/>
          <w:szCs w:val="28"/>
        </w:rPr>
        <w:t>системното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COMMIT </w:t>
      </w:r>
      <w:proofErr w:type="spellStart"/>
      <w:r w:rsidRPr="00831A5B">
        <w:rPr>
          <w:rFonts w:ascii="Times New Roman" w:hAnsi="Times New Roman" w:cs="Times New Roman"/>
          <w:sz w:val="28"/>
          <w:szCs w:val="28"/>
        </w:rPr>
        <w:t>пое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пълна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функционалността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r w:rsidR="00AE2106">
        <w:rPr>
          <w:rFonts w:ascii="Times New Roman" w:hAnsi="Times New Roman" w:cs="Times New Roman"/>
          <w:sz w:val="28"/>
          <w:szCs w:val="28"/>
          <w:lang w:val="bg-BG"/>
        </w:rPr>
        <w:t>преразпределение на излишни имущества чрез електронен каталог (</w:t>
      </w:r>
      <w:r w:rsidRPr="00831A5B">
        <w:rPr>
          <w:rFonts w:ascii="Times New Roman" w:hAnsi="Times New Roman" w:cs="Times New Roman"/>
          <w:sz w:val="28"/>
          <w:szCs w:val="28"/>
        </w:rPr>
        <w:t>eCat1</w:t>
      </w:r>
      <w:r w:rsidR="00AE2106">
        <w:rPr>
          <w:rFonts w:ascii="Times New Roman" w:hAnsi="Times New Roman" w:cs="Times New Roman"/>
          <w:sz w:val="28"/>
          <w:szCs w:val="28"/>
          <w:lang w:val="bg-BG"/>
        </w:rPr>
        <w:t>)</w:t>
      </w:r>
      <w:r w:rsidRPr="00831A5B">
        <w:rPr>
          <w:rFonts w:ascii="Times New Roman" w:hAnsi="Times New Roman" w:cs="Times New Roman"/>
          <w:sz w:val="28"/>
          <w:szCs w:val="28"/>
        </w:rPr>
        <w:t>;</w:t>
      </w:r>
    </w:p>
    <w:p w14:paraId="2C56F8BE"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групиране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SHARE, COMMIT и PROFIT, </w:t>
      </w:r>
      <w:proofErr w:type="spellStart"/>
      <w:r w:rsidRPr="00831A5B">
        <w:rPr>
          <w:rFonts w:ascii="Times New Roman" w:hAnsi="Times New Roman" w:cs="Times New Roman"/>
          <w:sz w:val="28"/>
          <w:szCs w:val="28"/>
        </w:rPr>
        <w:t>Логистичната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фондова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борса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(NLSE) </w:t>
      </w:r>
      <w:proofErr w:type="spellStart"/>
      <w:r w:rsidRPr="00831A5B">
        <w:rPr>
          <w:rFonts w:ascii="Times New Roman" w:hAnsi="Times New Roman" w:cs="Times New Roman"/>
          <w:sz w:val="28"/>
          <w:szCs w:val="28"/>
        </w:rPr>
        <w:t>беше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разработена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ръководството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изцяло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финансирана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системното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COMMIT;</w:t>
      </w:r>
    </w:p>
    <w:p w14:paraId="1F91489F"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Надзорният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съвет</w:t>
      </w:r>
      <w:proofErr w:type="spellEnd"/>
      <w:r w:rsidRPr="00831A5B">
        <w:rPr>
          <w:rFonts w:ascii="Times New Roman" w:hAnsi="Times New Roman" w:cs="Times New Roman"/>
          <w:sz w:val="28"/>
          <w:szCs w:val="28"/>
        </w:rPr>
        <w:t xml:space="preserve"> (ASB)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Агенцията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снабдяване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(NSPO) </w:t>
      </w:r>
      <w:proofErr w:type="spellStart"/>
      <w:r w:rsidRPr="00831A5B">
        <w:rPr>
          <w:rFonts w:ascii="Times New Roman" w:hAnsi="Times New Roman" w:cs="Times New Roman"/>
          <w:sz w:val="28"/>
          <w:szCs w:val="28"/>
        </w:rPr>
        <w:t>одобри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преобразуването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системното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NAMSO COMMIT в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наречено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COMMIT“,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7 </w:t>
      </w:r>
      <w:proofErr w:type="spellStart"/>
      <w:r w:rsidRPr="00831A5B">
        <w:rPr>
          <w:rFonts w:ascii="Times New Roman" w:hAnsi="Times New Roman" w:cs="Times New Roman"/>
          <w:sz w:val="28"/>
          <w:szCs w:val="28"/>
        </w:rPr>
        <w:t>ноември</w:t>
      </w:r>
      <w:proofErr w:type="spellEnd"/>
      <w:r w:rsidRPr="00831A5B">
        <w:rPr>
          <w:rFonts w:ascii="Times New Roman" w:hAnsi="Times New Roman" w:cs="Times New Roman"/>
          <w:sz w:val="28"/>
          <w:szCs w:val="28"/>
        </w:rPr>
        <w:t xml:space="preserve"> 2014 г.;</w:t>
      </w:r>
    </w:p>
    <w:p w14:paraId="239BCD10"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 ASB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одобри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разширяването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обхвата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COMMIT,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включва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непериодични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доставки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поддръжка</w:t>
      </w:r>
      <w:proofErr w:type="spellEnd"/>
      <w:r w:rsidRPr="00831A5B">
        <w:rPr>
          <w:rFonts w:ascii="Times New Roman" w:hAnsi="Times New Roman" w:cs="Times New Roman"/>
          <w:sz w:val="28"/>
          <w:szCs w:val="28"/>
        </w:rPr>
        <w:t xml:space="preserve"> – </w:t>
      </w:r>
      <w:proofErr w:type="spellStart"/>
      <w:r w:rsidRPr="00831A5B">
        <w:rPr>
          <w:rFonts w:ascii="Times New Roman" w:hAnsi="Times New Roman" w:cs="Times New Roman"/>
          <w:sz w:val="28"/>
          <w:szCs w:val="28"/>
        </w:rPr>
        <w:t>Услуга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произволно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брокерство</w:t>
      </w:r>
      <w:proofErr w:type="spellEnd"/>
      <w:r w:rsidRPr="00831A5B">
        <w:rPr>
          <w:rFonts w:ascii="Times New Roman" w:hAnsi="Times New Roman" w:cs="Times New Roman"/>
          <w:sz w:val="28"/>
          <w:szCs w:val="28"/>
        </w:rPr>
        <w:t>,</w:t>
      </w:r>
      <w:r w:rsidRPr="00831A5B">
        <w:rPr>
          <w:rFonts w:ascii="Times New Roman" w:hAnsi="Times New Roman" w:cs="Times New Roman"/>
          <w:sz w:val="28"/>
          <w:szCs w:val="28"/>
          <w:lang w:val="bg-BG"/>
        </w:rPr>
        <w:t xml:space="preserve"> </w:t>
      </w:r>
      <w:proofErr w:type="spellStart"/>
      <w:r w:rsidRPr="00831A5B">
        <w:rPr>
          <w:rFonts w:ascii="Times New Roman" w:hAnsi="Times New Roman" w:cs="Times New Roman"/>
          <w:sz w:val="28"/>
          <w:szCs w:val="28"/>
        </w:rPr>
        <w:t>беше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договорено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следното</w:t>
      </w:r>
      <w:proofErr w:type="spellEnd"/>
      <w:r w:rsidRPr="00831A5B">
        <w:rPr>
          <w:rFonts w:ascii="Times New Roman" w:hAnsi="Times New Roman" w:cs="Times New Roman"/>
          <w:sz w:val="28"/>
          <w:szCs w:val="28"/>
        </w:rPr>
        <w:t>:</w:t>
      </w:r>
    </w:p>
    <w:p w14:paraId="2B16955D" w14:textId="77777777" w:rsidR="00831A5B" w:rsidRDefault="00831A5B" w:rsidP="00722BC7">
      <w:pPr>
        <w:spacing w:after="0"/>
        <w:ind w:firstLine="720"/>
        <w:jc w:val="both"/>
        <w:rPr>
          <w:rFonts w:ascii="Times New Roman" w:hAnsi="Times New Roman" w:cs="Times New Roman"/>
          <w:sz w:val="28"/>
          <w:szCs w:val="28"/>
        </w:rPr>
      </w:pPr>
    </w:p>
    <w:p w14:paraId="1C6CCD41"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1</w:t>
      </w:r>
      <w:r w:rsidR="00831A5B">
        <w:rPr>
          <w:rFonts w:ascii="Times New Roman" w:hAnsi="Times New Roman" w:cs="Times New Roman"/>
          <w:sz w:val="28"/>
          <w:szCs w:val="28"/>
          <w:lang w:val="bg-BG"/>
        </w:rPr>
        <w:t>.</w:t>
      </w:r>
      <w:r w:rsidRPr="00831A5B">
        <w:rPr>
          <w:rFonts w:ascii="Times New Roman" w:hAnsi="Times New Roman" w:cs="Times New Roman"/>
          <w:sz w:val="28"/>
          <w:szCs w:val="28"/>
        </w:rPr>
        <w:t xml:space="preserve"> ЦЕЛ НА ПАРТНЬОРСТВОТО</w:t>
      </w:r>
    </w:p>
    <w:p w14:paraId="150B007F"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1.1 В </w:t>
      </w:r>
      <w:proofErr w:type="spellStart"/>
      <w:r w:rsidRPr="00831A5B">
        <w:rPr>
          <w:rFonts w:ascii="Times New Roman" w:hAnsi="Times New Roman" w:cs="Times New Roman"/>
          <w:sz w:val="28"/>
          <w:szCs w:val="28"/>
        </w:rPr>
        <w:t>рамките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COMMIT, </w:t>
      </w:r>
      <w:proofErr w:type="spellStart"/>
      <w:r w:rsidRPr="00831A5B">
        <w:rPr>
          <w:rFonts w:ascii="Times New Roman" w:hAnsi="Times New Roman" w:cs="Times New Roman"/>
          <w:sz w:val="28"/>
          <w:szCs w:val="28"/>
        </w:rPr>
        <w:t>наричано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по-долу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създадено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членове</w:t>
      </w:r>
      <w:proofErr w:type="spellEnd"/>
      <w:r w:rsidRPr="00831A5B">
        <w:rPr>
          <w:rFonts w:ascii="Times New Roman" w:hAnsi="Times New Roman" w:cs="Times New Roman"/>
          <w:sz w:val="28"/>
          <w:szCs w:val="28"/>
        </w:rPr>
        <w:t xml:space="preserve"> 43-45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Устава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и с </w:t>
      </w:r>
      <w:proofErr w:type="spellStart"/>
      <w:r w:rsidRPr="00831A5B">
        <w:rPr>
          <w:rFonts w:ascii="Times New Roman" w:hAnsi="Times New Roman" w:cs="Times New Roman"/>
          <w:sz w:val="28"/>
          <w:szCs w:val="28"/>
        </w:rPr>
        <w:t>общите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правила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политика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посочени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във</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Функционална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2070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улесняване</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насърчаване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съвместната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логистична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изпълнение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отговорностите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всеки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участник</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управление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материалите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осигуряване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преразпределение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придобиване</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попълване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задоволяване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произволно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генерирани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повтарящи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неповтарящи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нужди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доставки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услуги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във</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време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мир</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криза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война</w:t>
      </w:r>
      <w:proofErr w:type="spellEnd"/>
      <w:r w:rsidRPr="00831A5B">
        <w:rPr>
          <w:rFonts w:ascii="Times New Roman" w:hAnsi="Times New Roman" w:cs="Times New Roman"/>
          <w:sz w:val="28"/>
          <w:szCs w:val="28"/>
        </w:rPr>
        <w:t>.</w:t>
      </w:r>
    </w:p>
    <w:p w14:paraId="621EBF5B"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1.2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нужди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доставки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услуги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общи</w:t>
      </w:r>
      <w:proofErr w:type="spellEnd"/>
      <w:r w:rsidRPr="00831A5B">
        <w:rPr>
          <w:rFonts w:ascii="Times New Roman" w:hAnsi="Times New Roman" w:cs="Times New Roman"/>
          <w:sz w:val="28"/>
          <w:szCs w:val="28"/>
        </w:rPr>
        <w:t xml:space="preserve"> и/</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повтарящи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своя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характер</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използва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специална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уеб-базирана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известна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Логистична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борса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(NLSE), </w:t>
      </w:r>
      <w:proofErr w:type="spellStart"/>
      <w:r w:rsidRPr="00831A5B">
        <w:rPr>
          <w:rFonts w:ascii="Times New Roman" w:hAnsi="Times New Roman" w:cs="Times New Roman"/>
          <w:sz w:val="28"/>
          <w:szCs w:val="28"/>
        </w:rPr>
        <w:t>разработена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сътрудничество</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Агенцията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поддръжка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снабдяване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(NSPA), </w:t>
      </w:r>
      <w:proofErr w:type="spellStart"/>
      <w:r w:rsidRPr="00831A5B">
        <w:rPr>
          <w:rFonts w:ascii="Times New Roman" w:hAnsi="Times New Roman" w:cs="Times New Roman"/>
          <w:sz w:val="28"/>
          <w:szCs w:val="28"/>
        </w:rPr>
        <w:t>която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улеснява</w:t>
      </w:r>
      <w:proofErr w:type="spellEnd"/>
      <w:r w:rsidRPr="00831A5B">
        <w:rPr>
          <w:rFonts w:ascii="Times New Roman" w:hAnsi="Times New Roman" w:cs="Times New Roman"/>
          <w:sz w:val="28"/>
          <w:szCs w:val="28"/>
        </w:rPr>
        <w:t>:</w:t>
      </w:r>
    </w:p>
    <w:p w14:paraId="50A0013D" w14:textId="77777777" w:rsidR="008E2450" w:rsidRPr="00AD58DA" w:rsidRDefault="008E2450"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1.2.1 </w:t>
      </w:r>
      <w:r w:rsidR="00AD58DA" w:rsidRPr="00AD58DA">
        <w:rPr>
          <w:rFonts w:ascii="Times New Roman" w:hAnsi="Times New Roman" w:cs="Times New Roman"/>
          <w:sz w:val="28"/>
          <w:szCs w:val="28"/>
          <w:lang w:val="bg-BG"/>
        </w:rPr>
        <w:t>Видимост</w:t>
      </w:r>
      <w:r w:rsidRPr="00AD58DA">
        <w:rPr>
          <w:rFonts w:ascii="Times New Roman" w:hAnsi="Times New Roman" w:cs="Times New Roman"/>
          <w:sz w:val="28"/>
          <w:szCs w:val="28"/>
          <w:lang w:val="bg-BG"/>
        </w:rPr>
        <w:t xml:space="preserve"> на активите на националните инвентаризации на участниците в партньорството за улесняване на логистиката и управлението на виртуалните запаси;</w:t>
      </w:r>
    </w:p>
    <w:p w14:paraId="255C72AE" w14:textId="77777777" w:rsidR="008E2450" w:rsidRPr="00AD58DA" w:rsidRDefault="008E2450" w:rsidP="00722BC7">
      <w:pPr>
        <w:spacing w:after="0"/>
        <w:ind w:firstLine="720"/>
        <w:jc w:val="both"/>
        <w:rPr>
          <w:rFonts w:ascii="Times New Roman" w:hAnsi="Times New Roman" w:cs="Times New Roman"/>
          <w:sz w:val="28"/>
          <w:szCs w:val="28"/>
          <w:lang w:val="bg-BG"/>
        </w:rPr>
      </w:pPr>
      <w:r w:rsidRPr="00AD58DA">
        <w:rPr>
          <w:rFonts w:ascii="Times New Roman" w:hAnsi="Times New Roman" w:cs="Times New Roman"/>
          <w:sz w:val="28"/>
          <w:szCs w:val="28"/>
          <w:lang w:val="bg-BG"/>
        </w:rPr>
        <w:t xml:space="preserve">1.2.2 </w:t>
      </w:r>
      <w:r w:rsidR="00AD58DA" w:rsidRPr="00AD58DA">
        <w:rPr>
          <w:rFonts w:ascii="Times New Roman" w:hAnsi="Times New Roman" w:cs="Times New Roman"/>
          <w:sz w:val="28"/>
          <w:szCs w:val="28"/>
          <w:lang w:val="bg-BG"/>
        </w:rPr>
        <w:t xml:space="preserve">Преразпределение </w:t>
      </w:r>
      <w:r w:rsidRPr="00AD58DA">
        <w:rPr>
          <w:rFonts w:ascii="Times New Roman" w:hAnsi="Times New Roman" w:cs="Times New Roman"/>
          <w:sz w:val="28"/>
          <w:szCs w:val="28"/>
          <w:lang w:val="bg-BG"/>
        </w:rPr>
        <w:t>на артикулите за доставки и/или националните възможности между участниците в партньорството;</w:t>
      </w:r>
    </w:p>
    <w:p w14:paraId="66A837CE" w14:textId="77777777" w:rsidR="008E2450" w:rsidRPr="00831A5B" w:rsidRDefault="008E2450" w:rsidP="00722BC7">
      <w:pPr>
        <w:spacing w:after="0"/>
        <w:ind w:firstLine="720"/>
        <w:jc w:val="both"/>
        <w:rPr>
          <w:rFonts w:ascii="Times New Roman" w:hAnsi="Times New Roman" w:cs="Times New Roman"/>
          <w:sz w:val="28"/>
          <w:szCs w:val="28"/>
        </w:rPr>
      </w:pPr>
      <w:r w:rsidRPr="00AD58DA">
        <w:rPr>
          <w:rFonts w:ascii="Times New Roman" w:hAnsi="Times New Roman" w:cs="Times New Roman"/>
          <w:sz w:val="28"/>
          <w:szCs w:val="28"/>
          <w:lang w:val="bg-BG"/>
        </w:rPr>
        <w:t xml:space="preserve">1.2.3 </w:t>
      </w:r>
      <w:r w:rsidR="00AD58DA" w:rsidRPr="00AD58DA">
        <w:rPr>
          <w:rFonts w:ascii="Times New Roman" w:hAnsi="Times New Roman" w:cs="Times New Roman"/>
          <w:sz w:val="28"/>
          <w:szCs w:val="28"/>
          <w:lang w:val="bg-BG"/>
        </w:rPr>
        <w:t xml:space="preserve">Достъп </w:t>
      </w:r>
      <w:r w:rsidRPr="00AD58DA">
        <w:rPr>
          <w:rFonts w:ascii="Times New Roman" w:hAnsi="Times New Roman" w:cs="Times New Roman"/>
          <w:sz w:val="28"/>
          <w:szCs w:val="28"/>
          <w:lang w:val="bg-BG"/>
        </w:rPr>
        <w:t xml:space="preserve">на всички участници в партньорството до рамкови споразумения (наричани по-долу рамкови споразумения </w:t>
      </w:r>
      <w:proofErr w:type="spellStart"/>
      <w:r w:rsidRPr="00AD58DA">
        <w:rPr>
          <w:rFonts w:ascii="Times New Roman" w:hAnsi="Times New Roman" w:cs="Times New Roman"/>
          <w:sz w:val="28"/>
          <w:szCs w:val="28"/>
          <w:lang w:val="bg-BG"/>
        </w:rPr>
        <w:t>eCat</w:t>
      </w:r>
      <w:proofErr w:type="spellEnd"/>
      <w:r w:rsidRPr="00AD58DA">
        <w:rPr>
          <w:rFonts w:ascii="Times New Roman" w:hAnsi="Times New Roman" w:cs="Times New Roman"/>
          <w:sz w:val="28"/>
          <w:szCs w:val="28"/>
          <w:lang w:val="bg-BG"/>
        </w:rPr>
        <w:t xml:space="preserve">) с индустрията за </w:t>
      </w:r>
      <w:r w:rsidR="009B5330">
        <w:rPr>
          <w:rFonts w:ascii="Times New Roman" w:hAnsi="Times New Roman" w:cs="Times New Roman"/>
          <w:sz w:val="28"/>
          <w:szCs w:val="28"/>
          <w:lang w:val="bg-BG"/>
        </w:rPr>
        <w:t>осигуряване</w:t>
      </w:r>
      <w:r w:rsidRPr="00AD58DA">
        <w:rPr>
          <w:rFonts w:ascii="Times New Roman" w:hAnsi="Times New Roman" w:cs="Times New Roman"/>
          <w:sz w:val="28"/>
          <w:szCs w:val="28"/>
          <w:lang w:val="bg-BG"/>
        </w:rPr>
        <w:t xml:space="preserve"> на общи </w:t>
      </w:r>
      <w:r w:rsidRPr="00AD58DA">
        <w:rPr>
          <w:rFonts w:ascii="Times New Roman" w:hAnsi="Times New Roman" w:cs="Times New Roman"/>
          <w:sz w:val="28"/>
          <w:szCs w:val="28"/>
          <w:lang w:val="bg-BG"/>
        </w:rPr>
        <w:lastRenderedPageBreak/>
        <w:t>и/или повтарящи се изисквания. Участниците в партньорството, при условията, посочени в настоящото споразумение, имат право да използват всички рамкови споразумения, предоставени чрез NLSE, което им позволява чрез този опростен процес да установят директни договорни</w:t>
      </w: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отношения</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индустрията</w:t>
      </w:r>
      <w:proofErr w:type="spellEnd"/>
      <w:r w:rsidRPr="00831A5B">
        <w:rPr>
          <w:rFonts w:ascii="Times New Roman" w:hAnsi="Times New Roman" w:cs="Times New Roman"/>
          <w:sz w:val="28"/>
          <w:szCs w:val="28"/>
        </w:rPr>
        <w:t>.</w:t>
      </w:r>
    </w:p>
    <w:p w14:paraId="5E71B552"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1.3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националните</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многонационалните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доставките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участниците</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включват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наред</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други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неща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установяване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видимост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активите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преразпределение</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установяване</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използване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рамкови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eCat</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общи</w:t>
      </w:r>
      <w:proofErr w:type="spellEnd"/>
      <w:r w:rsidRPr="00831A5B">
        <w:rPr>
          <w:rFonts w:ascii="Times New Roman" w:hAnsi="Times New Roman" w:cs="Times New Roman"/>
          <w:sz w:val="28"/>
          <w:szCs w:val="28"/>
        </w:rPr>
        <w:t xml:space="preserve"> и/</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повтарящи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w:t>
      </w:r>
      <w:proofErr w:type="spellEnd"/>
      <w:r w:rsidRPr="00831A5B">
        <w:rPr>
          <w:rFonts w:ascii="Times New Roman" w:hAnsi="Times New Roman" w:cs="Times New Roman"/>
          <w:sz w:val="28"/>
          <w:szCs w:val="28"/>
        </w:rPr>
        <w:t>.</w:t>
      </w:r>
    </w:p>
    <w:p w14:paraId="4B4602AD"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1.4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онези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поддръжка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доставки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услуги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неповтарящ</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характер</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известни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случайно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посредничество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изпълнени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рамкови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eCat</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специално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предназначени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поддръжка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могат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лесно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идентифицирани</w:t>
      </w:r>
      <w:proofErr w:type="spellEnd"/>
      <w:r w:rsidRPr="00831A5B">
        <w:rPr>
          <w:rFonts w:ascii="Times New Roman" w:hAnsi="Times New Roman" w:cs="Times New Roman"/>
          <w:sz w:val="28"/>
          <w:szCs w:val="28"/>
        </w:rPr>
        <w:t>/</w:t>
      </w:r>
      <w:proofErr w:type="spellStart"/>
      <w:r w:rsidRPr="00831A5B">
        <w:rPr>
          <w:rFonts w:ascii="Times New Roman" w:hAnsi="Times New Roman" w:cs="Times New Roman"/>
          <w:sz w:val="28"/>
          <w:szCs w:val="28"/>
        </w:rPr>
        <w:t>придобити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конкретно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програмен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офис</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изискванията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участника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могат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изпълнени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две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категории</w:t>
      </w:r>
      <w:proofErr w:type="spellEnd"/>
      <w:r w:rsidRPr="00831A5B">
        <w:rPr>
          <w:rFonts w:ascii="Times New Roman" w:hAnsi="Times New Roman" w:cs="Times New Roman"/>
          <w:sz w:val="28"/>
          <w:szCs w:val="28"/>
        </w:rPr>
        <w:t>:</w:t>
      </w:r>
    </w:p>
    <w:p w14:paraId="57E1724D"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1.4.1 </w:t>
      </w:r>
      <w:r w:rsidR="00CD2E06">
        <w:rPr>
          <w:rFonts w:ascii="Times New Roman" w:hAnsi="Times New Roman" w:cs="Times New Roman"/>
          <w:sz w:val="28"/>
          <w:szCs w:val="28"/>
          <w:lang w:val="bg-BG"/>
        </w:rPr>
        <w:t>основни</w:t>
      </w: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доставки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услуги</w:t>
      </w:r>
      <w:proofErr w:type="spellEnd"/>
      <w:r w:rsidRPr="00831A5B">
        <w:rPr>
          <w:rFonts w:ascii="Times New Roman" w:hAnsi="Times New Roman" w:cs="Times New Roman"/>
          <w:sz w:val="28"/>
          <w:szCs w:val="28"/>
        </w:rPr>
        <w:t>;</w:t>
      </w:r>
    </w:p>
    <w:p w14:paraId="7EEACA70"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1.4.2 </w:t>
      </w:r>
      <w:r w:rsidR="00CD2E06">
        <w:rPr>
          <w:rFonts w:ascii="Times New Roman" w:hAnsi="Times New Roman" w:cs="Times New Roman"/>
          <w:sz w:val="28"/>
          <w:szCs w:val="28"/>
          <w:lang w:val="bg-BG"/>
        </w:rPr>
        <w:t>комплексни</w:t>
      </w: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доставки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идентифицирани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създадени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временно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предназначени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ресурси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въведени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действие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съответния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участник</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определение</w:t>
      </w:r>
      <w:proofErr w:type="spellEnd"/>
      <w:r w:rsidRPr="00831A5B">
        <w:rPr>
          <w:rFonts w:ascii="Times New Roman" w:hAnsi="Times New Roman" w:cs="Times New Roman"/>
          <w:sz w:val="28"/>
          <w:szCs w:val="28"/>
        </w:rPr>
        <w:t>/</w:t>
      </w:r>
      <w:proofErr w:type="spellStart"/>
      <w:r w:rsidRPr="00831A5B">
        <w:rPr>
          <w:rFonts w:ascii="Times New Roman" w:hAnsi="Times New Roman" w:cs="Times New Roman"/>
          <w:sz w:val="28"/>
          <w:szCs w:val="28"/>
        </w:rPr>
        <w:t>терминология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която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обсъдена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подписване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продажба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кръстосано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обслужване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придобиване</w:t>
      </w:r>
      <w:proofErr w:type="spellEnd"/>
      <w:r w:rsidRPr="00831A5B">
        <w:rPr>
          <w:rFonts w:ascii="Times New Roman" w:hAnsi="Times New Roman" w:cs="Times New Roman"/>
          <w:sz w:val="28"/>
          <w:szCs w:val="28"/>
        </w:rPr>
        <w:t xml:space="preserve"> (ACSA), </w:t>
      </w:r>
      <w:proofErr w:type="spellStart"/>
      <w:r w:rsidRPr="00831A5B">
        <w:rPr>
          <w:rFonts w:ascii="Times New Roman" w:hAnsi="Times New Roman" w:cs="Times New Roman"/>
          <w:sz w:val="28"/>
          <w:szCs w:val="28"/>
        </w:rPr>
        <w:t>според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случая</w:t>
      </w:r>
      <w:proofErr w:type="spellEnd"/>
      <w:r w:rsidRPr="00831A5B">
        <w:rPr>
          <w:rFonts w:ascii="Times New Roman" w:hAnsi="Times New Roman" w:cs="Times New Roman"/>
          <w:sz w:val="28"/>
          <w:szCs w:val="28"/>
        </w:rPr>
        <w:t>.</w:t>
      </w:r>
    </w:p>
    <w:p w14:paraId="10651C0F"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1.5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постигне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ефикасна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икономична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изпълнява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мисията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задачите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посочени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Програмната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3809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която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създадена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актуализирана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със</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страните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основа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взети</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консенсус</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подлежащи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ASB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11F2182F" w14:textId="77777777" w:rsidR="008E2450" w:rsidRPr="003267E9" w:rsidRDefault="008E2450"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2 </w:t>
      </w:r>
      <w:r w:rsidRPr="003267E9">
        <w:rPr>
          <w:rFonts w:ascii="Times New Roman" w:hAnsi="Times New Roman" w:cs="Times New Roman"/>
          <w:sz w:val="28"/>
          <w:szCs w:val="28"/>
          <w:lang w:val="bg-BG"/>
        </w:rPr>
        <w:t>ДЕФИНИЦИИ</w:t>
      </w:r>
    </w:p>
    <w:p w14:paraId="0F968769" w14:textId="77777777" w:rsidR="008E2450" w:rsidRPr="003267E9" w:rsidRDefault="008E2450" w:rsidP="00722BC7">
      <w:pPr>
        <w:spacing w:after="0"/>
        <w:ind w:firstLine="720"/>
        <w:jc w:val="both"/>
        <w:rPr>
          <w:rFonts w:ascii="Times New Roman" w:hAnsi="Times New Roman" w:cs="Times New Roman"/>
          <w:sz w:val="28"/>
          <w:szCs w:val="28"/>
          <w:lang w:val="bg-BG"/>
        </w:rPr>
      </w:pPr>
      <w:r w:rsidRPr="003267E9">
        <w:rPr>
          <w:rFonts w:ascii="Times New Roman" w:hAnsi="Times New Roman" w:cs="Times New Roman"/>
          <w:sz w:val="28"/>
          <w:szCs w:val="28"/>
          <w:lang w:val="bg-BG"/>
        </w:rPr>
        <w:t>2.1 „</w:t>
      </w:r>
      <w:r w:rsidRPr="00CD2E06">
        <w:rPr>
          <w:rFonts w:ascii="Times New Roman" w:hAnsi="Times New Roman" w:cs="Times New Roman"/>
          <w:b/>
          <w:sz w:val="28"/>
          <w:szCs w:val="28"/>
          <w:lang w:val="bg-BG"/>
        </w:rPr>
        <w:t>Държава-членка на NSPO</w:t>
      </w:r>
      <w:r w:rsidRPr="003267E9">
        <w:rPr>
          <w:rFonts w:ascii="Times New Roman" w:hAnsi="Times New Roman" w:cs="Times New Roman"/>
          <w:sz w:val="28"/>
          <w:szCs w:val="28"/>
          <w:lang w:val="bg-BG"/>
        </w:rPr>
        <w:t>“ е държава от НАТО, която е член на NSPO.</w:t>
      </w:r>
    </w:p>
    <w:p w14:paraId="1CD593CC" w14:textId="77777777" w:rsidR="008E2450" w:rsidRPr="003267E9" w:rsidRDefault="008E2450" w:rsidP="00722BC7">
      <w:pPr>
        <w:spacing w:after="0"/>
        <w:ind w:firstLine="720"/>
        <w:jc w:val="both"/>
        <w:rPr>
          <w:rFonts w:ascii="Times New Roman" w:hAnsi="Times New Roman" w:cs="Times New Roman"/>
          <w:sz w:val="28"/>
          <w:szCs w:val="28"/>
          <w:lang w:val="bg-BG"/>
        </w:rPr>
      </w:pPr>
      <w:r w:rsidRPr="003267E9">
        <w:rPr>
          <w:rFonts w:ascii="Times New Roman" w:hAnsi="Times New Roman" w:cs="Times New Roman"/>
          <w:sz w:val="28"/>
          <w:szCs w:val="28"/>
          <w:lang w:val="bg-BG"/>
        </w:rPr>
        <w:t>2.2 „</w:t>
      </w:r>
      <w:r w:rsidRPr="00CD2E06">
        <w:rPr>
          <w:rFonts w:ascii="Times New Roman" w:hAnsi="Times New Roman" w:cs="Times New Roman"/>
          <w:b/>
          <w:sz w:val="28"/>
          <w:szCs w:val="28"/>
          <w:lang w:val="bg-BG"/>
        </w:rPr>
        <w:t>Държава-наблюдател</w:t>
      </w:r>
      <w:r w:rsidRPr="003267E9">
        <w:rPr>
          <w:rFonts w:ascii="Times New Roman" w:hAnsi="Times New Roman" w:cs="Times New Roman"/>
          <w:sz w:val="28"/>
          <w:szCs w:val="28"/>
          <w:lang w:val="bg-BG"/>
        </w:rPr>
        <w:t>“ е държава от НАТО или партньор, упълномощена от Комитет за партньорство да присъства на заседанията на Комитета за партньорство като наблюдател, без право на глас. Държавите-наблюдатели не се възползват от никакви услуги в рамките на Партньорството на NSPO.</w:t>
      </w:r>
    </w:p>
    <w:p w14:paraId="4893CBFB" w14:textId="77777777" w:rsidR="008E2450"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2.3 „</w:t>
      </w:r>
      <w:proofErr w:type="spellStart"/>
      <w:r w:rsidRPr="00CD2E06">
        <w:rPr>
          <w:rFonts w:ascii="Times New Roman" w:hAnsi="Times New Roman" w:cs="Times New Roman"/>
          <w:b/>
          <w:sz w:val="28"/>
          <w:szCs w:val="28"/>
        </w:rPr>
        <w:t>Държава-членка</w:t>
      </w:r>
      <w:proofErr w:type="spellEnd"/>
      <w:r w:rsidRPr="00CD2E06">
        <w:rPr>
          <w:rFonts w:ascii="Times New Roman" w:hAnsi="Times New Roman" w:cs="Times New Roman"/>
          <w:b/>
          <w:sz w:val="28"/>
          <w:szCs w:val="28"/>
        </w:rPr>
        <w:t xml:space="preserve"> </w:t>
      </w:r>
      <w:proofErr w:type="spellStart"/>
      <w:r w:rsidRPr="00CD2E06">
        <w:rPr>
          <w:rFonts w:ascii="Times New Roman" w:hAnsi="Times New Roman" w:cs="Times New Roman"/>
          <w:b/>
          <w:sz w:val="28"/>
          <w:szCs w:val="28"/>
        </w:rPr>
        <w:t>на</w:t>
      </w:r>
      <w:proofErr w:type="spellEnd"/>
      <w:r w:rsidRPr="00CD2E06">
        <w:rPr>
          <w:rFonts w:ascii="Times New Roman" w:hAnsi="Times New Roman" w:cs="Times New Roman"/>
          <w:b/>
          <w:sz w:val="28"/>
          <w:szCs w:val="28"/>
        </w:rPr>
        <w:t xml:space="preserve"> </w:t>
      </w:r>
      <w:proofErr w:type="spellStart"/>
      <w:proofErr w:type="gramStart"/>
      <w:r w:rsidRPr="00CD2E06">
        <w:rPr>
          <w:rFonts w:ascii="Times New Roman" w:hAnsi="Times New Roman" w:cs="Times New Roman"/>
          <w:b/>
          <w:sz w:val="28"/>
          <w:szCs w:val="28"/>
        </w:rPr>
        <w:t>партньорство</w:t>
      </w:r>
      <w:proofErr w:type="spellEnd"/>
      <w:r w:rsidRPr="00831A5B">
        <w:rPr>
          <w:rFonts w:ascii="Times New Roman" w:hAnsi="Times New Roman" w:cs="Times New Roman"/>
          <w:sz w:val="28"/>
          <w:szCs w:val="28"/>
        </w:rPr>
        <w:t>“ е</w:t>
      </w:r>
      <w:proofErr w:type="gram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държава-членка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която</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поне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една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друга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държава-членка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е </w:t>
      </w:r>
      <w:proofErr w:type="spellStart"/>
      <w:r w:rsidRPr="00831A5B">
        <w:rPr>
          <w:rFonts w:ascii="Times New Roman" w:hAnsi="Times New Roman" w:cs="Times New Roman"/>
          <w:sz w:val="28"/>
          <w:szCs w:val="28"/>
        </w:rPr>
        <w:t>сформирала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присъединила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към</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съществуващо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членове</w:t>
      </w:r>
      <w:proofErr w:type="spellEnd"/>
      <w:r w:rsidRPr="00831A5B">
        <w:rPr>
          <w:rFonts w:ascii="Times New Roman" w:hAnsi="Times New Roman" w:cs="Times New Roman"/>
          <w:sz w:val="28"/>
          <w:szCs w:val="28"/>
        </w:rPr>
        <w:t xml:space="preserve"> 43-45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Устава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690531F9" w14:textId="77777777" w:rsidR="002307FC" w:rsidRPr="00831A5B" w:rsidRDefault="008E245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2.4 „</w:t>
      </w:r>
      <w:proofErr w:type="spellStart"/>
      <w:r w:rsidRPr="00CD2E06">
        <w:rPr>
          <w:rFonts w:ascii="Times New Roman" w:hAnsi="Times New Roman" w:cs="Times New Roman"/>
          <w:b/>
          <w:sz w:val="28"/>
          <w:szCs w:val="28"/>
        </w:rPr>
        <w:t>Споразумение</w:t>
      </w:r>
      <w:proofErr w:type="spellEnd"/>
      <w:r w:rsidRPr="00CD2E06">
        <w:rPr>
          <w:rFonts w:ascii="Times New Roman" w:hAnsi="Times New Roman" w:cs="Times New Roman"/>
          <w:b/>
          <w:sz w:val="28"/>
          <w:szCs w:val="28"/>
        </w:rPr>
        <w:t xml:space="preserve"> </w:t>
      </w:r>
      <w:proofErr w:type="spellStart"/>
      <w:r w:rsidRPr="00CD2E06">
        <w:rPr>
          <w:rFonts w:ascii="Times New Roman" w:hAnsi="Times New Roman" w:cs="Times New Roman"/>
          <w:b/>
          <w:sz w:val="28"/>
          <w:szCs w:val="28"/>
        </w:rPr>
        <w:t>за</w:t>
      </w:r>
      <w:proofErr w:type="spellEnd"/>
      <w:r w:rsidRPr="00CD2E06">
        <w:rPr>
          <w:rFonts w:ascii="Times New Roman" w:hAnsi="Times New Roman" w:cs="Times New Roman"/>
          <w:b/>
          <w:sz w:val="28"/>
          <w:szCs w:val="28"/>
        </w:rPr>
        <w:t xml:space="preserve"> </w:t>
      </w:r>
      <w:proofErr w:type="spellStart"/>
      <w:r w:rsidRPr="00CD2E06">
        <w:rPr>
          <w:rFonts w:ascii="Times New Roman" w:hAnsi="Times New Roman" w:cs="Times New Roman"/>
          <w:b/>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писменото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установява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рамките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съвместно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организиране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подкрепата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услугите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рамките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мисията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и </w:t>
      </w:r>
      <w:proofErr w:type="spellStart"/>
      <w:r w:rsidRPr="00831A5B">
        <w:rPr>
          <w:rFonts w:ascii="Times New Roman" w:hAnsi="Times New Roman" w:cs="Times New Roman"/>
          <w:sz w:val="28"/>
          <w:szCs w:val="28"/>
        </w:rPr>
        <w:t>насоките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предоставени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Съвета</w:t>
      </w:r>
      <w:proofErr w:type="spellEnd"/>
      <w:r w:rsidRPr="00831A5B">
        <w:rPr>
          <w:rFonts w:ascii="Times New Roman" w:hAnsi="Times New Roman" w:cs="Times New Roman"/>
          <w:sz w:val="28"/>
          <w:szCs w:val="28"/>
        </w:rPr>
        <w:t>.</w:t>
      </w:r>
    </w:p>
    <w:p w14:paraId="075B1CD7" w14:textId="77777777" w:rsidR="002307FC" w:rsidRPr="00CD2E06" w:rsidRDefault="002307FC"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lastRenderedPageBreak/>
        <w:t>2.5 „</w:t>
      </w:r>
      <w:proofErr w:type="spellStart"/>
      <w:r w:rsidRPr="00CD2E06">
        <w:rPr>
          <w:rFonts w:ascii="Times New Roman" w:hAnsi="Times New Roman" w:cs="Times New Roman"/>
          <w:b/>
          <w:sz w:val="28"/>
          <w:szCs w:val="28"/>
        </w:rPr>
        <w:t>Асоциирана</w:t>
      </w:r>
      <w:proofErr w:type="spellEnd"/>
      <w:r w:rsidRPr="00CD2E06">
        <w:rPr>
          <w:rFonts w:ascii="Times New Roman" w:hAnsi="Times New Roman" w:cs="Times New Roman"/>
          <w:b/>
          <w:sz w:val="28"/>
          <w:szCs w:val="28"/>
        </w:rPr>
        <w:t xml:space="preserve"> </w:t>
      </w:r>
      <w:proofErr w:type="spellStart"/>
      <w:r w:rsidRPr="00CD2E06">
        <w:rPr>
          <w:rFonts w:ascii="Times New Roman" w:hAnsi="Times New Roman" w:cs="Times New Roman"/>
          <w:b/>
          <w:sz w:val="28"/>
          <w:szCs w:val="28"/>
        </w:rPr>
        <w:t>държава</w:t>
      </w:r>
      <w:proofErr w:type="spellEnd"/>
      <w:r w:rsidRPr="00CD2E06">
        <w:rPr>
          <w:rFonts w:ascii="Times New Roman" w:hAnsi="Times New Roman" w:cs="Times New Roman"/>
          <w:b/>
          <w:sz w:val="28"/>
          <w:szCs w:val="28"/>
        </w:rPr>
        <w:t xml:space="preserve"> </w:t>
      </w:r>
      <w:proofErr w:type="spellStart"/>
      <w:r w:rsidRPr="00CD2E06">
        <w:rPr>
          <w:rFonts w:ascii="Times New Roman" w:hAnsi="Times New Roman" w:cs="Times New Roman"/>
          <w:b/>
          <w:sz w:val="28"/>
          <w:szCs w:val="28"/>
        </w:rPr>
        <w:t>по</w:t>
      </w:r>
      <w:proofErr w:type="spellEnd"/>
      <w:r w:rsidRPr="00CD2E06">
        <w:rPr>
          <w:rFonts w:ascii="Times New Roman" w:hAnsi="Times New Roman" w:cs="Times New Roman"/>
          <w:b/>
          <w:sz w:val="28"/>
          <w:szCs w:val="28"/>
        </w:rPr>
        <w:t xml:space="preserve"> </w:t>
      </w:r>
      <w:proofErr w:type="spellStart"/>
      <w:r w:rsidRPr="00CD2E06">
        <w:rPr>
          <w:rFonts w:ascii="Times New Roman" w:hAnsi="Times New Roman" w:cs="Times New Roman"/>
          <w:b/>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Асоциирана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държава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която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сътрудничество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и </w:t>
      </w:r>
      <w:proofErr w:type="spellStart"/>
      <w:r w:rsidRPr="00831A5B">
        <w:rPr>
          <w:rFonts w:ascii="Times New Roman" w:hAnsi="Times New Roman" w:cs="Times New Roman"/>
          <w:sz w:val="28"/>
          <w:szCs w:val="28"/>
        </w:rPr>
        <w:t>специфичен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инструмент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между</w:t>
      </w:r>
      <w:proofErr w:type="spellEnd"/>
      <w:r w:rsidRPr="00831A5B">
        <w:rPr>
          <w:rFonts w:ascii="Times New Roman" w:hAnsi="Times New Roman" w:cs="Times New Roman"/>
          <w:sz w:val="28"/>
          <w:szCs w:val="28"/>
        </w:rPr>
        <w:t xml:space="preserve"> NSPO и </w:t>
      </w:r>
      <w:proofErr w:type="spellStart"/>
      <w:r w:rsidRPr="00831A5B">
        <w:rPr>
          <w:rFonts w:ascii="Times New Roman" w:hAnsi="Times New Roman" w:cs="Times New Roman"/>
          <w:sz w:val="28"/>
          <w:szCs w:val="28"/>
        </w:rPr>
        <w:t>съответната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определящ</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условията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около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дадено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договорено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Такова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участие</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предмет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държавата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произход</w:t>
      </w:r>
      <w:proofErr w:type="spellEnd"/>
      <w:r w:rsidRPr="00831A5B">
        <w:rPr>
          <w:rFonts w:ascii="Times New Roman" w:hAnsi="Times New Roman" w:cs="Times New Roman"/>
          <w:sz w:val="28"/>
          <w:szCs w:val="28"/>
        </w:rPr>
        <w:t xml:space="preserve"> </w:t>
      </w:r>
      <w:r w:rsidRPr="00CD2E06">
        <w:rPr>
          <w:rFonts w:ascii="Times New Roman" w:hAnsi="Times New Roman" w:cs="Times New Roman"/>
          <w:sz w:val="28"/>
          <w:szCs w:val="28"/>
          <w:lang w:val="bg-BG"/>
        </w:rPr>
        <w:t>на съответната дейност (когато е уместно) и е предмет на одобрение от ASB на NSPO.</w:t>
      </w:r>
    </w:p>
    <w:p w14:paraId="4D6E0F7D" w14:textId="77777777" w:rsidR="008E2450" w:rsidRPr="00CD2E06" w:rsidRDefault="002307FC" w:rsidP="00722BC7">
      <w:pPr>
        <w:spacing w:after="0"/>
        <w:ind w:firstLine="720"/>
        <w:jc w:val="both"/>
        <w:rPr>
          <w:rFonts w:ascii="Times New Roman" w:hAnsi="Times New Roman" w:cs="Times New Roman"/>
          <w:sz w:val="28"/>
          <w:szCs w:val="28"/>
          <w:lang w:val="bg-BG"/>
        </w:rPr>
      </w:pPr>
      <w:r w:rsidRPr="00CD2E06">
        <w:rPr>
          <w:rFonts w:ascii="Times New Roman" w:hAnsi="Times New Roman" w:cs="Times New Roman"/>
          <w:sz w:val="28"/>
          <w:szCs w:val="28"/>
          <w:lang w:val="bg-BG"/>
        </w:rPr>
        <w:t>2.6 „</w:t>
      </w:r>
      <w:r w:rsidRPr="00CD2E06">
        <w:rPr>
          <w:rFonts w:ascii="Times New Roman" w:hAnsi="Times New Roman" w:cs="Times New Roman"/>
          <w:b/>
          <w:sz w:val="28"/>
          <w:szCs w:val="28"/>
          <w:lang w:val="bg-BG"/>
        </w:rPr>
        <w:t>Комитет по партньорство</w:t>
      </w:r>
      <w:r w:rsidRPr="00CD2E06">
        <w:rPr>
          <w:rFonts w:ascii="Times New Roman" w:hAnsi="Times New Roman" w:cs="Times New Roman"/>
          <w:sz w:val="28"/>
          <w:szCs w:val="28"/>
          <w:lang w:val="bg-BG"/>
        </w:rPr>
        <w:t>“ във всяко партньорство NSPO е комитетът, който наблюдава дейностите на партньорството. Той се занимава с NSPA по въпроси от неговата компетентност като подчинен комитет на ASB на NSPO. Състои се от представител на всяка държава членка на партньорството и включва председател и секретар.</w:t>
      </w:r>
    </w:p>
    <w:p w14:paraId="12550EC5" w14:textId="77777777" w:rsidR="00F82F2E" w:rsidRPr="00CD2E06" w:rsidRDefault="00F82F2E" w:rsidP="00722BC7">
      <w:pPr>
        <w:spacing w:after="0"/>
        <w:ind w:firstLine="720"/>
        <w:jc w:val="both"/>
        <w:rPr>
          <w:rFonts w:ascii="Times New Roman" w:hAnsi="Times New Roman" w:cs="Times New Roman"/>
          <w:sz w:val="28"/>
          <w:szCs w:val="28"/>
          <w:lang w:val="bg-BG"/>
        </w:rPr>
      </w:pPr>
      <w:r w:rsidRPr="00CD2E06">
        <w:rPr>
          <w:rFonts w:ascii="Times New Roman" w:hAnsi="Times New Roman" w:cs="Times New Roman"/>
          <w:sz w:val="28"/>
          <w:szCs w:val="28"/>
          <w:lang w:val="bg-BG"/>
        </w:rPr>
        <w:t>2.7 „</w:t>
      </w:r>
      <w:r w:rsidRPr="00CD2E06">
        <w:rPr>
          <w:rFonts w:ascii="Times New Roman" w:hAnsi="Times New Roman" w:cs="Times New Roman"/>
          <w:b/>
          <w:sz w:val="28"/>
          <w:szCs w:val="28"/>
          <w:lang w:val="bg-BG"/>
        </w:rPr>
        <w:t>Участник(ци) в партньорство</w:t>
      </w:r>
      <w:r w:rsidRPr="00CD2E06">
        <w:rPr>
          <w:rFonts w:ascii="Times New Roman" w:hAnsi="Times New Roman" w:cs="Times New Roman"/>
          <w:sz w:val="28"/>
          <w:szCs w:val="28"/>
          <w:lang w:val="bg-BG"/>
        </w:rPr>
        <w:t>“ или „Участници“ е термин, обхващащ държавите-членки на партньорството, както и асоциираните държави (ако има такива) и/или органите на НАТО (ако има такива), които участват в партньорство на NSPO.</w:t>
      </w:r>
    </w:p>
    <w:p w14:paraId="642465AB" w14:textId="77777777" w:rsidR="00F82F2E" w:rsidRPr="00CD2E06" w:rsidRDefault="00F82F2E" w:rsidP="00722BC7">
      <w:pPr>
        <w:spacing w:after="0"/>
        <w:ind w:firstLine="720"/>
        <w:jc w:val="both"/>
        <w:rPr>
          <w:rFonts w:ascii="Times New Roman" w:hAnsi="Times New Roman" w:cs="Times New Roman"/>
          <w:sz w:val="28"/>
          <w:szCs w:val="28"/>
          <w:lang w:val="bg-BG"/>
        </w:rPr>
      </w:pPr>
      <w:r w:rsidRPr="00CD2E06">
        <w:rPr>
          <w:rFonts w:ascii="Times New Roman" w:hAnsi="Times New Roman" w:cs="Times New Roman"/>
          <w:sz w:val="28"/>
          <w:szCs w:val="28"/>
          <w:lang w:val="bg-BG"/>
        </w:rPr>
        <w:t>2.8 „</w:t>
      </w:r>
      <w:r w:rsidRPr="00CD2E06">
        <w:rPr>
          <w:rFonts w:ascii="Times New Roman" w:hAnsi="Times New Roman" w:cs="Times New Roman"/>
          <w:b/>
          <w:sz w:val="28"/>
          <w:szCs w:val="28"/>
          <w:lang w:val="bg-BG"/>
        </w:rPr>
        <w:t>Програмна директива</w:t>
      </w:r>
      <w:r w:rsidRPr="00CD2E06">
        <w:rPr>
          <w:rFonts w:ascii="Times New Roman" w:hAnsi="Times New Roman" w:cs="Times New Roman"/>
          <w:sz w:val="28"/>
          <w:szCs w:val="28"/>
          <w:lang w:val="bg-BG"/>
        </w:rPr>
        <w:t>“ е директивата, която определя мисията и отговорностите, възложени на NSPA по отношение на дейностите по поддръжка на NSPA, както и отговорностите на държавите-членки на партньорството.</w:t>
      </w:r>
    </w:p>
    <w:p w14:paraId="635D439C" w14:textId="77777777" w:rsidR="00F82F2E" w:rsidRPr="00CD2E06" w:rsidRDefault="00F82F2E" w:rsidP="00722BC7">
      <w:pPr>
        <w:spacing w:after="0"/>
        <w:ind w:firstLine="720"/>
        <w:jc w:val="both"/>
        <w:rPr>
          <w:rFonts w:ascii="Times New Roman" w:hAnsi="Times New Roman" w:cs="Times New Roman"/>
          <w:sz w:val="28"/>
          <w:szCs w:val="28"/>
          <w:lang w:val="bg-BG"/>
        </w:rPr>
      </w:pPr>
      <w:r w:rsidRPr="00CD2E06">
        <w:rPr>
          <w:rFonts w:ascii="Times New Roman" w:hAnsi="Times New Roman" w:cs="Times New Roman"/>
          <w:sz w:val="28"/>
          <w:szCs w:val="28"/>
          <w:lang w:val="bg-BG"/>
        </w:rPr>
        <w:t>2.9 „</w:t>
      </w:r>
      <w:r w:rsidR="00CD2E06" w:rsidRPr="00CD2E06">
        <w:rPr>
          <w:rFonts w:ascii="Times New Roman" w:hAnsi="Times New Roman" w:cs="Times New Roman"/>
          <w:b/>
          <w:sz w:val="28"/>
          <w:szCs w:val="28"/>
          <w:lang w:val="bg-BG"/>
        </w:rPr>
        <w:t>Временна</w:t>
      </w:r>
      <w:r w:rsidRPr="00CD2E06">
        <w:rPr>
          <w:rFonts w:ascii="Times New Roman" w:hAnsi="Times New Roman" w:cs="Times New Roman"/>
          <w:b/>
          <w:sz w:val="28"/>
          <w:szCs w:val="28"/>
          <w:lang w:val="bg-BG"/>
        </w:rPr>
        <w:t xml:space="preserve"> държава</w:t>
      </w:r>
      <w:r w:rsidR="00CD2E06" w:rsidRPr="00CD2E06">
        <w:rPr>
          <w:rFonts w:ascii="Times New Roman" w:hAnsi="Times New Roman" w:cs="Times New Roman"/>
          <w:sz w:val="28"/>
          <w:szCs w:val="28"/>
          <w:lang w:val="bg-BG"/>
        </w:rPr>
        <w:t xml:space="preserve">“ </w:t>
      </w:r>
      <w:r w:rsidRPr="00CD2E06">
        <w:rPr>
          <w:rFonts w:ascii="Times New Roman" w:hAnsi="Times New Roman" w:cs="Times New Roman"/>
          <w:sz w:val="28"/>
          <w:szCs w:val="28"/>
          <w:lang w:val="bg-BG"/>
        </w:rPr>
        <w:t>е държава от НАТО или държава-партньор, упълномощена от Комитет по партньорство да получава определени услуги в рамките на партньорство на NSPO за ограничен период, преди да кандидатства за членство или асоцииран статут;</w:t>
      </w:r>
    </w:p>
    <w:p w14:paraId="0BF7A67F" w14:textId="77777777" w:rsidR="00F82F2E" w:rsidRPr="00CD2E06" w:rsidRDefault="00F82F2E" w:rsidP="00722BC7">
      <w:pPr>
        <w:spacing w:after="0"/>
        <w:ind w:firstLine="720"/>
        <w:jc w:val="both"/>
        <w:rPr>
          <w:rFonts w:ascii="Times New Roman" w:hAnsi="Times New Roman" w:cs="Times New Roman"/>
          <w:sz w:val="28"/>
          <w:szCs w:val="28"/>
          <w:lang w:val="bg-BG"/>
        </w:rPr>
      </w:pPr>
      <w:r w:rsidRPr="00CD2E06">
        <w:rPr>
          <w:rFonts w:ascii="Times New Roman" w:hAnsi="Times New Roman" w:cs="Times New Roman"/>
          <w:sz w:val="28"/>
          <w:szCs w:val="28"/>
          <w:lang w:val="bg-BG"/>
        </w:rPr>
        <w:t>2.10 „</w:t>
      </w:r>
      <w:r w:rsidRPr="00CD2E06">
        <w:rPr>
          <w:rFonts w:ascii="Times New Roman" w:hAnsi="Times New Roman" w:cs="Times New Roman"/>
          <w:b/>
          <w:sz w:val="28"/>
          <w:szCs w:val="28"/>
          <w:lang w:val="bg-BG"/>
        </w:rPr>
        <w:t>Клиенти</w:t>
      </w:r>
      <w:r w:rsidRPr="00CD2E06">
        <w:rPr>
          <w:rFonts w:ascii="Times New Roman" w:hAnsi="Times New Roman" w:cs="Times New Roman"/>
          <w:sz w:val="28"/>
          <w:szCs w:val="28"/>
          <w:lang w:val="bg-BG"/>
        </w:rPr>
        <w:t>“ са притежатели на изисквания, които се възползват от дейностите по партньорството, както е разрешено от Комитета по партньорство. Тези притежатели на изисквания са различни от членове на партньорството или асоциирани държави по партньорството;</w:t>
      </w:r>
    </w:p>
    <w:p w14:paraId="36BAFC0D" w14:textId="77777777" w:rsidR="00F82F2E" w:rsidRPr="00CD2E06" w:rsidRDefault="00F82F2E" w:rsidP="00722BC7">
      <w:pPr>
        <w:spacing w:after="0"/>
        <w:ind w:firstLine="720"/>
        <w:jc w:val="both"/>
        <w:rPr>
          <w:rFonts w:ascii="Times New Roman" w:hAnsi="Times New Roman" w:cs="Times New Roman"/>
          <w:sz w:val="28"/>
          <w:szCs w:val="28"/>
          <w:lang w:val="bg-BG"/>
        </w:rPr>
      </w:pPr>
      <w:r w:rsidRPr="00CD2E06">
        <w:rPr>
          <w:rFonts w:ascii="Times New Roman" w:hAnsi="Times New Roman" w:cs="Times New Roman"/>
          <w:sz w:val="28"/>
          <w:szCs w:val="28"/>
          <w:lang w:val="bg-BG"/>
        </w:rPr>
        <w:t>2.11 „</w:t>
      </w:r>
      <w:r w:rsidRPr="00CD2E06">
        <w:rPr>
          <w:rFonts w:ascii="Times New Roman" w:hAnsi="Times New Roman" w:cs="Times New Roman"/>
          <w:b/>
          <w:sz w:val="28"/>
          <w:szCs w:val="28"/>
          <w:lang w:val="bg-BG"/>
        </w:rPr>
        <w:t>Проект</w:t>
      </w:r>
      <w:r w:rsidRPr="00CD2E06">
        <w:rPr>
          <w:rFonts w:ascii="Times New Roman" w:hAnsi="Times New Roman" w:cs="Times New Roman"/>
          <w:sz w:val="28"/>
          <w:szCs w:val="28"/>
          <w:lang w:val="bg-BG"/>
        </w:rPr>
        <w:t>“ е организационен елемент (обикновено интегриран в офис на програмата NSPA), който се третира като отделна бизнес дейност. Тази дейност се извършва от NSPA с цел постигане на конкретен резултат, определен от Комитета по партньорство.</w:t>
      </w:r>
    </w:p>
    <w:p w14:paraId="3E64551E" w14:textId="77777777" w:rsidR="00F82F2E" w:rsidRPr="00CD2E06" w:rsidRDefault="00F82F2E" w:rsidP="00722BC7">
      <w:pPr>
        <w:spacing w:after="0"/>
        <w:ind w:firstLine="720"/>
        <w:jc w:val="both"/>
        <w:rPr>
          <w:rFonts w:ascii="Times New Roman" w:hAnsi="Times New Roman" w:cs="Times New Roman"/>
          <w:sz w:val="28"/>
          <w:szCs w:val="28"/>
          <w:lang w:val="bg-BG"/>
        </w:rPr>
      </w:pPr>
      <w:r w:rsidRPr="00CD2E06">
        <w:rPr>
          <w:rFonts w:ascii="Times New Roman" w:hAnsi="Times New Roman" w:cs="Times New Roman"/>
          <w:sz w:val="28"/>
          <w:szCs w:val="28"/>
          <w:lang w:val="bg-BG"/>
        </w:rPr>
        <w:t>2.12 „</w:t>
      </w:r>
      <w:r w:rsidRPr="00CD2E06">
        <w:rPr>
          <w:rFonts w:ascii="Times New Roman" w:hAnsi="Times New Roman" w:cs="Times New Roman"/>
          <w:b/>
          <w:sz w:val="28"/>
          <w:szCs w:val="28"/>
          <w:lang w:val="bg-BG"/>
        </w:rPr>
        <w:t>Проект за произволно посредничество</w:t>
      </w:r>
      <w:r w:rsidRPr="00CD2E06">
        <w:rPr>
          <w:rFonts w:ascii="Times New Roman" w:hAnsi="Times New Roman" w:cs="Times New Roman"/>
          <w:sz w:val="28"/>
          <w:szCs w:val="28"/>
          <w:lang w:val="bg-BG"/>
        </w:rPr>
        <w:t>“ е временен организационен елемент, обикновено изпълняван като отделна бизнес дейност. Тази дейност се извършва с цел постигане на конкретен резултат, определен от Клиент и/или Участник в партньорството.</w:t>
      </w:r>
    </w:p>
    <w:p w14:paraId="2A2223EF" w14:textId="77777777" w:rsidR="00F82F2E" w:rsidRPr="00CD2E06" w:rsidRDefault="00F82F2E" w:rsidP="00722BC7">
      <w:pPr>
        <w:spacing w:after="0"/>
        <w:ind w:firstLine="720"/>
        <w:jc w:val="both"/>
        <w:rPr>
          <w:rFonts w:ascii="Times New Roman" w:hAnsi="Times New Roman" w:cs="Times New Roman"/>
          <w:sz w:val="28"/>
          <w:szCs w:val="28"/>
          <w:lang w:val="bg-BG"/>
        </w:rPr>
      </w:pPr>
      <w:r w:rsidRPr="00CD2E06">
        <w:rPr>
          <w:rFonts w:ascii="Times New Roman" w:hAnsi="Times New Roman" w:cs="Times New Roman"/>
          <w:sz w:val="28"/>
          <w:szCs w:val="28"/>
          <w:lang w:val="bg-BG"/>
        </w:rPr>
        <w:t>2.13 „</w:t>
      </w:r>
      <w:r w:rsidRPr="00CD2E06">
        <w:rPr>
          <w:rFonts w:ascii="Times New Roman" w:hAnsi="Times New Roman" w:cs="Times New Roman"/>
          <w:b/>
          <w:sz w:val="28"/>
          <w:szCs w:val="28"/>
          <w:lang w:val="bg-BG"/>
        </w:rPr>
        <w:t>Логистична фондова борса на НАТО</w:t>
      </w:r>
      <w:r w:rsidRPr="00CD2E06">
        <w:rPr>
          <w:rFonts w:ascii="Times New Roman" w:hAnsi="Times New Roman" w:cs="Times New Roman"/>
          <w:sz w:val="28"/>
          <w:szCs w:val="28"/>
          <w:lang w:val="bg-BG"/>
        </w:rPr>
        <w:t xml:space="preserve"> (NLSE)“ е сигурна уеб-базирана система за логистично сътрудничество, свързваща оторизирани потребители помежду си и с индустрията (вижте Приложение 1 към Директива № 3809 на програмата NSPO за подробности относно системните елементи);</w:t>
      </w:r>
    </w:p>
    <w:p w14:paraId="7AC95EF6" w14:textId="77777777" w:rsidR="00F82F2E" w:rsidRPr="00CD2E06" w:rsidRDefault="00F82F2E" w:rsidP="00722BC7">
      <w:pPr>
        <w:spacing w:after="0"/>
        <w:ind w:firstLine="720"/>
        <w:jc w:val="both"/>
        <w:rPr>
          <w:rFonts w:ascii="Times New Roman" w:hAnsi="Times New Roman" w:cs="Times New Roman"/>
          <w:sz w:val="28"/>
          <w:szCs w:val="28"/>
          <w:lang w:val="bg-BG"/>
        </w:rPr>
      </w:pPr>
      <w:r w:rsidRPr="00CD2E06">
        <w:rPr>
          <w:rFonts w:ascii="Times New Roman" w:hAnsi="Times New Roman" w:cs="Times New Roman"/>
          <w:sz w:val="28"/>
          <w:szCs w:val="28"/>
          <w:lang w:val="bg-BG"/>
        </w:rPr>
        <w:lastRenderedPageBreak/>
        <w:t>2.14 „</w:t>
      </w:r>
      <w:r w:rsidRPr="00CD2E06">
        <w:rPr>
          <w:rFonts w:ascii="Times New Roman" w:hAnsi="Times New Roman" w:cs="Times New Roman"/>
          <w:b/>
          <w:sz w:val="28"/>
          <w:szCs w:val="28"/>
          <w:lang w:val="bg-BG"/>
        </w:rPr>
        <w:t>Потребители на NLSE“</w:t>
      </w:r>
      <w:r w:rsidRPr="00CD2E06">
        <w:rPr>
          <w:rFonts w:ascii="Times New Roman" w:hAnsi="Times New Roman" w:cs="Times New Roman"/>
          <w:sz w:val="28"/>
          <w:szCs w:val="28"/>
          <w:lang w:val="bg-BG"/>
        </w:rPr>
        <w:t xml:space="preserve"> са всички организации с достъп/използване на платформата NLSE;</w:t>
      </w:r>
    </w:p>
    <w:p w14:paraId="1A4D0D17"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2.15 „</w:t>
      </w:r>
      <w:proofErr w:type="spellStart"/>
      <w:r w:rsidRPr="00CD2E06">
        <w:rPr>
          <w:rFonts w:ascii="Times New Roman" w:hAnsi="Times New Roman" w:cs="Times New Roman"/>
          <w:b/>
          <w:sz w:val="28"/>
          <w:szCs w:val="28"/>
        </w:rPr>
        <w:t>Рамково</w:t>
      </w:r>
      <w:proofErr w:type="spellEnd"/>
      <w:r w:rsidRPr="00CD2E06">
        <w:rPr>
          <w:rFonts w:ascii="Times New Roman" w:hAnsi="Times New Roman" w:cs="Times New Roman"/>
          <w:b/>
          <w:sz w:val="28"/>
          <w:szCs w:val="28"/>
        </w:rPr>
        <w:t xml:space="preserve"> </w:t>
      </w:r>
      <w:proofErr w:type="spellStart"/>
      <w:r w:rsidRPr="00CD2E06">
        <w:rPr>
          <w:rFonts w:ascii="Times New Roman" w:hAnsi="Times New Roman" w:cs="Times New Roman"/>
          <w:b/>
          <w:sz w:val="28"/>
          <w:szCs w:val="28"/>
        </w:rPr>
        <w:t>споразумение</w:t>
      </w:r>
      <w:proofErr w:type="spellEnd"/>
      <w:r w:rsidRPr="00CD2E06">
        <w:rPr>
          <w:rFonts w:ascii="Times New Roman" w:hAnsi="Times New Roman" w:cs="Times New Roman"/>
          <w:b/>
          <w:sz w:val="28"/>
          <w:szCs w:val="28"/>
        </w:rPr>
        <w:t xml:space="preserve"> </w:t>
      </w:r>
      <w:proofErr w:type="spellStart"/>
      <w:r w:rsidRPr="00CD2E06">
        <w:rPr>
          <w:rFonts w:ascii="Times New Roman" w:hAnsi="Times New Roman" w:cs="Times New Roman"/>
          <w:b/>
          <w:sz w:val="28"/>
          <w:szCs w:val="28"/>
        </w:rPr>
        <w:t>eCat</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дългосрочен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рамков</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договор</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сключен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r w:rsidR="00CD2E06">
        <w:rPr>
          <w:rFonts w:ascii="Times New Roman" w:hAnsi="Times New Roman" w:cs="Times New Roman"/>
          <w:sz w:val="28"/>
          <w:szCs w:val="28"/>
          <w:lang w:val="bg-BG"/>
        </w:rPr>
        <w:t>осигуряване</w:t>
      </w: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участниците</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достъпен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системата</w:t>
      </w:r>
      <w:proofErr w:type="spellEnd"/>
      <w:r w:rsidRPr="00831A5B">
        <w:rPr>
          <w:rFonts w:ascii="Times New Roman" w:hAnsi="Times New Roman" w:cs="Times New Roman"/>
          <w:sz w:val="28"/>
          <w:szCs w:val="28"/>
        </w:rPr>
        <w:t xml:space="preserve"> NLSE (eCat1),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организации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идентифицирани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участници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достъпни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системата</w:t>
      </w:r>
      <w:proofErr w:type="spellEnd"/>
      <w:r w:rsidRPr="00831A5B">
        <w:rPr>
          <w:rFonts w:ascii="Times New Roman" w:hAnsi="Times New Roman" w:cs="Times New Roman"/>
          <w:sz w:val="28"/>
          <w:szCs w:val="28"/>
        </w:rPr>
        <w:t xml:space="preserve"> NLSE (eCat2).</w:t>
      </w:r>
    </w:p>
    <w:p w14:paraId="18FBD970"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2.16 </w:t>
      </w:r>
      <w:proofErr w:type="spellStart"/>
      <w:r w:rsidRPr="00831A5B">
        <w:rPr>
          <w:rFonts w:ascii="Times New Roman" w:hAnsi="Times New Roman" w:cs="Times New Roman"/>
          <w:sz w:val="28"/>
          <w:szCs w:val="28"/>
        </w:rPr>
        <w:t>Други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термини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използвани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дефинирани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във</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Функционална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2002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Правила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ASB) и </w:t>
      </w:r>
      <w:proofErr w:type="spellStart"/>
      <w:r w:rsidRPr="00831A5B">
        <w:rPr>
          <w:rFonts w:ascii="Times New Roman" w:hAnsi="Times New Roman" w:cs="Times New Roman"/>
          <w:sz w:val="28"/>
          <w:szCs w:val="28"/>
        </w:rPr>
        <w:t>Речника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термините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(NGOT), </w:t>
      </w:r>
      <w:proofErr w:type="spellStart"/>
      <w:r w:rsidRPr="00831A5B">
        <w:rPr>
          <w:rFonts w:ascii="Times New Roman" w:hAnsi="Times New Roman" w:cs="Times New Roman"/>
          <w:sz w:val="28"/>
          <w:szCs w:val="28"/>
        </w:rPr>
        <w:t>имат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своите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значения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обичайни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значения</w:t>
      </w:r>
      <w:proofErr w:type="spellEnd"/>
      <w:r w:rsidRPr="00831A5B">
        <w:rPr>
          <w:rFonts w:ascii="Times New Roman" w:hAnsi="Times New Roman" w:cs="Times New Roman"/>
          <w:sz w:val="28"/>
          <w:szCs w:val="28"/>
        </w:rPr>
        <w:t>.</w:t>
      </w:r>
    </w:p>
    <w:p w14:paraId="10D16C5E"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3 УЧАСТИЕ В ПАРТНЬОРСТВОТО</w:t>
      </w:r>
    </w:p>
    <w:p w14:paraId="4D36FAFC"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3.1 </w:t>
      </w:r>
      <w:proofErr w:type="spellStart"/>
      <w:r w:rsidRPr="00831A5B">
        <w:rPr>
          <w:rFonts w:ascii="Times New Roman" w:hAnsi="Times New Roman" w:cs="Times New Roman"/>
          <w:sz w:val="28"/>
          <w:szCs w:val="28"/>
        </w:rPr>
        <w:t>Участниците</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w:t>
      </w:r>
    </w:p>
    <w:tbl>
      <w:tblPr>
        <w:tblW w:w="0" w:type="auto"/>
        <w:tblLayout w:type="fixed"/>
        <w:tblCellMar>
          <w:left w:w="10" w:type="dxa"/>
          <w:right w:w="10" w:type="dxa"/>
        </w:tblCellMar>
        <w:tblLook w:val="04A0" w:firstRow="1" w:lastRow="0" w:firstColumn="1" w:lastColumn="0" w:noHBand="0" w:noVBand="1"/>
      </w:tblPr>
      <w:tblGrid>
        <w:gridCol w:w="2237"/>
        <w:gridCol w:w="2270"/>
        <w:gridCol w:w="1982"/>
        <w:gridCol w:w="1992"/>
      </w:tblGrid>
      <w:tr w:rsidR="00F82F2E" w:rsidRPr="00831A5B" w14:paraId="244BCFED" w14:textId="77777777" w:rsidTr="00F82F2E">
        <w:trPr>
          <w:trHeight w:hRule="exact" w:val="230"/>
        </w:trPr>
        <w:tc>
          <w:tcPr>
            <w:tcW w:w="4507" w:type="dxa"/>
            <w:gridSpan w:val="2"/>
            <w:tcBorders>
              <w:top w:val="single" w:sz="4" w:space="0" w:color="auto"/>
              <w:left w:val="single" w:sz="4" w:space="0" w:color="auto"/>
            </w:tcBorders>
            <w:shd w:val="clear" w:color="auto" w:fill="FFFFFF"/>
          </w:tcPr>
          <w:p w14:paraId="51476F29"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Member Nations</w:t>
            </w:r>
            <w:r w:rsidRPr="00831A5B">
              <w:rPr>
                <w:rFonts w:ascii="Times New Roman" w:eastAsia="Arial" w:hAnsi="Times New Roman" w:cs="Times New Roman"/>
                <w:color w:val="000000"/>
                <w:sz w:val="28"/>
                <w:szCs w:val="28"/>
                <w:vertAlign w:val="superscript"/>
                <w:lang w:bidi="en-US"/>
              </w:rPr>
              <w:footnoteReference w:id="1"/>
            </w:r>
          </w:p>
        </w:tc>
        <w:tc>
          <w:tcPr>
            <w:tcW w:w="1982" w:type="dxa"/>
            <w:tcBorders>
              <w:top w:val="single" w:sz="4" w:space="0" w:color="auto"/>
              <w:left w:val="single" w:sz="4" w:space="0" w:color="auto"/>
            </w:tcBorders>
            <w:shd w:val="clear" w:color="auto" w:fill="FFFFFF"/>
          </w:tcPr>
          <w:p w14:paraId="3C805B06"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Associate States</w:t>
            </w:r>
          </w:p>
        </w:tc>
        <w:tc>
          <w:tcPr>
            <w:tcW w:w="1992" w:type="dxa"/>
            <w:tcBorders>
              <w:top w:val="single" w:sz="4" w:space="0" w:color="auto"/>
              <w:left w:val="single" w:sz="4" w:space="0" w:color="auto"/>
              <w:right w:val="single" w:sz="4" w:space="0" w:color="auto"/>
            </w:tcBorders>
            <w:shd w:val="clear" w:color="auto" w:fill="FFFFFF"/>
          </w:tcPr>
          <w:p w14:paraId="2330DAEF"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NATO Bodies</w:t>
            </w:r>
          </w:p>
        </w:tc>
      </w:tr>
      <w:tr w:rsidR="00F82F2E" w:rsidRPr="00831A5B" w14:paraId="3F47A85E" w14:textId="77777777" w:rsidTr="00F82F2E">
        <w:trPr>
          <w:trHeight w:hRule="exact" w:val="226"/>
        </w:trPr>
        <w:tc>
          <w:tcPr>
            <w:tcW w:w="2237" w:type="dxa"/>
            <w:tcBorders>
              <w:top w:val="single" w:sz="4" w:space="0" w:color="auto"/>
              <w:left w:val="single" w:sz="4" w:space="0" w:color="auto"/>
            </w:tcBorders>
            <w:shd w:val="clear" w:color="auto" w:fill="FFFFFF"/>
            <w:vAlign w:val="bottom"/>
          </w:tcPr>
          <w:p w14:paraId="0B748D6B"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Belgium</w:t>
            </w:r>
          </w:p>
        </w:tc>
        <w:tc>
          <w:tcPr>
            <w:tcW w:w="2270" w:type="dxa"/>
            <w:tcBorders>
              <w:top w:val="single" w:sz="4" w:space="0" w:color="auto"/>
              <w:left w:val="single" w:sz="4" w:space="0" w:color="auto"/>
            </w:tcBorders>
            <w:shd w:val="clear" w:color="auto" w:fill="FFFFFF"/>
            <w:vAlign w:val="bottom"/>
          </w:tcPr>
          <w:p w14:paraId="1161FEF1"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Netherlands</w:t>
            </w:r>
          </w:p>
        </w:tc>
        <w:tc>
          <w:tcPr>
            <w:tcW w:w="1982" w:type="dxa"/>
            <w:tcBorders>
              <w:top w:val="single" w:sz="4" w:space="0" w:color="auto"/>
              <w:left w:val="single" w:sz="4" w:space="0" w:color="auto"/>
            </w:tcBorders>
            <w:shd w:val="clear" w:color="auto" w:fill="FFFFFF"/>
            <w:vAlign w:val="bottom"/>
          </w:tcPr>
          <w:p w14:paraId="777E1872"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Austria</w:t>
            </w:r>
          </w:p>
        </w:tc>
        <w:tc>
          <w:tcPr>
            <w:tcW w:w="1992" w:type="dxa"/>
            <w:tcBorders>
              <w:top w:val="single" w:sz="4" w:space="0" w:color="auto"/>
              <w:left w:val="single" w:sz="4" w:space="0" w:color="auto"/>
              <w:right w:val="single" w:sz="4" w:space="0" w:color="auto"/>
            </w:tcBorders>
            <w:shd w:val="clear" w:color="auto" w:fill="FFFFFF"/>
          </w:tcPr>
          <w:p w14:paraId="3B7CD6C2"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r>
      <w:tr w:rsidR="00F82F2E" w:rsidRPr="00831A5B" w14:paraId="0D73526E" w14:textId="77777777" w:rsidTr="00F82F2E">
        <w:trPr>
          <w:trHeight w:hRule="exact" w:val="230"/>
        </w:trPr>
        <w:tc>
          <w:tcPr>
            <w:tcW w:w="2237" w:type="dxa"/>
            <w:tcBorders>
              <w:top w:val="single" w:sz="4" w:space="0" w:color="auto"/>
              <w:left w:val="single" w:sz="4" w:space="0" w:color="auto"/>
            </w:tcBorders>
            <w:shd w:val="clear" w:color="auto" w:fill="FFFFFF"/>
          </w:tcPr>
          <w:p w14:paraId="3B12FA76"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Canada</w:t>
            </w:r>
          </w:p>
        </w:tc>
        <w:tc>
          <w:tcPr>
            <w:tcW w:w="2270" w:type="dxa"/>
            <w:tcBorders>
              <w:top w:val="single" w:sz="4" w:space="0" w:color="auto"/>
              <w:left w:val="single" w:sz="4" w:space="0" w:color="auto"/>
            </w:tcBorders>
            <w:shd w:val="clear" w:color="auto" w:fill="FFFFFF"/>
          </w:tcPr>
          <w:p w14:paraId="621F5250"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North Macedonia</w:t>
            </w:r>
          </w:p>
        </w:tc>
        <w:tc>
          <w:tcPr>
            <w:tcW w:w="1982" w:type="dxa"/>
            <w:tcBorders>
              <w:top w:val="single" w:sz="4" w:space="0" w:color="auto"/>
              <w:left w:val="single" w:sz="4" w:space="0" w:color="auto"/>
            </w:tcBorders>
            <w:shd w:val="clear" w:color="auto" w:fill="FFFFFF"/>
          </w:tcPr>
          <w:p w14:paraId="66A5B1E9"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Ukraine</w:t>
            </w:r>
          </w:p>
        </w:tc>
        <w:tc>
          <w:tcPr>
            <w:tcW w:w="1992" w:type="dxa"/>
            <w:tcBorders>
              <w:top w:val="single" w:sz="4" w:space="0" w:color="auto"/>
              <w:left w:val="single" w:sz="4" w:space="0" w:color="auto"/>
              <w:right w:val="single" w:sz="4" w:space="0" w:color="auto"/>
            </w:tcBorders>
            <w:shd w:val="clear" w:color="auto" w:fill="FFFFFF"/>
          </w:tcPr>
          <w:p w14:paraId="7DA7123B"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r>
      <w:tr w:rsidR="00F82F2E" w:rsidRPr="00831A5B" w14:paraId="6393FEE6" w14:textId="77777777" w:rsidTr="00F82F2E">
        <w:trPr>
          <w:trHeight w:hRule="exact" w:val="245"/>
        </w:trPr>
        <w:tc>
          <w:tcPr>
            <w:tcW w:w="2237" w:type="dxa"/>
            <w:tcBorders>
              <w:top w:val="single" w:sz="4" w:space="0" w:color="auto"/>
              <w:left w:val="single" w:sz="4" w:space="0" w:color="auto"/>
            </w:tcBorders>
            <w:shd w:val="clear" w:color="auto" w:fill="FFFFFF"/>
          </w:tcPr>
          <w:p w14:paraId="1C2DF624"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Czechia</w:t>
            </w:r>
          </w:p>
        </w:tc>
        <w:tc>
          <w:tcPr>
            <w:tcW w:w="2270" w:type="dxa"/>
            <w:tcBorders>
              <w:top w:val="single" w:sz="4" w:space="0" w:color="auto"/>
              <w:left w:val="single" w:sz="4" w:space="0" w:color="auto"/>
            </w:tcBorders>
            <w:shd w:val="clear" w:color="auto" w:fill="FFFFFF"/>
          </w:tcPr>
          <w:p w14:paraId="2A48950D"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Norway</w:t>
            </w:r>
          </w:p>
        </w:tc>
        <w:tc>
          <w:tcPr>
            <w:tcW w:w="1982" w:type="dxa"/>
            <w:tcBorders>
              <w:top w:val="single" w:sz="4" w:space="0" w:color="auto"/>
              <w:left w:val="single" w:sz="4" w:space="0" w:color="auto"/>
            </w:tcBorders>
            <w:shd w:val="clear" w:color="auto" w:fill="FFFFFF"/>
          </w:tcPr>
          <w:p w14:paraId="3D8AE29F"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c>
          <w:tcPr>
            <w:tcW w:w="1992" w:type="dxa"/>
            <w:tcBorders>
              <w:top w:val="single" w:sz="4" w:space="0" w:color="auto"/>
              <w:left w:val="single" w:sz="4" w:space="0" w:color="auto"/>
              <w:right w:val="single" w:sz="4" w:space="0" w:color="auto"/>
            </w:tcBorders>
            <w:shd w:val="clear" w:color="auto" w:fill="FFFFFF"/>
          </w:tcPr>
          <w:p w14:paraId="1424D1DE"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r>
      <w:tr w:rsidR="00F82F2E" w:rsidRPr="00831A5B" w14:paraId="4EB47B72" w14:textId="77777777" w:rsidTr="00F82F2E">
        <w:trPr>
          <w:trHeight w:hRule="exact" w:val="254"/>
        </w:trPr>
        <w:tc>
          <w:tcPr>
            <w:tcW w:w="2237" w:type="dxa"/>
            <w:tcBorders>
              <w:top w:val="single" w:sz="4" w:space="0" w:color="auto"/>
              <w:left w:val="single" w:sz="4" w:space="0" w:color="auto"/>
            </w:tcBorders>
            <w:shd w:val="clear" w:color="auto" w:fill="FFFFFF"/>
          </w:tcPr>
          <w:p w14:paraId="3FA6A1CF"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Denmark</w:t>
            </w:r>
          </w:p>
        </w:tc>
        <w:tc>
          <w:tcPr>
            <w:tcW w:w="2270" w:type="dxa"/>
            <w:tcBorders>
              <w:top w:val="single" w:sz="4" w:space="0" w:color="auto"/>
              <w:left w:val="single" w:sz="4" w:space="0" w:color="auto"/>
            </w:tcBorders>
            <w:shd w:val="clear" w:color="auto" w:fill="FFFFFF"/>
          </w:tcPr>
          <w:p w14:paraId="769A5D62"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Poland</w:t>
            </w:r>
          </w:p>
        </w:tc>
        <w:tc>
          <w:tcPr>
            <w:tcW w:w="1982" w:type="dxa"/>
            <w:tcBorders>
              <w:top w:val="single" w:sz="4" w:space="0" w:color="auto"/>
              <w:left w:val="single" w:sz="4" w:space="0" w:color="auto"/>
            </w:tcBorders>
            <w:shd w:val="clear" w:color="auto" w:fill="FFFFFF"/>
          </w:tcPr>
          <w:p w14:paraId="1AFD7AFB"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c>
          <w:tcPr>
            <w:tcW w:w="1992" w:type="dxa"/>
            <w:tcBorders>
              <w:top w:val="single" w:sz="4" w:space="0" w:color="auto"/>
              <w:left w:val="single" w:sz="4" w:space="0" w:color="auto"/>
              <w:right w:val="single" w:sz="4" w:space="0" w:color="auto"/>
            </w:tcBorders>
            <w:shd w:val="clear" w:color="auto" w:fill="FFFFFF"/>
          </w:tcPr>
          <w:p w14:paraId="0963A4C3"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r>
      <w:tr w:rsidR="00F82F2E" w:rsidRPr="00831A5B" w14:paraId="2EC93F13" w14:textId="77777777" w:rsidTr="00F82F2E">
        <w:trPr>
          <w:trHeight w:hRule="exact" w:val="245"/>
        </w:trPr>
        <w:tc>
          <w:tcPr>
            <w:tcW w:w="2237" w:type="dxa"/>
            <w:tcBorders>
              <w:top w:val="single" w:sz="4" w:space="0" w:color="auto"/>
              <w:left w:val="single" w:sz="4" w:space="0" w:color="auto"/>
            </w:tcBorders>
            <w:shd w:val="clear" w:color="auto" w:fill="FFFFFF"/>
          </w:tcPr>
          <w:p w14:paraId="7CF09D80"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Finland</w:t>
            </w:r>
          </w:p>
        </w:tc>
        <w:tc>
          <w:tcPr>
            <w:tcW w:w="2270" w:type="dxa"/>
            <w:tcBorders>
              <w:top w:val="single" w:sz="4" w:space="0" w:color="auto"/>
              <w:left w:val="single" w:sz="4" w:space="0" w:color="auto"/>
            </w:tcBorders>
            <w:shd w:val="clear" w:color="auto" w:fill="FFFFFF"/>
          </w:tcPr>
          <w:p w14:paraId="35D73694"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Portugal</w:t>
            </w:r>
          </w:p>
        </w:tc>
        <w:tc>
          <w:tcPr>
            <w:tcW w:w="1982" w:type="dxa"/>
            <w:tcBorders>
              <w:top w:val="single" w:sz="4" w:space="0" w:color="auto"/>
              <w:left w:val="single" w:sz="4" w:space="0" w:color="auto"/>
            </w:tcBorders>
            <w:shd w:val="clear" w:color="auto" w:fill="FFFFFF"/>
          </w:tcPr>
          <w:p w14:paraId="1C55A801"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c>
          <w:tcPr>
            <w:tcW w:w="1992" w:type="dxa"/>
            <w:tcBorders>
              <w:top w:val="single" w:sz="4" w:space="0" w:color="auto"/>
              <w:left w:val="single" w:sz="4" w:space="0" w:color="auto"/>
              <w:right w:val="single" w:sz="4" w:space="0" w:color="auto"/>
            </w:tcBorders>
            <w:shd w:val="clear" w:color="auto" w:fill="FFFFFF"/>
          </w:tcPr>
          <w:p w14:paraId="1D1AF8D8"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r>
      <w:tr w:rsidR="00F82F2E" w:rsidRPr="00831A5B" w14:paraId="0BCD9FB4" w14:textId="77777777" w:rsidTr="00F82F2E">
        <w:trPr>
          <w:trHeight w:hRule="exact" w:val="250"/>
        </w:trPr>
        <w:tc>
          <w:tcPr>
            <w:tcW w:w="2237" w:type="dxa"/>
            <w:tcBorders>
              <w:top w:val="single" w:sz="4" w:space="0" w:color="auto"/>
              <w:left w:val="single" w:sz="4" w:space="0" w:color="auto"/>
            </w:tcBorders>
            <w:shd w:val="clear" w:color="auto" w:fill="FFFFFF"/>
          </w:tcPr>
          <w:p w14:paraId="7985961D"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France</w:t>
            </w:r>
          </w:p>
        </w:tc>
        <w:tc>
          <w:tcPr>
            <w:tcW w:w="2270" w:type="dxa"/>
            <w:tcBorders>
              <w:top w:val="single" w:sz="4" w:space="0" w:color="auto"/>
              <w:left w:val="single" w:sz="4" w:space="0" w:color="auto"/>
            </w:tcBorders>
            <w:shd w:val="clear" w:color="auto" w:fill="FFFFFF"/>
          </w:tcPr>
          <w:p w14:paraId="14DCCB0D"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Romania</w:t>
            </w:r>
          </w:p>
        </w:tc>
        <w:tc>
          <w:tcPr>
            <w:tcW w:w="1982" w:type="dxa"/>
            <w:tcBorders>
              <w:top w:val="single" w:sz="4" w:space="0" w:color="auto"/>
              <w:left w:val="single" w:sz="4" w:space="0" w:color="auto"/>
            </w:tcBorders>
            <w:shd w:val="clear" w:color="auto" w:fill="FFFFFF"/>
          </w:tcPr>
          <w:p w14:paraId="75667694"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c>
          <w:tcPr>
            <w:tcW w:w="1992" w:type="dxa"/>
            <w:tcBorders>
              <w:top w:val="single" w:sz="4" w:space="0" w:color="auto"/>
              <w:left w:val="single" w:sz="4" w:space="0" w:color="auto"/>
              <w:right w:val="single" w:sz="4" w:space="0" w:color="auto"/>
            </w:tcBorders>
            <w:shd w:val="clear" w:color="auto" w:fill="FFFFFF"/>
          </w:tcPr>
          <w:p w14:paraId="76E00931"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r>
      <w:tr w:rsidR="00F82F2E" w:rsidRPr="00831A5B" w14:paraId="76B34AEE" w14:textId="77777777" w:rsidTr="00F82F2E">
        <w:trPr>
          <w:trHeight w:hRule="exact" w:val="254"/>
        </w:trPr>
        <w:tc>
          <w:tcPr>
            <w:tcW w:w="2237" w:type="dxa"/>
            <w:tcBorders>
              <w:top w:val="single" w:sz="4" w:space="0" w:color="auto"/>
              <w:left w:val="single" w:sz="4" w:space="0" w:color="auto"/>
            </w:tcBorders>
            <w:shd w:val="clear" w:color="auto" w:fill="FFFFFF"/>
          </w:tcPr>
          <w:p w14:paraId="6A747C74"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Germany</w:t>
            </w:r>
          </w:p>
        </w:tc>
        <w:tc>
          <w:tcPr>
            <w:tcW w:w="2270" w:type="dxa"/>
            <w:tcBorders>
              <w:top w:val="single" w:sz="4" w:space="0" w:color="auto"/>
              <w:left w:val="single" w:sz="4" w:space="0" w:color="auto"/>
            </w:tcBorders>
            <w:shd w:val="clear" w:color="auto" w:fill="FFFFFF"/>
          </w:tcPr>
          <w:p w14:paraId="11D75399"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Slovakia</w:t>
            </w:r>
          </w:p>
        </w:tc>
        <w:tc>
          <w:tcPr>
            <w:tcW w:w="1982" w:type="dxa"/>
            <w:tcBorders>
              <w:top w:val="single" w:sz="4" w:space="0" w:color="auto"/>
              <w:left w:val="single" w:sz="4" w:space="0" w:color="auto"/>
            </w:tcBorders>
            <w:shd w:val="clear" w:color="auto" w:fill="FFFFFF"/>
          </w:tcPr>
          <w:p w14:paraId="0CAEC5D0"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c>
          <w:tcPr>
            <w:tcW w:w="1992" w:type="dxa"/>
            <w:tcBorders>
              <w:top w:val="single" w:sz="4" w:space="0" w:color="auto"/>
              <w:left w:val="single" w:sz="4" w:space="0" w:color="auto"/>
              <w:right w:val="single" w:sz="4" w:space="0" w:color="auto"/>
            </w:tcBorders>
            <w:shd w:val="clear" w:color="auto" w:fill="FFFFFF"/>
          </w:tcPr>
          <w:p w14:paraId="27E77D01"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r>
      <w:tr w:rsidR="00F82F2E" w:rsidRPr="00831A5B" w14:paraId="7D4B5416" w14:textId="77777777" w:rsidTr="00F82F2E">
        <w:trPr>
          <w:trHeight w:hRule="exact" w:val="245"/>
        </w:trPr>
        <w:tc>
          <w:tcPr>
            <w:tcW w:w="2237" w:type="dxa"/>
            <w:tcBorders>
              <w:top w:val="single" w:sz="4" w:space="0" w:color="auto"/>
              <w:left w:val="single" w:sz="4" w:space="0" w:color="auto"/>
            </w:tcBorders>
            <w:shd w:val="clear" w:color="auto" w:fill="FFFFFF"/>
          </w:tcPr>
          <w:p w14:paraId="574E75CF"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Greece</w:t>
            </w:r>
          </w:p>
        </w:tc>
        <w:tc>
          <w:tcPr>
            <w:tcW w:w="2270" w:type="dxa"/>
            <w:tcBorders>
              <w:top w:val="single" w:sz="4" w:space="0" w:color="auto"/>
              <w:left w:val="single" w:sz="4" w:space="0" w:color="auto"/>
            </w:tcBorders>
            <w:shd w:val="clear" w:color="auto" w:fill="FFFFFF"/>
          </w:tcPr>
          <w:p w14:paraId="780A6F05"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Spain</w:t>
            </w:r>
          </w:p>
        </w:tc>
        <w:tc>
          <w:tcPr>
            <w:tcW w:w="1982" w:type="dxa"/>
            <w:tcBorders>
              <w:top w:val="single" w:sz="4" w:space="0" w:color="auto"/>
              <w:left w:val="single" w:sz="4" w:space="0" w:color="auto"/>
            </w:tcBorders>
            <w:shd w:val="clear" w:color="auto" w:fill="FFFFFF"/>
          </w:tcPr>
          <w:p w14:paraId="43521771"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c>
          <w:tcPr>
            <w:tcW w:w="1992" w:type="dxa"/>
            <w:tcBorders>
              <w:top w:val="single" w:sz="4" w:space="0" w:color="auto"/>
              <w:left w:val="single" w:sz="4" w:space="0" w:color="auto"/>
              <w:right w:val="single" w:sz="4" w:space="0" w:color="auto"/>
            </w:tcBorders>
            <w:shd w:val="clear" w:color="auto" w:fill="FFFFFF"/>
          </w:tcPr>
          <w:p w14:paraId="3F5A1102"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r>
      <w:tr w:rsidR="00F82F2E" w:rsidRPr="00831A5B" w14:paraId="491CF2CA" w14:textId="77777777" w:rsidTr="00F82F2E">
        <w:trPr>
          <w:trHeight w:hRule="exact" w:val="254"/>
        </w:trPr>
        <w:tc>
          <w:tcPr>
            <w:tcW w:w="2237" w:type="dxa"/>
            <w:tcBorders>
              <w:top w:val="single" w:sz="4" w:space="0" w:color="auto"/>
              <w:left w:val="single" w:sz="4" w:space="0" w:color="auto"/>
            </w:tcBorders>
            <w:shd w:val="clear" w:color="auto" w:fill="FFFFFF"/>
          </w:tcPr>
          <w:p w14:paraId="4DE5D271"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Hungary</w:t>
            </w:r>
          </w:p>
        </w:tc>
        <w:tc>
          <w:tcPr>
            <w:tcW w:w="2270" w:type="dxa"/>
            <w:tcBorders>
              <w:top w:val="single" w:sz="4" w:space="0" w:color="auto"/>
              <w:left w:val="single" w:sz="4" w:space="0" w:color="auto"/>
            </w:tcBorders>
            <w:shd w:val="clear" w:color="auto" w:fill="FFFFFF"/>
          </w:tcPr>
          <w:p w14:paraId="04C71C09"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Sweden</w:t>
            </w:r>
          </w:p>
        </w:tc>
        <w:tc>
          <w:tcPr>
            <w:tcW w:w="1982" w:type="dxa"/>
            <w:tcBorders>
              <w:top w:val="single" w:sz="4" w:space="0" w:color="auto"/>
              <w:left w:val="single" w:sz="4" w:space="0" w:color="auto"/>
            </w:tcBorders>
            <w:shd w:val="clear" w:color="auto" w:fill="FFFFFF"/>
          </w:tcPr>
          <w:p w14:paraId="658B36B8"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c>
          <w:tcPr>
            <w:tcW w:w="1992" w:type="dxa"/>
            <w:tcBorders>
              <w:top w:val="single" w:sz="4" w:space="0" w:color="auto"/>
              <w:left w:val="single" w:sz="4" w:space="0" w:color="auto"/>
              <w:right w:val="single" w:sz="4" w:space="0" w:color="auto"/>
            </w:tcBorders>
            <w:shd w:val="clear" w:color="auto" w:fill="FFFFFF"/>
          </w:tcPr>
          <w:p w14:paraId="28BF2C8D"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r>
      <w:tr w:rsidR="00F82F2E" w:rsidRPr="00831A5B" w14:paraId="30B78927" w14:textId="77777777" w:rsidTr="00F82F2E">
        <w:trPr>
          <w:trHeight w:hRule="exact" w:val="245"/>
        </w:trPr>
        <w:tc>
          <w:tcPr>
            <w:tcW w:w="2237" w:type="dxa"/>
            <w:tcBorders>
              <w:top w:val="single" w:sz="4" w:space="0" w:color="auto"/>
              <w:left w:val="single" w:sz="4" w:space="0" w:color="auto"/>
            </w:tcBorders>
            <w:shd w:val="clear" w:color="auto" w:fill="FFFFFF"/>
            <w:vAlign w:val="bottom"/>
          </w:tcPr>
          <w:p w14:paraId="769B19DA"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Italy</w:t>
            </w:r>
          </w:p>
        </w:tc>
        <w:tc>
          <w:tcPr>
            <w:tcW w:w="2270" w:type="dxa"/>
            <w:tcBorders>
              <w:top w:val="single" w:sz="4" w:space="0" w:color="auto"/>
              <w:left w:val="single" w:sz="4" w:space="0" w:color="auto"/>
            </w:tcBorders>
            <w:shd w:val="clear" w:color="auto" w:fill="FFFFFF"/>
            <w:vAlign w:val="bottom"/>
          </w:tcPr>
          <w:p w14:paraId="373BC4AB"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proofErr w:type="spellStart"/>
            <w:r w:rsidRPr="00831A5B">
              <w:rPr>
                <w:rFonts w:ascii="Times New Roman" w:eastAsia="Arial" w:hAnsi="Times New Roman" w:cs="Times New Roman"/>
                <w:color w:val="000000"/>
                <w:sz w:val="28"/>
                <w:szCs w:val="28"/>
                <w:lang w:bidi="en-US"/>
              </w:rPr>
              <w:t>Turkiye</w:t>
            </w:r>
            <w:proofErr w:type="spellEnd"/>
          </w:p>
        </w:tc>
        <w:tc>
          <w:tcPr>
            <w:tcW w:w="1982" w:type="dxa"/>
            <w:tcBorders>
              <w:top w:val="single" w:sz="4" w:space="0" w:color="auto"/>
              <w:left w:val="single" w:sz="4" w:space="0" w:color="auto"/>
            </w:tcBorders>
            <w:shd w:val="clear" w:color="auto" w:fill="FFFFFF"/>
          </w:tcPr>
          <w:p w14:paraId="0AF4B35C"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c>
          <w:tcPr>
            <w:tcW w:w="1992" w:type="dxa"/>
            <w:tcBorders>
              <w:top w:val="single" w:sz="4" w:space="0" w:color="auto"/>
              <w:left w:val="single" w:sz="4" w:space="0" w:color="auto"/>
              <w:right w:val="single" w:sz="4" w:space="0" w:color="auto"/>
            </w:tcBorders>
            <w:shd w:val="clear" w:color="auto" w:fill="FFFFFF"/>
          </w:tcPr>
          <w:p w14:paraId="68917EBA"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r>
      <w:tr w:rsidR="00F82F2E" w:rsidRPr="00831A5B" w14:paraId="3F19FF0D" w14:textId="77777777" w:rsidTr="00F82F2E">
        <w:trPr>
          <w:trHeight w:hRule="exact" w:val="250"/>
        </w:trPr>
        <w:tc>
          <w:tcPr>
            <w:tcW w:w="2237" w:type="dxa"/>
            <w:tcBorders>
              <w:top w:val="single" w:sz="4" w:space="0" w:color="auto"/>
              <w:left w:val="single" w:sz="4" w:space="0" w:color="auto"/>
            </w:tcBorders>
            <w:shd w:val="clear" w:color="auto" w:fill="FFFFFF"/>
          </w:tcPr>
          <w:p w14:paraId="0C156002"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Latvia</w:t>
            </w:r>
          </w:p>
        </w:tc>
        <w:tc>
          <w:tcPr>
            <w:tcW w:w="2270" w:type="dxa"/>
            <w:tcBorders>
              <w:top w:val="single" w:sz="4" w:space="0" w:color="auto"/>
              <w:left w:val="single" w:sz="4" w:space="0" w:color="auto"/>
            </w:tcBorders>
            <w:shd w:val="clear" w:color="auto" w:fill="FFFFFF"/>
          </w:tcPr>
          <w:p w14:paraId="2B10E11A"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United Kingdom</w:t>
            </w:r>
          </w:p>
        </w:tc>
        <w:tc>
          <w:tcPr>
            <w:tcW w:w="1982" w:type="dxa"/>
            <w:tcBorders>
              <w:top w:val="single" w:sz="4" w:space="0" w:color="auto"/>
              <w:left w:val="single" w:sz="4" w:space="0" w:color="auto"/>
            </w:tcBorders>
            <w:shd w:val="clear" w:color="auto" w:fill="FFFFFF"/>
          </w:tcPr>
          <w:p w14:paraId="41987B03"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c>
          <w:tcPr>
            <w:tcW w:w="1992" w:type="dxa"/>
            <w:tcBorders>
              <w:top w:val="single" w:sz="4" w:space="0" w:color="auto"/>
              <w:left w:val="single" w:sz="4" w:space="0" w:color="auto"/>
              <w:right w:val="single" w:sz="4" w:space="0" w:color="auto"/>
            </w:tcBorders>
            <w:shd w:val="clear" w:color="auto" w:fill="FFFFFF"/>
          </w:tcPr>
          <w:p w14:paraId="11B3F065"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r>
      <w:tr w:rsidR="00F82F2E" w:rsidRPr="00831A5B" w14:paraId="23426AB4" w14:textId="77777777" w:rsidTr="00F82F2E">
        <w:trPr>
          <w:trHeight w:hRule="exact" w:val="259"/>
        </w:trPr>
        <w:tc>
          <w:tcPr>
            <w:tcW w:w="2237" w:type="dxa"/>
            <w:tcBorders>
              <w:top w:val="single" w:sz="4" w:space="0" w:color="auto"/>
              <w:left w:val="single" w:sz="4" w:space="0" w:color="auto"/>
              <w:bottom w:val="single" w:sz="4" w:space="0" w:color="auto"/>
            </w:tcBorders>
            <w:shd w:val="clear" w:color="auto" w:fill="FFFFFF"/>
          </w:tcPr>
          <w:p w14:paraId="635A5D94"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Lithuania</w:t>
            </w:r>
          </w:p>
        </w:tc>
        <w:tc>
          <w:tcPr>
            <w:tcW w:w="2270" w:type="dxa"/>
            <w:tcBorders>
              <w:top w:val="single" w:sz="4" w:space="0" w:color="auto"/>
              <w:left w:val="single" w:sz="4" w:space="0" w:color="auto"/>
              <w:bottom w:val="single" w:sz="4" w:space="0" w:color="auto"/>
            </w:tcBorders>
            <w:shd w:val="clear" w:color="auto" w:fill="FFFFFF"/>
          </w:tcPr>
          <w:p w14:paraId="1CC4D806" w14:textId="77777777" w:rsidR="00F82F2E" w:rsidRPr="00831A5B" w:rsidRDefault="00F82F2E" w:rsidP="00722BC7">
            <w:pPr>
              <w:widowControl w:val="0"/>
              <w:spacing w:after="0" w:line="200" w:lineRule="exact"/>
              <w:ind w:firstLine="720"/>
              <w:jc w:val="both"/>
              <w:rPr>
                <w:rFonts w:ascii="Times New Roman" w:eastAsia="Arial" w:hAnsi="Times New Roman" w:cs="Times New Roman"/>
                <w:color w:val="000000"/>
                <w:sz w:val="28"/>
                <w:szCs w:val="28"/>
                <w:lang w:bidi="en-US"/>
              </w:rPr>
            </w:pPr>
            <w:r w:rsidRPr="00831A5B">
              <w:rPr>
                <w:rFonts w:ascii="Times New Roman" w:eastAsia="Arial" w:hAnsi="Times New Roman" w:cs="Times New Roman"/>
                <w:color w:val="000000"/>
                <w:sz w:val="28"/>
                <w:szCs w:val="28"/>
                <w:lang w:bidi="en-US"/>
              </w:rPr>
              <w:t>United States</w:t>
            </w:r>
          </w:p>
        </w:tc>
        <w:tc>
          <w:tcPr>
            <w:tcW w:w="1982" w:type="dxa"/>
            <w:tcBorders>
              <w:top w:val="single" w:sz="4" w:space="0" w:color="auto"/>
              <w:left w:val="single" w:sz="4" w:space="0" w:color="auto"/>
              <w:bottom w:val="single" w:sz="4" w:space="0" w:color="auto"/>
            </w:tcBorders>
            <w:shd w:val="clear" w:color="auto" w:fill="FFFFFF"/>
          </w:tcPr>
          <w:p w14:paraId="46A02F2D"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0A3EB8C1" w14:textId="77777777" w:rsidR="00F82F2E" w:rsidRPr="00831A5B" w:rsidRDefault="00F82F2E" w:rsidP="00722BC7">
            <w:pPr>
              <w:widowControl w:val="0"/>
              <w:spacing w:after="0" w:line="240" w:lineRule="auto"/>
              <w:ind w:firstLine="720"/>
              <w:jc w:val="both"/>
              <w:rPr>
                <w:rFonts w:ascii="Times New Roman" w:eastAsia="Microsoft Sans Serif" w:hAnsi="Times New Roman" w:cs="Times New Roman"/>
                <w:color w:val="000000"/>
                <w:sz w:val="28"/>
                <w:szCs w:val="28"/>
                <w:lang w:bidi="en-US"/>
              </w:rPr>
            </w:pPr>
          </w:p>
        </w:tc>
      </w:tr>
    </w:tbl>
    <w:p w14:paraId="460443C5" w14:textId="77777777" w:rsidR="00F82F2E" w:rsidRPr="00831A5B" w:rsidRDefault="00F82F2E" w:rsidP="00A91B78">
      <w:pPr>
        <w:spacing w:before="120"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3.2 </w:t>
      </w:r>
      <w:proofErr w:type="spellStart"/>
      <w:r w:rsidRPr="00831A5B">
        <w:rPr>
          <w:rFonts w:ascii="Times New Roman" w:hAnsi="Times New Roman" w:cs="Times New Roman"/>
          <w:sz w:val="28"/>
          <w:szCs w:val="28"/>
        </w:rPr>
        <w:t>Всяка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друга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държава-членка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може</w:t>
      </w:r>
      <w:proofErr w:type="spellEnd"/>
      <w:r w:rsidRPr="00831A5B">
        <w:rPr>
          <w:rFonts w:ascii="Times New Roman" w:hAnsi="Times New Roman" w:cs="Times New Roman"/>
          <w:sz w:val="28"/>
          <w:szCs w:val="28"/>
        </w:rPr>
        <w:t xml:space="preserve"> в</w:t>
      </w:r>
      <w:r w:rsidR="00EA44AC">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последствие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присъедини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към</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условията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договорени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между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настоящите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бъдещата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Държава-членка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която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била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дадено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w:t>
      </w:r>
      <w:r w:rsidR="000C2ED7">
        <w:rPr>
          <w:rFonts w:ascii="Times New Roman" w:hAnsi="Times New Roman" w:cs="Times New Roman"/>
          <w:sz w:val="28"/>
          <w:szCs w:val="28"/>
        </w:rPr>
        <w:t>артньорство</w:t>
      </w:r>
      <w:proofErr w:type="spellEnd"/>
      <w:r w:rsidR="000C2ED7">
        <w:rPr>
          <w:rFonts w:ascii="Times New Roman" w:hAnsi="Times New Roman" w:cs="Times New Roman"/>
          <w:sz w:val="28"/>
          <w:szCs w:val="28"/>
        </w:rPr>
        <w:t xml:space="preserve">, </w:t>
      </w:r>
      <w:proofErr w:type="spellStart"/>
      <w:r w:rsidR="000C2ED7">
        <w:rPr>
          <w:rFonts w:ascii="Times New Roman" w:hAnsi="Times New Roman" w:cs="Times New Roman"/>
          <w:sz w:val="28"/>
          <w:szCs w:val="28"/>
        </w:rPr>
        <w:t>може</w:t>
      </w:r>
      <w:proofErr w:type="spellEnd"/>
      <w:r w:rsidR="000C2ED7">
        <w:rPr>
          <w:rFonts w:ascii="Times New Roman" w:hAnsi="Times New Roman" w:cs="Times New Roman"/>
          <w:sz w:val="28"/>
          <w:szCs w:val="28"/>
        </w:rPr>
        <w:t xml:space="preserve"> </w:t>
      </w:r>
      <w:proofErr w:type="spellStart"/>
      <w:r w:rsidR="000C2ED7">
        <w:rPr>
          <w:rFonts w:ascii="Times New Roman" w:hAnsi="Times New Roman" w:cs="Times New Roman"/>
          <w:sz w:val="28"/>
          <w:szCs w:val="28"/>
        </w:rPr>
        <w:t>да</w:t>
      </w:r>
      <w:proofErr w:type="spellEnd"/>
      <w:r w:rsidR="000C2ED7">
        <w:rPr>
          <w:rFonts w:ascii="Times New Roman" w:hAnsi="Times New Roman" w:cs="Times New Roman"/>
          <w:sz w:val="28"/>
          <w:szCs w:val="28"/>
        </w:rPr>
        <w:t xml:space="preserve"> </w:t>
      </w:r>
      <w:proofErr w:type="spellStart"/>
      <w:r w:rsidR="000C2ED7">
        <w:rPr>
          <w:rFonts w:ascii="Times New Roman" w:hAnsi="Times New Roman" w:cs="Times New Roman"/>
          <w:sz w:val="28"/>
          <w:szCs w:val="28"/>
        </w:rPr>
        <w:t>стане</w:t>
      </w:r>
      <w:proofErr w:type="spellEnd"/>
      <w:r w:rsidR="000C2ED7">
        <w:rPr>
          <w:rFonts w:ascii="Times New Roman" w:hAnsi="Times New Roman" w:cs="Times New Roman"/>
          <w:sz w:val="28"/>
          <w:szCs w:val="28"/>
        </w:rPr>
        <w:t xml:space="preserve"> </w:t>
      </w:r>
      <w:proofErr w:type="spellStart"/>
      <w:r w:rsidR="000C2ED7" w:rsidRPr="00A91B78">
        <w:rPr>
          <w:rFonts w:ascii="Times New Roman" w:hAnsi="Times New Roman" w:cs="Times New Roman"/>
          <w:sz w:val="28"/>
          <w:szCs w:val="28"/>
        </w:rPr>
        <w:t>негов</w:t>
      </w:r>
      <w:proofErr w:type="spellEnd"/>
      <w:r w:rsidR="000C2ED7" w:rsidRPr="00A91B78">
        <w:rPr>
          <w:rFonts w:ascii="Times New Roman" w:hAnsi="Times New Roman" w:cs="Times New Roman"/>
          <w:sz w:val="28"/>
          <w:szCs w:val="28"/>
          <w:lang w:val="bg-BG"/>
        </w:rPr>
        <w:t xml:space="preserve"> </w:t>
      </w:r>
      <w:proofErr w:type="spellStart"/>
      <w:r w:rsidRPr="00A91B78">
        <w:rPr>
          <w:rFonts w:ascii="Times New Roman" w:hAnsi="Times New Roman" w:cs="Times New Roman"/>
          <w:sz w:val="28"/>
          <w:szCs w:val="28"/>
        </w:rPr>
        <w:t>ч</w:t>
      </w:r>
      <w:r w:rsidRPr="00831A5B">
        <w:rPr>
          <w:rFonts w:ascii="Times New Roman" w:hAnsi="Times New Roman" w:cs="Times New Roman"/>
          <w:sz w:val="28"/>
          <w:szCs w:val="28"/>
        </w:rPr>
        <w:t>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със</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r w:rsidR="003C257A">
        <w:rPr>
          <w:rFonts w:ascii="Times New Roman" w:hAnsi="Times New Roman" w:cs="Times New Roman"/>
          <w:sz w:val="28"/>
          <w:szCs w:val="28"/>
          <w:lang w:val="bg-BG"/>
        </w:rPr>
        <w:t xml:space="preserve">борда на </w:t>
      </w:r>
      <w:r w:rsidRPr="00831A5B">
        <w:rPr>
          <w:rFonts w:ascii="Times New Roman" w:hAnsi="Times New Roman" w:cs="Times New Roman"/>
          <w:sz w:val="28"/>
          <w:szCs w:val="28"/>
        </w:rPr>
        <w:t xml:space="preserve">NSPO </w:t>
      </w:r>
      <w:r w:rsidR="003C257A">
        <w:rPr>
          <w:rFonts w:ascii="Times New Roman" w:hAnsi="Times New Roman" w:cs="Times New Roman"/>
          <w:sz w:val="28"/>
          <w:szCs w:val="28"/>
          <w:lang w:val="bg-BG"/>
        </w:rPr>
        <w:t xml:space="preserve">- </w:t>
      </w:r>
      <w:r w:rsidRPr="00831A5B">
        <w:rPr>
          <w:rFonts w:ascii="Times New Roman" w:hAnsi="Times New Roman" w:cs="Times New Roman"/>
          <w:sz w:val="28"/>
          <w:szCs w:val="28"/>
        </w:rPr>
        <w:t>ASB.</w:t>
      </w:r>
    </w:p>
    <w:p w14:paraId="2CA8C83D"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3.3 </w:t>
      </w:r>
      <w:proofErr w:type="spellStart"/>
      <w:r w:rsidRPr="00831A5B">
        <w:rPr>
          <w:rFonts w:ascii="Times New Roman" w:hAnsi="Times New Roman" w:cs="Times New Roman"/>
          <w:sz w:val="28"/>
          <w:szCs w:val="28"/>
        </w:rPr>
        <w:t>Държава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която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членка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програма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с НАТО и е </w:t>
      </w:r>
      <w:proofErr w:type="spellStart"/>
      <w:r w:rsidRPr="00831A5B">
        <w:rPr>
          <w:rFonts w:ascii="Times New Roman" w:hAnsi="Times New Roman" w:cs="Times New Roman"/>
          <w:sz w:val="28"/>
          <w:szCs w:val="28"/>
        </w:rPr>
        <w:t>подписала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сътрудничество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с NSPO, </w:t>
      </w:r>
      <w:proofErr w:type="spellStart"/>
      <w:r w:rsidRPr="00831A5B">
        <w:rPr>
          <w:rFonts w:ascii="Times New Roman" w:hAnsi="Times New Roman" w:cs="Times New Roman"/>
          <w:sz w:val="28"/>
          <w:szCs w:val="28"/>
        </w:rPr>
        <w:t>може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асоциирана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условие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държавите-членки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страната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произход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съответната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когато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уместно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условие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одобрена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NSPO ASB. </w:t>
      </w:r>
      <w:proofErr w:type="spellStart"/>
      <w:r w:rsidRPr="00831A5B">
        <w:rPr>
          <w:rFonts w:ascii="Times New Roman" w:hAnsi="Times New Roman" w:cs="Times New Roman"/>
          <w:sz w:val="28"/>
          <w:szCs w:val="28"/>
        </w:rPr>
        <w:t>Участието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асоциирана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предмет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сключването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специален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инструмент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между</w:t>
      </w:r>
      <w:proofErr w:type="spellEnd"/>
      <w:r w:rsidRPr="00831A5B">
        <w:rPr>
          <w:rFonts w:ascii="Times New Roman" w:hAnsi="Times New Roman" w:cs="Times New Roman"/>
          <w:sz w:val="28"/>
          <w:szCs w:val="28"/>
        </w:rPr>
        <w:t xml:space="preserve"> NSPO и </w:t>
      </w:r>
      <w:proofErr w:type="spellStart"/>
      <w:r w:rsidRPr="00831A5B">
        <w:rPr>
          <w:rFonts w:ascii="Times New Roman" w:hAnsi="Times New Roman" w:cs="Times New Roman"/>
          <w:sz w:val="28"/>
          <w:szCs w:val="28"/>
        </w:rPr>
        <w:t>съответната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асоциирана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който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определят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условията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свързани</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участието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асоциираната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договорено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държавите-членки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w:t>
      </w:r>
    </w:p>
    <w:p w14:paraId="6216A6AC"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3.3.1 </w:t>
      </w:r>
      <w:proofErr w:type="spellStart"/>
      <w:r w:rsidRPr="00831A5B">
        <w:rPr>
          <w:rFonts w:ascii="Times New Roman" w:hAnsi="Times New Roman" w:cs="Times New Roman"/>
          <w:sz w:val="28"/>
          <w:szCs w:val="28"/>
        </w:rPr>
        <w:t>Австрия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участва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разпоредбите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предвидени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Споразумението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сътрудничество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сключено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между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Австрия</w:t>
      </w:r>
      <w:proofErr w:type="spellEnd"/>
      <w:r w:rsidRPr="00831A5B">
        <w:rPr>
          <w:rFonts w:ascii="Times New Roman" w:hAnsi="Times New Roman" w:cs="Times New Roman"/>
          <w:sz w:val="28"/>
          <w:szCs w:val="28"/>
        </w:rPr>
        <w:t xml:space="preserve"> и NSPO (</w:t>
      </w:r>
      <w:proofErr w:type="spellStart"/>
      <w:r w:rsidRPr="00831A5B">
        <w:rPr>
          <w:rFonts w:ascii="Times New Roman" w:hAnsi="Times New Roman" w:cs="Times New Roman"/>
          <w:sz w:val="28"/>
          <w:szCs w:val="28"/>
        </w:rPr>
        <w:t>Приложение</w:t>
      </w:r>
      <w:proofErr w:type="spellEnd"/>
      <w:r w:rsidRPr="00831A5B">
        <w:rPr>
          <w:rFonts w:ascii="Times New Roman" w:hAnsi="Times New Roman" w:cs="Times New Roman"/>
          <w:sz w:val="28"/>
          <w:szCs w:val="28"/>
        </w:rPr>
        <w:t xml:space="preserve"> 2), </w:t>
      </w:r>
      <w:proofErr w:type="spellStart"/>
      <w:r w:rsidRPr="00831A5B">
        <w:rPr>
          <w:rFonts w:ascii="Times New Roman" w:hAnsi="Times New Roman" w:cs="Times New Roman"/>
          <w:sz w:val="28"/>
          <w:szCs w:val="28"/>
        </w:rPr>
        <w:t>считано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изпълнителен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инструмент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w:t>
      </w:r>
      <w:proofErr w:type="spellEnd"/>
      <w:r w:rsidRPr="00831A5B">
        <w:rPr>
          <w:rFonts w:ascii="Times New Roman" w:hAnsi="Times New Roman" w:cs="Times New Roman"/>
          <w:sz w:val="28"/>
          <w:szCs w:val="28"/>
        </w:rPr>
        <w:t xml:space="preserve"> 2.1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lastRenderedPageBreak/>
        <w:t>Меморандума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разбирателство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относно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сътрудничеството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областта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логистичната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поддръжка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между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Австрия</w:t>
      </w:r>
      <w:proofErr w:type="spellEnd"/>
      <w:r w:rsidRPr="00831A5B">
        <w:rPr>
          <w:rFonts w:ascii="Times New Roman" w:hAnsi="Times New Roman" w:cs="Times New Roman"/>
          <w:sz w:val="28"/>
          <w:szCs w:val="28"/>
        </w:rPr>
        <w:t xml:space="preserve"> и NAMSO.</w:t>
      </w:r>
    </w:p>
    <w:p w14:paraId="1A04FE83"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3.3.2 </w:t>
      </w:r>
      <w:proofErr w:type="spellStart"/>
      <w:r w:rsidRPr="00831A5B">
        <w:rPr>
          <w:rFonts w:ascii="Times New Roman" w:hAnsi="Times New Roman" w:cs="Times New Roman"/>
          <w:sz w:val="28"/>
          <w:szCs w:val="28"/>
        </w:rPr>
        <w:t>Украйна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участва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разпоредбите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предвидени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Споразумението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сътрудничество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сключено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между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Украйна</w:t>
      </w:r>
      <w:proofErr w:type="spellEnd"/>
      <w:r w:rsidRPr="00831A5B">
        <w:rPr>
          <w:rFonts w:ascii="Times New Roman" w:hAnsi="Times New Roman" w:cs="Times New Roman"/>
          <w:sz w:val="28"/>
          <w:szCs w:val="28"/>
        </w:rPr>
        <w:t xml:space="preserve"> и NSPO (</w:t>
      </w:r>
      <w:proofErr w:type="spellStart"/>
      <w:r w:rsidRPr="00831A5B">
        <w:rPr>
          <w:rFonts w:ascii="Times New Roman" w:hAnsi="Times New Roman" w:cs="Times New Roman"/>
          <w:sz w:val="28"/>
          <w:szCs w:val="28"/>
        </w:rPr>
        <w:t>Приложение</w:t>
      </w:r>
      <w:proofErr w:type="spellEnd"/>
      <w:r w:rsidRPr="00831A5B">
        <w:rPr>
          <w:rFonts w:ascii="Times New Roman" w:hAnsi="Times New Roman" w:cs="Times New Roman"/>
          <w:sz w:val="28"/>
          <w:szCs w:val="28"/>
        </w:rPr>
        <w:t xml:space="preserve"> 3), </w:t>
      </w:r>
      <w:proofErr w:type="spellStart"/>
      <w:r w:rsidRPr="00831A5B">
        <w:rPr>
          <w:rFonts w:ascii="Times New Roman" w:hAnsi="Times New Roman" w:cs="Times New Roman"/>
          <w:sz w:val="28"/>
          <w:szCs w:val="28"/>
        </w:rPr>
        <w:t>считано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изпълнителен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инструмент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w:t>
      </w:r>
      <w:proofErr w:type="spellEnd"/>
      <w:r w:rsidRPr="00831A5B">
        <w:rPr>
          <w:rFonts w:ascii="Times New Roman" w:hAnsi="Times New Roman" w:cs="Times New Roman"/>
          <w:sz w:val="28"/>
          <w:szCs w:val="28"/>
        </w:rPr>
        <w:t xml:space="preserve"> 3.1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сътрудничество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областта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поддръжката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между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Украйна</w:t>
      </w:r>
      <w:proofErr w:type="spellEnd"/>
      <w:r w:rsidRPr="00831A5B">
        <w:rPr>
          <w:rFonts w:ascii="Times New Roman" w:hAnsi="Times New Roman" w:cs="Times New Roman"/>
          <w:sz w:val="28"/>
          <w:szCs w:val="28"/>
        </w:rPr>
        <w:t xml:space="preserve"> и NSPO.</w:t>
      </w:r>
    </w:p>
    <w:p w14:paraId="4CA49BE4"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3.4 </w:t>
      </w:r>
      <w:proofErr w:type="spellStart"/>
      <w:r w:rsidRPr="00831A5B">
        <w:rPr>
          <w:rFonts w:ascii="Times New Roman" w:hAnsi="Times New Roman" w:cs="Times New Roman"/>
          <w:sz w:val="28"/>
          <w:szCs w:val="28"/>
        </w:rPr>
        <w:t>Органи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могат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участват</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условие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страните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съгласни</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тях</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ASB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61FD4B6C"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3.5 </w:t>
      </w:r>
      <w:proofErr w:type="spellStart"/>
      <w:r w:rsidRPr="00831A5B">
        <w:rPr>
          <w:rFonts w:ascii="Times New Roman" w:hAnsi="Times New Roman" w:cs="Times New Roman"/>
          <w:sz w:val="28"/>
          <w:szCs w:val="28"/>
        </w:rPr>
        <w:t>Гореспоменатите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категории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участници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представляват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Участници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w:t>
      </w:r>
    </w:p>
    <w:p w14:paraId="4D436705" w14:textId="77777777" w:rsidR="00F82F2E" w:rsidRPr="00831A5B" w:rsidRDefault="00F82F2E" w:rsidP="00722BC7">
      <w:pPr>
        <w:spacing w:after="0"/>
        <w:ind w:firstLine="720"/>
        <w:jc w:val="both"/>
        <w:rPr>
          <w:rFonts w:ascii="Times New Roman" w:hAnsi="Times New Roman" w:cs="Times New Roman"/>
          <w:sz w:val="28"/>
          <w:szCs w:val="28"/>
        </w:rPr>
      </w:pP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отбележи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обаче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само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държавите-членки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членове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вижте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параграф</w:t>
      </w:r>
      <w:proofErr w:type="spellEnd"/>
      <w:r w:rsidRPr="00831A5B">
        <w:rPr>
          <w:rFonts w:ascii="Times New Roman" w:hAnsi="Times New Roman" w:cs="Times New Roman"/>
          <w:sz w:val="28"/>
          <w:szCs w:val="28"/>
        </w:rPr>
        <w:t xml:space="preserve"> 6.1 </w:t>
      </w:r>
      <w:proofErr w:type="spellStart"/>
      <w:r w:rsidRPr="00831A5B">
        <w:rPr>
          <w:rFonts w:ascii="Times New Roman" w:hAnsi="Times New Roman" w:cs="Times New Roman"/>
          <w:sz w:val="28"/>
          <w:szCs w:val="28"/>
        </w:rPr>
        <w:t>по-долу</w:t>
      </w:r>
      <w:proofErr w:type="spellEnd"/>
      <w:r w:rsidRPr="00831A5B">
        <w:rPr>
          <w:rFonts w:ascii="Times New Roman" w:hAnsi="Times New Roman" w:cs="Times New Roman"/>
          <w:sz w:val="28"/>
          <w:szCs w:val="28"/>
        </w:rPr>
        <w:t>).</w:t>
      </w:r>
    </w:p>
    <w:p w14:paraId="2DD3FD2A"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3.6 </w:t>
      </w:r>
      <w:proofErr w:type="spellStart"/>
      <w:r w:rsidRPr="00831A5B">
        <w:rPr>
          <w:rFonts w:ascii="Times New Roman" w:hAnsi="Times New Roman" w:cs="Times New Roman"/>
          <w:sz w:val="28"/>
          <w:szCs w:val="28"/>
        </w:rPr>
        <w:t>Следните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организации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определени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участници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могат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възползват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спазване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условията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договорени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w:t>
      </w:r>
    </w:p>
    <w:p w14:paraId="38A3FFA3"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3.6.1 </w:t>
      </w:r>
      <w:proofErr w:type="spellStart"/>
      <w:r w:rsidRPr="00831A5B">
        <w:rPr>
          <w:rFonts w:ascii="Times New Roman" w:hAnsi="Times New Roman" w:cs="Times New Roman"/>
          <w:sz w:val="28"/>
          <w:szCs w:val="28"/>
        </w:rPr>
        <w:t>Организации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принадлежащи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към</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въоръжените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контингенти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съответните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организации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неучастващи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други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или</w:t>
      </w:r>
      <w:proofErr w:type="spellEnd"/>
    </w:p>
    <w:p w14:paraId="0692DFB8"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3.6.2 </w:t>
      </w:r>
      <w:proofErr w:type="spellStart"/>
      <w:r w:rsidRPr="00831A5B">
        <w:rPr>
          <w:rFonts w:ascii="Times New Roman" w:hAnsi="Times New Roman" w:cs="Times New Roman"/>
          <w:sz w:val="28"/>
          <w:szCs w:val="28"/>
        </w:rPr>
        <w:t>Органи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държави-партньори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международни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организации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имат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действащо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сътрудничество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с NSPO и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сключили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инструмент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прилагането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продажба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обхващащо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COMMIT. NSPO ASB е </w:t>
      </w:r>
      <w:proofErr w:type="spellStart"/>
      <w:r w:rsidRPr="00831A5B">
        <w:rPr>
          <w:rFonts w:ascii="Times New Roman" w:hAnsi="Times New Roman" w:cs="Times New Roman"/>
          <w:sz w:val="28"/>
          <w:szCs w:val="28"/>
        </w:rPr>
        <w:t>подходящият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одобряване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гореспоменатите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независимо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случай</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международна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организация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принцип</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предварително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NAC.</w:t>
      </w:r>
    </w:p>
    <w:p w14:paraId="4B9D3E9B"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3.6.3 </w:t>
      </w:r>
      <w:proofErr w:type="spellStart"/>
      <w:r w:rsidRPr="00831A5B">
        <w:rPr>
          <w:rFonts w:ascii="Times New Roman" w:hAnsi="Times New Roman" w:cs="Times New Roman"/>
          <w:sz w:val="28"/>
          <w:szCs w:val="28"/>
        </w:rPr>
        <w:t>Неучастващите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организации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възползват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носят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всички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присъщи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свързани</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транзакциите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поискат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извърши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включително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всички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направени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във</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връзка</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тези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транзакции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Правило</w:t>
      </w:r>
      <w:proofErr w:type="spellEnd"/>
      <w:r w:rsidRPr="00831A5B">
        <w:rPr>
          <w:rFonts w:ascii="Times New Roman" w:hAnsi="Times New Roman" w:cs="Times New Roman"/>
          <w:sz w:val="28"/>
          <w:szCs w:val="28"/>
        </w:rPr>
        <w:t xml:space="preserve"> 3.5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Функционална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2300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6A7792F4"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4 СТАТУТ НА ПАРТНЬОРСТВОТО</w:t>
      </w:r>
    </w:p>
    <w:p w14:paraId="084D81E5"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4.1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представлява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неразделна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част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NSPO и </w:t>
      </w:r>
      <w:proofErr w:type="spellStart"/>
      <w:r w:rsidRPr="00831A5B">
        <w:rPr>
          <w:rFonts w:ascii="Times New Roman" w:hAnsi="Times New Roman" w:cs="Times New Roman"/>
          <w:sz w:val="28"/>
          <w:szCs w:val="28"/>
        </w:rPr>
        <w:t>споделя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юридическата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правосубектност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член</w:t>
      </w:r>
      <w:proofErr w:type="spellEnd"/>
      <w:r w:rsidRPr="00831A5B">
        <w:rPr>
          <w:rFonts w:ascii="Times New Roman" w:hAnsi="Times New Roman" w:cs="Times New Roman"/>
          <w:sz w:val="28"/>
          <w:szCs w:val="28"/>
        </w:rPr>
        <w:t xml:space="preserve"> 43(в)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Устава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Юридическата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правосубектност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няма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разпростира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върху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асоциирани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участващи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w:t>
      </w:r>
    </w:p>
    <w:p w14:paraId="207CED35"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4.2 </w:t>
      </w:r>
      <w:proofErr w:type="spellStart"/>
      <w:r w:rsidRPr="00831A5B">
        <w:rPr>
          <w:rFonts w:ascii="Times New Roman" w:hAnsi="Times New Roman" w:cs="Times New Roman"/>
          <w:sz w:val="28"/>
          <w:szCs w:val="28"/>
        </w:rPr>
        <w:t>Всички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регламенти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функционални</w:t>
      </w:r>
      <w:proofErr w:type="spellEnd"/>
      <w:r w:rsidRPr="00831A5B">
        <w:rPr>
          <w:rFonts w:ascii="Times New Roman" w:hAnsi="Times New Roman" w:cs="Times New Roman"/>
          <w:sz w:val="28"/>
          <w:szCs w:val="28"/>
        </w:rPr>
        <w:t>/</w:t>
      </w:r>
      <w:proofErr w:type="spellStart"/>
      <w:r w:rsidRPr="00831A5B">
        <w:rPr>
          <w:rFonts w:ascii="Times New Roman" w:hAnsi="Times New Roman" w:cs="Times New Roman"/>
          <w:sz w:val="28"/>
          <w:szCs w:val="28"/>
        </w:rPr>
        <w:t>програмни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уреждащи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съответните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области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обхванати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настоящото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изцяло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приложими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NSPO ASB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разглежда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lastRenderedPageBreak/>
        <w:t>предложенията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отклонение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ръководни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документи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специфични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политики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ASB </w:t>
      </w:r>
      <w:proofErr w:type="spellStart"/>
      <w:r w:rsidRPr="00831A5B">
        <w:rPr>
          <w:rFonts w:ascii="Times New Roman" w:hAnsi="Times New Roman" w:cs="Times New Roman"/>
          <w:sz w:val="28"/>
          <w:szCs w:val="28"/>
        </w:rPr>
        <w:t>само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всеки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отделен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случай</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съгласява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такива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отклонения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изключителни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обстоятелства</w:t>
      </w:r>
      <w:proofErr w:type="spellEnd"/>
      <w:r w:rsidRPr="00831A5B">
        <w:rPr>
          <w:rFonts w:ascii="Times New Roman" w:hAnsi="Times New Roman" w:cs="Times New Roman"/>
          <w:sz w:val="28"/>
          <w:szCs w:val="28"/>
        </w:rPr>
        <w:t>.</w:t>
      </w:r>
    </w:p>
    <w:p w14:paraId="73A4DAE0"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5 ФИНАНСИРАНЕ И УПРАВЛЕНИЕ НА АКТИВИ</w:t>
      </w:r>
    </w:p>
    <w:p w14:paraId="166DAE4D"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5.1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член</w:t>
      </w:r>
      <w:proofErr w:type="spellEnd"/>
      <w:r w:rsidRPr="00831A5B">
        <w:rPr>
          <w:rFonts w:ascii="Times New Roman" w:hAnsi="Times New Roman" w:cs="Times New Roman"/>
          <w:sz w:val="28"/>
          <w:szCs w:val="28"/>
        </w:rPr>
        <w:t xml:space="preserve"> 43(d)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Устава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активите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свързани</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трябва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ясно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идентифицирани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управлявани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отделно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NSPA.</w:t>
      </w:r>
    </w:p>
    <w:p w14:paraId="08C47B3F"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5.2 </w:t>
      </w:r>
      <w:proofErr w:type="spellStart"/>
      <w:r w:rsidRPr="00831A5B">
        <w:rPr>
          <w:rFonts w:ascii="Times New Roman" w:hAnsi="Times New Roman" w:cs="Times New Roman"/>
          <w:sz w:val="28"/>
          <w:szCs w:val="28"/>
        </w:rPr>
        <w:t>Държавите-членки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сключат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специални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финансови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уточняват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методите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финансиране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управление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продажба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разпореждане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тези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активи</w:t>
      </w:r>
      <w:proofErr w:type="spellEnd"/>
      <w:r w:rsidRPr="00831A5B">
        <w:rPr>
          <w:rFonts w:ascii="Times New Roman" w:hAnsi="Times New Roman" w:cs="Times New Roman"/>
          <w:sz w:val="28"/>
          <w:szCs w:val="28"/>
        </w:rPr>
        <w:t>.</w:t>
      </w:r>
    </w:p>
    <w:p w14:paraId="74B8C6FF"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5.3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активите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ясно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идентифицирани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управлявани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w:t>
      </w:r>
      <w:proofErr w:type="spellEnd"/>
      <w:r w:rsidRPr="00831A5B">
        <w:rPr>
          <w:rFonts w:ascii="Times New Roman" w:hAnsi="Times New Roman" w:cs="Times New Roman"/>
          <w:sz w:val="28"/>
          <w:szCs w:val="28"/>
        </w:rPr>
        <w:t>.</w:t>
      </w:r>
    </w:p>
    <w:p w14:paraId="6FB71DCB"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6 ОРГАНИЗАЦИЯ НА ПАРТНЬОРСТВОТО</w:t>
      </w:r>
    </w:p>
    <w:p w14:paraId="5EFEEA02"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6.1 </w:t>
      </w:r>
      <w:proofErr w:type="spellStart"/>
      <w:r w:rsidRPr="00831A5B">
        <w:rPr>
          <w:rFonts w:ascii="Times New Roman" w:hAnsi="Times New Roman" w:cs="Times New Roman"/>
          <w:sz w:val="28"/>
          <w:szCs w:val="28"/>
        </w:rPr>
        <w:t>Комитетът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p>
    <w:p w14:paraId="746432E7"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6.1.1 </w:t>
      </w:r>
      <w:proofErr w:type="spellStart"/>
      <w:r w:rsidRPr="00831A5B">
        <w:rPr>
          <w:rFonts w:ascii="Times New Roman" w:hAnsi="Times New Roman" w:cs="Times New Roman"/>
          <w:sz w:val="28"/>
          <w:szCs w:val="28"/>
        </w:rPr>
        <w:t>Общи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положения</w:t>
      </w:r>
      <w:proofErr w:type="spellEnd"/>
    </w:p>
    <w:p w14:paraId="4301C280" w14:textId="77777777" w:rsidR="00F82F2E" w:rsidRPr="008A6FBB" w:rsidRDefault="00F82F2E" w:rsidP="00722BC7">
      <w:pPr>
        <w:spacing w:after="0"/>
        <w:ind w:firstLine="720"/>
        <w:jc w:val="both"/>
        <w:rPr>
          <w:rFonts w:ascii="Times New Roman" w:hAnsi="Times New Roman" w:cs="Times New Roman"/>
          <w:sz w:val="28"/>
          <w:szCs w:val="28"/>
          <w:lang w:val="bg-BG"/>
        </w:rPr>
      </w:pP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състои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създаден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NSPO ASB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подчинен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управление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който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упражнява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правомощията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r w:rsidRPr="008A6FBB">
        <w:rPr>
          <w:rFonts w:ascii="Times New Roman" w:hAnsi="Times New Roman" w:cs="Times New Roman"/>
          <w:sz w:val="28"/>
          <w:szCs w:val="28"/>
          <w:lang w:val="bg-BG"/>
        </w:rPr>
        <w:t>Партньорството. Комитетът по партньорство ще:</w:t>
      </w:r>
    </w:p>
    <w:p w14:paraId="358F88A2" w14:textId="77777777" w:rsidR="00F82F2E" w:rsidRPr="008A6FBB" w:rsidRDefault="00F82F2E"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6.1.1.1 се състои от главен представител на всяка държава-членка на Партньорството, национално финансиран/на непълен работен ден председател и секретар (обикновено надлежно назначен от NSPA);</w:t>
      </w:r>
    </w:p>
    <w:p w14:paraId="5E798A6A" w14:textId="77777777" w:rsidR="00F82F2E" w:rsidRPr="008A6FBB" w:rsidRDefault="00F82F2E"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6.1.1.2 определя целите и политиката на Партньорството и ще следи постигнатите резултати.</w:t>
      </w:r>
    </w:p>
    <w:p w14:paraId="77BFDCFF" w14:textId="77777777" w:rsidR="00F82F2E" w:rsidRPr="008A6FBB" w:rsidRDefault="00F82F2E"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6.1.2 Национални представители</w:t>
      </w:r>
      <w:r w:rsidR="008A6FBB">
        <w:rPr>
          <w:rFonts w:ascii="Times New Roman" w:hAnsi="Times New Roman" w:cs="Times New Roman"/>
          <w:sz w:val="28"/>
          <w:szCs w:val="28"/>
          <w:lang w:val="bg-BG"/>
        </w:rPr>
        <w:t>.</w:t>
      </w:r>
    </w:p>
    <w:p w14:paraId="168E1056" w14:textId="77777777" w:rsidR="00F82F2E" w:rsidRPr="00831A5B" w:rsidRDefault="00F82F2E" w:rsidP="00722BC7">
      <w:pPr>
        <w:spacing w:after="0"/>
        <w:ind w:firstLine="720"/>
        <w:jc w:val="both"/>
        <w:rPr>
          <w:rFonts w:ascii="Times New Roman" w:hAnsi="Times New Roman" w:cs="Times New Roman"/>
          <w:sz w:val="28"/>
          <w:szCs w:val="28"/>
        </w:rPr>
      </w:pPr>
      <w:r w:rsidRPr="008A6FBB">
        <w:rPr>
          <w:rFonts w:ascii="Times New Roman" w:hAnsi="Times New Roman" w:cs="Times New Roman"/>
          <w:sz w:val="28"/>
          <w:szCs w:val="28"/>
          <w:lang w:val="bg-BG"/>
        </w:rPr>
        <w:t>6.1.2.1 Всяка държава</w:t>
      </w:r>
      <w:r w:rsidRPr="00831A5B">
        <w:rPr>
          <w:rFonts w:ascii="Times New Roman" w:hAnsi="Times New Roman" w:cs="Times New Roman"/>
          <w:sz w:val="28"/>
          <w:szCs w:val="28"/>
        </w:rPr>
        <w:t>-</w:t>
      </w:r>
      <w:proofErr w:type="spellStart"/>
      <w:r w:rsidRPr="00831A5B">
        <w:rPr>
          <w:rFonts w:ascii="Times New Roman" w:hAnsi="Times New Roman" w:cs="Times New Roman"/>
          <w:sz w:val="28"/>
          <w:szCs w:val="28"/>
        </w:rPr>
        <w:t>членка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пълномощието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назначава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отстранява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своя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главен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представител</w:t>
      </w:r>
      <w:proofErr w:type="spellEnd"/>
      <w:r w:rsidRPr="00831A5B">
        <w:rPr>
          <w:rFonts w:ascii="Times New Roman" w:hAnsi="Times New Roman" w:cs="Times New Roman"/>
          <w:sz w:val="28"/>
          <w:szCs w:val="28"/>
        </w:rPr>
        <w:t xml:space="preserve"> и/</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заместник-представител</w:t>
      </w:r>
      <w:proofErr w:type="spellEnd"/>
      <w:r w:rsidRPr="00831A5B">
        <w:rPr>
          <w:rFonts w:ascii="Times New Roman" w:hAnsi="Times New Roman" w:cs="Times New Roman"/>
          <w:sz w:val="28"/>
          <w:szCs w:val="28"/>
        </w:rPr>
        <w:t xml:space="preserve">(и) и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съобщава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имената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своя</w:t>
      </w:r>
      <w:proofErr w:type="spellEnd"/>
      <w:r w:rsidRPr="00831A5B">
        <w:rPr>
          <w:rFonts w:ascii="Times New Roman" w:hAnsi="Times New Roman" w:cs="Times New Roman"/>
          <w:sz w:val="28"/>
          <w:szCs w:val="28"/>
        </w:rPr>
        <w:t>(</w:t>
      </w:r>
      <w:proofErr w:type="spellStart"/>
      <w:r w:rsidRPr="00831A5B">
        <w:rPr>
          <w:rFonts w:ascii="Times New Roman" w:hAnsi="Times New Roman" w:cs="Times New Roman"/>
          <w:sz w:val="28"/>
          <w:szCs w:val="28"/>
        </w:rPr>
        <w:t>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представител</w:t>
      </w:r>
      <w:proofErr w:type="spellEnd"/>
      <w:r w:rsidRPr="00831A5B">
        <w:rPr>
          <w:rFonts w:ascii="Times New Roman" w:hAnsi="Times New Roman" w:cs="Times New Roman"/>
          <w:sz w:val="28"/>
          <w:szCs w:val="28"/>
        </w:rPr>
        <w:t xml:space="preserve">(и)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председателя</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секретаря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Имената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националните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представители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допълнително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съобщени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председателя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ASB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секретариата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631563B8"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6.1.2.2 </w:t>
      </w:r>
      <w:proofErr w:type="spellStart"/>
      <w:r w:rsidRPr="00831A5B">
        <w:rPr>
          <w:rFonts w:ascii="Times New Roman" w:hAnsi="Times New Roman" w:cs="Times New Roman"/>
          <w:sz w:val="28"/>
          <w:szCs w:val="28"/>
        </w:rPr>
        <w:t>Всяка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държава-членка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гарантира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служителят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сигурността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NSPA и </w:t>
      </w:r>
      <w:proofErr w:type="spellStart"/>
      <w:r w:rsidRPr="00831A5B">
        <w:rPr>
          <w:rFonts w:ascii="Times New Roman" w:hAnsi="Times New Roman" w:cs="Times New Roman"/>
          <w:sz w:val="28"/>
          <w:szCs w:val="28"/>
        </w:rPr>
        <w:t>програмният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офис</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назначени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получават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потвърждение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разрешение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достъп</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класифицирана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информация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всеки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национален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представител</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w:t>
      </w:r>
    </w:p>
    <w:p w14:paraId="469F77B0" w14:textId="77777777" w:rsidR="00F82F2E" w:rsidRPr="008A6FBB" w:rsidRDefault="00F82F2E"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6.1.3 </w:t>
      </w:r>
      <w:proofErr w:type="spellStart"/>
      <w:r w:rsidRPr="00831A5B">
        <w:rPr>
          <w:rFonts w:ascii="Times New Roman" w:hAnsi="Times New Roman" w:cs="Times New Roman"/>
          <w:sz w:val="28"/>
          <w:szCs w:val="28"/>
        </w:rPr>
        <w:t>Председател</w:t>
      </w:r>
      <w:proofErr w:type="spellEnd"/>
      <w:r w:rsidR="008A6FBB">
        <w:rPr>
          <w:rFonts w:ascii="Times New Roman" w:hAnsi="Times New Roman" w:cs="Times New Roman"/>
          <w:sz w:val="28"/>
          <w:szCs w:val="28"/>
          <w:lang w:val="bg-BG"/>
        </w:rPr>
        <w:t>.</w:t>
      </w:r>
    </w:p>
    <w:p w14:paraId="6EBF7FB7"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6.1.3.1 </w:t>
      </w:r>
      <w:proofErr w:type="spellStart"/>
      <w:r w:rsidRPr="00831A5B">
        <w:rPr>
          <w:rFonts w:ascii="Times New Roman" w:hAnsi="Times New Roman" w:cs="Times New Roman"/>
          <w:sz w:val="28"/>
          <w:szCs w:val="28"/>
        </w:rPr>
        <w:t>Комитетът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избере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председател</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измежду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държавите-членки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Мандатът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председателя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принцип</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ротира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между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държавите-членки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английски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азбучен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ред</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обикновено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една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година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освен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договорено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друго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w:t>
      </w:r>
    </w:p>
    <w:p w14:paraId="43937515"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6.1.3.2 </w:t>
      </w:r>
      <w:proofErr w:type="spellStart"/>
      <w:r w:rsidRPr="00831A5B">
        <w:rPr>
          <w:rFonts w:ascii="Times New Roman" w:hAnsi="Times New Roman" w:cs="Times New Roman"/>
          <w:sz w:val="28"/>
          <w:szCs w:val="28"/>
        </w:rPr>
        <w:t>Председателят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получава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своите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правомощия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и е </w:t>
      </w:r>
      <w:proofErr w:type="spellStart"/>
      <w:r w:rsidRPr="00831A5B">
        <w:rPr>
          <w:rFonts w:ascii="Times New Roman" w:hAnsi="Times New Roman" w:cs="Times New Roman"/>
          <w:sz w:val="28"/>
          <w:szCs w:val="28"/>
        </w:rPr>
        <w:t>отговорен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w:t>
      </w:r>
    </w:p>
    <w:p w14:paraId="0AFF8C29"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lastRenderedPageBreak/>
        <w:t xml:space="preserve">6.1.3.3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избран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председателят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трябва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откаже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правомощията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представител</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правомощия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вземане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друг</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упълномощен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представител</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своята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w:t>
      </w:r>
      <w:proofErr w:type="spellEnd"/>
      <w:r w:rsidRPr="00831A5B">
        <w:rPr>
          <w:rFonts w:ascii="Times New Roman" w:hAnsi="Times New Roman" w:cs="Times New Roman"/>
          <w:sz w:val="28"/>
          <w:szCs w:val="28"/>
        </w:rPr>
        <w:t>.</w:t>
      </w:r>
    </w:p>
    <w:p w14:paraId="08B0B918" w14:textId="77777777" w:rsidR="00F82F2E" w:rsidRPr="00831A5B" w:rsidRDefault="00F82F2E"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6.1.4 </w:t>
      </w:r>
      <w:proofErr w:type="spellStart"/>
      <w:r w:rsidRPr="00831A5B">
        <w:rPr>
          <w:rFonts w:ascii="Times New Roman" w:hAnsi="Times New Roman" w:cs="Times New Roman"/>
          <w:sz w:val="28"/>
          <w:szCs w:val="28"/>
        </w:rPr>
        <w:t>Подчинени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консултативни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w:t>
      </w:r>
      <w:proofErr w:type="spellEnd"/>
    </w:p>
    <w:p w14:paraId="7EB98A08"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6.1.4.1 </w:t>
      </w:r>
      <w:proofErr w:type="spellStart"/>
      <w:r w:rsidRPr="00831A5B">
        <w:rPr>
          <w:rFonts w:ascii="Times New Roman" w:hAnsi="Times New Roman" w:cs="Times New Roman"/>
          <w:sz w:val="28"/>
          <w:szCs w:val="28"/>
        </w:rPr>
        <w:t>Партньорският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може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създава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постоянни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временни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подчинени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напр</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работни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групи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потребителски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групи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случая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предоставят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съвети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отправят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препоръки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към</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Партньорския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отнесените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тях</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въпроси</w:t>
      </w:r>
      <w:proofErr w:type="spellEnd"/>
      <w:r w:rsidRPr="00831A5B">
        <w:rPr>
          <w:rFonts w:ascii="Times New Roman" w:hAnsi="Times New Roman" w:cs="Times New Roman"/>
          <w:sz w:val="28"/>
          <w:szCs w:val="28"/>
        </w:rPr>
        <w:t>.</w:t>
      </w:r>
    </w:p>
    <w:p w14:paraId="2EF15D94"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6.1.4.2 </w:t>
      </w:r>
      <w:proofErr w:type="spellStart"/>
      <w:r w:rsidRPr="00831A5B">
        <w:rPr>
          <w:rFonts w:ascii="Times New Roman" w:hAnsi="Times New Roman" w:cs="Times New Roman"/>
          <w:sz w:val="28"/>
          <w:szCs w:val="28"/>
        </w:rPr>
        <w:t>Мисията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правомощията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отговорностите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подчинени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продължителността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мандата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подчинения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описани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Общи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условия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резюмета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предоставени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Приложение</w:t>
      </w:r>
      <w:proofErr w:type="spellEnd"/>
      <w:r w:rsidRPr="00831A5B">
        <w:rPr>
          <w:rFonts w:ascii="Times New Roman" w:hAnsi="Times New Roman" w:cs="Times New Roman"/>
          <w:sz w:val="28"/>
          <w:szCs w:val="28"/>
        </w:rPr>
        <w:t xml:space="preserve"> 1),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Партньорския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w:t>
      </w:r>
      <w:proofErr w:type="spellEnd"/>
      <w:r w:rsidRPr="00831A5B">
        <w:rPr>
          <w:rFonts w:ascii="Times New Roman" w:hAnsi="Times New Roman" w:cs="Times New Roman"/>
          <w:sz w:val="28"/>
          <w:szCs w:val="28"/>
        </w:rPr>
        <w:t>.</w:t>
      </w:r>
    </w:p>
    <w:p w14:paraId="7C9FB63A"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6.2 </w:t>
      </w:r>
      <w:proofErr w:type="spellStart"/>
      <w:r w:rsidRPr="00831A5B">
        <w:rPr>
          <w:rFonts w:ascii="Times New Roman" w:hAnsi="Times New Roman" w:cs="Times New Roman"/>
          <w:sz w:val="28"/>
          <w:szCs w:val="28"/>
        </w:rPr>
        <w:t>Връзка</w:t>
      </w:r>
      <w:proofErr w:type="spellEnd"/>
      <w:r w:rsidRPr="00831A5B">
        <w:rPr>
          <w:rFonts w:ascii="Times New Roman" w:hAnsi="Times New Roman" w:cs="Times New Roman"/>
          <w:sz w:val="28"/>
          <w:szCs w:val="28"/>
        </w:rPr>
        <w:t xml:space="preserve"> с NSPO ASB</w:t>
      </w:r>
    </w:p>
    <w:p w14:paraId="161EC982"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6.2.1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член</w:t>
      </w:r>
      <w:proofErr w:type="spellEnd"/>
      <w:r w:rsidRPr="00831A5B">
        <w:rPr>
          <w:rFonts w:ascii="Times New Roman" w:hAnsi="Times New Roman" w:cs="Times New Roman"/>
          <w:sz w:val="28"/>
          <w:szCs w:val="28"/>
        </w:rPr>
        <w:t xml:space="preserve"> 30(h)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Устава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Партньорският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r w:rsidRPr="008A6FBB">
        <w:rPr>
          <w:rFonts w:ascii="Times New Roman" w:hAnsi="Times New Roman" w:cs="Times New Roman"/>
          <w:sz w:val="28"/>
          <w:szCs w:val="28"/>
          <w:lang w:val="bg-BG"/>
        </w:rPr>
        <w:t>информира NSPO ASB за всички въпроси от взаимен интерес, когато е уместно, включително, но не само:</w:t>
      </w:r>
    </w:p>
    <w:p w14:paraId="36252C36"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6.2.1.1 финансови решения, особено в областите на балансиране на прозрачността с надлежно отчитане на националните, многонационалните или частните права за разкриване и ползване на информация и идентифициране и прилагане на икономии на разходи и ефективност, както и оптимизиране на ефективността;</w:t>
      </w:r>
    </w:p>
    <w:p w14:paraId="4B1DDEFF" w14:textId="77777777" w:rsidR="00532BFF" w:rsidRPr="00831A5B" w:rsidRDefault="00532BFF" w:rsidP="00722BC7">
      <w:pPr>
        <w:spacing w:after="0"/>
        <w:ind w:firstLine="720"/>
        <w:jc w:val="both"/>
        <w:rPr>
          <w:rFonts w:ascii="Times New Roman" w:hAnsi="Times New Roman" w:cs="Times New Roman"/>
          <w:sz w:val="28"/>
          <w:szCs w:val="28"/>
        </w:rPr>
      </w:pPr>
      <w:r w:rsidRPr="008A6FBB">
        <w:rPr>
          <w:rFonts w:ascii="Times New Roman" w:hAnsi="Times New Roman" w:cs="Times New Roman"/>
          <w:sz w:val="28"/>
          <w:szCs w:val="28"/>
          <w:lang w:val="bg-BG"/>
        </w:rPr>
        <w:t>6.2.1.2 информация, отнасяща се до дейностите по Партньорството, която се съдържа в докладите на NSPO</w:t>
      </w: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предаването</w:t>
      </w:r>
      <w:proofErr w:type="spellEnd"/>
      <w:r w:rsidRPr="00831A5B">
        <w:rPr>
          <w:rFonts w:ascii="Times New Roman" w:hAnsi="Times New Roman" w:cs="Times New Roman"/>
          <w:sz w:val="28"/>
          <w:szCs w:val="28"/>
        </w:rPr>
        <w:t xml:space="preserve"> ѝ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други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държави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извън</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трети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страни</w:t>
      </w:r>
      <w:proofErr w:type="spellEnd"/>
      <w:r w:rsidRPr="00831A5B">
        <w:rPr>
          <w:rFonts w:ascii="Times New Roman" w:hAnsi="Times New Roman" w:cs="Times New Roman"/>
          <w:sz w:val="28"/>
          <w:szCs w:val="28"/>
        </w:rPr>
        <w:t xml:space="preserve">; и 6.2.1.3 </w:t>
      </w:r>
      <w:proofErr w:type="spellStart"/>
      <w:r w:rsidRPr="00831A5B">
        <w:rPr>
          <w:rFonts w:ascii="Times New Roman" w:hAnsi="Times New Roman" w:cs="Times New Roman"/>
          <w:sz w:val="28"/>
          <w:szCs w:val="28"/>
        </w:rPr>
        <w:t>използването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споделени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услуги</w:t>
      </w:r>
      <w:proofErr w:type="spellEnd"/>
      <w:r w:rsidRPr="00831A5B">
        <w:rPr>
          <w:rFonts w:ascii="Times New Roman" w:hAnsi="Times New Roman" w:cs="Times New Roman"/>
          <w:sz w:val="28"/>
          <w:szCs w:val="28"/>
        </w:rPr>
        <w:t>.</w:t>
      </w:r>
    </w:p>
    <w:p w14:paraId="5400AC22"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6.2.2 </w:t>
      </w:r>
      <w:proofErr w:type="spellStart"/>
      <w:r w:rsidRPr="00831A5B">
        <w:rPr>
          <w:rFonts w:ascii="Times New Roman" w:hAnsi="Times New Roman" w:cs="Times New Roman"/>
          <w:sz w:val="28"/>
          <w:szCs w:val="28"/>
        </w:rPr>
        <w:t>Председателят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представлява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w:t>
      </w:r>
      <w:proofErr w:type="spellEnd"/>
      <w:r w:rsidRPr="00831A5B">
        <w:rPr>
          <w:rFonts w:ascii="Times New Roman" w:hAnsi="Times New Roman" w:cs="Times New Roman"/>
          <w:sz w:val="28"/>
          <w:szCs w:val="28"/>
        </w:rPr>
        <w:t xml:space="preserve"> ASB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w:t>
      </w:r>
      <w:proofErr w:type="spellEnd"/>
      <w:r w:rsidRPr="00831A5B">
        <w:rPr>
          <w:rFonts w:ascii="Times New Roman" w:hAnsi="Times New Roman" w:cs="Times New Roman"/>
          <w:sz w:val="28"/>
          <w:szCs w:val="28"/>
        </w:rPr>
        <w:t>.</w:t>
      </w:r>
    </w:p>
    <w:p w14:paraId="38D889D7"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6.3 </w:t>
      </w:r>
      <w:proofErr w:type="spellStart"/>
      <w:r w:rsidRPr="00831A5B">
        <w:rPr>
          <w:rFonts w:ascii="Times New Roman" w:hAnsi="Times New Roman" w:cs="Times New Roman"/>
          <w:sz w:val="28"/>
          <w:szCs w:val="28"/>
        </w:rPr>
        <w:t>Връзка</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асоциираните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w:t>
      </w:r>
      <w:proofErr w:type="spellEnd"/>
    </w:p>
    <w:p w14:paraId="662CCFC0"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параграф</w:t>
      </w:r>
      <w:proofErr w:type="spellEnd"/>
      <w:r w:rsidRPr="00831A5B">
        <w:rPr>
          <w:rFonts w:ascii="Times New Roman" w:hAnsi="Times New Roman" w:cs="Times New Roman"/>
          <w:sz w:val="28"/>
          <w:szCs w:val="28"/>
        </w:rPr>
        <w:t xml:space="preserve"> 5.4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Функционална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2011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r w:rsidRPr="008A6FBB">
        <w:rPr>
          <w:rFonts w:ascii="Times New Roman" w:hAnsi="Times New Roman" w:cs="Times New Roman"/>
          <w:sz w:val="28"/>
          <w:szCs w:val="28"/>
          <w:lang w:val="bg-BG"/>
        </w:rPr>
        <w:t>Комитетът по партньорство ще:</w:t>
      </w:r>
    </w:p>
    <w:p w14:paraId="602AE000"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6.3.1 реши, в момента, в който асоциираните държави са упълномощени да участват в Партньорство, дали да ограничи обхвата на индустриалното участие на асоциираните държави до процента на съответните им обществени поръчки в Партньорството;</w:t>
      </w:r>
    </w:p>
    <w:p w14:paraId="67E04560"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6.3.2 да вземе предвид становищата на асоциираните държави, участващи в Партньорството, преди да вземе решения;</w:t>
      </w:r>
    </w:p>
    <w:p w14:paraId="21D26ADD"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6.3.3 да гарантира, че асоциираните държави са се съгласили писмено с решенията, които ги засягат финансово; в противен случай асоциираните държави няма да бъдат обвързани от тези решения, взети от държавите членки на Партньорството, и няма да се възползват от съответните услуги;</w:t>
      </w:r>
    </w:p>
    <w:p w14:paraId="205A64D9"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lastRenderedPageBreak/>
        <w:t>6.3.4 да реши, ако асоциирана държава поиска да използва актив, финансиран от държавите членки на Партньорството, дали това искане ще бъде удовлетворено и при какви условия.</w:t>
      </w:r>
    </w:p>
    <w:p w14:paraId="46DB9406"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6.4 Връзка с пробните държави</w:t>
      </w:r>
    </w:p>
    <w:p w14:paraId="70CA970C"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6.4.1 Комитетът по партньорство ще определи срока и административните разходи за пробните държави.</w:t>
      </w:r>
    </w:p>
    <w:p w14:paraId="2711A4A4"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6.4.2 Очаква се пробните държави в крайна сметка да станат държави членки на Партньорството или асоциирани държави, според случая.</w:t>
      </w:r>
    </w:p>
    <w:p w14:paraId="6AE5F607"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6.5 Връзка с NSPA</w:t>
      </w:r>
      <w:r w:rsidR="008A6FBB">
        <w:rPr>
          <w:rFonts w:ascii="Times New Roman" w:hAnsi="Times New Roman" w:cs="Times New Roman"/>
          <w:sz w:val="28"/>
          <w:szCs w:val="28"/>
          <w:lang w:val="bg-BG"/>
        </w:rPr>
        <w:t>.</w:t>
      </w:r>
    </w:p>
    <w:p w14:paraId="131C4B34"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6.5.1 Задачите, посочени в Програмна директива № 3809 на NSPO, ще се изпълняват от NSPA чрез определен офис на програмата на NSPA.</w:t>
      </w:r>
    </w:p>
    <w:p w14:paraId="3F7DC9A8"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6.5.2 Комитетът по партньорство ще общува директно с NSPA по всички въпроси от неговата компетентност. Това включва предоставянето на информация на NSPA относно общите изисквания на Партньорството, заедно с всички насоки, от които NSPA може да се нуждае, за да може да изпълни тези изисквания адекватно.</w:t>
      </w:r>
    </w:p>
    <w:p w14:paraId="57ADFB9C"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6.6 Връзка с клиентите</w:t>
      </w:r>
      <w:r w:rsidR="008A6FBB">
        <w:rPr>
          <w:rFonts w:ascii="Times New Roman" w:hAnsi="Times New Roman" w:cs="Times New Roman"/>
          <w:sz w:val="28"/>
          <w:szCs w:val="28"/>
          <w:lang w:val="bg-BG"/>
        </w:rPr>
        <w:t>.</w:t>
      </w:r>
    </w:p>
    <w:p w14:paraId="489A77BF"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6.6.1 Комитетът по партньорство ще определя административните разходи за клиентите на COMMIT, когато клиентите изискват произволно генерирани доставки и/или услуги и се предоставят чрез Партньорството.</w:t>
      </w:r>
    </w:p>
    <w:p w14:paraId="68F0BFB0"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7 ДЕЙСТВИЕ НА КОМИТЕТА ПО ПАРТНЬОРСТВО</w:t>
      </w:r>
    </w:p>
    <w:p w14:paraId="76F6B2F4"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7.1 Срещи</w:t>
      </w:r>
      <w:r w:rsidR="008A6FBB">
        <w:rPr>
          <w:rFonts w:ascii="Times New Roman" w:hAnsi="Times New Roman" w:cs="Times New Roman"/>
          <w:sz w:val="28"/>
          <w:szCs w:val="28"/>
          <w:lang w:val="bg-BG"/>
        </w:rPr>
        <w:t>.</w:t>
      </w:r>
    </w:p>
    <w:p w14:paraId="713C29AF"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7.1.1 </w:t>
      </w:r>
      <w:proofErr w:type="spellStart"/>
      <w:r w:rsidRPr="00831A5B">
        <w:rPr>
          <w:rFonts w:ascii="Times New Roman" w:hAnsi="Times New Roman" w:cs="Times New Roman"/>
          <w:sz w:val="28"/>
          <w:szCs w:val="28"/>
        </w:rPr>
        <w:t>Честота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място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предварителен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дневен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ред</w:t>
      </w:r>
      <w:proofErr w:type="spellEnd"/>
      <w:r w:rsidR="008A6FBB">
        <w:rPr>
          <w:rFonts w:ascii="Times New Roman" w:hAnsi="Times New Roman" w:cs="Times New Roman"/>
          <w:sz w:val="28"/>
          <w:szCs w:val="28"/>
          <w:lang w:val="bg-BG"/>
        </w:rPr>
        <w:t>.</w:t>
      </w:r>
    </w:p>
    <w:p w14:paraId="2C17FFE8"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7.1.1.1 </w:t>
      </w:r>
      <w:proofErr w:type="spellStart"/>
      <w:r w:rsidRPr="00831A5B">
        <w:rPr>
          <w:rFonts w:ascii="Times New Roman" w:hAnsi="Times New Roman" w:cs="Times New Roman"/>
          <w:sz w:val="28"/>
          <w:szCs w:val="28"/>
        </w:rPr>
        <w:t>Комитетът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събира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редовно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изпълнява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ефективно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своите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отговорности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възможно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най-скоро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отговор</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искане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която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държава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w:t>
      </w:r>
    </w:p>
    <w:p w14:paraId="2FC13F53"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7.1.1.2 </w:t>
      </w:r>
      <w:proofErr w:type="spellStart"/>
      <w:r w:rsidRPr="00831A5B">
        <w:rPr>
          <w:rFonts w:ascii="Times New Roman" w:hAnsi="Times New Roman" w:cs="Times New Roman"/>
          <w:sz w:val="28"/>
          <w:szCs w:val="28"/>
        </w:rPr>
        <w:t>Партньорският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всяко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датата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следващото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доколкото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възможно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предварителния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дневен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w:t>
      </w:r>
      <w:proofErr w:type="spellEnd"/>
      <w:r w:rsidRPr="00831A5B">
        <w:rPr>
          <w:rFonts w:ascii="Times New Roman" w:hAnsi="Times New Roman" w:cs="Times New Roman"/>
          <w:sz w:val="28"/>
          <w:szCs w:val="28"/>
        </w:rPr>
        <w:t>.</w:t>
      </w:r>
    </w:p>
    <w:p w14:paraId="23A7170A"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7.1.1.3 </w:t>
      </w:r>
      <w:proofErr w:type="spellStart"/>
      <w:r w:rsidRPr="00831A5B">
        <w:rPr>
          <w:rFonts w:ascii="Times New Roman" w:hAnsi="Times New Roman" w:cs="Times New Roman"/>
          <w:sz w:val="28"/>
          <w:szCs w:val="28"/>
        </w:rPr>
        <w:t>Ако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изключителни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случаи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проведе</w:t>
      </w:r>
      <w:proofErr w:type="spellEnd"/>
      <w:r w:rsidRPr="00831A5B">
        <w:rPr>
          <w:rFonts w:ascii="Times New Roman" w:hAnsi="Times New Roman" w:cs="Times New Roman"/>
          <w:sz w:val="28"/>
          <w:szCs w:val="28"/>
        </w:rPr>
        <w:t xml:space="preserve"> в и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провежда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Участник</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последният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може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поеме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някои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административните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отговорности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обикновено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поети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NSPA.</w:t>
      </w:r>
    </w:p>
    <w:p w14:paraId="5C2BA3D6"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7.1.2 </w:t>
      </w:r>
      <w:proofErr w:type="spellStart"/>
      <w:r w:rsidRPr="00831A5B">
        <w:rPr>
          <w:rFonts w:ascii="Times New Roman" w:hAnsi="Times New Roman" w:cs="Times New Roman"/>
          <w:sz w:val="28"/>
          <w:szCs w:val="28"/>
        </w:rPr>
        <w:t>Известие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дневен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ред</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документация</w:t>
      </w:r>
      <w:proofErr w:type="spellEnd"/>
    </w:p>
    <w:p w14:paraId="11393458"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7.1.2.1 </w:t>
      </w:r>
      <w:proofErr w:type="spellStart"/>
      <w:r w:rsidRPr="00831A5B">
        <w:rPr>
          <w:rFonts w:ascii="Times New Roman" w:hAnsi="Times New Roman" w:cs="Times New Roman"/>
          <w:sz w:val="28"/>
          <w:szCs w:val="28"/>
        </w:rPr>
        <w:t>Най-малко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четири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седмици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датата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откриване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редовно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секретарят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Партньорския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разпространи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официалното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известие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дневен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изготвен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NSPA в </w:t>
      </w:r>
      <w:proofErr w:type="spellStart"/>
      <w:r w:rsidRPr="00831A5B">
        <w:rPr>
          <w:rFonts w:ascii="Times New Roman" w:hAnsi="Times New Roman" w:cs="Times New Roman"/>
          <w:sz w:val="28"/>
          <w:szCs w:val="28"/>
        </w:rPr>
        <w:t>координация</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председателя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Партньорския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цялата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съответна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документация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която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посочена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проекта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дневен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Информационни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брифинги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могат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разпространени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две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седмици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заседанието</w:t>
      </w:r>
      <w:proofErr w:type="spellEnd"/>
      <w:r w:rsidRPr="00831A5B">
        <w:rPr>
          <w:rFonts w:ascii="Times New Roman" w:hAnsi="Times New Roman" w:cs="Times New Roman"/>
          <w:sz w:val="28"/>
          <w:szCs w:val="28"/>
        </w:rPr>
        <w:t>.</w:t>
      </w:r>
    </w:p>
    <w:p w14:paraId="5A99C126"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lastRenderedPageBreak/>
        <w:t xml:space="preserve">7.1.2.2 </w:t>
      </w:r>
      <w:proofErr w:type="spellStart"/>
      <w:r w:rsidRPr="00831A5B">
        <w:rPr>
          <w:rFonts w:ascii="Times New Roman" w:hAnsi="Times New Roman" w:cs="Times New Roman"/>
          <w:sz w:val="28"/>
          <w:szCs w:val="28"/>
        </w:rPr>
        <w:t>Партньорският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окончателен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дневен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евентуално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включващ</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допълнителни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могли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съобщени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предварително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началото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заседанието</w:t>
      </w:r>
      <w:proofErr w:type="spellEnd"/>
      <w:r w:rsidRPr="00831A5B">
        <w:rPr>
          <w:rFonts w:ascii="Times New Roman" w:hAnsi="Times New Roman" w:cs="Times New Roman"/>
          <w:sz w:val="28"/>
          <w:szCs w:val="28"/>
        </w:rPr>
        <w:t>.</w:t>
      </w:r>
    </w:p>
    <w:p w14:paraId="5793BCF3"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7.1.3 </w:t>
      </w:r>
      <w:proofErr w:type="spellStart"/>
      <w:r w:rsidRPr="00831A5B">
        <w:rPr>
          <w:rFonts w:ascii="Times New Roman" w:hAnsi="Times New Roman" w:cs="Times New Roman"/>
          <w:sz w:val="28"/>
          <w:szCs w:val="28"/>
        </w:rPr>
        <w:t>Присъствие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заседанията</w:t>
      </w:r>
      <w:proofErr w:type="spellEnd"/>
      <w:r w:rsidR="008A6FBB">
        <w:rPr>
          <w:rFonts w:ascii="Times New Roman" w:hAnsi="Times New Roman" w:cs="Times New Roman"/>
          <w:sz w:val="28"/>
          <w:szCs w:val="28"/>
          <w:lang w:val="bg-BG"/>
        </w:rPr>
        <w:t>.</w:t>
      </w:r>
    </w:p>
    <w:p w14:paraId="59C49091" w14:textId="77777777" w:rsidR="00532BFF" w:rsidRPr="00831A5B" w:rsidRDefault="00532BFF" w:rsidP="00722BC7">
      <w:pPr>
        <w:spacing w:after="0"/>
        <w:ind w:firstLine="720"/>
        <w:jc w:val="both"/>
        <w:rPr>
          <w:rFonts w:ascii="Times New Roman" w:hAnsi="Times New Roman" w:cs="Times New Roman"/>
          <w:sz w:val="28"/>
          <w:szCs w:val="28"/>
        </w:rPr>
      </w:pP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присъстват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лица</w:t>
      </w:r>
      <w:proofErr w:type="spellEnd"/>
      <w:r w:rsidRPr="00831A5B">
        <w:rPr>
          <w:rFonts w:ascii="Times New Roman" w:hAnsi="Times New Roman" w:cs="Times New Roman"/>
          <w:sz w:val="28"/>
          <w:szCs w:val="28"/>
        </w:rPr>
        <w:t>:</w:t>
      </w:r>
    </w:p>
    <w:p w14:paraId="64EADFCB"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7.1.3.1 </w:t>
      </w:r>
      <w:r w:rsidR="008A6FBB" w:rsidRPr="008A6FBB">
        <w:rPr>
          <w:rFonts w:ascii="Times New Roman" w:hAnsi="Times New Roman" w:cs="Times New Roman"/>
          <w:sz w:val="28"/>
          <w:szCs w:val="28"/>
          <w:lang w:val="bg-BG"/>
        </w:rPr>
        <w:t xml:space="preserve">Главните </w:t>
      </w:r>
      <w:r w:rsidRPr="008A6FBB">
        <w:rPr>
          <w:rFonts w:ascii="Times New Roman" w:hAnsi="Times New Roman" w:cs="Times New Roman"/>
          <w:sz w:val="28"/>
          <w:szCs w:val="28"/>
          <w:lang w:val="bg-BG"/>
        </w:rPr>
        <w:t>представители на всяка държава-членка на Партньорството, както и представители на други участници в Партньорството и/или техни заместници, които могат да бъдат подпомагани от експерти, ако е необходимо;</w:t>
      </w:r>
    </w:p>
    <w:p w14:paraId="219855C6"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7.1.3.2 Генералният мениджър и други определени членове на персонала на NSPA, включително определения програмен мениджър на NSPA. Председателят на Комитета по партньорство може да поиска от NSPA да ограничи броя на членовете на персонала, присъстващи на срещата;</w:t>
      </w:r>
    </w:p>
    <w:p w14:paraId="6C1F5D66"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7.1.3.3 председателят на NSPO ASB или негов/нейния надлежно определен представител от офиса и секретариата на председателя на NSPO, със съвещателен глас. Присъствието или представителството ще бъде по преценка на председателя на NSPO ASB;</w:t>
      </w:r>
    </w:p>
    <w:p w14:paraId="0A4F1568"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7.1.3.4 </w:t>
      </w:r>
      <w:proofErr w:type="spellStart"/>
      <w:r w:rsidRPr="00831A5B">
        <w:rPr>
          <w:rFonts w:ascii="Times New Roman" w:hAnsi="Times New Roman" w:cs="Times New Roman"/>
          <w:sz w:val="28"/>
          <w:szCs w:val="28"/>
        </w:rPr>
        <w:t>представители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други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държави-партньори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определени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Изпитателни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Држави-наблюдатели</w:t>
      </w:r>
      <w:proofErr w:type="spellEnd"/>
      <w:r w:rsidRPr="00831A5B">
        <w:rPr>
          <w:rFonts w:ascii="Times New Roman" w:hAnsi="Times New Roman" w:cs="Times New Roman"/>
          <w:sz w:val="28"/>
          <w:szCs w:val="28"/>
        </w:rPr>
        <w:t>“;</w:t>
      </w:r>
    </w:p>
    <w:p w14:paraId="16F4FA4B"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7.1.3.5 </w:t>
      </w:r>
      <w:proofErr w:type="spellStart"/>
      <w:r w:rsidRPr="00831A5B">
        <w:rPr>
          <w:rFonts w:ascii="Times New Roman" w:hAnsi="Times New Roman" w:cs="Times New Roman"/>
          <w:sz w:val="28"/>
          <w:szCs w:val="28"/>
        </w:rPr>
        <w:t>Клиенти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възползват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услугите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покана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7.1.3.6 </w:t>
      </w:r>
      <w:proofErr w:type="spellStart"/>
      <w:r w:rsidRPr="00831A5B">
        <w:rPr>
          <w:rFonts w:ascii="Times New Roman" w:hAnsi="Times New Roman" w:cs="Times New Roman"/>
          <w:sz w:val="28"/>
          <w:szCs w:val="28"/>
        </w:rPr>
        <w:t>представители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други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w:t>
      </w:r>
      <w:proofErr w:type="spellStart"/>
      <w:r w:rsidRPr="00831A5B">
        <w:rPr>
          <w:rFonts w:ascii="Times New Roman" w:hAnsi="Times New Roman" w:cs="Times New Roman"/>
          <w:sz w:val="28"/>
          <w:szCs w:val="28"/>
        </w:rPr>
        <w:t>търговски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фирми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агенции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покана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спазване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всички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съответни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разпоредби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напр</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относно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сигурността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 и </w:t>
      </w:r>
      <w:proofErr w:type="spellStart"/>
      <w:r w:rsidRPr="00831A5B">
        <w:rPr>
          <w:rFonts w:ascii="Times New Roman" w:hAnsi="Times New Roman" w:cs="Times New Roman"/>
          <w:sz w:val="28"/>
          <w:szCs w:val="28"/>
        </w:rPr>
        <w:t>търговската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тайна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други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лица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упълномощени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w:t>
      </w:r>
    </w:p>
    <w:p w14:paraId="4F32DBF9"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7.1.4 </w:t>
      </w:r>
      <w:proofErr w:type="spellStart"/>
      <w:r w:rsidRPr="00831A5B">
        <w:rPr>
          <w:rFonts w:ascii="Times New Roman" w:hAnsi="Times New Roman" w:cs="Times New Roman"/>
          <w:sz w:val="28"/>
          <w:szCs w:val="28"/>
        </w:rPr>
        <w:t>Закрити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заседания</w:t>
      </w:r>
      <w:proofErr w:type="spellEnd"/>
      <w:r w:rsidR="008A6FBB">
        <w:rPr>
          <w:rFonts w:ascii="Times New Roman" w:hAnsi="Times New Roman" w:cs="Times New Roman"/>
          <w:sz w:val="28"/>
          <w:szCs w:val="28"/>
          <w:lang w:val="bg-BG"/>
        </w:rPr>
        <w:t>.</w:t>
      </w:r>
    </w:p>
    <w:p w14:paraId="6D2DB94B"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7.1.4.1 </w:t>
      </w:r>
      <w:proofErr w:type="spellStart"/>
      <w:r w:rsidRPr="00831A5B">
        <w:rPr>
          <w:rFonts w:ascii="Times New Roman" w:hAnsi="Times New Roman" w:cs="Times New Roman"/>
          <w:sz w:val="28"/>
          <w:szCs w:val="28"/>
        </w:rPr>
        <w:t>Решенията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провеждане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закрито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вземат</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консенсус</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w:t>
      </w:r>
    </w:p>
    <w:p w14:paraId="0E2A6A49"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7.1.4.2 </w:t>
      </w:r>
      <w:proofErr w:type="spellStart"/>
      <w:r w:rsidRPr="00831A5B">
        <w:rPr>
          <w:rFonts w:ascii="Times New Roman" w:hAnsi="Times New Roman" w:cs="Times New Roman"/>
          <w:sz w:val="28"/>
          <w:szCs w:val="28"/>
        </w:rPr>
        <w:t>Освен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друго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закритите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присъстват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само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главните</w:t>
      </w:r>
      <w:proofErr w:type="spellEnd"/>
      <w:r w:rsidRPr="00831A5B">
        <w:rPr>
          <w:rFonts w:ascii="Times New Roman" w:hAnsi="Times New Roman" w:cs="Times New Roman"/>
          <w:sz w:val="28"/>
          <w:szCs w:val="28"/>
        </w:rPr>
        <w:t xml:space="preserve"> и/</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заместник-представителите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всяка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държава-членка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представители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други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участници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председателят</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секретарят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w:t>
      </w:r>
    </w:p>
    <w:p w14:paraId="0C3C25B3"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7.1.5 </w:t>
      </w:r>
      <w:proofErr w:type="spellStart"/>
      <w:r w:rsidRPr="00831A5B">
        <w:rPr>
          <w:rFonts w:ascii="Times New Roman" w:hAnsi="Times New Roman" w:cs="Times New Roman"/>
          <w:sz w:val="28"/>
          <w:szCs w:val="28"/>
        </w:rPr>
        <w:t>Извънредни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заседания</w:t>
      </w:r>
      <w:proofErr w:type="spellEnd"/>
      <w:r w:rsidR="008A6FBB">
        <w:rPr>
          <w:rFonts w:ascii="Times New Roman" w:hAnsi="Times New Roman" w:cs="Times New Roman"/>
          <w:sz w:val="28"/>
          <w:szCs w:val="28"/>
          <w:lang w:val="bg-BG"/>
        </w:rPr>
        <w:t>.</w:t>
      </w:r>
    </w:p>
    <w:p w14:paraId="7A7EF9D3"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7.1.5.1 </w:t>
      </w:r>
      <w:proofErr w:type="spellStart"/>
      <w:r w:rsidRPr="00831A5B">
        <w:rPr>
          <w:rFonts w:ascii="Times New Roman" w:hAnsi="Times New Roman" w:cs="Times New Roman"/>
          <w:sz w:val="28"/>
          <w:szCs w:val="28"/>
        </w:rPr>
        <w:t>Комитетът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може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провежда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извънредни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толкова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често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колкото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необходимо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обсъжда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въпроси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спешен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специален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характер</w:t>
      </w:r>
      <w:proofErr w:type="spellEnd"/>
      <w:r w:rsidRPr="00831A5B">
        <w:rPr>
          <w:rFonts w:ascii="Times New Roman" w:hAnsi="Times New Roman" w:cs="Times New Roman"/>
          <w:sz w:val="28"/>
          <w:szCs w:val="28"/>
        </w:rPr>
        <w:t>.</w:t>
      </w:r>
    </w:p>
    <w:p w14:paraId="7442FD86"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7.1.5.2 </w:t>
      </w:r>
      <w:proofErr w:type="spellStart"/>
      <w:r w:rsidRPr="00831A5B">
        <w:rPr>
          <w:rFonts w:ascii="Times New Roman" w:hAnsi="Times New Roman" w:cs="Times New Roman"/>
          <w:sz w:val="28"/>
          <w:szCs w:val="28"/>
        </w:rPr>
        <w:t>Решението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провеждане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извънредно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обикновено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взема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предишното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Освен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председателят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упълномощен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свиква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извънредни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своя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преценка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искане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която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държава-членка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w:t>
      </w:r>
    </w:p>
    <w:p w14:paraId="4904F0D8"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lastRenderedPageBreak/>
        <w:t xml:space="preserve">7.1.5.3 </w:t>
      </w:r>
      <w:proofErr w:type="spellStart"/>
      <w:r w:rsidRPr="00831A5B">
        <w:rPr>
          <w:rFonts w:ascii="Times New Roman" w:hAnsi="Times New Roman" w:cs="Times New Roman"/>
          <w:sz w:val="28"/>
          <w:szCs w:val="28"/>
        </w:rPr>
        <w:t>Всички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разпоредби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отнасящи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обикновените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прилагат</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извънредните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заседания</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изключение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известието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дневният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който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обикновено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ограничен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няколко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точки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всякаква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подкрепяща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документация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обикновено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изпращани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представителите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другите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участници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две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седмици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заседанието</w:t>
      </w:r>
      <w:proofErr w:type="spellEnd"/>
      <w:r w:rsidRPr="00831A5B">
        <w:rPr>
          <w:rFonts w:ascii="Times New Roman" w:hAnsi="Times New Roman" w:cs="Times New Roman"/>
          <w:sz w:val="28"/>
          <w:szCs w:val="28"/>
        </w:rPr>
        <w:t>.</w:t>
      </w:r>
    </w:p>
    <w:p w14:paraId="5D986F59"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7.2 </w:t>
      </w:r>
      <w:proofErr w:type="spellStart"/>
      <w:r w:rsidRPr="00831A5B">
        <w:rPr>
          <w:rFonts w:ascii="Times New Roman" w:hAnsi="Times New Roman" w:cs="Times New Roman"/>
          <w:sz w:val="28"/>
          <w:szCs w:val="28"/>
        </w:rPr>
        <w:t>Решения</w:t>
      </w:r>
      <w:proofErr w:type="spellEnd"/>
      <w:r w:rsidR="008A6FBB">
        <w:rPr>
          <w:rFonts w:ascii="Times New Roman" w:hAnsi="Times New Roman" w:cs="Times New Roman"/>
          <w:sz w:val="28"/>
          <w:szCs w:val="28"/>
          <w:lang w:val="bg-BG"/>
        </w:rPr>
        <w:t>.</w:t>
      </w:r>
    </w:p>
    <w:p w14:paraId="3BF4A437"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7.2.1 </w:t>
      </w:r>
      <w:proofErr w:type="spellStart"/>
      <w:r w:rsidRPr="00831A5B">
        <w:rPr>
          <w:rFonts w:ascii="Times New Roman" w:hAnsi="Times New Roman" w:cs="Times New Roman"/>
          <w:sz w:val="28"/>
          <w:szCs w:val="28"/>
        </w:rPr>
        <w:t>Всяка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държава-членка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един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глас</w:t>
      </w:r>
      <w:proofErr w:type="spellEnd"/>
      <w:r w:rsidRPr="00831A5B">
        <w:rPr>
          <w:rFonts w:ascii="Times New Roman" w:hAnsi="Times New Roman" w:cs="Times New Roman"/>
          <w:sz w:val="28"/>
          <w:szCs w:val="28"/>
        </w:rPr>
        <w:t>.</w:t>
      </w:r>
    </w:p>
    <w:p w14:paraId="334CA7A0"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7.2.2 </w:t>
      </w:r>
      <w:proofErr w:type="spellStart"/>
      <w:r w:rsidRPr="00831A5B">
        <w:rPr>
          <w:rFonts w:ascii="Times New Roman" w:hAnsi="Times New Roman" w:cs="Times New Roman"/>
          <w:sz w:val="28"/>
          <w:szCs w:val="28"/>
        </w:rPr>
        <w:t>Председателят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няма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глас</w:t>
      </w:r>
      <w:proofErr w:type="spellEnd"/>
      <w:r w:rsidRPr="00831A5B">
        <w:rPr>
          <w:rFonts w:ascii="Times New Roman" w:hAnsi="Times New Roman" w:cs="Times New Roman"/>
          <w:sz w:val="28"/>
          <w:szCs w:val="28"/>
        </w:rPr>
        <w:t>.</w:t>
      </w:r>
    </w:p>
    <w:p w14:paraId="1EC77035"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7.2.3 </w:t>
      </w:r>
      <w:proofErr w:type="spellStart"/>
      <w:r w:rsidRPr="00831A5B">
        <w:rPr>
          <w:rFonts w:ascii="Times New Roman" w:hAnsi="Times New Roman" w:cs="Times New Roman"/>
          <w:sz w:val="28"/>
          <w:szCs w:val="28"/>
        </w:rPr>
        <w:t>Комитетът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взема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консенсус</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параграф</w:t>
      </w:r>
      <w:proofErr w:type="spellEnd"/>
      <w:r w:rsidRPr="00831A5B">
        <w:rPr>
          <w:rFonts w:ascii="Times New Roman" w:hAnsi="Times New Roman" w:cs="Times New Roman"/>
          <w:sz w:val="28"/>
          <w:szCs w:val="28"/>
        </w:rPr>
        <w:t xml:space="preserve"> 3.2.1.5.1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Функционална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2002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Решенията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въпроси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засягат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всички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също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вземат</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консенсус</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съответните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държави-членки</w:t>
      </w:r>
      <w:proofErr w:type="spellEnd"/>
      <w:r w:rsidRPr="00831A5B">
        <w:rPr>
          <w:rFonts w:ascii="Times New Roman" w:hAnsi="Times New Roman" w:cs="Times New Roman"/>
          <w:sz w:val="28"/>
          <w:szCs w:val="28"/>
        </w:rPr>
        <w:t>.</w:t>
      </w:r>
    </w:p>
    <w:p w14:paraId="642854E1"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7.2.4 </w:t>
      </w:r>
      <w:proofErr w:type="spellStart"/>
      <w:r w:rsidRPr="00831A5B">
        <w:rPr>
          <w:rFonts w:ascii="Times New Roman" w:hAnsi="Times New Roman" w:cs="Times New Roman"/>
          <w:sz w:val="28"/>
          <w:szCs w:val="28"/>
        </w:rPr>
        <w:t>Ако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държава-членка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представена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взетите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ѝ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писмено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потвърждение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определена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прекъсване</w:t>
      </w:r>
      <w:proofErr w:type="spellEnd"/>
      <w:r w:rsidRPr="00831A5B">
        <w:rPr>
          <w:rFonts w:ascii="Times New Roman" w:hAnsi="Times New Roman" w:cs="Times New Roman"/>
          <w:sz w:val="28"/>
          <w:szCs w:val="28"/>
        </w:rPr>
        <w:t>.</w:t>
      </w:r>
    </w:p>
    <w:p w14:paraId="7A4D1B58"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7.2.5 В </w:t>
      </w:r>
      <w:proofErr w:type="spellStart"/>
      <w:r w:rsidRPr="00831A5B">
        <w:rPr>
          <w:rFonts w:ascii="Times New Roman" w:hAnsi="Times New Roman" w:cs="Times New Roman"/>
          <w:sz w:val="28"/>
          <w:szCs w:val="28"/>
        </w:rPr>
        <w:t>спешни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случаи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сведе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минимум</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броят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могат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необходими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извън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заседанията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тези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случаи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поискани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процедурата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мълчаливо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гласуване</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записани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лист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действие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края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процедурата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мълчаливо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гласуване</w:t>
      </w:r>
      <w:proofErr w:type="spellEnd"/>
      <w:r w:rsidRPr="00831A5B">
        <w:rPr>
          <w:rFonts w:ascii="Times New Roman" w:hAnsi="Times New Roman" w:cs="Times New Roman"/>
          <w:sz w:val="28"/>
          <w:szCs w:val="28"/>
        </w:rPr>
        <w:t>.</w:t>
      </w:r>
    </w:p>
    <w:p w14:paraId="7B1EF67A"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7.2.6 </w:t>
      </w:r>
      <w:proofErr w:type="spellStart"/>
      <w:r w:rsidRPr="00831A5B">
        <w:rPr>
          <w:rFonts w:ascii="Times New Roman" w:hAnsi="Times New Roman" w:cs="Times New Roman"/>
          <w:sz w:val="28"/>
          <w:szCs w:val="28"/>
        </w:rPr>
        <w:t>Ако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прецени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даден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въпрос</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е в </w:t>
      </w:r>
      <w:proofErr w:type="spellStart"/>
      <w:r w:rsidRPr="00831A5B">
        <w:rPr>
          <w:rFonts w:ascii="Times New Roman" w:hAnsi="Times New Roman" w:cs="Times New Roman"/>
          <w:sz w:val="28"/>
          <w:szCs w:val="28"/>
        </w:rPr>
        <w:t>интерес</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w:t>
      </w:r>
      <w:proofErr w:type="spellEnd"/>
      <w:r w:rsidRPr="00831A5B">
        <w:rPr>
          <w:rFonts w:ascii="Times New Roman" w:hAnsi="Times New Roman" w:cs="Times New Roman"/>
          <w:sz w:val="28"/>
          <w:szCs w:val="28"/>
        </w:rPr>
        <w:t xml:space="preserve">(и) </w:t>
      </w:r>
      <w:proofErr w:type="spellStart"/>
      <w:r w:rsidRPr="00831A5B">
        <w:rPr>
          <w:rFonts w:ascii="Times New Roman" w:hAnsi="Times New Roman" w:cs="Times New Roman"/>
          <w:sz w:val="28"/>
          <w:szCs w:val="28"/>
        </w:rPr>
        <w:t>членка</w:t>
      </w:r>
      <w:proofErr w:type="spellEnd"/>
      <w:r w:rsidRPr="00831A5B">
        <w:rPr>
          <w:rFonts w:ascii="Times New Roman" w:hAnsi="Times New Roman" w:cs="Times New Roman"/>
          <w:sz w:val="28"/>
          <w:szCs w:val="28"/>
        </w:rPr>
        <w:t xml:space="preserve">(и)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може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ниво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държавата</w:t>
      </w:r>
      <w:proofErr w:type="spellEnd"/>
      <w:r w:rsidRPr="00831A5B">
        <w:rPr>
          <w:rFonts w:ascii="Times New Roman" w:hAnsi="Times New Roman" w:cs="Times New Roman"/>
          <w:sz w:val="28"/>
          <w:szCs w:val="28"/>
        </w:rPr>
        <w:t>(</w:t>
      </w:r>
      <w:proofErr w:type="spellStart"/>
      <w:r w:rsidRPr="00831A5B">
        <w:rPr>
          <w:rFonts w:ascii="Times New Roman" w:hAnsi="Times New Roman" w:cs="Times New Roman"/>
          <w:sz w:val="28"/>
          <w:szCs w:val="28"/>
        </w:rPr>
        <w:t>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членка</w:t>
      </w:r>
      <w:proofErr w:type="spellEnd"/>
      <w:r w:rsidRPr="00831A5B">
        <w:rPr>
          <w:rFonts w:ascii="Times New Roman" w:hAnsi="Times New Roman" w:cs="Times New Roman"/>
          <w:sz w:val="28"/>
          <w:szCs w:val="28"/>
        </w:rPr>
        <w:t xml:space="preserve">(и)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може</w:t>
      </w:r>
      <w:proofErr w:type="spellEnd"/>
      <w:r w:rsidRPr="00831A5B">
        <w:rPr>
          <w:rFonts w:ascii="Times New Roman" w:hAnsi="Times New Roman" w:cs="Times New Roman"/>
          <w:sz w:val="28"/>
          <w:szCs w:val="28"/>
        </w:rPr>
        <w:t xml:space="preserve">(т)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представи</w:t>
      </w:r>
      <w:proofErr w:type="spellEnd"/>
      <w:r w:rsidRPr="00831A5B">
        <w:rPr>
          <w:rFonts w:ascii="Times New Roman" w:hAnsi="Times New Roman" w:cs="Times New Roman"/>
          <w:sz w:val="28"/>
          <w:szCs w:val="28"/>
        </w:rPr>
        <w:t xml:space="preserve">(т) </w:t>
      </w:r>
      <w:proofErr w:type="spellStart"/>
      <w:r w:rsidRPr="00831A5B">
        <w:rPr>
          <w:rFonts w:ascii="Times New Roman" w:hAnsi="Times New Roman" w:cs="Times New Roman"/>
          <w:sz w:val="28"/>
          <w:szCs w:val="28"/>
        </w:rPr>
        <w:t>въпроса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w:t>
      </w:r>
      <w:proofErr w:type="spellEnd"/>
      <w:r w:rsidRPr="00831A5B">
        <w:rPr>
          <w:rFonts w:ascii="Times New Roman" w:hAnsi="Times New Roman" w:cs="Times New Roman"/>
          <w:sz w:val="28"/>
          <w:szCs w:val="28"/>
        </w:rPr>
        <w:t xml:space="preserve"> NSPO ASB,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съответния</w:t>
      </w:r>
      <w:proofErr w:type="spellEnd"/>
      <w:r w:rsidRPr="00831A5B">
        <w:rPr>
          <w:rFonts w:ascii="Times New Roman" w:hAnsi="Times New Roman" w:cs="Times New Roman"/>
          <w:sz w:val="28"/>
          <w:szCs w:val="28"/>
        </w:rPr>
        <w:t>(</w:t>
      </w:r>
      <w:proofErr w:type="spellStart"/>
      <w:r w:rsidRPr="00831A5B">
        <w:rPr>
          <w:rFonts w:ascii="Times New Roman" w:hAnsi="Times New Roman" w:cs="Times New Roman"/>
          <w:sz w:val="28"/>
          <w:szCs w:val="28"/>
        </w:rPr>
        <w:t>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представител</w:t>
      </w:r>
      <w:proofErr w:type="spellEnd"/>
      <w:r w:rsidRPr="00831A5B">
        <w:rPr>
          <w:rFonts w:ascii="Times New Roman" w:hAnsi="Times New Roman" w:cs="Times New Roman"/>
          <w:sz w:val="28"/>
          <w:szCs w:val="28"/>
        </w:rPr>
        <w:t xml:space="preserve">(и)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ASB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разрешаване</w:t>
      </w:r>
      <w:proofErr w:type="spellEnd"/>
      <w:r w:rsidRPr="00831A5B">
        <w:rPr>
          <w:rFonts w:ascii="Times New Roman" w:hAnsi="Times New Roman" w:cs="Times New Roman"/>
          <w:sz w:val="28"/>
          <w:szCs w:val="28"/>
        </w:rPr>
        <w:t>.</w:t>
      </w:r>
    </w:p>
    <w:p w14:paraId="6DE29BBB"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7.3 </w:t>
      </w:r>
      <w:proofErr w:type="spellStart"/>
      <w:r w:rsidRPr="00831A5B">
        <w:rPr>
          <w:rFonts w:ascii="Times New Roman" w:hAnsi="Times New Roman" w:cs="Times New Roman"/>
          <w:sz w:val="28"/>
          <w:szCs w:val="28"/>
        </w:rPr>
        <w:t>Формуляри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решения</w:t>
      </w:r>
      <w:proofErr w:type="spellEnd"/>
    </w:p>
    <w:p w14:paraId="297D470D"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7.3.1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приключване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обсъждането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всяка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точка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дневния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председателят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когато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приложимо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обобщи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устно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взетото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решение</w:t>
      </w:r>
      <w:proofErr w:type="spellEnd"/>
      <w:r w:rsidRPr="00831A5B">
        <w:rPr>
          <w:rFonts w:ascii="Times New Roman" w:hAnsi="Times New Roman" w:cs="Times New Roman"/>
          <w:sz w:val="28"/>
          <w:szCs w:val="28"/>
        </w:rPr>
        <w:t>.</w:t>
      </w:r>
    </w:p>
    <w:p w14:paraId="461B89C6"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7.3.2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позволи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незабавно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прилагане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риск</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недоразумения</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избегнат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последващи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противоречия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секретарят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изготви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обобщен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списък</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решения</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точки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действие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произтичащи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края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процедура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мълчаливо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заседанието</w:t>
      </w:r>
      <w:proofErr w:type="spellEnd"/>
      <w:r w:rsidRPr="00831A5B">
        <w:rPr>
          <w:rFonts w:ascii="Times New Roman" w:hAnsi="Times New Roman" w:cs="Times New Roman"/>
          <w:sz w:val="28"/>
          <w:szCs w:val="28"/>
        </w:rPr>
        <w:t>.</w:t>
      </w:r>
    </w:p>
    <w:p w14:paraId="298158C8"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7.3.3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обобщения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списък</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решения</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точки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действие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секретарят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публикува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Формуляр</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отрази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по-широките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дискусии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проведени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време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включително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устни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писмени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изявления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присъстващите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заседанието</w:t>
      </w:r>
      <w:proofErr w:type="spellEnd"/>
      <w:r w:rsidRPr="00831A5B">
        <w:rPr>
          <w:rFonts w:ascii="Times New Roman" w:hAnsi="Times New Roman" w:cs="Times New Roman"/>
          <w:sz w:val="28"/>
          <w:szCs w:val="28"/>
        </w:rPr>
        <w:t>.</w:t>
      </w:r>
    </w:p>
    <w:p w14:paraId="6237C10D"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7.3.4 </w:t>
      </w:r>
      <w:proofErr w:type="spellStart"/>
      <w:r w:rsidRPr="00831A5B">
        <w:rPr>
          <w:rFonts w:ascii="Times New Roman" w:hAnsi="Times New Roman" w:cs="Times New Roman"/>
          <w:sz w:val="28"/>
          <w:szCs w:val="28"/>
        </w:rPr>
        <w:t>Точките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действие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изброени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препратка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отделно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приложение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приложено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към</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Формуляра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решения</w:t>
      </w:r>
      <w:proofErr w:type="spellEnd"/>
      <w:r w:rsidRPr="00831A5B">
        <w:rPr>
          <w:rFonts w:ascii="Times New Roman" w:hAnsi="Times New Roman" w:cs="Times New Roman"/>
          <w:sz w:val="28"/>
          <w:szCs w:val="28"/>
        </w:rPr>
        <w:t>.</w:t>
      </w:r>
    </w:p>
    <w:p w14:paraId="0FF60C1B"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lastRenderedPageBreak/>
        <w:t xml:space="preserve">7.3.5 </w:t>
      </w:r>
      <w:proofErr w:type="spellStart"/>
      <w:r w:rsidRPr="00831A5B">
        <w:rPr>
          <w:rFonts w:ascii="Times New Roman" w:hAnsi="Times New Roman" w:cs="Times New Roman"/>
          <w:sz w:val="28"/>
          <w:szCs w:val="28"/>
        </w:rPr>
        <w:t>Формулярът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процедура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мълчаливо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съгласие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публикуването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най-късно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време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следващото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заседание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w:t>
      </w:r>
    </w:p>
    <w:p w14:paraId="6D3B2F5D"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7.4 </w:t>
      </w:r>
      <w:proofErr w:type="spellStart"/>
      <w:r w:rsidRPr="00831A5B">
        <w:rPr>
          <w:rFonts w:ascii="Times New Roman" w:hAnsi="Times New Roman" w:cs="Times New Roman"/>
          <w:sz w:val="28"/>
          <w:szCs w:val="28"/>
        </w:rPr>
        <w:t>Секретариат</w:t>
      </w:r>
      <w:proofErr w:type="spellEnd"/>
      <w:r w:rsidR="008A6FBB">
        <w:rPr>
          <w:rFonts w:ascii="Times New Roman" w:hAnsi="Times New Roman" w:cs="Times New Roman"/>
          <w:sz w:val="28"/>
          <w:szCs w:val="28"/>
          <w:lang w:val="bg-BG"/>
        </w:rPr>
        <w:t>.</w:t>
      </w:r>
    </w:p>
    <w:p w14:paraId="1294EE89"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7.4.1 </w:t>
      </w:r>
      <w:proofErr w:type="spellStart"/>
      <w:r w:rsidRPr="00831A5B">
        <w:rPr>
          <w:rFonts w:ascii="Times New Roman" w:hAnsi="Times New Roman" w:cs="Times New Roman"/>
          <w:sz w:val="28"/>
          <w:szCs w:val="28"/>
        </w:rPr>
        <w:t>Дейностите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Секретариата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поверени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Програмния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офис</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определен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w:t>
      </w:r>
    </w:p>
    <w:p w14:paraId="768FB909"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7.4.2 </w:t>
      </w:r>
      <w:proofErr w:type="spellStart"/>
      <w:r w:rsidRPr="00831A5B">
        <w:rPr>
          <w:rFonts w:ascii="Times New Roman" w:hAnsi="Times New Roman" w:cs="Times New Roman"/>
          <w:sz w:val="28"/>
          <w:szCs w:val="28"/>
        </w:rPr>
        <w:t>Надлежно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назначеният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Секретар</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Партньорския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w:t>
      </w:r>
    </w:p>
    <w:p w14:paraId="02BA821D"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7.4.2.1 </w:t>
      </w:r>
      <w:r w:rsidRPr="008A6FBB">
        <w:rPr>
          <w:rFonts w:ascii="Times New Roman" w:hAnsi="Times New Roman" w:cs="Times New Roman"/>
          <w:sz w:val="28"/>
          <w:szCs w:val="28"/>
          <w:lang w:val="bg-BG"/>
        </w:rPr>
        <w:t>подкрепя Партньорския комитет и неговите подчинени органи, ще проследява изпълнението на задачи и ще подпомага председателя на Партньорския комитет;</w:t>
      </w:r>
    </w:p>
    <w:p w14:paraId="481E3F1E"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7.4.2.2 ще координира действията по управление между държавите членки на Партньорството и Програмния офис на NSPA;</w:t>
      </w:r>
    </w:p>
    <w:p w14:paraId="4B683EA9"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7.4.2.3 ще отговаря за прилагането на рамките, структурите и процесите на управление на NSPO и ще следва приложимите насоки, определени от офиса на председателя и секретариата на NSPO;</w:t>
      </w:r>
    </w:p>
    <w:p w14:paraId="7938C54A"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7.4.2.4 ще защитава записите и документите за политиката на Партньорския комитет;</w:t>
      </w:r>
    </w:p>
    <w:p w14:paraId="11F5974E"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7.4.2.5 ще проверява, от името на председателя на Партньорския комитет, условията и изискванията на процеса на вземане на решения;</w:t>
      </w:r>
    </w:p>
    <w:p w14:paraId="15BA42B6"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7.4.2.6 ще търси насоки от офиса на председателя и секретариата на NSPO относно въпроси, свързани с управлението, които могат да възникнат в рамките на Партньорството и не са обхванати от съществуващите политики, регламенти или директиви;</w:t>
      </w:r>
    </w:p>
    <w:p w14:paraId="259DFC83"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7.4.2.7 съобщава имената на главния представител и/или алтернативния(</w:t>
      </w:r>
      <w:proofErr w:type="spellStart"/>
      <w:r w:rsidRPr="008A6FBB">
        <w:rPr>
          <w:rFonts w:ascii="Times New Roman" w:hAnsi="Times New Roman" w:cs="Times New Roman"/>
          <w:sz w:val="28"/>
          <w:szCs w:val="28"/>
          <w:lang w:val="bg-BG"/>
        </w:rPr>
        <w:t>ите</w:t>
      </w:r>
      <w:proofErr w:type="spellEnd"/>
      <w:r w:rsidRPr="008A6FBB">
        <w:rPr>
          <w:rFonts w:ascii="Times New Roman" w:hAnsi="Times New Roman" w:cs="Times New Roman"/>
          <w:sz w:val="28"/>
          <w:szCs w:val="28"/>
          <w:lang w:val="bg-BG"/>
        </w:rPr>
        <w:t>) представител(и) на държавите-членки на Комитета по партньорство на председателя на NSPO ASB чрез офиса и секретариата на председателя на NSPO.</w:t>
      </w:r>
    </w:p>
    <w:p w14:paraId="38ECF080" w14:textId="77777777" w:rsidR="00532BFF" w:rsidRPr="00831A5B" w:rsidRDefault="00532BFF" w:rsidP="00722BC7">
      <w:pPr>
        <w:spacing w:after="0"/>
        <w:ind w:firstLine="720"/>
        <w:jc w:val="both"/>
        <w:rPr>
          <w:rFonts w:ascii="Times New Roman" w:hAnsi="Times New Roman" w:cs="Times New Roman"/>
          <w:sz w:val="28"/>
          <w:szCs w:val="28"/>
        </w:rPr>
      </w:pPr>
      <w:r w:rsidRPr="008A6FBB">
        <w:rPr>
          <w:rFonts w:ascii="Times New Roman" w:hAnsi="Times New Roman" w:cs="Times New Roman"/>
          <w:sz w:val="28"/>
          <w:szCs w:val="28"/>
          <w:lang w:val="bg-BG"/>
        </w:rPr>
        <w:t>8 ПРАВОМОЩИ</w:t>
      </w:r>
      <w:r w:rsidRPr="00831A5B">
        <w:rPr>
          <w:rFonts w:ascii="Times New Roman" w:hAnsi="Times New Roman" w:cs="Times New Roman"/>
          <w:sz w:val="28"/>
          <w:szCs w:val="28"/>
        </w:rPr>
        <w:t>Я И ОТГОВОРНОСТ</w:t>
      </w:r>
    </w:p>
    <w:p w14:paraId="74D34034"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8.1 </w:t>
      </w:r>
      <w:proofErr w:type="spellStart"/>
      <w:r w:rsidRPr="00831A5B">
        <w:rPr>
          <w:rFonts w:ascii="Times New Roman" w:hAnsi="Times New Roman" w:cs="Times New Roman"/>
          <w:sz w:val="28"/>
          <w:szCs w:val="28"/>
        </w:rPr>
        <w:t>Партньорство</w:t>
      </w:r>
      <w:proofErr w:type="spellEnd"/>
      <w:r w:rsidR="008A6FBB">
        <w:rPr>
          <w:rFonts w:ascii="Times New Roman" w:hAnsi="Times New Roman" w:cs="Times New Roman"/>
          <w:sz w:val="28"/>
          <w:szCs w:val="28"/>
          <w:lang w:val="bg-BG"/>
        </w:rPr>
        <w:t>.</w:t>
      </w:r>
    </w:p>
    <w:p w14:paraId="675305B2" w14:textId="77777777" w:rsidR="00532BFF" w:rsidRPr="00831A5B" w:rsidRDefault="00532BFF" w:rsidP="00722BC7">
      <w:pPr>
        <w:spacing w:after="0"/>
        <w:ind w:firstLine="720"/>
        <w:jc w:val="both"/>
        <w:rPr>
          <w:rFonts w:ascii="Times New Roman" w:hAnsi="Times New Roman" w:cs="Times New Roman"/>
          <w:sz w:val="28"/>
          <w:szCs w:val="28"/>
        </w:rPr>
      </w:pPr>
      <w:proofErr w:type="spellStart"/>
      <w:r w:rsidRPr="00831A5B">
        <w:rPr>
          <w:rFonts w:ascii="Times New Roman" w:hAnsi="Times New Roman" w:cs="Times New Roman"/>
          <w:sz w:val="28"/>
          <w:szCs w:val="28"/>
        </w:rPr>
        <w:t>Държавите-членки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w:t>
      </w:r>
    </w:p>
    <w:p w14:paraId="770E72C6"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8.1</w:t>
      </w:r>
      <w:r w:rsidRPr="008A6FBB">
        <w:rPr>
          <w:rFonts w:ascii="Times New Roman" w:hAnsi="Times New Roman" w:cs="Times New Roman"/>
          <w:sz w:val="28"/>
          <w:szCs w:val="28"/>
          <w:lang w:val="bg-BG"/>
        </w:rPr>
        <w:t>.1 определят мисията и визията на Партньорството в съответствие с параграф 1, както и всички специфични цели и задачи, които трябва да бъдат изпълнени;</w:t>
      </w:r>
    </w:p>
    <w:p w14:paraId="00561277"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8.1.2 преглеждат непрекъснато резултатите, постигнати от NSPA при изпълнение на неговата мисия, и гарантират, че Програмната директива № 3809 на NSPO се актуализира;</w:t>
      </w:r>
    </w:p>
    <w:p w14:paraId="010F0E84"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8.1.3 сключва специални финансови споразумения, уточняващи методите за финансиране, управление, продажба и разпореждане с активите на Партньорството, в съответствие с член 43(d) от Устава на NSPO;</w:t>
      </w:r>
    </w:p>
    <w:p w14:paraId="39AC82AC"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8.1.4 предоставя на NSPA своите прогнози за работното натоварване редовно и своевременно;</w:t>
      </w:r>
    </w:p>
    <w:p w14:paraId="2A1DC27C" w14:textId="77777777" w:rsidR="00532BFF" w:rsidRPr="008A6FBB" w:rsidRDefault="00532BFF"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lastRenderedPageBreak/>
        <w:t>8.1.5 одобрява условията, при които организации, които не са идентифицирани като участници в Партньорството, включително пробните нации, се възползват от дейностите по Партньорството;</w:t>
      </w:r>
    </w:p>
    <w:p w14:paraId="52BADE78" w14:textId="77777777" w:rsidR="00532BFF" w:rsidRPr="00831A5B" w:rsidRDefault="00532BFF" w:rsidP="00722BC7">
      <w:pPr>
        <w:spacing w:after="0"/>
        <w:ind w:firstLine="720"/>
        <w:jc w:val="both"/>
        <w:rPr>
          <w:rFonts w:ascii="Times New Roman" w:hAnsi="Times New Roman" w:cs="Times New Roman"/>
          <w:sz w:val="28"/>
          <w:szCs w:val="28"/>
        </w:rPr>
      </w:pPr>
      <w:r w:rsidRPr="008A6FBB">
        <w:rPr>
          <w:rFonts w:ascii="Times New Roman" w:hAnsi="Times New Roman" w:cs="Times New Roman"/>
          <w:sz w:val="28"/>
          <w:szCs w:val="28"/>
          <w:lang w:val="bg-BG"/>
        </w:rPr>
        <w:t>8.1.6 одобрява, за одобрение</w:t>
      </w: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NSPO ASB, </w:t>
      </w:r>
      <w:proofErr w:type="spellStart"/>
      <w:r w:rsidRPr="00831A5B">
        <w:rPr>
          <w:rFonts w:ascii="Times New Roman" w:hAnsi="Times New Roman" w:cs="Times New Roman"/>
          <w:sz w:val="28"/>
          <w:szCs w:val="28"/>
        </w:rPr>
        <w:t>предложенията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организация</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персонал</w:t>
      </w:r>
      <w:proofErr w:type="spellEnd"/>
      <w:r w:rsidRPr="00831A5B">
        <w:rPr>
          <w:rFonts w:ascii="Times New Roman" w:hAnsi="Times New Roman" w:cs="Times New Roman"/>
          <w:sz w:val="28"/>
          <w:szCs w:val="28"/>
        </w:rPr>
        <w:t xml:space="preserve"> (O&amp;PE)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програмния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офис</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определен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w:t>
      </w:r>
      <w:proofErr w:type="spellEnd"/>
      <w:r w:rsidRPr="00831A5B">
        <w:rPr>
          <w:rFonts w:ascii="Times New Roman" w:hAnsi="Times New Roman" w:cs="Times New Roman"/>
          <w:sz w:val="28"/>
          <w:szCs w:val="28"/>
        </w:rPr>
        <w:t xml:space="preserve"> 1 </w:t>
      </w:r>
      <w:proofErr w:type="spellStart"/>
      <w:r w:rsidRPr="00831A5B">
        <w:rPr>
          <w:rFonts w:ascii="Times New Roman" w:hAnsi="Times New Roman" w:cs="Times New Roman"/>
          <w:sz w:val="28"/>
          <w:szCs w:val="28"/>
        </w:rPr>
        <w:t>декември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всяка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година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увери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поисканата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работна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съответства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прогнозираното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работно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натоварване</w:t>
      </w:r>
      <w:proofErr w:type="spellEnd"/>
      <w:r w:rsidRPr="00831A5B">
        <w:rPr>
          <w:rFonts w:ascii="Times New Roman" w:hAnsi="Times New Roman" w:cs="Times New Roman"/>
          <w:sz w:val="28"/>
          <w:szCs w:val="28"/>
        </w:rPr>
        <w:t>;</w:t>
      </w:r>
    </w:p>
    <w:p w14:paraId="65F5901C"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8.1.7 </w:t>
      </w:r>
      <w:proofErr w:type="spellStart"/>
      <w:r w:rsidR="00722BC7" w:rsidRPr="00831A5B">
        <w:rPr>
          <w:rFonts w:ascii="Times New Roman" w:hAnsi="Times New Roman" w:cs="Times New Roman"/>
          <w:sz w:val="28"/>
          <w:szCs w:val="28"/>
        </w:rPr>
        <w:t>По</w:t>
      </w:r>
      <w:proofErr w:type="spellEnd"/>
      <w:r w:rsidR="00722BC7"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отношение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финансовите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въпроси</w:t>
      </w:r>
      <w:proofErr w:type="spellEnd"/>
      <w:r w:rsidRPr="00831A5B">
        <w:rPr>
          <w:rFonts w:ascii="Times New Roman" w:hAnsi="Times New Roman" w:cs="Times New Roman"/>
          <w:sz w:val="28"/>
          <w:szCs w:val="28"/>
        </w:rPr>
        <w:t>:</w:t>
      </w:r>
    </w:p>
    <w:p w14:paraId="18A67F4E"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8.1.7.1 </w:t>
      </w:r>
      <w:proofErr w:type="spellStart"/>
      <w:r w:rsidRPr="00831A5B">
        <w:rPr>
          <w:rFonts w:ascii="Times New Roman" w:hAnsi="Times New Roman" w:cs="Times New Roman"/>
          <w:sz w:val="28"/>
          <w:szCs w:val="28"/>
        </w:rPr>
        <w:t>одобрява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годишните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оценки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административните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разбити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представени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консолидирани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обобщение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приел</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преките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оценки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работната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преките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оценки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проекта</w:t>
      </w:r>
      <w:proofErr w:type="spellEnd"/>
      <w:r w:rsidRPr="00831A5B">
        <w:rPr>
          <w:rFonts w:ascii="Times New Roman" w:hAnsi="Times New Roman" w:cs="Times New Roman"/>
          <w:sz w:val="28"/>
          <w:szCs w:val="28"/>
        </w:rPr>
        <w:t xml:space="preserve"> и е </w:t>
      </w:r>
      <w:proofErr w:type="spellStart"/>
      <w:r w:rsidRPr="00831A5B">
        <w:rPr>
          <w:rFonts w:ascii="Times New Roman" w:hAnsi="Times New Roman" w:cs="Times New Roman"/>
          <w:sz w:val="28"/>
          <w:szCs w:val="28"/>
        </w:rPr>
        <w:t>отбелязал</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оценките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косвените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w:t>
      </w:r>
      <w:proofErr w:type="spellEnd"/>
      <w:r w:rsidRPr="00831A5B">
        <w:rPr>
          <w:rFonts w:ascii="Times New Roman" w:hAnsi="Times New Roman" w:cs="Times New Roman"/>
          <w:sz w:val="28"/>
          <w:szCs w:val="28"/>
        </w:rPr>
        <w:t xml:space="preserve"> 1 </w:t>
      </w:r>
      <w:proofErr w:type="spellStart"/>
      <w:r w:rsidRPr="00831A5B">
        <w:rPr>
          <w:rFonts w:ascii="Times New Roman" w:hAnsi="Times New Roman" w:cs="Times New Roman"/>
          <w:sz w:val="28"/>
          <w:szCs w:val="28"/>
        </w:rPr>
        <w:t>декември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всяка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година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Правило</w:t>
      </w:r>
      <w:proofErr w:type="spellEnd"/>
      <w:r w:rsidRPr="00831A5B">
        <w:rPr>
          <w:rFonts w:ascii="Times New Roman" w:hAnsi="Times New Roman" w:cs="Times New Roman"/>
          <w:sz w:val="28"/>
          <w:szCs w:val="28"/>
        </w:rPr>
        <w:t xml:space="preserve"> 21.3 и </w:t>
      </w:r>
      <w:proofErr w:type="spellStart"/>
      <w:r w:rsidRPr="00831A5B">
        <w:rPr>
          <w:rFonts w:ascii="Times New Roman" w:hAnsi="Times New Roman" w:cs="Times New Roman"/>
          <w:sz w:val="28"/>
          <w:szCs w:val="28"/>
        </w:rPr>
        <w:t>Процедура</w:t>
      </w:r>
      <w:proofErr w:type="spellEnd"/>
      <w:r w:rsidRPr="00831A5B">
        <w:rPr>
          <w:rFonts w:ascii="Times New Roman" w:hAnsi="Times New Roman" w:cs="Times New Roman"/>
          <w:sz w:val="28"/>
          <w:szCs w:val="28"/>
        </w:rPr>
        <w:t xml:space="preserve"> XXI (2)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Функционална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2300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466E93D9" w14:textId="77777777" w:rsidR="00532BFF" w:rsidRPr="00831A5B" w:rsidRDefault="00532BFF"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8.1.7.2 </w:t>
      </w:r>
      <w:proofErr w:type="spellStart"/>
      <w:r w:rsidRPr="00831A5B">
        <w:rPr>
          <w:rFonts w:ascii="Times New Roman" w:hAnsi="Times New Roman" w:cs="Times New Roman"/>
          <w:sz w:val="28"/>
          <w:szCs w:val="28"/>
        </w:rPr>
        <w:t>одобрява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годишните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оценки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оперативния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бюджет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разбити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представени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консолидирани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обобщение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w:t>
      </w:r>
      <w:proofErr w:type="spellEnd"/>
      <w:r w:rsidRPr="00831A5B">
        <w:rPr>
          <w:rFonts w:ascii="Times New Roman" w:hAnsi="Times New Roman" w:cs="Times New Roman"/>
          <w:sz w:val="28"/>
          <w:szCs w:val="28"/>
        </w:rPr>
        <w:t xml:space="preserve"> 1 </w:t>
      </w:r>
      <w:proofErr w:type="spellStart"/>
      <w:r w:rsidRPr="00831A5B">
        <w:rPr>
          <w:rFonts w:ascii="Times New Roman" w:hAnsi="Times New Roman" w:cs="Times New Roman"/>
          <w:sz w:val="28"/>
          <w:szCs w:val="28"/>
        </w:rPr>
        <w:t>декември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всяка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година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Правило</w:t>
      </w:r>
      <w:proofErr w:type="spellEnd"/>
      <w:r w:rsidRPr="00831A5B">
        <w:rPr>
          <w:rFonts w:ascii="Times New Roman" w:hAnsi="Times New Roman" w:cs="Times New Roman"/>
          <w:sz w:val="28"/>
          <w:szCs w:val="28"/>
        </w:rPr>
        <w:t xml:space="preserve"> 21.4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Функционална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2300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1B2AD4BC" w14:textId="77777777" w:rsidR="00D973F0" w:rsidRPr="008A6FBB" w:rsidRDefault="00532BFF"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8.1.7.3 </w:t>
      </w:r>
      <w:proofErr w:type="spellStart"/>
      <w:r w:rsidRPr="00831A5B">
        <w:rPr>
          <w:rFonts w:ascii="Times New Roman" w:hAnsi="Times New Roman" w:cs="Times New Roman"/>
          <w:sz w:val="28"/>
          <w:szCs w:val="28"/>
        </w:rPr>
        <w:t>одобрява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формули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поделяне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трите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отделни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проекта</w:t>
      </w:r>
      <w:proofErr w:type="spellEnd"/>
      <w:r w:rsidRPr="00831A5B">
        <w:rPr>
          <w:rFonts w:ascii="Times New Roman" w:hAnsi="Times New Roman" w:cs="Times New Roman"/>
          <w:sz w:val="28"/>
          <w:szCs w:val="28"/>
        </w:rPr>
        <w:t xml:space="preserve"> (3599, 3124 и 3132), </w:t>
      </w:r>
      <w:proofErr w:type="spellStart"/>
      <w:r w:rsidRPr="00831A5B">
        <w:rPr>
          <w:rFonts w:ascii="Times New Roman" w:hAnsi="Times New Roman" w:cs="Times New Roman"/>
          <w:sz w:val="28"/>
          <w:szCs w:val="28"/>
        </w:rPr>
        <w:t>първоначално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създаването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считано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1 </w:t>
      </w:r>
      <w:proofErr w:type="spellStart"/>
      <w:r w:rsidRPr="00831A5B">
        <w:rPr>
          <w:rFonts w:ascii="Times New Roman" w:hAnsi="Times New Roman" w:cs="Times New Roman"/>
          <w:sz w:val="28"/>
          <w:szCs w:val="28"/>
        </w:rPr>
        <w:t>януари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всяка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дадена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година</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цел</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поделяне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между</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r w:rsidRPr="008A6FBB">
        <w:rPr>
          <w:rFonts w:ascii="Times New Roman" w:hAnsi="Times New Roman" w:cs="Times New Roman"/>
          <w:sz w:val="28"/>
          <w:szCs w:val="28"/>
          <w:lang w:val="bg-BG"/>
        </w:rPr>
        <w:t>административните разходи и общите оперативни разходи, свързани с подкрепата на съответната дейност. При липса на споразумение по предложените промени във формулата(</w:t>
      </w:r>
      <w:proofErr w:type="spellStart"/>
      <w:r w:rsidRPr="008A6FBB">
        <w:rPr>
          <w:rFonts w:ascii="Times New Roman" w:hAnsi="Times New Roman" w:cs="Times New Roman"/>
          <w:sz w:val="28"/>
          <w:szCs w:val="28"/>
          <w:lang w:val="bg-BG"/>
        </w:rPr>
        <w:t>ите</w:t>
      </w:r>
      <w:proofErr w:type="spellEnd"/>
      <w:r w:rsidRPr="008A6FBB">
        <w:rPr>
          <w:rFonts w:ascii="Times New Roman" w:hAnsi="Times New Roman" w:cs="Times New Roman"/>
          <w:sz w:val="28"/>
          <w:szCs w:val="28"/>
          <w:lang w:val="bg-BG"/>
        </w:rPr>
        <w:t>) за поделяне на разходите, държавите членки на Партньорството ще продължат да бъдат обвързани от последната(</w:t>
      </w:r>
      <w:proofErr w:type="spellStart"/>
      <w:r w:rsidRPr="008A6FBB">
        <w:rPr>
          <w:rFonts w:ascii="Times New Roman" w:hAnsi="Times New Roman" w:cs="Times New Roman"/>
          <w:sz w:val="28"/>
          <w:szCs w:val="28"/>
          <w:lang w:val="bg-BG"/>
        </w:rPr>
        <w:t>ите</w:t>
      </w:r>
      <w:proofErr w:type="spellEnd"/>
      <w:r w:rsidRPr="008A6FBB">
        <w:rPr>
          <w:rFonts w:ascii="Times New Roman" w:hAnsi="Times New Roman" w:cs="Times New Roman"/>
          <w:sz w:val="28"/>
          <w:szCs w:val="28"/>
          <w:lang w:val="bg-BG"/>
        </w:rPr>
        <w:t>) одобрена(и) такава(и);</w:t>
      </w:r>
    </w:p>
    <w:p w14:paraId="552FEF29"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8.1.7.4 </w:t>
      </w:r>
      <w:proofErr w:type="spellStart"/>
      <w:r w:rsidRPr="00831A5B">
        <w:rPr>
          <w:rFonts w:ascii="Times New Roman" w:hAnsi="Times New Roman" w:cs="Times New Roman"/>
          <w:sz w:val="28"/>
          <w:szCs w:val="28"/>
        </w:rPr>
        <w:t>поема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съответния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дял</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договорените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административни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оперативни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направени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предоставена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NSPA, и </w:t>
      </w:r>
      <w:proofErr w:type="spellStart"/>
      <w:r w:rsidRPr="00831A5B">
        <w:rPr>
          <w:rFonts w:ascii="Times New Roman" w:hAnsi="Times New Roman" w:cs="Times New Roman"/>
          <w:sz w:val="28"/>
          <w:szCs w:val="28"/>
        </w:rPr>
        <w:t>извършва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плащания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покриване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дял</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навреме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може</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извършва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плащания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когато</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необходимо</w:t>
      </w:r>
      <w:proofErr w:type="spellEnd"/>
      <w:r w:rsidRPr="00831A5B">
        <w:rPr>
          <w:rFonts w:ascii="Times New Roman" w:hAnsi="Times New Roman" w:cs="Times New Roman"/>
          <w:sz w:val="28"/>
          <w:szCs w:val="28"/>
        </w:rPr>
        <w:t>;</w:t>
      </w:r>
    </w:p>
    <w:p w14:paraId="2AF6E0F2"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8.1.8 </w:t>
      </w:r>
      <w:proofErr w:type="spellStart"/>
      <w:r w:rsidRPr="00831A5B">
        <w:rPr>
          <w:rFonts w:ascii="Times New Roman" w:hAnsi="Times New Roman" w:cs="Times New Roman"/>
          <w:sz w:val="28"/>
          <w:szCs w:val="28"/>
        </w:rPr>
        <w:t>носи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всички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присъщи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свързани</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транзакциите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извърши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включително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всички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свързани</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рискове</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правни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задължения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поети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във</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връзка</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тези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транзакции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Правило</w:t>
      </w:r>
      <w:proofErr w:type="spellEnd"/>
      <w:r w:rsidRPr="00831A5B">
        <w:rPr>
          <w:rFonts w:ascii="Times New Roman" w:hAnsi="Times New Roman" w:cs="Times New Roman"/>
          <w:sz w:val="28"/>
          <w:szCs w:val="28"/>
        </w:rPr>
        <w:t xml:space="preserve"> 3.5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Функционална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2300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5C2070B7" w14:textId="77777777" w:rsidR="00532BFF"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8.1.9 </w:t>
      </w:r>
      <w:proofErr w:type="spellStart"/>
      <w:r w:rsidRPr="00831A5B">
        <w:rPr>
          <w:rFonts w:ascii="Times New Roman" w:hAnsi="Times New Roman" w:cs="Times New Roman"/>
          <w:sz w:val="28"/>
          <w:szCs w:val="28"/>
        </w:rPr>
        <w:t>представя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ASB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всяко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принципно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обща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политика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всяко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включващо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отклонение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регламент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функционална</w:t>
      </w:r>
      <w:proofErr w:type="spellEnd"/>
      <w:r w:rsidRPr="00831A5B">
        <w:rPr>
          <w:rFonts w:ascii="Times New Roman" w:hAnsi="Times New Roman" w:cs="Times New Roman"/>
          <w:sz w:val="28"/>
          <w:szCs w:val="28"/>
        </w:rPr>
        <w:t>/</w:t>
      </w:r>
      <w:proofErr w:type="spellStart"/>
      <w:r w:rsidRPr="00831A5B">
        <w:rPr>
          <w:rFonts w:ascii="Times New Roman" w:hAnsi="Times New Roman" w:cs="Times New Roman"/>
          <w:sz w:val="28"/>
          <w:szCs w:val="28"/>
        </w:rPr>
        <w:t>програмна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друга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политика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както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всяко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може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създаде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задължения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предварително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разрешени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други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елементи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NSPA;</w:t>
      </w:r>
    </w:p>
    <w:p w14:paraId="6390FD49"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lastRenderedPageBreak/>
        <w:t xml:space="preserve">8.1.10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общува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директно</w:t>
      </w:r>
      <w:proofErr w:type="spellEnd"/>
      <w:r w:rsidRPr="00831A5B">
        <w:rPr>
          <w:rFonts w:ascii="Times New Roman" w:hAnsi="Times New Roman" w:cs="Times New Roman"/>
          <w:sz w:val="28"/>
          <w:szCs w:val="28"/>
        </w:rPr>
        <w:t xml:space="preserve"> с NSPA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всеки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въпрос</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компетентността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който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запазен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NSPO ASB, </w:t>
      </w:r>
      <w:proofErr w:type="spellStart"/>
      <w:r w:rsidRPr="00831A5B">
        <w:rPr>
          <w:rFonts w:ascii="Times New Roman" w:hAnsi="Times New Roman" w:cs="Times New Roman"/>
          <w:sz w:val="28"/>
          <w:szCs w:val="28"/>
        </w:rPr>
        <w:t>включително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предоставянето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информация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относно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общите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заедно</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всякакви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насоки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може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нуждае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може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изпълни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адекватно</w:t>
      </w:r>
      <w:proofErr w:type="spellEnd"/>
      <w:r w:rsidRPr="00831A5B">
        <w:rPr>
          <w:rFonts w:ascii="Times New Roman" w:hAnsi="Times New Roman" w:cs="Times New Roman"/>
          <w:sz w:val="28"/>
          <w:szCs w:val="28"/>
        </w:rPr>
        <w:t>;</w:t>
      </w:r>
    </w:p>
    <w:p w14:paraId="4C51CD6F"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8.1.11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отговаря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спазването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националните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правила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контрол</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износа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тъй</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остава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всеки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потребител</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NLSE, </w:t>
      </w:r>
      <w:proofErr w:type="spellStart"/>
      <w:r w:rsidRPr="00831A5B">
        <w:rPr>
          <w:rFonts w:ascii="Times New Roman" w:hAnsi="Times New Roman" w:cs="Times New Roman"/>
          <w:sz w:val="28"/>
          <w:szCs w:val="28"/>
        </w:rPr>
        <w:t>участващ</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конкретна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транзакция</w:t>
      </w:r>
      <w:proofErr w:type="spellEnd"/>
      <w:r w:rsidRPr="00831A5B">
        <w:rPr>
          <w:rFonts w:ascii="Times New Roman" w:hAnsi="Times New Roman" w:cs="Times New Roman"/>
          <w:sz w:val="28"/>
          <w:szCs w:val="28"/>
        </w:rPr>
        <w:t>;</w:t>
      </w:r>
    </w:p>
    <w:p w14:paraId="7942F516"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8.1.12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обръща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към</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подкрепата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услугите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обхванати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Програмна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3809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доколкото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е </w:t>
      </w:r>
      <w:proofErr w:type="spellStart"/>
      <w:r w:rsidRPr="00831A5B">
        <w:rPr>
          <w:rFonts w:ascii="Times New Roman" w:hAnsi="Times New Roman" w:cs="Times New Roman"/>
          <w:sz w:val="28"/>
          <w:szCs w:val="28"/>
        </w:rPr>
        <w:t>ангажирала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прави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настоящото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освен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услугите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могат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предоставени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рамките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начин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който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отговаря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оперативните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изисквания</w:t>
      </w:r>
      <w:proofErr w:type="spellEnd"/>
      <w:r w:rsidRPr="00831A5B">
        <w:rPr>
          <w:rFonts w:ascii="Times New Roman" w:hAnsi="Times New Roman" w:cs="Times New Roman"/>
          <w:sz w:val="28"/>
          <w:szCs w:val="28"/>
        </w:rPr>
        <w:t>.</w:t>
      </w:r>
    </w:p>
    <w:p w14:paraId="18C13E10"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8.2 </w:t>
      </w:r>
      <w:proofErr w:type="spellStart"/>
      <w:r w:rsidRPr="00831A5B">
        <w:rPr>
          <w:rFonts w:ascii="Times New Roman" w:hAnsi="Times New Roman" w:cs="Times New Roman"/>
          <w:sz w:val="28"/>
          <w:szCs w:val="28"/>
        </w:rPr>
        <w:t>Агенция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обществени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поръчки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НАТО</w:t>
      </w:r>
      <w:r w:rsidR="008A6FBB">
        <w:rPr>
          <w:rFonts w:ascii="Times New Roman" w:hAnsi="Times New Roman" w:cs="Times New Roman"/>
          <w:sz w:val="28"/>
          <w:szCs w:val="28"/>
          <w:lang w:val="bg-BG"/>
        </w:rPr>
        <w:t xml:space="preserve">, </w:t>
      </w:r>
      <w:r w:rsidR="008A6FBB">
        <w:rPr>
          <w:rFonts w:ascii="Times New Roman" w:hAnsi="Times New Roman" w:cs="Times New Roman"/>
          <w:sz w:val="28"/>
          <w:szCs w:val="28"/>
        </w:rPr>
        <w:t>NSPA</w:t>
      </w:r>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качеството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изпълнителен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орган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w:t>
      </w:r>
    </w:p>
    <w:p w14:paraId="4876A309"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8.2.1 </w:t>
      </w:r>
      <w:proofErr w:type="spellStart"/>
      <w:r w:rsidRPr="00831A5B">
        <w:rPr>
          <w:rFonts w:ascii="Times New Roman" w:hAnsi="Times New Roman" w:cs="Times New Roman"/>
          <w:sz w:val="28"/>
          <w:szCs w:val="28"/>
        </w:rPr>
        <w:t>определя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задачите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трябва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изпълняват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спазят</w:t>
      </w:r>
      <w:proofErr w:type="spellEnd"/>
      <w:r w:rsidRPr="00831A5B">
        <w:rPr>
          <w:rFonts w:ascii="Times New Roman" w:hAnsi="Times New Roman" w:cs="Times New Roman"/>
          <w:sz w:val="28"/>
          <w:szCs w:val="28"/>
        </w:rPr>
        <w:t xml:space="preserve"> </w:t>
      </w:r>
      <w:r w:rsidRPr="008A6FBB">
        <w:rPr>
          <w:rFonts w:ascii="Times New Roman" w:hAnsi="Times New Roman" w:cs="Times New Roman"/>
          <w:sz w:val="28"/>
          <w:szCs w:val="28"/>
          <w:lang w:val="bg-BG"/>
        </w:rPr>
        <w:t>изискванията, посочени в Програмната директива № 3809 на NSPO и в настоящото споразумение;</w:t>
      </w:r>
    </w:p>
    <w:p w14:paraId="0A596518"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8.2.2 предоставя на Комитета по партньорство всякаква информация, необходима на последния за подготовка на решенията му;</w:t>
      </w:r>
    </w:p>
    <w:p w14:paraId="2287EE83"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8.2.3 изпълнява решенията на Комитета по въпроси, които са в рамките на компетентността на Партньорството;</w:t>
      </w:r>
    </w:p>
    <w:p w14:paraId="53D5D22F" w14:textId="77777777" w:rsidR="00D973F0" w:rsidRPr="00831A5B" w:rsidRDefault="00D973F0" w:rsidP="00722BC7">
      <w:pPr>
        <w:spacing w:after="0"/>
        <w:ind w:firstLine="720"/>
        <w:jc w:val="both"/>
        <w:rPr>
          <w:rFonts w:ascii="Times New Roman" w:hAnsi="Times New Roman" w:cs="Times New Roman"/>
          <w:sz w:val="28"/>
          <w:szCs w:val="28"/>
        </w:rPr>
      </w:pPr>
      <w:r w:rsidRPr="008A6FBB">
        <w:rPr>
          <w:rFonts w:ascii="Times New Roman" w:hAnsi="Times New Roman" w:cs="Times New Roman"/>
          <w:sz w:val="28"/>
          <w:szCs w:val="28"/>
          <w:lang w:val="bg-BG"/>
        </w:rPr>
        <w:t>8.2.4 гарантира, че активите на Партньорството са ясно идентифицирани и управлявани отделно в съответствие с член 43(d) от Устава на NSPO и Правило 3.5 от Функционална директива</w:t>
      </w:r>
      <w:r w:rsidRPr="00831A5B">
        <w:rPr>
          <w:rFonts w:ascii="Times New Roman" w:hAnsi="Times New Roman" w:cs="Times New Roman"/>
          <w:sz w:val="28"/>
          <w:szCs w:val="28"/>
        </w:rPr>
        <w:t xml:space="preserve"> № 2300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4CED3090"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8.2.5 </w:t>
      </w:r>
      <w:proofErr w:type="spellStart"/>
      <w:r w:rsidRPr="00831A5B">
        <w:rPr>
          <w:rFonts w:ascii="Times New Roman" w:hAnsi="Times New Roman" w:cs="Times New Roman"/>
          <w:sz w:val="28"/>
          <w:szCs w:val="28"/>
        </w:rPr>
        <w:t>въз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основа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прогнозите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работното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натоварване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предоставени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участниците</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изготвя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годишни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предложения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оперативни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екологични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(O&amp;PE), </w:t>
      </w:r>
      <w:proofErr w:type="spellStart"/>
      <w:r w:rsidRPr="00831A5B">
        <w:rPr>
          <w:rFonts w:ascii="Times New Roman" w:hAnsi="Times New Roman" w:cs="Times New Roman"/>
          <w:sz w:val="28"/>
          <w:szCs w:val="28"/>
        </w:rPr>
        <w:t>свързани</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Офиса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програмата</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определен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свързаните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него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прогнози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административни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w:t>
      </w:r>
      <w:r w:rsidRPr="008A6FBB">
        <w:rPr>
          <w:rFonts w:ascii="Times New Roman" w:hAnsi="Times New Roman" w:cs="Times New Roman"/>
          <w:sz w:val="28"/>
          <w:szCs w:val="28"/>
          <w:lang w:val="bg-BG"/>
        </w:rPr>
        <w:t>както и оперативни бюджетни оценки;</w:t>
      </w:r>
    </w:p>
    <w:p w14:paraId="426CD5D6"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8.2.6 изпълнява одобрените бюджети, провежда необходимите анализи на разходите и докладва в съответствие с Функционална директива № 2300 на NSPO;</w:t>
      </w:r>
    </w:p>
    <w:p w14:paraId="64543E31"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8.2.7 по искане на Комитета за партньорство, създава и изпълнява специфични проекти за подкрепа;</w:t>
      </w:r>
    </w:p>
    <w:p w14:paraId="0EE2DAA2"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8.2.8 представя доклади за напредъка на Комитета по партньорство;</w:t>
      </w:r>
    </w:p>
    <w:p w14:paraId="2FEA43DB"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8.2.9 осигурява необходимата административна и секретарска подкрепа за заседанията на Комитета по партньорство и неговите подчинени консултативни органи, ако има такива;</w:t>
      </w:r>
    </w:p>
    <w:p w14:paraId="4939FB94" w14:textId="77777777" w:rsidR="00D973F0" w:rsidRPr="00831A5B" w:rsidRDefault="00D973F0" w:rsidP="00722BC7">
      <w:pPr>
        <w:spacing w:after="0"/>
        <w:ind w:firstLine="720"/>
        <w:jc w:val="both"/>
        <w:rPr>
          <w:rFonts w:ascii="Times New Roman" w:hAnsi="Times New Roman" w:cs="Times New Roman"/>
          <w:sz w:val="28"/>
          <w:szCs w:val="28"/>
        </w:rPr>
      </w:pPr>
      <w:r w:rsidRPr="008A6FBB">
        <w:rPr>
          <w:rFonts w:ascii="Times New Roman" w:hAnsi="Times New Roman" w:cs="Times New Roman"/>
          <w:sz w:val="28"/>
          <w:szCs w:val="28"/>
          <w:lang w:val="bg-BG"/>
        </w:rPr>
        <w:t>8.2.10 публикува и</w:t>
      </w: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поддържа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подходяща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документация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включваща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постоянните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определяща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оперативните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методи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инструкции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процедури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специфични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решения</w:t>
      </w:r>
      <w:proofErr w:type="spellEnd"/>
      <w:r w:rsidRPr="00831A5B">
        <w:rPr>
          <w:rFonts w:ascii="Times New Roman" w:hAnsi="Times New Roman" w:cs="Times New Roman"/>
          <w:sz w:val="28"/>
          <w:szCs w:val="28"/>
        </w:rPr>
        <w:t>;</w:t>
      </w:r>
    </w:p>
    <w:p w14:paraId="5075407F"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lastRenderedPageBreak/>
        <w:t xml:space="preserve">8.2.11 в </w:t>
      </w:r>
      <w:proofErr w:type="spellStart"/>
      <w:r w:rsidRPr="00831A5B">
        <w:rPr>
          <w:rFonts w:ascii="Times New Roman" w:hAnsi="Times New Roman" w:cs="Times New Roman"/>
          <w:sz w:val="28"/>
          <w:szCs w:val="28"/>
        </w:rPr>
        <w:t>случай</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отговорности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загуби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причинени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трета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страна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умишлено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действие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груба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небрежност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страна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служител</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организира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възстановяването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дължимите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суми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лица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Правило</w:t>
      </w:r>
      <w:proofErr w:type="spellEnd"/>
      <w:r w:rsidRPr="00831A5B">
        <w:rPr>
          <w:rFonts w:ascii="Times New Roman" w:hAnsi="Times New Roman" w:cs="Times New Roman"/>
          <w:sz w:val="28"/>
          <w:szCs w:val="28"/>
        </w:rPr>
        <w:t xml:space="preserve"> 3.5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Функционална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2300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3D3818E9"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8.2.12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искане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един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повече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участници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придобива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застраховка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някои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всички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активи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този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случай</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гарантира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поискалият</w:t>
      </w:r>
      <w:proofErr w:type="spellEnd"/>
      <w:r w:rsidRPr="00831A5B">
        <w:rPr>
          <w:rFonts w:ascii="Times New Roman" w:hAnsi="Times New Roman" w:cs="Times New Roman"/>
          <w:sz w:val="28"/>
          <w:szCs w:val="28"/>
        </w:rPr>
        <w:t>(</w:t>
      </w:r>
      <w:proofErr w:type="spellStart"/>
      <w:r w:rsidRPr="00831A5B">
        <w:rPr>
          <w:rFonts w:ascii="Times New Roman" w:hAnsi="Times New Roman" w:cs="Times New Roman"/>
          <w:sz w:val="28"/>
          <w:szCs w:val="28"/>
        </w:rPr>
        <w:t>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участник</w:t>
      </w:r>
      <w:proofErr w:type="spellEnd"/>
      <w:r w:rsidRPr="00831A5B">
        <w:rPr>
          <w:rFonts w:ascii="Times New Roman" w:hAnsi="Times New Roman" w:cs="Times New Roman"/>
          <w:sz w:val="28"/>
          <w:szCs w:val="28"/>
        </w:rPr>
        <w:t>(и) (</w:t>
      </w:r>
      <w:proofErr w:type="spellStart"/>
      <w:r w:rsidRPr="00831A5B">
        <w:rPr>
          <w:rFonts w:ascii="Times New Roman" w:hAnsi="Times New Roman" w:cs="Times New Roman"/>
          <w:sz w:val="28"/>
          <w:szCs w:val="28"/>
        </w:rPr>
        <w:t>според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случая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одобряват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застрахователните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премии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застрахователни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начисляват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оперативния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бюджет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w:t>
      </w:r>
    </w:p>
    <w:p w14:paraId="2C207524"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8.3 COMMIT КЛИЕНТИ</w:t>
      </w:r>
    </w:p>
    <w:p w14:paraId="743ABF64" w14:textId="77777777" w:rsidR="00D973F0" w:rsidRPr="00831A5B" w:rsidRDefault="00D973F0" w:rsidP="00722BC7">
      <w:pPr>
        <w:spacing w:after="0"/>
        <w:ind w:firstLine="720"/>
        <w:jc w:val="both"/>
        <w:rPr>
          <w:rFonts w:ascii="Times New Roman" w:hAnsi="Times New Roman" w:cs="Times New Roman"/>
          <w:sz w:val="28"/>
          <w:szCs w:val="28"/>
        </w:rPr>
      </w:pPr>
      <w:proofErr w:type="spellStart"/>
      <w:r w:rsidRPr="00831A5B">
        <w:rPr>
          <w:rFonts w:ascii="Times New Roman" w:hAnsi="Times New Roman" w:cs="Times New Roman"/>
          <w:sz w:val="28"/>
          <w:szCs w:val="28"/>
        </w:rPr>
        <w:t>Клиентите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COMMIT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w:t>
      </w:r>
    </w:p>
    <w:p w14:paraId="0CCD4CF4"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8.3.1 </w:t>
      </w:r>
      <w:proofErr w:type="spellStart"/>
      <w:r w:rsidRPr="00831A5B">
        <w:rPr>
          <w:rFonts w:ascii="Times New Roman" w:hAnsi="Times New Roman" w:cs="Times New Roman"/>
          <w:sz w:val="28"/>
          <w:szCs w:val="28"/>
        </w:rPr>
        <w:t>сключване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продажба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ACSA, </w:t>
      </w:r>
      <w:proofErr w:type="spellStart"/>
      <w:r w:rsidRPr="00831A5B">
        <w:rPr>
          <w:rFonts w:ascii="Times New Roman" w:hAnsi="Times New Roman" w:cs="Times New Roman"/>
          <w:sz w:val="28"/>
          <w:szCs w:val="28"/>
        </w:rPr>
        <w:t>според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случая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изпълнението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проекти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отпусне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специални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ресурси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влизане</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договорни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отношения</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индустрията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името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сметка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Клиентите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този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начин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r w:rsidRPr="008A6FBB">
        <w:rPr>
          <w:rFonts w:ascii="Times New Roman" w:hAnsi="Times New Roman" w:cs="Times New Roman"/>
          <w:sz w:val="28"/>
          <w:szCs w:val="28"/>
          <w:lang w:val="bg-BG"/>
        </w:rPr>
        <w:t>станат преки страни по тези договори;</w:t>
      </w:r>
    </w:p>
    <w:p w14:paraId="3B0DD63A"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8.3.2 подаване на техните поръчки за доставки и услуги в съответствие с процедурите, посочени в Програмната директива № 3809;</w:t>
      </w:r>
    </w:p>
    <w:p w14:paraId="1CE041A5"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8.3.3 идентифициране на всички допълнителни услуги, необходими за доставка или услуги;</w:t>
      </w:r>
    </w:p>
    <w:p w14:paraId="624310DC" w14:textId="77777777" w:rsidR="00D973F0" w:rsidRPr="00831A5B" w:rsidRDefault="00D973F0" w:rsidP="00722BC7">
      <w:pPr>
        <w:spacing w:after="0"/>
        <w:ind w:firstLine="720"/>
        <w:jc w:val="both"/>
        <w:rPr>
          <w:rFonts w:ascii="Times New Roman" w:hAnsi="Times New Roman" w:cs="Times New Roman"/>
          <w:sz w:val="28"/>
          <w:szCs w:val="28"/>
        </w:rPr>
      </w:pPr>
      <w:r w:rsidRPr="008A6FBB">
        <w:rPr>
          <w:rFonts w:ascii="Times New Roman" w:hAnsi="Times New Roman" w:cs="Times New Roman"/>
          <w:sz w:val="28"/>
          <w:szCs w:val="28"/>
          <w:lang w:val="bg-BG"/>
        </w:rPr>
        <w:t>8.3.4 ако е необходимо, подаване на Доклади за несъответствия в съответствие с Функционална директива № 2201 на NSPO и приемане на решението на NSPA, произтичащо от несъответствия</w:t>
      </w: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извън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контрола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могат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разрешени</w:t>
      </w:r>
      <w:proofErr w:type="spellEnd"/>
      <w:r w:rsidRPr="00831A5B">
        <w:rPr>
          <w:rFonts w:ascii="Times New Roman" w:hAnsi="Times New Roman" w:cs="Times New Roman"/>
          <w:sz w:val="28"/>
          <w:szCs w:val="28"/>
        </w:rPr>
        <w:t>;</w:t>
      </w:r>
    </w:p>
    <w:p w14:paraId="41EAB16C"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 xml:space="preserve">8.3.5 </w:t>
      </w:r>
      <w:proofErr w:type="spellStart"/>
      <w:r w:rsidRPr="00831A5B">
        <w:rPr>
          <w:rFonts w:ascii="Times New Roman" w:hAnsi="Times New Roman" w:cs="Times New Roman"/>
          <w:sz w:val="28"/>
          <w:szCs w:val="28"/>
        </w:rPr>
        <w:t>носене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всички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присъщи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свързани</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транзакциите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Клиентите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поискат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извърши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чрез</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включително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всички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свързани</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рискове</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правни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задължения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поети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във</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връзка</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тези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транзакции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дейности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Правило</w:t>
      </w:r>
      <w:proofErr w:type="spellEnd"/>
      <w:r w:rsidRPr="00831A5B">
        <w:rPr>
          <w:rFonts w:ascii="Times New Roman" w:hAnsi="Times New Roman" w:cs="Times New Roman"/>
          <w:sz w:val="28"/>
          <w:szCs w:val="28"/>
        </w:rPr>
        <w:t xml:space="preserve"> 3.</w:t>
      </w:r>
      <w:r w:rsidRPr="008A6FBB">
        <w:rPr>
          <w:rFonts w:ascii="Times New Roman" w:hAnsi="Times New Roman" w:cs="Times New Roman"/>
          <w:sz w:val="28"/>
          <w:szCs w:val="28"/>
          <w:lang w:val="bg-BG"/>
        </w:rPr>
        <w:t>5 от Функционална директива № 2300 на NSPO;</w:t>
      </w:r>
    </w:p>
    <w:p w14:paraId="63A54C7B"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8.3.6 предоставяне на годишна прогноза за работното натоварване не по-късно от средата на август всяка година;</w:t>
      </w:r>
    </w:p>
    <w:p w14:paraId="5773F920"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8.3.7 отговаряне на заявки за одобрение на цени от NSPA в рамките на 28 календарни дни.</w:t>
      </w:r>
    </w:p>
    <w:p w14:paraId="172936CA"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A6FBB">
        <w:rPr>
          <w:rFonts w:ascii="Times New Roman" w:hAnsi="Times New Roman" w:cs="Times New Roman"/>
          <w:sz w:val="28"/>
          <w:szCs w:val="28"/>
          <w:lang w:val="bg-BG"/>
        </w:rPr>
        <w:t>9 ОТТЕГЛЯНЕ, ИЗМЕНЕНИЕ И ПРЕКРАТЯВАНЕ</w:t>
      </w:r>
    </w:p>
    <w:p w14:paraId="2327A805" w14:textId="77777777" w:rsidR="00D973F0" w:rsidRDefault="00D973F0" w:rsidP="00722BC7">
      <w:pPr>
        <w:spacing w:after="0"/>
        <w:ind w:firstLine="720"/>
        <w:jc w:val="both"/>
        <w:rPr>
          <w:rFonts w:ascii="Times New Roman" w:hAnsi="Times New Roman" w:cs="Times New Roman"/>
          <w:sz w:val="28"/>
          <w:szCs w:val="28"/>
        </w:rPr>
      </w:pPr>
      <w:r w:rsidRPr="008A6FBB">
        <w:rPr>
          <w:rFonts w:ascii="Times New Roman" w:hAnsi="Times New Roman" w:cs="Times New Roman"/>
          <w:sz w:val="28"/>
          <w:szCs w:val="28"/>
          <w:lang w:val="bg-BG"/>
        </w:rPr>
        <w:t>9.1 Всеки участник в партньорство може да се оттегли от или да промени участието си в партньорство</w:t>
      </w:r>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условията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договорени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по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и NSPO ASB, и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разпоредбите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w:t>
      </w:r>
      <w:proofErr w:type="spellEnd"/>
      <w:r w:rsidRPr="00831A5B">
        <w:rPr>
          <w:rFonts w:ascii="Times New Roman" w:hAnsi="Times New Roman" w:cs="Times New Roman"/>
          <w:sz w:val="28"/>
          <w:szCs w:val="28"/>
        </w:rPr>
        <w:t xml:space="preserve"> 43(d)(3)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Устава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и </w:t>
      </w:r>
      <w:proofErr w:type="spellStart"/>
      <w:r w:rsidRPr="00831A5B">
        <w:rPr>
          <w:rFonts w:ascii="Times New Roman" w:hAnsi="Times New Roman" w:cs="Times New Roman"/>
          <w:sz w:val="28"/>
          <w:szCs w:val="28"/>
        </w:rPr>
        <w:t>правилата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посочени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Приложение</w:t>
      </w:r>
      <w:proofErr w:type="spellEnd"/>
      <w:r w:rsidRPr="00831A5B">
        <w:rPr>
          <w:rFonts w:ascii="Times New Roman" w:hAnsi="Times New Roman" w:cs="Times New Roman"/>
          <w:sz w:val="28"/>
          <w:szCs w:val="28"/>
        </w:rPr>
        <w:t xml:space="preserve"> 2 </w:t>
      </w:r>
      <w:proofErr w:type="spellStart"/>
      <w:r w:rsidRPr="00831A5B">
        <w:rPr>
          <w:rFonts w:ascii="Times New Roman" w:hAnsi="Times New Roman" w:cs="Times New Roman"/>
          <w:sz w:val="28"/>
          <w:szCs w:val="28"/>
        </w:rPr>
        <w:t>към</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Функционална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2300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които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предвиждат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такива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промени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участието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влязат</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сила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1 </w:t>
      </w:r>
      <w:proofErr w:type="spellStart"/>
      <w:r w:rsidRPr="00831A5B">
        <w:rPr>
          <w:rFonts w:ascii="Times New Roman" w:hAnsi="Times New Roman" w:cs="Times New Roman"/>
          <w:sz w:val="28"/>
          <w:szCs w:val="28"/>
        </w:rPr>
        <w:t>януари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следващата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година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условие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и NSPA </w:t>
      </w:r>
      <w:proofErr w:type="spellStart"/>
      <w:r w:rsidRPr="00831A5B">
        <w:rPr>
          <w:rFonts w:ascii="Times New Roman" w:hAnsi="Times New Roman" w:cs="Times New Roman"/>
          <w:sz w:val="28"/>
          <w:szCs w:val="28"/>
        </w:rPr>
        <w:t>бъдат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уведомени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най-малко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шест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месеца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тази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най-късно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до</w:t>
      </w:r>
      <w:proofErr w:type="spellEnd"/>
      <w:r w:rsidRPr="00831A5B">
        <w:rPr>
          <w:rFonts w:ascii="Times New Roman" w:hAnsi="Times New Roman" w:cs="Times New Roman"/>
          <w:sz w:val="28"/>
          <w:szCs w:val="28"/>
        </w:rPr>
        <w:t xml:space="preserve"> 30 </w:t>
      </w:r>
      <w:proofErr w:type="spellStart"/>
      <w:r w:rsidRPr="00831A5B">
        <w:rPr>
          <w:rFonts w:ascii="Times New Roman" w:hAnsi="Times New Roman" w:cs="Times New Roman"/>
          <w:sz w:val="28"/>
          <w:szCs w:val="28"/>
        </w:rPr>
        <w:t>юни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lastRenderedPageBreak/>
        <w:t>Оттеглящият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участник</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носи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отговорност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произтичащи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оттеглянето</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остане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отговорен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плащането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своя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дял</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бюджетните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разходи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разрешени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оттеглянето</w:t>
      </w:r>
      <w:proofErr w:type="spellEnd"/>
      <w:r w:rsidRPr="00831A5B">
        <w:rPr>
          <w:rFonts w:ascii="Times New Roman" w:hAnsi="Times New Roman" w:cs="Times New Roman"/>
          <w:sz w:val="28"/>
          <w:szCs w:val="28"/>
        </w:rPr>
        <w:t>.</w:t>
      </w:r>
    </w:p>
    <w:p w14:paraId="436589FA" w14:textId="77777777" w:rsidR="00C2526A" w:rsidRPr="00C2526A" w:rsidRDefault="00C2526A" w:rsidP="00C2526A">
      <w:pPr>
        <w:spacing w:after="0"/>
        <w:ind w:firstLine="720"/>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9.2 </w:t>
      </w:r>
      <w:r w:rsidRPr="00C2526A">
        <w:rPr>
          <w:rFonts w:ascii="Times New Roman" w:hAnsi="Times New Roman" w:cs="Times New Roman"/>
          <w:sz w:val="28"/>
          <w:szCs w:val="28"/>
          <w:lang w:val="bg-BG"/>
        </w:rPr>
        <w:t>Ако има промяна в участието поради оттегляне на един или повече Участници в Партньорството преди определянето на дата на ликвидация, Комитетът по партньорство ще реши дали NSPA трябва да изготви план за постепенно намаляване. Този план за постепенно намаляване ще обхваща, като минимум, областите, посочени в раздел „Ликвидация“ в настоящото споразумение.</w:t>
      </w:r>
    </w:p>
    <w:p w14:paraId="296B2492" w14:textId="77777777" w:rsidR="00C2526A" w:rsidRPr="00C2526A" w:rsidRDefault="00C2526A" w:rsidP="00C2526A">
      <w:pPr>
        <w:spacing w:after="0"/>
        <w:ind w:firstLine="720"/>
        <w:jc w:val="both"/>
        <w:rPr>
          <w:rFonts w:ascii="Times New Roman" w:hAnsi="Times New Roman" w:cs="Times New Roman"/>
          <w:sz w:val="28"/>
          <w:szCs w:val="28"/>
          <w:lang w:val="bg-BG"/>
        </w:rPr>
      </w:pPr>
      <w:r w:rsidRPr="00C2526A">
        <w:rPr>
          <w:rFonts w:ascii="Times New Roman" w:hAnsi="Times New Roman" w:cs="Times New Roman"/>
          <w:sz w:val="28"/>
          <w:szCs w:val="28"/>
          <w:lang w:val="bg-BG"/>
        </w:rPr>
        <w:t>9.3 След определяне на дата на ликвидация, ако един (или повече) Участници в Партньорството се оттеглят или променят участието си преди тази дата на ликвидация, планът за постепенно намаляване и ликвидация, описан по-долу, ще бъде преразгледан и разходите, произтичащи от това оттегляне, ще бъдат определени и разпределени на съответната(</w:t>
      </w:r>
      <w:proofErr w:type="spellStart"/>
      <w:r w:rsidRPr="00C2526A">
        <w:rPr>
          <w:rFonts w:ascii="Times New Roman" w:hAnsi="Times New Roman" w:cs="Times New Roman"/>
          <w:sz w:val="28"/>
          <w:szCs w:val="28"/>
          <w:lang w:val="bg-BG"/>
        </w:rPr>
        <w:t>ите</w:t>
      </w:r>
      <w:proofErr w:type="spellEnd"/>
      <w:r w:rsidRPr="00C2526A">
        <w:rPr>
          <w:rFonts w:ascii="Times New Roman" w:hAnsi="Times New Roman" w:cs="Times New Roman"/>
          <w:sz w:val="28"/>
          <w:szCs w:val="28"/>
          <w:lang w:val="bg-BG"/>
        </w:rPr>
        <w:t>) държава(и).</w:t>
      </w:r>
    </w:p>
    <w:p w14:paraId="0E66CC55" w14:textId="77777777" w:rsidR="00C2526A" w:rsidRDefault="00C2526A" w:rsidP="00C2526A">
      <w:pPr>
        <w:spacing w:after="0"/>
        <w:ind w:firstLine="720"/>
        <w:jc w:val="both"/>
        <w:rPr>
          <w:rFonts w:ascii="Times New Roman" w:hAnsi="Times New Roman" w:cs="Times New Roman"/>
          <w:sz w:val="28"/>
          <w:szCs w:val="28"/>
          <w:lang w:val="bg-BG"/>
        </w:rPr>
      </w:pPr>
      <w:r w:rsidRPr="00C2526A">
        <w:rPr>
          <w:rFonts w:ascii="Times New Roman" w:hAnsi="Times New Roman" w:cs="Times New Roman"/>
          <w:sz w:val="28"/>
          <w:szCs w:val="28"/>
          <w:lang w:val="bg-BG"/>
        </w:rPr>
        <w:t>9.4 Партньорството ще бъде разпуснато по решение на Комитета по партньорство или когато вече няма поне две държави членки, които да съставляват това Партньорство. За да влезе в сила, разпускането трябва да бъде одобрено от NSPO ASB.</w:t>
      </w:r>
      <w:r>
        <w:rPr>
          <w:rFonts w:ascii="Times New Roman" w:hAnsi="Times New Roman" w:cs="Times New Roman"/>
          <w:sz w:val="28"/>
          <w:szCs w:val="28"/>
          <w:lang w:val="bg-BG"/>
        </w:rPr>
        <w:t xml:space="preserve"> </w:t>
      </w:r>
    </w:p>
    <w:p w14:paraId="18B9A3CF"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10 ЛИКВИДАЦИЯ</w:t>
      </w:r>
    </w:p>
    <w:p w14:paraId="24CE0841" w14:textId="77777777" w:rsidR="00D973F0" w:rsidRPr="00831A5B" w:rsidRDefault="00D973F0" w:rsidP="00722BC7">
      <w:pPr>
        <w:spacing w:after="0"/>
        <w:ind w:firstLine="720"/>
        <w:jc w:val="both"/>
        <w:rPr>
          <w:rFonts w:ascii="Times New Roman" w:hAnsi="Times New Roman" w:cs="Times New Roman"/>
          <w:sz w:val="28"/>
          <w:szCs w:val="28"/>
        </w:rPr>
      </w:pPr>
      <w:proofErr w:type="spellStart"/>
      <w:r w:rsidRPr="00831A5B">
        <w:rPr>
          <w:rFonts w:ascii="Times New Roman" w:hAnsi="Times New Roman" w:cs="Times New Roman"/>
          <w:sz w:val="28"/>
          <w:szCs w:val="28"/>
        </w:rPr>
        <w:t>Ако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решено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ликвидира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NSPA,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определяне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такава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ликвидация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състави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подробен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план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постепенно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намаляване</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ликвидация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Планът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представен</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Комитета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одобрение</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ще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обхваща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като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минимум</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области</w:t>
      </w:r>
      <w:proofErr w:type="spellEnd"/>
      <w:r w:rsidRPr="00831A5B">
        <w:rPr>
          <w:rFonts w:ascii="Times New Roman" w:hAnsi="Times New Roman" w:cs="Times New Roman"/>
          <w:sz w:val="28"/>
          <w:szCs w:val="28"/>
        </w:rPr>
        <w:t>:</w:t>
      </w:r>
    </w:p>
    <w:p w14:paraId="0F1F671B"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10.1 </w:t>
      </w:r>
      <w:proofErr w:type="spellStart"/>
      <w:r w:rsidRPr="00831A5B">
        <w:rPr>
          <w:rFonts w:ascii="Times New Roman" w:hAnsi="Times New Roman" w:cs="Times New Roman"/>
          <w:sz w:val="28"/>
          <w:szCs w:val="28"/>
        </w:rPr>
        <w:t>всяка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област</w:t>
      </w:r>
      <w:proofErr w:type="spellEnd"/>
      <w:r w:rsidRPr="00831A5B">
        <w:rPr>
          <w:rFonts w:ascii="Times New Roman" w:hAnsi="Times New Roman" w:cs="Times New Roman"/>
          <w:sz w:val="28"/>
          <w:szCs w:val="28"/>
        </w:rPr>
        <w:t>/</w:t>
      </w:r>
      <w:proofErr w:type="spellStart"/>
      <w:r w:rsidRPr="00831A5B">
        <w:rPr>
          <w:rFonts w:ascii="Times New Roman" w:hAnsi="Times New Roman" w:cs="Times New Roman"/>
          <w:sz w:val="28"/>
          <w:szCs w:val="28"/>
        </w:rPr>
        <w:t>аспект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подкрепата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рамките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мисията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поверена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NSPA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Програмна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3809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42C320D8"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10.2 </w:t>
      </w:r>
      <w:proofErr w:type="spellStart"/>
      <w:r w:rsidRPr="00831A5B">
        <w:rPr>
          <w:rFonts w:ascii="Times New Roman" w:hAnsi="Times New Roman" w:cs="Times New Roman"/>
          <w:sz w:val="28"/>
          <w:szCs w:val="28"/>
        </w:rPr>
        <w:t>постепенно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намаляване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щатния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състав</w:t>
      </w:r>
      <w:proofErr w:type="spellEnd"/>
      <w:r w:rsidRPr="00831A5B">
        <w:rPr>
          <w:rFonts w:ascii="Times New Roman" w:hAnsi="Times New Roman" w:cs="Times New Roman"/>
          <w:sz w:val="28"/>
          <w:szCs w:val="28"/>
        </w:rPr>
        <w:t>;</w:t>
      </w:r>
    </w:p>
    <w:p w14:paraId="52CFD47C"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10.3 </w:t>
      </w:r>
      <w:proofErr w:type="spellStart"/>
      <w:r w:rsidRPr="00831A5B">
        <w:rPr>
          <w:rFonts w:ascii="Times New Roman" w:hAnsi="Times New Roman" w:cs="Times New Roman"/>
          <w:sz w:val="28"/>
          <w:szCs w:val="28"/>
        </w:rPr>
        <w:t>продажба</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разпореждане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дълготрайни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активи</w:t>
      </w:r>
      <w:proofErr w:type="spellEnd"/>
      <w:r w:rsidRPr="00831A5B">
        <w:rPr>
          <w:rFonts w:ascii="Times New Roman" w:hAnsi="Times New Roman" w:cs="Times New Roman"/>
          <w:sz w:val="28"/>
          <w:szCs w:val="28"/>
        </w:rPr>
        <w:t xml:space="preserve"> и </w:t>
      </w:r>
      <w:proofErr w:type="spellStart"/>
      <w:r w:rsidRPr="00831A5B">
        <w:rPr>
          <w:rFonts w:ascii="Times New Roman" w:hAnsi="Times New Roman" w:cs="Times New Roman"/>
          <w:sz w:val="28"/>
          <w:szCs w:val="28"/>
        </w:rPr>
        <w:t>инвентар</w:t>
      </w:r>
      <w:proofErr w:type="spellEnd"/>
      <w:r w:rsidRPr="00831A5B">
        <w:rPr>
          <w:rFonts w:ascii="Times New Roman" w:hAnsi="Times New Roman" w:cs="Times New Roman"/>
          <w:sz w:val="28"/>
          <w:szCs w:val="28"/>
        </w:rPr>
        <w:t>;</w:t>
      </w:r>
    </w:p>
    <w:p w14:paraId="0A1786F8"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10.4 </w:t>
      </w:r>
      <w:proofErr w:type="spellStart"/>
      <w:r w:rsidRPr="00831A5B">
        <w:rPr>
          <w:rFonts w:ascii="Times New Roman" w:hAnsi="Times New Roman" w:cs="Times New Roman"/>
          <w:sz w:val="28"/>
          <w:szCs w:val="28"/>
        </w:rPr>
        <w:t>договорености</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съответствие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Приложение</w:t>
      </w:r>
      <w:proofErr w:type="spellEnd"/>
      <w:r w:rsidRPr="00831A5B">
        <w:rPr>
          <w:rFonts w:ascii="Times New Roman" w:hAnsi="Times New Roman" w:cs="Times New Roman"/>
          <w:sz w:val="28"/>
          <w:szCs w:val="28"/>
        </w:rPr>
        <w:t xml:space="preserve"> 2 </w:t>
      </w:r>
      <w:proofErr w:type="spellStart"/>
      <w:r w:rsidRPr="00831A5B">
        <w:rPr>
          <w:rFonts w:ascii="Times New Roman" w:hAnsi="Times New Roman" w:cs="Times New Roman"/>
          <w:sz w:val="28"/>
          <w:szCs w:val="28"/>
        </w:rPr>
        <w:t>към</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Функционална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директива</w:t>
      </w:r>
      <w:proofErr w:type="spellEnd"/>
      <w:r w:rsidRPr="00831A5B">
        <w:rPr>
          <w:rFonts w:ascii="Times New Roman" w:hAnsi="Times New Roman" w:cs="Times New Roman"/>
          <w:sz w:val="28"/>
          <w:szCs w:val="28"/>
        </w:rPr>
        <w:t xml:space="preserve"> № 2300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43A19D7A" w14:textId="77777777" w:rsidR="00D973F0" w:rsidRPr="008A6FBB" w:rsidRDefault="00D973F0"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rPr>
        <w:t>11 СРОК НА ДЕЙСТВИЕ, ИЗМЕНЕНИЕ ИЛИ ПРЕКРАТЯВАНЕ</w:t>
      </w:r>
      <w:r w:rsidR="008A6FBB">
        <w:rPr>
          <w:rFonts w:ascii="Times New Roman" w:hAnsi="Times New Roman" w:cs="Times New Roman"/>
          <w:sz w:val="28"/>
          <w:szCs w:val="28"/>
          <w:lang w:val="bg-BG"/>
        </w:rPr>
        <w:t>.</w:t>
      </w:r>
    </w:p>
    <w:p w14:paraId="2A2332CE"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11.1 </w:t>
      </w:r>
      <w:proofErr w:type="spellStart"/>
      <w:r w:rsidRPr="00831A5B">
        <w:rPr>
          <w:rFonts w:ascii="Times New Roman" w:hAnsi="Times New Roman" w:cs="Times New Roman"/>
          <w:sz w:val="28"/>
          <w:szCs w:val="28"/>
        </w:rPr>
        <w:t>Настоящото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влиза</w:t>
      </w:r>
      <w:proofErr w:type="spellEnd"/>
      <w:r w:rsidRPr="00831A5B">
        <w:rPr>
          <w:rFonts w:ascii="Times New Roman" w:hAnsi="Times New Roman" w:cs="Times New Roman"/>
          <w:sz w:val="28"/>
          <w:szCs w:val="28"/>
        </w:rPr>
        <w:t xml:space="preserve"> в </w:t>
      </w:r>
      <w:proofErr w:type="spellStart"/>
      <w:r w:rsidRPr="00831A5B">
        <w:rPr>
          <w:rFonts w:ascii="Times New Roman" w:hAnsi="Times New Roman" w:cs="Times New Roman"/>
          <w:sz w:val="28"/>
          <w:szCs w:val="28"/>
        </w:rPr>
        <w:t>сила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след</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ASB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 </w:t>
      </w:r>
      <w:proofErr w:type="spellStart"/>
      <w:r w:rsidRPr="00831A5B">
        <w:rPr>
          <w:rFonts w:ascii="Times New Roman" w:hAnsi="Times New Roman" w:cs="Times New Roman"/>
          <w:sz w:val="28"/>
          <w:szCs w:val="28"/>
        </w:rPr>
        <w:t>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може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изменено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прекратено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всяко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време</w:t>
      </w:r>
      <w:proofErr w:type="spellEnd"/>
      <w:r w:rsidRPr="00831A5B">
        <w:rPr>
          <w:rFonts w:ascii="Times New Roman" w:hAnsi="Times New Roman" w:cs="Times New Roman"/>
          <w:sz w:val="28"/>
          <w:szCs w:val="28"/>
        </w:rPr>
        <w:t xml:space="preserve"> с </w:t>
      </w:r>
      <w:proofErr w:type="spellStart"/>
      <w:r w:rsidRPr="00831A5B">
        <w:rPr>
          <w:rFonts w:ascii="Times New Roman" w:hAnsi="Times New Roman" w:cs="Times New Roman"/>
          <w:sz w:val="28"/>
          <w:szCs w:val="28"/>
        </w:rPr>
        <w:t>консенсус</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страните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Партньорството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условие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че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бъде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одобрено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ASB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NSPO.</w:t>
      </w:r>
    </w:p>
    <w:p w14:paraId="2360C861" w14:textId="77777777" w:rsidR="00D973F0" w:rsidRPr="00831A5B" w:rsidRDefault="00D973F0"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rPr>
        <w:t xml:space="preserve">11.2 </w:t>
      </w:r>
      <w:proofErr w:type="spellStart"/>
      <w:r w:rsidRPr="00831A5B">
        <w:rPr>
          <w:rFonts w:ascii="Times New Roman" w:hAnsi="Times New Roman" w:cs="Times New Roman"/>
          <w:sz w:val="28"/>
          <w:szCs w:val="28"/>
        </w:rPr>
        <w:t>Изменението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или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прекратяването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настоящото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освобождава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държавите-членки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от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задължението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им</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да</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изпълняват</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непогасените</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си</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задължения</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по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настоящото</w:t>
      </w:r>
      <w:proofErr w:type="spellEnd"/>
      <w:r w:rsidRPr="00831A5B">
        <w:rPr>
          <w:rFonts w:ascii="Times New Roman" w:hAnsi="Times New Roman" w:cs="Times New Roman"/>
          <w:sz w:val="28"/>
          <w:szCs w:val="28"/>
        </w:rPr>
        <w:t xml:space="preserve"> </w:t>
      </w:r>
      <w:proofErr w:type="spellStart"/>
      <w:r w:rsidRPr="00831A5B">
        <w:rPr>
          <w:rFonts w:ascii="Times New Roman" w:hAnsi="Times New Roman" w:cs="Times New Roman"/>
          <w:sz w:val="28"/>
          <w:szCs w:val="28"/>
        </w:rPr>
        <w:t>споразумение</w:t>
      </w:r>
      <w:proofErr w:type="spellEnd"/>
      <w:r w:rsidRPr="00831A5B">
        <w:rPr>
          <w:rFonts w:ascii="Times New Roman" w:hAnsi="Times New Roman" w:cs="Times New Roman"/>
          <w:sz w:val="28"/>
          <w:szCs w:val="28"/>
        </w:rPr>
        <w:t>.</w:t>
      </w:r>
    </w:p>
    <w:p w14:paraId="52F3E5E9" w14:textId="77777777" w:rsidR="00D973F0" w:rsidRPr="00831A5B" w:rsidRDefault="00D973F0" w:rsidP="00722BC7">
      <w:pPr>
        <w:spacing w:after="0"/>
        <w:ind w:firstLine="720"/>
        <w:jc w:val="both"/>
        <w:rPr>
          <w:rFonts w:ascii="Times New Roman" w:hAnsi="Times New Roman" w:cs="Times New Roman"/>
          <w:sz w:val="28"/>
          <w:szCs w:val="28"/>
        </w:rPr>
      </w:pPr>
    </w:p>
    <w:p w14:paraId="71C81015" w14:textId="77777777" w:rsidR="00D973F0" w:rsidRDefault="00D973F0" w:rsidP="00722BC7">
      <w:pPr>
        <w:spacing w:after="0"/>
        <w:ind w:firstLine="720"/>
        <w:jc w:val="both"/>
        <w:rPr>
          <w:rFonts w:ascii="Times New Roman" w:hAnsi="Times New Roman" w:cs="Times New Roman"/>
          <w:sz w:val="28"/>
          <w:szCs w:val="28"/>
        </w:rPr>
      </w:pPr>
    </w:p>
    <w:p w14:paraId="231DD9CF" w14:textId="77777777" w:rsidR="00C2526A" w:rsidRDefault="00C2526A" w:rsidP="00722BC7">
      <w:pPr>
        <w:spacing w:after="0"/>
        <w:ind w:firstLine="720"/>
        <w:jc w:val="both"/>
        <w:rPr>
          <w:rFonts w:ascii="Times New Roman" w:hAnsi="Times New Roman" w:cs="Times New Roman"/>
          <w:sz w:val="28"/>
          <w:szCs w:val="28"/>
        </w:rPr>
      </w:pPr>
    </w:p>
    <w:p w14:paraId="4B39AE7E" w14:textId="77777777" w:rsidR="00C2526A" w:rsidRDefault="00C2526A" w:rsidP="00722BC7">
      <w:pPr>
        <w:spacing w:after="0"/>
        <w:ind w:firstLine="720"/>
        <w:jc w:val="both"/>
        <w:rPr>
          <w:rFonts w:ascii="Times New Roman" w:hAnsi="Times New Roman" w:cs="Times New Roman"/>
          <w:sz w:val="28"/>
          <w:szCs w:val="28"/>
        </w:rPr>
      </w:pPr>
    </w:p>
    <w:p w14:paraId="7EE7FEDF" w14:textId="77777777" w:rsidR="008A6FBB" w:rsidRDefault="008A6FBB" w:rsidP="00722BC7">
      <w:pPr>
        <w:spacing w:after="0"/>
        <w:ind w:firstLine="720"/>
        <w:jc w:val="both"/>
        <w:rPr>
          <w:rFonts w:ascii="Times New Roman" w:hAnsi="Times New Roman" w:cs="Times New Roman"/>
          <w:sz w:val="28"/>
          <w:szCs w:val="28"/>
        </w:rPr>
      </w:pPr>
    </w:p>
    <w:p w14:paraId="2529AED1" w14:textId="77777777" w:rsidR="00D973F0" w:rsidRDefault="00D973F0" w:rsidP="00C2526A">
      <w:pPr>
        <w:spacing w:after="0"/>
        <w:ind w:firstLine="720"/>
        <w:jc w:val="right"/>
        <w:rPr>
          <w:rFonts w:ascii="Times New Roman" w:hAnsi="Times New Roman" w:cs="Times New Roman"/>
          <w:sz w:val="28"/>
          <w:szCs w:val="28"/>
          <w:u w:val="single"/>
          <w:lang w:val="bg-BG"/>
        </w:rPr>
      </w:pPr>
      <w:r w:rsidRPr="00831A5B">
        <w:rPr>
          <w:rFonts w:ascii="Times New Roman" w:hAnsi="Times New Roman" w:cs="Times New Roman"/>
          <w:sz w:val="28"/>
          <w:szCs w:val="28"/>
          <w:u w:val="single"/>
          <w:lang w:val="bg-BG"/>
        </w:rPr>
        <w:lastRenderedPageBreak/>
        <w:t>Анекс 1</w:t>
      </w:r>
    </w:p>
    <w:p w14:paraId="4B2460DE" w14:textId="77777777" w:rsidR="006D46B3" w:rsidRPr="006D46B3" w:rsidRDefault="006D46B3" w:rsidP="006D46B3">
      <w:pPr>
        <w:spacing w:after="0"/>
        <w:ind w:firstLine="720"/>
        <w:jc w:val="right"/>
        <w:rPr>
          <w:rFonts w:ascii="Times New Roman" w:hAnsi="Times New Roman" w:cs="Times New Roman"/>
          <w:sz w:val="28"/>
          <w:szCs w:val="28"/>
          <w:u w:val="single"/>
          <w:lang w:val="bg-BG"/>
        </w:rPr>
      </w:pPr>
      <w:r w:rsidRPr="006D46B3">
        <w:rPr>
          <w:rFonts w:ascii="Times New Roman" w:hAnsi="Times New Roman" w:cs="Times New Roman"/>
          <w:sz w:val="28"/>
          <w:szCs w:val="28"/>
          <w:u w:val="single"/>
          <w:lang w:val="bg-BG"/>
        </w:rPr>
        <w:t>Споразумение № 1809</w:t>
      </w:r>
    </w:p>
    <w:p w14:paraId="4DA4EF6D" w14:textId="77777777" w:rsidR="006D46B3" w:rsidRPr="00831A5B" w:rsidRDefault="006D46B3" w:rsidP="006D46B3">
      <w:pPr>
        <w:spacing w:after="0"/>
        <w:ind w:firstLine="720"/>
        <w:jc w:val="right"/>
        <w:rPr>
          <w:rFonts w:ascii="Times New Roman" w:hAnsi="Times New Roman" w:cs="Times New Roman"/>
          <w:sz w:val="28"/>
          <w:szCs w:val="28"/>
          <w:u w:val="single"/>
          <w:lang w:val="bg-BG"/>
        </w:rPr>
      </w:pPr>
      <w:r w:rsidRPr="006D46B3">
        <w:rPr>
          <w:rFonts w:ascii="Times New Roman" w:hAnsi="Times New Roman" w:cs="Times New Roman"/>
          <w:sz w:val="28"/>
          <w:szCs w:val="28"/>
          <w:u w:val="single"/>
          <w:lang w:val="bg-BG"/>
        </w:rPr>
        <w:t>(</w:t>
      </w:r>
      <w:r w:rsidR="000D21ED">
        <w:rPr>
          <w:rFonts w:ascii="Times New Roman" w:hAnsi="Times New Roman" w:cs="Times New Roman"/>
          <w:i/>
          <w:sz w:val="28"/>
          <w:szCs w:val="28"/>
          <w:u w:val="single"/>
          <w:lang w:val="bg-BG"/>
        </w:rPr>
        <w:t>четвърта</w:t>
      </w:r>
      <w:r w:rsidRPr="006D46B3">
        <w:rPr>
          <w:rFonts w:ascii="Times New Roman" w:hAnsi="Times New Roman" w:cs="Times New Roman"/>
          <w:i/>
          <w:sz w:val="28"/>
          <w:szCs w:val="28"/>
          <w:u w:val="single"/>
          <w:lang w:val="bg-BG"/>
        </w:rPr>
        <w:t xml:space="preserve"> </w:t>
      </w:r>
      <w:r w:rsidR="000D21ED">
        <w:rPr>
          <w:rFonts w:ascii="Times New Roman" w:hAnsi="Times New Roman" w:cs="Times New Roman"/>
          <w:i/>
          <w:sz w:val="28"/>
          <w:szCs w:val="28"/>
          <w:u w:val="single"/>
          <w:lang w:val="bg-BG"/>
        </w:rPr>
        <w:t>редакция</w:t>
      </w:r>
    </w:p>
    <w:p w14:paraId="4B820D13" w14:textId="77777777" w:rsidR="006D46B3" w:rsidRDefault="006D46B3" w:rsidP="00C2526A">
      <w:pPr>
        <w:spacing w:after="0"/>
        <w:ind w:firstLine="720"/>
        <w:jc w:val="center"/>
        <w:rPr>
          <w:rFonts w:ascii="Times New Roman" w:hAnsi="Times New Roman" w:cs="Times New Roman"/>
          <w:sz w:val="28"/>
          <w:szCs w:val="28"/>
          <w:u w:val="single"/>
          <w:lang w:val="bg-BG"/>
        </w:rPr>
      </w:pPr>
    </w:p>
    <w:p w14:paraId="573C81FE" w14:textId="77777777" w:rsidR="00D973F0" w:rsidRPr="000D21ED" w:rsidRDefault="00D973F0" w:rsidP="00C2526A">
      <w:pPr>
        <w:spacing w:after="0"/>
        <w:ind w:firstLine="720"/>
        <w:jc w:val="center"/>
        <w:rPr>
          <w:rFonts w:ascii="Times New Roman" w:hAnsi="Times New Roman" w:cs="Times New Roman"/>
          <w:b/>
          <w:sz w:val="28"/>
          <w:szCs w:val="28"/>
          <w:u w:val="single"/>
          <w:lang w:val="bg-BG"/>
        </w:rPr>
      </w:pPr>
      <w:r w:rsidRPr="000D21ED">
        <w:rPr>
          <w:rFonts w:ascii="Times New Roman" w:hAnsi="Times New Roman" w:cs="Times New Roman"/>
          <w:b/>
          <w:sz w:val="28"/>
          <w:szCs w:val="28"/>
          <w:u w:val="single"/>
          <w:lang w:val="bg-BG"/>
        </w:rPr>
        <w:t>РЕЗЮМЕ НА ЦЕЛТА И ОБХВАТ</w:t>
      </w:r>
    </w:p>
    <w:p w14:paraId="4753E349" w14:textId="77777777" w:rsidR="00D973F0" w:rsidRPr="000D21ED" w:rsidRDefault="00D973F0" w:rsidP="00C2526A">
      <w:pPr>
        <w:spacing w:after="0"/>
        <w:ind w:firstLine="720"/>
        <w:jc w:val="center"/>
        <w:rPr>
          <w:rFonts w:ascii="Times New Roman" w:hAnsi="Times New Roman" w:cs="Times New Roman"/>
          <w:b/>
          <w:sz w:val="28"/>
          <w:szCs w:val="28"/>
          <w:u w:val="single"/>
          <w:lang w:val="bg-BG"/>
        </w:rPr>
      </w:pPr>
      <w:r w:rsidRPr="000D21ED">
        <w:rPr>
          <w:rFonts w:ascii="Times New Roman" w:hAnsi="Times New Roman" w:cs="Times New Roman"/>
          <w:b/>
          <w:sz w:val="28"/>
          <w:szCs w:val="28"/>
          <w:u w:val="single"/>
          <w:lang w:val="bg-BG"/>
        </w:rPr>
        <w:t>НА СЪЗДАДЕНИ ДОПЪЛНИТЕЛНИ КОМИТЕТИ И РАБОТНИ ГРУПИ НА CPC</w:t>
      </w:r>
    </w:p>
    <w:p w14:paraId="78434494" w14:textId="77777777" w:rsidR="00C2526A" w:rsidRPr="00831A5B" w:rsidRDefault="00C2526A" w:rsidP="00C2526A">
      <w:pPr>
        <w:spacing w:after="0"/>
        <w:ind w:firstLine="720"/>
        <w:jc w:val="center"/>
        <w:rPr>
          <w:rFonts w:ascii="Times New Roman" w:hAnsi="Times New Roman" w:cs="Times New Roman"/>
          <w:sz w:val="28"/>
          <w:szCs w:val="28"/>
          <w:u w:val="single"/>
          <w:lang w:val="bg-BG"/>
        </w:rPr>
      </w:pPr>
    </w:p>
    <w:p w14:paraId="47AAD288" w14:textId="77777777" w:rsidR="00D973F0" w:rsidRPr="00831A5B" w:rsidRDefault="00D973F0" w:rsidP="00722BC7">
      <w:pPr>
        <w:spacing w:after="0"/>
        <w:ind w:firstLine="720"/>
        <w:jc w:val="both"/>
        <w:rPr>
          <w:rFonts w:ascii="Times New Roman" w:hAnsi="Times New Roman" w:cs="Times New Roman"/>
          <w:sz w:val="28"/>
          <w:szCs w:val="28"/>
          <w:u w:val="single"/>
          <w:lang w:val="bg-BG"/>
        </w:rPr>
      </w:pPr>
      <w:r w:rsidRPr="00831A5B">
        <w:rPr>
          <w:rFonts w:ascii="Times New Roman" w:hAnsi="Times New Roman" w:cs="Times New Roman"/>
          <w:sz w:val="28"/>
          <w:szCs w:val="28"/>
          <w:u w:val="single"/>
          <w:lang w:val="bg-BG"/>
        </w:rPr>
        <w:t>1. ГРУПА НА ПОТРЕБИТЕЛИТЕ НА ВЪЗДУШНИ СИСТЕМИ</w:t>
      </w:r>
    </w:p>
    <w:p w14:paraId="7F5B937A" w14:textId="77777777" w:rsidR="00D973F0" w:rsidRPr="00831A5B" w:rsidRDefault="00D973F0" w:rsidP="00722BC7">
      <w:pPr>
        <w:spacing w:after="0"/>
        <w:ind w:firstLine="720"/>
        <w:jc w:val="both"/>
        <w:rPr>
          <w:rFonts w:ascii="Times New Roman" w:hAnsi="Times New Roman" w:cs="Times New Roman"/>
          <w:sz w:val="28"/>
          <w:szCs w:val="28"/>
          <w:u w:val="single"/>
          <w:lang w:val="bg-BG"/>
        </w:rPr>
      </w:pPr>
      <w:r w:rsidRPr="00831A5B">
        <w:rPr>
          <w:rFonts w:ascii="Times New Roman" w:hAnsi="Times New Roman" w:cs="Times New Roman"/>
          <w:sz w:val="28"/>
          <w:szCs w:val="28"/>
          <w:u w:val="single"/>
          <w:lang w:val="bg-BG"/>
        </w:rPr>
        <w:t>ЦЕЛ</w:t>
      </w:r>
    </w:p>
    <w:p w14:paraId="7735BAFC" w14:textId="77777777" w:rsidR="00D973F0" w:rsidRPr="00C2526A" w:rsidRDefault="00D973F0" w:rsidP="00722BC7">
      <w:pPr>
        <w:spacing w:after="0"/>
        <w:ind w:firstLine="720"/>
        <w:jc w:val="both"/>
        <w:rPr>
          <w:rFonts w:ascii="Times New Roman" w:hAnsi="Times New Roman" w:cs="Times New Roman"/>
          <w:sz w:val="28"/>
          <w:szCs w:val="28"/>
          <w:lang w:val="bg-BG"/>
        </w:rPr>
      </w:pPr>
      <w:r w:rsidRPr="00C2526A">
        <w:rPr>
          <w:rFonts w:ascii="Times New Roman" w:hAnsi="Times New Roman" w:cs="Times New Roman"/>
          <w:sz w:val="28"/>
          <w:szCs w:val="28"/>
          <w:lang w:val="bg-BG"/>
        </w:rPr>
        <w:t>Групата на потребителите на въздушни системи (ASUG) е подчинена на</w:t>
      </w:r>
      <w:r w:rsidRPr="00831A5B">
        <w:rPr>
          <w:rFonts w:ascii="Times New Roman" w:hAnsi="Times New Roman" w:cs="Times New Roman"/>
          <w:sz w:val="28"/>
          <w:szCs w:val="28"/>
          <w:u w:val="single"/>
          <w:lang w:val="bg-BG"/>
        </w:rPr>
        <w:t xml:space="preserve"> </w:t>
      </w:r>
      <w:r w:rsidRPr="00C2526A">
        <w:rPr>
          <w:rFonts w:ascii="Times New Roman" w:hAnsi="Times New Roman" w:cs="Times New Roman"/>
          <w:sz w:val="28"/>
          <w:szCs w:val="28"/>
          <w:lang w:val="bg-BG"/>
        </w:rPr>
        <w:t>Комитета за подкрепа на партньорството (CPC) на COMMIT. ASUG предоставя правна рамка и фокус група за улесняване на многонационалната кооперативна логистика в подкрепа на въздушните системи и наземното оборудване за поддръжка (GSE).</w:t>
      </w:r>
    </w:p>
    <w:p w14:paraId="63534590" w14:textId="77777777" w:rsidR="009A6065" w:rsidRPr="00C2526A" w:rsidRDefault="00D973F0" w:rsidP="00722BC7">
      <w:pPr>
        <w:spacing w:after="0"/>
        <w:ind w:firstLine="720"/>
        <w:jc w:val="both"/>
        <w:rPr>
          <w:rFonts w:ascii="Times New Roman" w:hAnsi="Times New Roman" w:cs="Times New Roman"/>
          <w:sz w:val="28"/>
          <w:szCs w:val="28"/>
          <w:lang w:val="bg-BG"/>
        </w:rPr>
      </w:pPr>
      <w:r w:rsidRPr="00C2526A">
        <w:rPr>
          <w:rFonts w:ascii="Times New Roman" w:hAnsi="Times New Roman" w:cs="Times New Roman"/>
          <w:sz w:val="28"/>
          <w:szCs w:val="28"/>
          <w:lang w:val="bg-BG"/>
        </w:rPr>
        <w:t>ОБХВАТ</w:t>
      </w:r>
    </w:p>
    <w:p w14:paraId="0CA0946F" w14:textId="77777777" w:rsidR="00C2526A" w:rsidRDefault="009A6065" w:rsidP="0098561A">
      <w:pPr>
        <w:spacing w:after="0"/>
        <w:ind w:firstLine="142"/>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xml:space="preserve">- Използване на Логистичната фондова борса на НАТО (NLSE) за: </w:t>
      </w:r>
    </w:p>
    <w:p w14:paraId="076B281D" w14:textId="77777777" w:rsidR="00C2526A" w:rsidRDefault="009A6065" w:rsidP="00C2526A">
      <w:pPr>
        <w:pStyle w:val="ListParagraph"/>
        <w:numPr>
          <w:ilvl w:val="0"/>
          <w:numId w:val="2"/>
        </w:numPr>
        <w:tabs>
          <w:tab w:val="left" w:pos="993"/>
        </w:tabs>
        <w:spacing w:after="0"/>
        <w:ind w:left="142" w:firstLine="567"/>
        <w:jc w:val="both"/>
        <w:rPr>
          <w:rFonts w:ascii="Times New Roman" w:hAnsi="Times New Roman" w:cs="Times New Roman"/>
          <w:sz w:val="28"/>
          <w:szCs w:val="28"/>
          <w:lang w:val="bg-BG"/>
        </w:rPr>
      </w:pPr>
      <w:r w:rsidRPr="00C2526A">
        <w:rPr>
          <w:rFonts w:ascii="Times New Roman" w:hAnsi="Times New Roman" w:cs="Times New Roman"/>
          <w:sz w:val="28"/>
          <w:szCs w:val="28"/>
          <w:lang w:val="bg-BG"/>
        </w:rPr>
        <w:t>видимост на активите;</w:t>
      </w:r>
    </w:p>
    <w:p w14:paraId="34EEA672" w14:textId="77777777" w:rsidR="00C2526A" w:rsidRDefault="009A6065" w:rsidP="00C2526A">
      <w:pPr>
        <w:pStyle w:val="ListParagraph"/>
        <w:numPr>
          <w:ilvl w:val="0"/>
          <w:numId w:val="2"/>
        </w:numPr>
        <w:tabs>
          <w:tab w:val="left" w:pos="993"/>
        </w:tabs>
        <w:spacing w:after="0"/>
        <w:ind w:left="142" w:firstLine="567"/>
        <w:jc w:val="both"/>
        <w:rPr>
          <w:rFonts w:ascii="Times New Roman" w:hAnsi="Times New Roman" w:cs="Times New Roman"/>
          <w:sz w:val="28"/>
          <w:szCs w:val="28"/>
          <w:lang w:val="bg-BG"/>
        </w:rPr>
      </w:pPr>
      <w:r w:rsidRPr="00C2526A">
        <w:rPr>
          <w:rFonts w:ascii="Times New Roman" w:hAnsi="Times New Roman" w:cs="Times New Roman"/>
          <w:sz w:val="28"/>
          <w:szCs w:val="28"/>
          <w:lang w:val="bg-BG"/>
        </w:rPr>
        <w:t>взаимна подкрепа чрез преразпределение;</w:t>
      </w:r>
    </w:p>
    <w:p w14:paraId="427428F3" w14:textId="77777777" w:rsidR="00C2526A" w:rsidRDefault="009A6065" w:rsidP="0098561A">
      <w:pPr>
        <w:pStyle w:val="ListParagraph"/>
        <w:numPr>
          <w:ilvl w:val="0"/>
          <w:numId w:val="2"/>
        </w:numPr>
        <w:tabs>
          <w:tab w:val="left" w:pos="993"/>
        </w:tabs>
        <w:spacing w:after="0"/>
        <w:ind w:left="851" w:hanging="142"/>
        <w:jc w:val="both"/>
        <w:rPr>
          <w:rFonts w:ascii="Times New Roman" w:hAnsi="Times New Roman" w:cs="Times New Roman"/>
          <w:sz w:val="28"/>
          <w:szCs w:val="28"/>
          <w:lang w:val="bg-BG"/>
        </w:rPr>
      </w:pPr>
      <w:r w:rsidRPr="00C2526A">
        <w:rPr>
          <w:rFonts w:ascii="Times New Roman" w:hAnsi="Times New Roman" w:cs="Times New Roman"/>
          <w:sz w:val="28"/>
          <w:szCs w:val="28"/>
          <w:lang w:val="bg-BG"/>
        </w:rPr>
        <w:t>снабдяване с артикули за доставки, пакети за поддръжка, възможности и услуги;</w:t>
      </w:r>
    </w:p>
    <w:p w14:paraId="7D53BB54" w14:textId="77777777" w:rsidR="00C2526A" w:rsidRPr="00C2526A" w:rsidRDefault="00C2526A" w:rsidP="0098561A">
      <w:pPr>
        <w:pStyle w:val="ListParagraph"/>
        <w:tabs>
          <w:tab w:val="left" w:pos="993"/>
        </w:tabs>
        <w:spacing w:after="0"/>
        <w:ind w:left="709" w:hanging="567"/>
        <w:jc w:val="both"/>
        <w:rPr>
          <w:rFonts w:ascii="Times New Roman" w:hAnsi="Times New Roman" w:cs="Times New Roman"/>
          <w:sz w:val="28"/>
          <w:szCs w:val="28"/>
          <w:lang w:val="bg-BG"/>
        </w:rPr>
      </w:pPr>
      <w:r>
        <w:rPr>
          <w:rFonts w:ascii="Times New Roman" w:hAnsi="Times New Roman" w:cs="Times New Roman"/>
          <w:sz w:val="28"/>
          <w:szCs w:val="28"/>
          <w:lang w:val="bg-BG"/>
        </w:rPr>
        <w:t>-</w:t>
      </w:r>
      <w:r w:rsidR="0098561A" w:rsidRPr="00C2526A">
        <w:rPr>
          <w:rFonts w:ascii="Times New Roman" w:hAnsi="Times New Roman" w:cs="Times New Roman"/>
          <w:sz w:val="28"/>
          <w:szCs w:val="28"/>
          <w:lang w:val="bg-BG"/>
        </w:rPr>
        <w:t xml:space="preserve">Насърчаване </w:t>
      </w:r>
      <w:r w:rsidR="009A6065" w:rsidRPr="00C2526A">
        <w:rPr>
          <w:rFonts w:ascii="Times New Roman" w:hAnsi="Times New Roman" w:cs="Times New Roman"/>
          <w:sz w:val="28"/>
          <w:szCs w:val="28"/>
          <w:lang w:val="bg-BG"/>
        </w:rPr>
        <w:t>на използването на Виртуално управление на запасите и идентифициране и консолидиране на нуждите на държавите;</w:t>
      </w:r>
    </w:p>
    <w:p w14:paraId="1046898B" w14:textId="77777777" w:rsidR="00C2526A" w:rsidRDefault="00C2526A" w:rsidP="0098561A">
      <w:pPr>
        <w:pStyle w:val="ListParagraph"/>
        <w:tabs>
          <w:tab w:val="left" w:pos="993"/>
        </w:tabs>
        <w:spacing w:after="0"/>
        <w:ind w:left="284" w:hanging="142"/>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 </w:t>
      </w:r>
      <w:r w:rsidR="0098561A" w:rsidRPr="00C2526A">
        <w:rPr>
          <w:rFonts w:ascii="Times New Roman" w:hAnsi="Times New Roman" w:cs="Times New Roman"/>
          <w:sz w:val="28"/>
          <w:szCs w:val="28"/>
          <w:lang w:val="bg-BG"/>
        </w:rPr>
        <w:t xml:space="preserve">Отправяне </w:t>
      </w:r>
      <w:r w:rsidR="009A6065" w:rsidRPr="00C2526A">
        <w:rPr>
          <w:rFonts w:ascii="Times New Roman" w:hAnsi="Times New Roman" w:cs="Times New Roman"/>
          <w:sz w:val="28"/>
          <w:szCs w:val="28"/>
          <w:lang w:val="bg-BG"/>
        </w:rPr>
        <w:t>на препоръки към CPC относно артикулите за доставки, услуги и пакети за поддръжка;</w:t>
      </w:r>
    </w:p>
    <w:p w14:paraId="7D174F11" w14:textId="77777777" w:rsidR="009A6065" w:rsidRPr="00C2526A" w:rsidRDefault="00C2526A" w:rsidP="0098561A">
      <w:pPr>
        <w:pStyle w:val="ListParagraph"/>
        <w:tabs>
          <w:tab w:val="left" w:pos="993"/>
        </w:tabs>
        <w:spacing w:after="0"/>
        <w:ind w:left="284" w:hanging="142"/>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 </w:t>
      </w:r>
      <w:r w:rsidR="0098561A" w:rsidRPr="00C2526A">
        <w:rPr>
          <w:rFonts w:ascii="Times New Roman" w:hAnsi="Times New Roman" w:cs="Times New Roman"/>
          <w:sz w:val="28"/>
          <w:szCs w:val="28"/>
          <w:lang w:val="bg-BG"/>
        </w:rPr>
        <w:t xml:space="preserve">Предлагане </w:t>
      </w:r>
      <w:r w:rsidR="009A6065" w:rsidRPr="00C2526A">
        <w:rPr>
          <w:rFonts w:ascii="Times New Roman" w:hAnsi="Times New Roman" w:cs="Times New Roman"/>
          <w:sz w:val="28"/>
          <w:szCs w:val="28"/>
          <w:lang w:val="bg-BG"/>
        </w:rPr>
        <w:t>на „общ форум“ за споделяне на опит и очаквания при намирането на общ подход за поддръжка на нуждите с минимални разходи.</w:t>
      </w:r>
    </w:p>
    <w:p w14:paraId="02413A83"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2. ГРУПА НА ПОТРЕБИТЕЛИТЕ НА ЗЕМНИ СИСТЕМИ</w:t>
      </w:r>
    </w:p>
    <w:p w14:paraId="1B6E6678"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ЦЕЛ</w:t>
      </w:r>
    </w:p>
    <w:p w14:paraId="755DC9E2" w14:textId="77777777" w:rsidR="00D973F0"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Групата на потребителите на земя (LSUG) е подчинена на Комитета за партньорство за подкрепа (CPC) на COMMIT. LSUG предоставя правна рамка и фокус група за улесняване на многонационалната кооперативна логистика в подкрепа на земята.</w:t>
      </w:r>
    </w:p>
    <w:p w14:paraId="2A16CE1A"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ОБХВАТ</w:t>
      </w:r>
    </w:p>
    <w:p w14:paraId="47ED7D9B"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Използване на Логистичната фондова борса на НАТО (NLSE) за: o видимост на активите;</w:t>
      </w:r>
    </w:p>
    <w:p w14:paraId="7CF88C0E" w14:textId="77777777" w:rsidR="009A6065" w:rsidRPr="0098561A" w:rsidRDefault="009A6065" w:rsidP="0098561A">
      <w:pPr>
        <w:pStyle w:val="ListParagraph"/>
        <w:numPr>
          <w:ilvl w:val="0"/>
          <w:numId w:val="2"/>
        </w:numPr>
        <w:spacing w:after="0"/>
        <w:jc w:val="both"/>
        <w:rPr>
          <w:rFonts w:ascii="Times New Roman" w:hAnsi="Times New Roman" w:cs="Times New Roman"/>
          <w:sz w:val="28"/>
          <w:szCs w:val="28"/>
          <w:lang w:val="bg-BG"/>
        </w:rPr>
      </w:pPr>
      <w:r w:rsidRPr="0098561A">
        <w:rPr>
          <w:rFonts w:ascii="Times New Roman" w:hAnsi="Times New Roman" w:cs="Times New Roman"/>
          <w:sz w:val="28"/>
          <w:szCs w:val="28"/>
          <w:lang w:val="bg-BG"/>
        </w:rPr>
        <w:t>взаимна подкрепа чрез преразпределение;</w:t>
      </w:r>
    </w:p>
    <w:p w14:paraId="6621F2BD" w14:textId="77777777" w:rsidR="009A6065" w:rsidRPr="0098561A" w:rsidRDefault="009A6065" w:rsidP="0098561A">
      <w:pPr>
        <w:pStyle w:val="ListParagraph"/>
        <w:numPr>
          <w:ilvl w:val="0"/>
          <w:numId w:val="2"/>
        </w:numPr>
        <w:spacing w:after="0"/>
        <w:jc w:val="both"/>
        <w:rPr>
          <w:rFonts w:ascii="Times New Roman" w:hAnsi="Times New Roman" w:cs="Times New Roman"/>
          <w:sz w:val="28"/>
          <w:szCs w:val="28"/>
          <w:lang w:val="bg-BG"/>
        </w:rPr>
      </w:pPr>
      <w:r w:rsidRPr="0098561A">
        <w:rPr>
          <w:rFonts w:ascii="Times New Roman" w:hAnsi="Times New Roman" w:cs="Times New Roman"/>
          <w:sz w:val="28"/>
          <w:szCs w:val="28"/>
          <w:lang w:val="bg-BG"/>
        </w:rPr>
        <w:t>снабдяване с артикули за доставки, пакети за поддръжка, възможности и услуги;</w:t>
      </w:r>
    </w:p>
    <w:p w14:paraId="3F6A2E07"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xml:space="preserve">- </w:t>
      </w:r>
      <w:r w:rsidR="0098561A" w:rsidRPr="00831A5B">
        <w:rPr>
          <w:rFonts w:ascii="Times New Roman" w:hAnsi="Times New Roman" w:cs="Times New Roman"/>
          <w:sz w:val="28"/>
          <w:szCs w:val="28"/>
          <w:lang w:val="bg-BG"/>
        </w:rPr>
        <w:t xml:space="preserve">Насърчаване </w:t>
      </w:r>
      <w:r w:rsidRPr="00831A5B">
        <w:rPr>
          <w:rFonts w:ascii="Times New Roman" w:hAnsi="Times New Roman" w:cs="Times New Roman"/>
          <w:sz w:val="28"/>
          <w:szCs w:val="28"/>
          <w:lang w:val="bg-BG"/>
        </w:rPr>
        <w:t>на използването на Виртуално управление на запасите и идентифициране и консолидиране на изискванията на държавите;</w:t>
      </w:r>
    </w:p>
    <w:p w14:paraId="67749590"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lastRenderedPageBreak/>
        <w:t xml:space="preserve">- </w:t>
      </w:r>
      <w:r w:rsidR="0098561A" w:rsidRPr="00831A5B">
        <w:rPr>
          <w:rFonts w:ascii="Times New Roman" w:hAnsi="Times New Roman" w:cs="Times New Roman"/>
          <w:sz w:val="28"/>
          <w:szCs w:val="28"/>
          <w:lang w:val="bg-BG"/>
        </w:rPr>
        <w:t xml:space="preserve">Отправяне </w:t>
      </w:r>
      <w:r w:rsidRPr="00831A5B">
        <w:rPr>
          <w:rFonts w:ascii="Times New Roman" w:hAnsi="Times New Roman" w:cs="Times New Roman"/>
          <w:sz w:val="28"/>
          <w:szCs w:val="28"/>
          <w:lang w:val="bg-BG"/>
        </w:rPr>
        <w:t>на препоръки към CPC относно артикулите за доставки, услуги и пакети за поддръжка;</w:t>
      </w:r>
    </w:p>
    <w:p w14:paraId="7E9A990A"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xml:space="preserve">- </w:t>
      </w:r>
      <w:r w:rsidR="0098561A" w:rsidRPr="00831A5B">
        <w:rPr>
          <w:rFonts w:ascii="Times New Roman" w:hAnsi="Times New Roman" w:cs="Times New Roman"/>
          <w:sz w:val="28"/>
          <w:szCs w:val="28"/>
          <w:lang w:val="bg-BG"/>
        </w:rPr>
        <w:t xml:space="preserve">Предлагане </w:t>
      </w:r>
      <w:r w:rsidRPr="00831A5B">
        <w:rPr>
          <w:rFonts w:ascii="Times New Roman" w:hAnsi="Times New Roman" w:cs="Times New Roman"/>
          <w:sz w:val="28"/>
          <w:szCs w:val="28"/>
          <w:lang w:val="bg-BG"/>
        </w:rPr>
        <w:t>на „общ форум“ за споделяне на опит и очаквания при намирането на общ подход към изискванията за поддръжка с минимални разходи.</w:t>
      </w:r>
    </w:p>
    <w:p w14:paraId="0BEE0BC6"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3. ПОДКОМИТЕТ ПО BV</w:t>
      </w:r>
    </w:p>
    <w:p w14:paraId="46465736"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ЦЕЛ</w:t>
      </w:r>
    </w:p>
    <w:p w14:paraId="138C99DF"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Подкомитетът по BV (BVSC) е създаден към Потребителската група на наземните системи (LSUG) и е подчинен на Комитета за партньорство за подкрепа (CPC) на COMMIT. Подкомитетът по BV предоставя правна рамка и фокус група за улесняване на многонационалната кооперативна логистика в подкрепа на семейството превозни средства BV.</w:t>
      </w:r>
    </w:p>
    <w:p w14:paraId="13F7BF08"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ОБХВАТ</w:t>
      </w:r>
    </w:p>
    <w:p w14:paraId="2268402B"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Използване на Логистичната фондова борса на НАТО (NLSE) за: o видимост на активите;</w:t>
      </w:r>
    </w:p>
    <w:p w14:paraId="1472762F" w14:textId="77777777" w:rsidR="009A6065" w:rsidRPr="0098561A" w:rsidRDefault="009A6065" w:rsidP="0098561A">
      <w:pPr>
        <w:pStyle w:val="ListParagraph"/>
        <w:numPr>
          <w:ilvl w:val="0"/>
          <w:numId w:val="2"/>
        </w:numPr>
        <w:spacing w:after="0"/>
        <w:jc w:val="both"/>
        <w:rPr>
          <w:rFonts w:ascii="Times New Roman" w:hAnsi="Times New Roman" w:cs="Times New Roman"/>
          <w:sz w:val="28"/>
          <w:szCs w:val="28"/>
          <w:lang w:val="bg-BG"/>
        </w:rPr>
      </w:pPr>
      <w:r w:rsidRPr="0098561A">
        <w:rPr>
          <w:rFonts w:ascii="Times New Roman" w:hAnsi="Times New Roman" w:cs="Times New Roman"/>
          <w:sz w:val="28"/>
          <w:szCs w:val="28"/>
          <w:lang w:val="bg-BG"/>
        </w:rPr>
        <w:t>взаимна подкрепа чрез преразпределение;</w:t>
      </w:r>
    </w:p>
    <w:p w14:paraId="062CA445" w14:textId="77777777" w:rsidR="009A6065" w:rsidRPr="0098561A" w:rsidRDefault="009A6065" w:rsidP="0098561A">
      <w:pPr>
        <w:pStyle w:val="ListParagraph"/>
        <w:numPr>
          <w:ilvl w:val="0"/>
          <w:numId w:val="2"/>
        </w:numPr>
        <w:spacing w:after="0"/>
        <w:jc w:val="both"/>
        <w:rPr>
          <w:rFonts w:ascii="Times New Roman" w:hAnsi="Times New Roman" w:cs="Times New Roman"/>
          <w:sz w:val="28"/>
          <w:szCs w:val="28"/>
          <w:lang w:val="bg-BG"/>
        </w:rPr>
      </w:pPr>
      <w:r w:rsidRPr="0098561A">
        <w:rPr>
          <w:rFonts w:ascii="Times New Roman" w:hAnsi="Times New Roman" w:cs="Times New Roman"/>
          <w:sz w:val="28"/>
          <w:szCs w:val="28"/>
          <w:lang w:val="bg-BG"/>
        </w:rPr>
        <w:t>снабдяване с артикули за доставки, пакети за поддръжка, възможности и услуги;</w:t>
      </w:r>
    </w:p>
    <w:p w14:paraId="79A6B192"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насърчаване на използването на Виртуално управление на запасите и идентифициране и консолидиране на нуждите на държавите;</w:t>
      </w:r>
    </w:p>
    <w:p w14:paraId="0AF72B53"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отправяне на препоръки към CPC относно артикули за доставки, услуги и пакети за поддръжка;</w:t>
      </w:r>
    </w:p>
    <w:p w14:paraId="4745B73D" w14:textId="77777777" w:rsidR="009A6065"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предлагане на „общ форум“ за споделяне на опит и очаквания при намирането на общ подход</w:t>
      </w:r>
      <w:r w:rsidR="003267E9">
        <w:rPr>
          <w:rFonts w:ascii="Times New Roman" w:hAnsi="Times New Roman" w:cs="Times New Roman"/>
          <w:sz w:val="28"/>
          <w:szCs w:val="28"/>
          <w:lang w:val="bg-BG"/>
        </w:rPr>
        <w:t xml:space="preserve"> </w:t>
      </w:r>
      <w:r w:rsidRPr="00831A5B">
        <w:rPr>
          <w:rFonts w:ascii="Times New Roman" w:hAnsi="Times New Roman" w:cs="Times New Roman"/>
          <w:sz w:val="28"/>
          <w:szCs w:val="28"/>
          <w:lang w:val="bg-BG"/>
        </w:rPr>
        <w:t>за поддръжка на нуждите с минимални разходи.</w:t>
      </w:r>
    </w:p>
    <w:p w14:paraId="58937FD1" w14:textId="77777777" w:rsidR="003267E9" w:rsidRDefault="003267E9" w:rsidP="00722BC7">
      <w:pPr>
        <w:spacing w:after="0"/>
        <w:ind w:firstLine="720"/>
        <w:jc w:val="both"/>
        <w:rPr>
          <w:rFonts w:ascii="Times New Roman" w:hAnsi="Times New Roman" w:cs="Times New Roman"/>
          <w:sz w:val="28"/>
          <w:szCs w:val="28"/>
          <w:lang w:val="bg-BG"/>
        </w:rPr>
      </w:pPr>
    </w:p>
    <w:p w14:paraId="2D9B5AE8"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4. ГРУПА НА ПОТРЕБИТЕЛИТЕ НА ВОЕННОМОРСКИ СИСТЕМИ</w:t>
      </w:r>
    </w:p>
    <w:p w14:paraId="3BFB31ED"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ЦЕЛ</w:t>
      </w:r>
    </w:p>
    <w:p w14:paraId="2EB71B0E"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Групата на потребителите на военноморски системи (NSUG) е подчинена на Комитета за партньорство за подкрепа (CPC) на COMMIT. NSUG предоставя правна рамка и фокус група за улесняване на многонационалната кооперативна логистика в подкрепа на военноморските системи.</w:t>
      </w:r>
    </w:p>
    <w:p w14:paraId="4195A647"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ОБХВАТ</w:t>
      </w:r>
    </w:p>
    <w:p w14:paraId="2518C27E" w14:textId="77777777" w:rsidR="00C55695" w:rsidRDefault="009A6065" w:rsidP="00C55695">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Използване на Логистичната фондова борса на НАТО (NLSE) за:</w:t>
      </w:r>
    </w:p>
    <w:p w14:paraId="41EA274D" w14:textId="77777777" w:rsidR="009A6065" w:rsidRPr="00C55695" w:rsidRDefault="009A6065" w:rsidP="00C55695">
      <w:pPr>
        <w:pStyle w:val="ListParagraph"/>
        <w:numPr>
          <w:ilvl w:val="0"/>
          <w:numId w:val="9"/>
        </w:numPr>
        <w:spacing w:after="0"/>
        <w:ind w:left="851" w:hanging="218"/>
        <w:jc w:val="both"/>
        <w:rPr>
          <w:rFonts w:ascii="Times New Roman" w:hAnsi="Times New Roman" w:cs="Times New Roman"/>
          <w:sz w:val="28"/>
          <w:szCs w:val="28"/>
          <w:lang w:val="bg-BG"/>
        </w:rPr>
      </w:pPr>
      <w:r w:rsidRPr="00C55695">
        <w:rPr>
          <w:rFonts w:ascii="Times New Roman" w:hAnsi="Times New Roman" w:cs="Times New Roman"/>
          <w:sz w:val="28"/>
          <w:szCs w:val="28"/>
          <w:lang w:val="bg-BG"/>
        </w:rPr>
        <w:t>видимост на активите;</w:t>
      </w:r>
    </w:p>
    <w:p w14:paraId="4EF29268" w14:textId="77777777" w:rsidR="009A6065" w:rsidRPr="0098561A" w:rsidRDefault="009A6065" w:rsidP="00C55695">
      <w:pPr>
        <w:pStyle w:val="ListParagraph"/>
        <w:numPr>
          <w:ilvl w:val="0"/>
          <w:numId w:val="2"/>
        </w:numPr>
        <w:spacing w:after="0"/>
        <w:ind w:left="851" w:hanging="218"/>
        <w:jc w:val="both"/>
        <w:rPr>
          <w:rFonts w:ascii="Times New Roman" w:hAnsi="Times New Roman" w:cs="Times New Roman"/>
          <w:sz w:val="28"/>
          <w:szCs w:val="28"/>
          <w:lang w:val="bg-BG"/>
        </w:rPr>
      </w:pPr>
      <w:r w:rsidRPr="0098561A">
        <w:rPr>
          <w:rFonts w:ascii="Times New Roman" w:hAnsi="Times New Roman" w:cs="Times New Roman"/>
          <w:sz w:val="28"/>
          <w:szCs w:val="28"/>
          <w:lang w:val="bg-BG"/>
        </w:rPr>
        <w:t>взаимна подкрепа чрез преразпределение;</w:t>
      </w:r>
    </w:p>
    <w:p w14:paraId="4AE78D07" w14:textId="77777777" w:rsidR="009A6065" w:rsidRPr="0098561A" w:rsidRDefault="009A6065" w:rsidP="00C55695">
      <w:pPr>
        <w:pStyle w:val="ListParagraph"/>
        <w:numPr>
          <w:ilvl w:val="0"/>
          <w:numId w:val="2"/>
        </w:numPr>
        <w:spacing w:after="0"/>
        <w:ind w:left="851" w:hanging="218"/>
        <w:jc w:val="both"/>
        <w:rPr>
          <w:rFonts w:ascii="Times New Roman" w:hAnsi="Times New Roman" w:cs="Times New Roman"/>
          <w:sz w:val="28"/>
          <w:szCs w:val="28"/>
          <w:lang w:val="bg-BG"/>
        </w:rPr>
      </w:pPr>
      <w:r w:rsidRPr="0098561A">
        <w:rPr>
          <w:rFonts w:ascii="Times New Roman" w:hAnsi="Times New Roman" w:cs="Times New Roman"/>
          <w:sz w:val="28"/>
          <w:szCs w:val="28"/>
          <w:lang w:val="bg-BG"/>
        </w:rPr>
        <w:t>снабдяване с артикули за доставки, пакети за поддръжка, възможности и услуги;</w:t>
      </w:r>
    </w:p>
    <w:p w14:paraId="301A18F1"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насърчаване на използването на Виртуално управление на запасите и идентифициране и консолидиране на нуждите на държавите;</w:t>
      </w:r>
    </w:p>
    <w:p w14:paraId="743B8F64"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отправяне на препоръки към CPC относно артикули за доставки, услуги и пакети за поддръжка;</w:t>
      </w:r>
    </w:p>
    <w:p w14:paraId="2BF8F839"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lastRenderedPageBreak/>
        <w:t>- предлагане на „общ форум“ за споделяне на опит и очаквания при намирането на общ подход</w:t>
      </w:r>
      <w:r w:rsidR="00C55695">
        <w:rPr>
          <w:rFonts w:ascii="Times New Roman" w:hAnsi="Times New Roman" w:cs="Times New Roman"/>
          <w:sz w:val="28"/>
          <w:szCs w:val="28"/>
          <w:lang w:val="bg-BG"/>
        </w:rPr>
        <w:t xml:space="preserve"> </w:t>
      </w:r>
      <w:r w:rsidRPr="00831A5B">
        <w:rPr>
          <w:rFonts w:ascii="Times New Roman" w:hAnsi="Times New Roman" w:cs="Times New Roman"/>
          <w:sz w:val="28"/>
          <w:szCs w:val="28"/>
          <w:lang w:val="bg-BG"/>
        </w:rPr>
        <w:t>за поддръжка на нуждите с минимални разходи.</w:t>
      </w:r>
    </w:p>
    <w:p w14:paraId="09577728" w14:textId="77777777" w:rsidR="009846B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xml:space="preserve">5. </w:t>
      </w:r>
      <w:r w:rsidR="00D85C85" w:rsidRPr="00D85C85">
        <w:rPr>
          <w:rFonts w:ascii="Times New Roman" w:hAnsi="Times New Roman" w:cs="Times New Roman"/>
          <w:sz w:val="28"/>
          <w:szCs w:val="28"/>
          <w:lang w:val="bg-BG"/>
        </w:rPr>
        <w:t>5.</w:t>
      </w:r>
      <w:r w:rsidR="00D85C85" w:rsidRPr="00D85C85">
        <w:rPr>
          <w:rFonts w:ascii="Times New Roman" w:hAnsi="Times New Roman" w:cs="Times New Roman"/>
          <w:sz w:val="28"/>
          <w:szCs w:val="28"/>
          <w:lang w:val="bg-BG"/>
        </w:rPr>
        <w:tab/>
      </w:r>
      <w:r w:rsidR="004F04A8" w:rsidRPr="004F04A8">
        <w:rPr>
          <w:rFonts w:ascii="Times New Roman" w:hAnsi="Times New Roman" w:cs="Times New Roman"/>
          <w:sz w:val="28"/>
          <w:szCs w:val="28"/>
          <w:lang w:val="bg-BG"/>
        </w:rPr>
        <w:t>ГРУПА НА ПОТРЕБИТЕЛИТЕ НА</w:t>
      </w:r>
      <w:r w:rsidR="009846BB">
        <w:rPr>
          <w:rFonts w:ascii="Times New Roman" w:hAnsi="Times New Roman" w:cs="Times New Roman"/>
          <w:sz w:val="28"/>
          <w:szCs w:val="28"/>
          <w:lang w:val="bg-BG"/>
        </w:rPr>
        <w:t xml:space="preserve"> СИСТЕМИ</w:t>
      </w:r>
      <w:r w:rsidR="004F04A8" w:rsidRPr="004F04A8">
        <w:rPr>
          <w:rFonts w:ascii="Times New Roman" w:hAnsi="Times New Roman" w:cs="Times New Roman"/>
          <w:sz w:val="28"/>
          <w:szCs w:val="28"/>
          <w:lang w:val="bg-BG"/>
        </w:rPr>
        <w:t xml:space="preserve"> </w:t>
      </w:r>
      <w:r w:rsidR="009846BB">
        <w:rPr>
          <w:rFonts w:ascii="Times New Roman" w:hAnsi="Times New Roman" w:cs="Times New Roman"/>
          <w:sz w:val="28"/>
          <w:szCs w:val="28"/>
          <w:lang w:val="bg-BG"/>
        </w:rPr>
        <w:t xml:space="preserve">ЗА ИНДИВИДУАЛНА ЕКИПИРОВКА НА ВОЙНИКА </w:t>
      </w:r>
    </w:p>
    <w:p w14:paraId="7B82E1D7"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ЦЕЛ</w:t>
      </w:r>
    </w:p>
    <w:p w14:paraId="671EEAAA"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xml:space="preserve">Групата на потребителите на оборудване на </w:t>
      </w:r>
      <w:r w:rsidR="009846BB">
        <w:rPr>
          <w:rFonts w:ascii="Times New Roman" w:hAnsi="Times New Roman" w:cs="Times New Roman"/>
          <w:sz w:val="28"/>
          <w:szCs w:val="28"/>
          <w:lang w:val="bg-BG"/>
        </w:rPr>
        <w:t>индивидуална екипировка на  войника</w:t>
      </w:r>
      <w:r w:rsidR="004F04A8" w:rsidRPr="004F04A8">
        <w:rPr>
          <w:rFonts w:ascii="Times New Roman" w:hAnsi="Times New Roman" w:cs="Times New Roman"/>
          <w:sz w:val="28"/>
          <w:szCs w:val="28"/>
        </w:rPr>
        <w:t xml:space="preserve"> </w:t>
      </w:r>
      <w:r w:rsidRPr="00831A5B">
        <w:rPr>
          <w:rFonts w:ascii="Times New Roman" w:hAnsi="Times New Roman" w:cs="Times New Roman"/>
          <w:sz w:val="28"/>
          <w:szCs w:val="28"/>
          <w:lang w:val="bg-BG"/>
        </w:rPr>
        <w:t>(DSEUG) е подчинена на Комитета за партньорство за подкрепа COMMIT (CPC). DSEUG предоставя правна рамка и фокус група за улесняване на многонационалната кооперативна логистика в подкрепа на ефективността на в областите, категоризирани от NATO AC/225 като:</w:t>
      </w:r>
    </w:p>
    <w:p w14:paraId="281D7BD0"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C4I</w:t>
      </w:r>
    </w:p>
    <w:p w14:paraId="0E239E4D"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Устойчивост</w:t>
      </w:r>
    </w:p>
    <w:p w14:paraId="077CAB3F"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Оцеляване</w:t>
      </w:r>
    </w:p>
    <w:p w14:paraId="54C23700"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Мобилност</w:t>
      </w:r>
    </w:p>
    <w:p w14:paraId="39C4CDCC" w14:textId="77777777" w:rsidR="009A6065" w:rsidRPr="00831A5B" w:rsidRDefault="009A606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xml:space="preserve">- </w:t>
      </w:r>
      <w:proofErr w:type="spellStart"/>
      <w:r w:rsidRPr="00831A5B">
        <w:rPr>
          <w:rFonts w:ascii="Times New Roman" w:hAnsi="Times New Roman" w:cs="Times New Roman"/>
          <w:sz w:val="28"/>
          <w:szCs w:val="28"/>
          <w:lang w:val="bg-BG"/>
        </w:rPr>
        <w:t>Смъртоносност</w:t>
      </w:r>
      <w:proofErr w:type="spellEnd"/>
    </w:p>
    <w:p w14:paraId="4E17D9EF" w14:textId="77777777" w:rsidR="00E02355" w:rsidRPr="00D85C85" w:rsidRDefault="00E02355" w:rsidP="00722BC7">
      <w:pPr>
        <w:spacing w:after="0"/>
        <w:ind w:firstLine="720"/>
        <w:jc w:val="both"/>
        <w:rPr>
          <w:rFonts w:ascii="Times New Roman" w:hAnsi="Times New Roman" w:cs="Times New Roman"/>
          <w:sz w:val="28"/>
          <w:szCs w:val="28"/>
        </w:rPr>
      </w:pPr>
      <w:r w:rsidRPr="00831A5B">
        <w:rPr>
          <w:rFonts w:ascii="Times New Roman" w:hAnsi="Times New Roman" w:cs="Times New Roman"/>
          <w:sz w:val="28"/>
          <w:szCs w:val="28"/>
          <w:lang w:val="bg-BG"/>
        </w:rPr>
        <w:t>ОБХВАТ</w:t>
      </w:r>
    </w:p>
    <w:p w14:paraId="041082F7" w14:textId="77777777" w:rsidR="00BE3B1E" w:rsidRDefault="00E0235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xml:space="preserve">- Използване на Логистичната фондова борса на НАТО (NLSE) за: </w:t>
      </w:r>
    </w:p>
    <w:p w14:paraId="087CE8BE" w14:textId="77777777" w:rsidR="00E02355" w:rsidRPr="00BE3B1E" w:rsidRDefault="00E02355" w:rsidP="00BE3B1E">
      <w:pPr>
        <w:pStyle w:val="ListParagraph"/>
        <w:numPr>
          <w:ilvl w:val="0"/>
          <w:numId w:val="10"/>
        </w:numPr>
        <w:spacing w:after="0"/>
        <w:ind w:left="1134" w:hanging="425"/>
        <w:jc w:val="both"/>
        <w:rPr>
          <w:rFonts w:ascii="Times New Roman" w:hAnsi="Times New Roman" w:cs="Times New Roman"/>
          <w:sz w:val="28"/>
          <w:szCs w:val="28"/>
          <w:lang w:val="bg-BG"/>
        </w:rPr>
      </w:pPr>
      <w:r w:rsidRPr="00BE3B1E">
        <w:rPr>
          <w:rFonts w:ascii="Times New Roman" w:hAnsi="Times New Roman" w:cs="Times New Roman"/>
          <w:sz w:val="28"/>
          <w:szCs w:val="28"/>
          <w:lang w:val="bg-BG"/>
        </w:rPr>
        <w:t>видимост на активите;</w:t>
      </w:r>
    </w:p>
    <w:p w14:paraId="3AF97E8A" w14:textId="77777777" w:rsidR="00E02355" w:rsidRPr="0098561A" w:rsidRDefault="00E02355" w:rsidP="0098561A">
      <w:pPr>
        <w:pStyle w:val="ListParagraph"/>
        <w:numPr>
          <w:ilvl w:val="0"/>
          <w:numId w:val="2"/>
        </w:numPr>
        <w:spacing w:after="0"/>
        <w:jc w:val="both"/>
        <w:rPr>
          <w:rFonts w:ascii="Times New Roman" w:hAnsi="Times New Roman" w:cs="Times New Roman"/>
          <w:sz w:val="28"/>
          <w:szCs w:val="28"/>
          <w:lang w:val="bg-BG"/>
        </w:rPr>
      </w:pPr>
      <w:r w:rsidRPr="0098561A">
        <w:rPr>
          <w:rFonts w:ascii="Times New Roman" w:hAnsi="Times New Roman" w:cs="Times New Roman"/>
          <w:sz w:val="28"/>
          <w:szCs w:val="28"/>
          <w:lang w:val="bg-BG"/>
        </w:rPr>
        <w:t>взаимна подкрепа чрез преразпределение;</w:t>
      </w:r>
    </w:p>
    <w:p w14:paraId="107852D8" w14:textId="77777777" w:rsidR="00E02355" w:rsidRPr="0098561A" w:rsidRDefault="00E02355" w:rsidP="0098561A">
      <w:pPr>
        <w:pStyle w:val="ListParagraph"/>
        <w:numPr>
          <w:ilvl w:val="0"/>
          <w:numId w:val="2"/>
        </w:numPr>
        <w:spacing w:after="0"/>
        <w:jc w:val="both"/>
        <w:rPr>
          <w:rFonts w:ascii="Times New Roman" w:hAnsi="Times New Roman" w:cs="Times New Roman"/>
          <w:sz w:val="28"/>
          <w:szCs w:val="28"/>
          <w:lang w:val="bg-BG"/>
        </w:rPr>
      </w:pPr>
      <w:r w:rsidRPr="0098561A">
        <w:rPr>
          <w:rFonts w:ascii="Times New Roman" w:hAnsi="Times New Roman" w:cs="Times New Roman"/>
          <w:sz w:val="28"/>
          <w:szCs w:val="28"/>
          <w:lang w:val="bg-BG"/>
        </w:rPr>
        <w:t>снабдяване с артикули за доставки, пакети за поддръжка, възможности и услуги;</w:t>
      </w:r>
    </w:p>
    <w:p w14:paraId="730EF2B8" w14:textId="77777777" w:rsidR="00E02355" w:rsidRPr="00831A5B" w:rsidRDefault="00E0235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насърчаване на използването на Виртуално управление на запасите и идентифициране и консолидиране на нуждите на държавите;</w:t>
      </w:r>
    </w:p>
    <w:p w14:paraId="1F827D46" w14:textId="77777777" w:rsidR="00E02355" w:rsidRPr="00831A5B" w:rsidRDefault="00E0235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отправяне на препоръки към CPC относно артикули за доставки, услуги и пакети за поддръжка;</w:t>
      </w:r>
    </w:p>
    <w:p w14:paraId="6C0CA6CA" w14:textId="77777777" w:rsidR="00E02355" w:rsidRPr="00831A5B" w:rsidRDefault="00E0235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предлагане на „общ форум“ за споделяне на опит и очаквания при намирането на общ подход</w:t>
      </w:r>
      <w:r w:rsidR="0098561A">
        <w:rPr>
          <w:rFonts w:ascii="Times New Roman" w:hAnsi="Times New Roman" w:cs="Times New Roman"/>
          <w:sz w:val="28"/>
          <w:szCs w:val="28"/>
          <w:lang w:val="bg-BG"/>
        </w:rPr>
        <w:t xml:space="preserve"> </w:t>
      </w:r>
      <w:r w:rsidRPr="00831A5B">
        <w:rPr>
          <w:rFonts w:ascii="Times New Roman" w:hAnsi="Times New Roman" w:cs="Times New Roman"/>
          <w:sz w:val="28"/>
          <w:szCs w:val="28"/>
          <w:lang w:val="bg-BG"/>
        </w:rPr>
        <w:t>за поддръжка на нуждите с минимални разходи.</w:t>
      </w:r>
    </w:p>
    <w:p w14:paraId="3C6794B6" w14:textId="77777777" w:rsidR="00E02355" w:rsidRPr="00831A5B" w:rsidRDefault="00E0235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6. ГРУПА НА МЕДИЦИНСКИ И ФАРМАЦЕВТИЧНИ ПОТРЕБИТЕЛИ</w:t>
      </w:r>
    </w:p>
    <w:p w14:paraId="6CC0D15F" w14:textId="77777777" w:rsidR="00E02355" w:rsidRPr="00831A5B" w:rsidRDefault="00E0235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ЦЕЛ</w:t>
      </w:r>
    </w:p>
    <w:p w14:paraId="3C2D1FC0" w14:textId="77777777" w:rsidR="00E02355" w:rsidRPr="00831A5B" w:rsidRDefault="00E02355"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Групата на медицинските и фармацевтичните потребители (MPUG) е подчинена на Комитета за партньорство за подкрепа на COMMIT (CPC). MPUG предоставя правна рамка и фокус група за улесняване на многонационалната кооперативна логистика в подкрепа на ефективността на медицинската и фармацевтичната военна общност.</w:t>
      </w:r>
    </w:p>
    <w:p w14:paraId="2A27D481" w14:textId="77777777" w:rsidR="000609AE" w:rsidRPr="00831A5B" w:rsidRDefault="000609AE"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ОБХВАТ</w:t>
      </w:r>
    </w:p>
    <w:p w14:paraId="551024D7" w14:textId="77777777" w:rsidR="000609AE" w:rsidRPr="00831A5B" w:rsidRDefault="000609AE"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Използване на Логистичната фондова борса на НАТО (NLSE) за: o видимост на активите;</w:t>
      </w:r>
    </w:p>
    <w:p w14:paraId="67622CFC" w14:textId="77777777" w:rsidR="000609AE" w:rsidRPr="0098561A" w:rsidRDefault="000609AE" w:rsidP="0098561A">
      <w:pPr>
        <w:pStyle w:val="ListParagraph"/>
        <w:numPr>
          <w:ilvl w:val="0"/>
          <w:numId w:val="2"/>
        </w:numPr>
        <w:spacing w:after="0"/>
        <w:jc w:val="both"/>
        <w:rPr>
          <w:rFonts w:ascii="Times New Roman" w:hAnsi="Times New Roman" w:cs="Times New Roman"/>
          <w:sz w:val="28"/>
          <w:szCs w:val="28"/>
          <w:lang w:val="bg-BG"/>
        </w:rPr>
      </w:pPr>
      <w:r w:rsidRPr="0098561A">
        <w:rPr>
          <w:rFonts w:ascii="Times New Roman" w:hAnsi="Times New Roman" w:cs="Times New Roman"/>
          <w:sz w:val="28"/>
          <w:szCs w:val="28"/>
          <w:lang w:val="bg-BG"/>
        </w:rPr>
        <w:t>взаимна подкрепа чрез преразпределение;</w:t>
      </w:r>
    </w:p>
    <w:p w14:paraId="3C64BA6E" w14:textId="77777777" w:rsidR="000609AE" w:rsidRPr="0098561A" w:rsidRDefault="000609AE" w:rsidP="0098561A">
      <w:pPr>
        <w:pStyle w:val="ListParagraph"/>
        <w:numPr>
          <w:ilvl w:val="0"/>
          <w:numId w:val="2"/>
        </w:numPr>
        <w:spacing w:after="0"/>
        <w:jc w:val="both"/>
        <w:rPr>
          <w:rFonts w:ascii="Times New Roman" w:hAnsi="Times New Roman" w:cs="Times New Roman"/>
          <w:sz w:val="28"/>
          <w:szCs w:val="28"/>
          <w:lang w:val="bg-BG"/>
        </w:rPr>
      </w:pPr>
      <w:r w:rsidRPr="0098561A">
        <w:rPr>
          <w:rFonts w:ascii="Times New Roman" w:hAnsi="Times New Roman" w:cs="Times New Roman"/>
          <w:sz w:val="28"/>
          <w:szCs w:val="28"/>
          <w:lang w:val="bg-BG"/>
        </w:rPr>
        <w:t>снабдяване с артикули за доставки, пакети за поддръжка, възможности и услуги;</w:t>
      </w:r>
    </w:p>
    <w:p w14:paraId="7F50E39A" w14:textId="77777777" w:rsidR="000609AE" w:rsidRPr="00831A5B" w:rsidRDefault="000609AE"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lastRenderedPageBreak/>
        <w:t>- насърчаване на използването на виртуално управление на запасите и идентифициране и консолидиране на нуждите на държавите;</w:t>
      </w:r>
    </w:p>
    <w:p w14:paraId="5D387C63" w14:textId="77777777" w:rsidR="000609AE" w:rsidRPr="00831A5B" w:rsidRDefault="000609AE"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отправяне на препоръки към CPC относно артикули за доставки, услуги и пакети за поддръжка;</w:t>
      </w:r>
    </w:p>
    <w:p w14:paraId="5B08BC1A" w14:textId="77777777" w:rsidR="000609AE" w:rsidRPr="00831A5B" w:rsidRDefault="000609AE"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предлагане на „общ форум“ за споделяне на опит и очаквания при намирането на общ подход за поддържане на нуждите с минимални разходи.</w:t>
      </w:r>
    </w:p>
    <w:p w14:paraId="79251EFD" w14:textId="77777777" w:rsidR="000609AE" w:rsidRPr="00831A5B" w:rsidRDefault="000609AE" w:rsidP="00722BC7">
      <w:pPr>
        <w:spacing w:after="0"/>
        <w:ind w:firstLine="720"/>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7. ЕКИП ПО ПРОЦЕСИ НА NLSE</w:t>
      </w:r>
    </w:p>
    <w:p w14:paraId="2022BF2E" w14:textId="77777777" w:rsidR="000609AE" w:rsidRPr="00831A5B" w:rsidRDefault="000609AE" w:rsidP="00722BC7">
      <w:pPr>
        <w:spacing w:after="0"/>
        <w:ind w:firstLine="567"/>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ЦЕЛ И ОБХВАТ</w:t>
      </w:r>
    </w:p>
    <w:p w14:paraId="700D1782" w14:textId="77777777" w:rsidR="000609AE" w:rsidRPr="00831A5B" w:rsidRDefault="000609AE" w:rsidP="00722BC7">
      <w:pPr>
        <w:spacing w:after="0"/>
        <w:ind w:firstLine="567"/>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Екипът по процеси на NLSE (NPT) е подчинен на Комитета за партньорство за подкрепа на COMMIT (CPC). NPT отговаря за предварителния преглед и препоръки към CPC на всички концептуални, процедурни и ИТ аспекти на програмата COMMIT. Наред с други неща, NPT ще отговаря за:</w:t>
      </w:r>
    </w:p>
    <w:p w14:paraId="414BC139" w14:textId="77777777" w:rsidR="000609AE" w:rsidRPr="00831A5B" w:rsidRDefault="000609AE" w:rsidP="00722BC7">
      <w:pPr>
        <w:spacing w:after="0"/>
        <w:ind w:firstLine="567"/>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xml:space="preserve">- управлението на разработването на концепцията за виртуално управление на запасите от консумативи и </w:t>
      </w:r>
      <w:proofErr w:type="spellStart"/>
      <w:r w:rsidRPr="00831A5B">
        <w:rPr>
          <w:rFonts w:ascii="Times New Roman" w:hAnsi="Times New Roman" w:cs="Times New Roman"/>
          <w:sz w:val="28"/>
          <w:szCs w:val="28"/>
          <w:lang w:val="bg-BG"/>
        </w:rPr>
        <w:t>ремонтируеми</w:t>
      </w:r>
      <w:proofErr w:type="spellEnd"/>
      <w:r w:rsidRPr="00831A5B">
        <w:rPr>
          <w:rFonts w:ascii="Times New Roman" w:hAnsi="Times New Roman" w:cs="Times New Roman"/>
          <w:sz w:val="28"/>
          <w:szCs w:val="28"/>
          <w:lang w:val="bg-BG"/>
        </w:rPr>
        <w:t xml:space="preserve"> артикули;</w:t>
      </w:r>
    </w:p>
    <w:p w14:paraId="1240903C" w14:textId="77777777" w:rsidR="000609AE" w:rsidRPr="00831A5B" w:rsidRDefault="000609AE" w:rsidP="00722BC7">
      <w:pPr>
        <w:spacing w:after="0"/>
        <w:ind w:firstLine="567"/>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наблюдението на функционирането на различните потребителски групи (UG) и определянето на нови изисквания, когато е необходимо;</w:t>
      </w:r>
    </w:p>
    <w:p w14:paraId="51EA102F" w14:textId="77777777" w:rsidR="000609AE" w:rsidRPr="00831A5B" w:rsidRDefault="000609AE" w:rsidP="00722BC7">
      <w:pPr>
        <w:spacing w:after="0"/>
        <w:ind w:firstLine="567"/>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разработването и препоръките за директиви и процедури, свързани с концепцията за NLSE;</w:t>
      </w:r>
    </w:p>
    <w:p w14:paraId="1B7BB25E" w14:textId="77777777" w:rsidR="000609AE" w:rsidRPr="00831A5B" w:rsidRDefault="000609AE" w:rsidP="00722BC7">
      <w:pPr>
        <w:spacing w:after="0"/>
        <w:ind w:firstLine="567"/>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наблюдението на разработването, тестването и приемането на информационната система NLSE;</w:t>
      </w:r>
    </w:p>
    <w:p w14:paraId="73768B13" w14:textId="77777777" w:rsidR="000609AE" w:rsidRPr="00831A5B" w:rsidRDefault="000609AE" w:rsidP="00722BC7">
      <w:pPr>
        <w:spacing w:after="0"/>
        <w:ind w:firstLine="567"/>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наблюдението на цялостното управление на конфигурацията на ИТ системата;</w:t>
      </w:r>
    </w:p>
    <w:p w14:paraId="25C24A52" w14:textId="77777777" w:rsidR="000609AE" w:rsidRPr="00831A5B" w:rsidRDefault="000609AE" w:rsidP="00722BC7">
      <w:pPr>
        <w:spacing w:after="0"/>
        <w:ind w:firstLine="567"/>
        <w:jc w:val="both"/>
        <w:rPr>
          <w:rFonts w:ascii="Times New Roman" w:hAnsi="Times New Roman" w:cs="Times New Roman"/>
          <w:sz w:val="28"/>
          <w:szCs w:val="28"/>
          <w:lang w:val="bg-BG"/>
        </w:rPr>
      </w:pPr>
      <w:r w:rsidRPr="00831A5B">
        <w:rPr>
          <w:rFonts w:ascii="Times New Roman" w:hAnsi="Times New Roman" w:cs="Times New Roman"/>
          <w:sz w:val="28"/>
          <w:szCs w:val="28"/>
          <w:lang w:val="bg-BG"/>
        </w:rPr>
        <w:t>- проучването и идентифицирането на области за подобрение, оценката на предложенията в сътрудничество с NSPA и предоставянето на препоръки към CPC.</w:t>
      </w:r>
    </w:p>
    <w:p w14:paraId="29A9ED5A" w14:textId="77777777" w:rsidR="000609AE" w:rsidRDefault="000609AE" w:rsidP="00722BC7">
      <w:pPr>
        <w:spacing w:after="0"/>
        <w:ind w:firstLine="567"/>
        <w:jc w:val="both"/>
        <w:rPr>
          <w:rFonts w:ascii="Times New Roman" w:hAnsi="Times New Roman" w:cs="Times New Roman"/>
          <w:sz w:val="28"/>
          <w:szCs w:val="28"/>
          <w:lang w:val="bg-BG"/>
        </w:rPr>
      </w:pPr>
    </w:p>
    <w:p w14:paraId="77036D0F" w14:textId="77777777" w:rsidR="0098561A" w:rsidRDefault="0098561A" w:rsidP="00722BC7">
      <w:pPr>
        <w:spacing w:after="0"/>
        <w:ind w:firstLine="567"/>
        <w:jc w:val="both"/>
        <w:rPr>
          <w:rFonts w:ascii="Times New Roman" w:hAnsi="Times New Roman" w:cs="Times New Roman"/>
          <w:sz w:val="28"/>
          <w:szCs w:val="28"/>
          <w:lang w:val="bg-BG"/>
        </w:rPr>
      </w:pPr>
    </w:p>
    <w:p w14:paraId="597BD0B5" w14:textId="77777777" w:rsidR="0098561A" w:rsidRDefault="0098561A" w:rsidP="00722BC7">
      <w:pPr>
        <w:spacing w:after="0"/>
        <w:ind w:firstLine="567"/>
        <w:jc w:val="both"/>
        <w:rPr>
          <w:rFonts w:ascii="Times New Roman" w:hAnsi="Times New Roman" w:cs="Times New Roman"/>
          <w:sz w:val="28"/>
          <w:szCs w:val="28"/>
          <w:lang w:val="bg-BG"/>
        </w:rPr>
      </w:pPr>
    </w:p>
    <w:p w14:paraId="7E029E1F" w14:textId="77777777" w:rsidR="0098561A" w:rsidRDefault="0098561A" w:rsidP="00722BC7">
      <w:pPr>
        <w:spacing w:after="0"/>
        <w:ind w:firstLine="567"/>
        <w:jc w:val="both"/>
        <w:rPr>
          <w:rFonts w:ascii="Times New Roman" w:hAnsi="Times New Roman" w:cs="Times New Roman"/>
          <w:sz w:val="28"/>
          <w:szCs w:val="28"/>
          <w:lang w:val="bg-BG"/>
        </w:rPr>
      </w:pPr>
    </w:p>
    <w:p w14:paraId="4578FA75" w14:textId="77777777" w:rsidR="00E25050" w:rsidRDefault="00E25050" w:rsidP="00722BC7">
      <w:pPr>
        <w:spacing w:after="0"/>
        <w:ind w:firstLine="567"/>
        <w:jc w:val="both"/>
        <w:rPr>
          <w:rFonts w:ascii="Times New Roman" w:hAnsi="Times New Roman" w:cs="Times New Roman"/>
          <w:sz w:val="28"/>
          <w:szCs w:val="28"/>
          <w:lang w:val="bg-BG"/>
        </w:rPr>
      </w:pPr>
    </w:p>
    <w:p w14:paraId="4D2D2342" w14:textId="77777777" w:rsidR="006D46B3" w:rsidRDefault="006D46B3" w:rsidP="00722BC7">
      <w:pPr>
        <w:spacing w:after="0"/>
        <w:ind w:firstLine="567"/>
        <w:jc w:val="both"/>
        <w:rPr>
          <w:rFonts w:ascii="Times New Roman" w:hAnsi="Times New Roman" w:cs="Times New Roman"/>
          <w:sz w:val="28"/>
          <w:szCs w:val="28"/>
          <w:lang w:val="bg-BG"/>
        </w:rPr>
      </w:pPr>
    </w:p>
    <w:p w14:paraId="57AE8320" w14:textId="77777777" w:rsidR="00E25050" w:rsidRDefault="00E25050" w:rsidP="00722BC7">
      <w:pPr>
        <w:spacing w:after="0"/>
        <w:ind w:firstLine="567"/>
        <w:jc w:val="both"/>
        <w:rPr>
          <w:rFonts w:ascii="Times New Roman" w:hAnsi="Times New Roman" w:cs="Times New Roman"/>
          <w:sz w:val="28"/>
          <w:szCs w:val="28"/>
          <w:lang w:val="bg-BG"/>
        </w:rPr>
      </w:pPr>
    </w:p>
    <w:p w14:paraId="5CE94EE5" w14:textId="77777777" w:rsidR="00E25050" w:rsidRDefault="00E25050" w:rsidP="00722BC7">
      <w:pPr>
        <w:spacing w:after="0"/>
        <w:ind w:firstLine="567"/>
        <w:jc w:val="both"/>
        <w:rPr>
          <w:rFonts w:ascii="Times New Roman" w:hAnsi="Times New Roman" w:cs="Times New Roman"/>
          <w:sz w:val="28"/>
          <w:szCs w:val="28"/>
          <w:lang w:val="bg-BG"/>
        </w:rPr>
      </w:pPr>
    </w:p>
    <w:p w14:paraId="7D849316" w14:textId="77777777" w:rsidR="00E25050" w:rsidRDefault="00E25050" w:rsidP="00722BC7">
      <w:pPr>
        <w:spacing w:after="0"/>
        <w:ind w:firstLine="567"/>
        <w:jc w:val="both"/>
        <w:rPr>
          <w:rFonts w:ascii="Times New Roman" w:hAnsi="Times New Roman" w:cs="Times New Roman"/>
          <w:sz w:val="28"/>
          <w:szCs w:val="28"/>
          <w:lang w:val="bg-BG"/>
        </w:rPr>
      </w:pPr>
    </w:p>
    <w:p w14:paraId="620BA269" w14:textId="77777777" w:rsidR="00E25050" w:rsidRDefault="00E25050" w:rsidP="00722BC7">
      <w:pPr>
        <w:spacing w:after="0"/>
        <w:ind w:firstLine="567"/>
        <w:jc w:val="both"/>
        <w:rPr>
          <w:rFonts w:ascii="Times New Roman" w:hAnsi="Times New Roman" w:cs="Times New Roman"/>
          <w:sz w:val="28"/>
          <w:szCs w:val="28"/>
          <w:lang w:val="bg-BG"/>
        </w:rPr>
      </w:pPr>
    </w:p>
    <w:p w14:paraId="736273E1" w14:textId="77777777" w:rsidR="00E25050" w:rsidRDefault="00E25050" w:rsidP="00722BC7">
      <w:pPr>
        <w:spacing w:after="0"/>
        <w:ind w:firstLine="567"/>
        <w:jc w:val="both"/>
        <w:rPr>
          <w:rFonts w:ascii="Times New Roman" w:hAnsi="Times New Roman" w:cs="Times New Roman"/>
          <w:sz w:val="28"/>
          <w:szCs w:val="28"/>
          <w:lang w:val="bg-BG"/>
        </w:rPr>
      </w:pPr>
    </w:p>
    <w:p w14:paraId="2304617F" w14:textId="77777777" w:rsidR="00E25050" w:rsidRDefault="00E25050" w:rsidP="00722BC7">
      <w:pPr>
        <w:spacing w:after="0"/>
        <w:ind w:firstLine="567"/>
        <w:jc w:val="both"/>
        <w:rPr>
          <w:rFonts w:ascii="Times New Roman" w:hAnsi="Times New Roman" w:cs="Times New Roman"/>
          <w:sz w:val="28"/>
          <w:szCs w:val="28"/>
          <w:lang w:val="bg-BG"/>
        </w:rPr>
      </w:pPr>
    </w:p>
    <w:p w14:paraId="7A1D0832" w14:textId="77777777" w:rsidR="006D46B3" w:rsidRDefault="006D46B3" w:rsidP="00722BC7">
      <w:pPr>
        <w:spacing w:after="0"/>
        <w:ind w:firstLine="567"/>
        <w:jc w:val="both"/>
        <w:rPr>
          <w:rFonts w:ascii="Times New Roman" w:hAnsi="Times New Roman" w:cs="Times New Roman"/>
          <w:sz w:val="28"/>
          <w:szCs w:val="28"/>
          <w:lang w:val="bg-BG"/>
        </w:rPr>
      </w:pPr>
    </w:p>
    <w:p w14:paraId="46D055CF" w14:textId="77777777" w:rsidR="006D46B3" w:rsidRDefault="006D46B3" w:rsidP="00722BC7">
      <w:pPr>
        <w:spacing w:after="0"/>
        <w:ind w:firstLine="567"/>
        <w:jc w:val="both"/>
        <w:rPr>
          <w:rFonts w:ascii="Times New Roman" w:hAnsi="Times New Roman" w:cs="Times New Roman"/>
          <w:sz w:val="28"/>
          <w:szCs w:val="28"/>
          <w:lang w:val="bg-BG"/>
        </w:rPr>
      </w:pPr>
    </w:p>
    <w:p w14:paraId="4178B28D" w14:textId="77777777" w:rsidR="006D46B3" w:rsidRDefault="006D46B3" w:rsidP="00722BC7">
      <w:pPr>
        <w:spacing w:after="0"/>
        <w:ind w:firstLine="567"/>
        <w:jc w:val="both"/>
        <w:rPr>
          <w:rFonts w:ascii="Times New Roman" w:hAnsi="Times New Roman" w:cs="Times New Roman"/>
          <w:sz w:val="28"/>
          <w:szCs w:val="28"/>
          <w:lang w:val="bg-BG"/>
        </w:rPr>
      </w:pPr>
    </w:p>
    <w:p w14:paraId="4E66A895" w14:textId="77777777" w:rsidR="006D46B3" w:rsidRDefault="006D46B3" w:rsidP="00722BC7">
      <w:pPr>
        <w:spacing w:after="0"/>
        <w:ind w:firstLine="567"/>
        <w:jc w:val="both"/>
        <w:rPr>
          <w:rFonts w:ascii="Times New Roman" w:hAnsi="Times New Roman" w:cs="Times New Roman"/>
          <w:sz w:val="28"/>
          <w:szCs w:val="28"/>
          <w:lang w:val="bg-BG"/>
        </w:rPr>
      </w:pPr>
    </w:p>
    <w:p w14:paraId="535E4268" w14:textId="77777777" w:rsidR="006D46B3" w:rsidRDefault="006D46B3" w:rsidP="00722BC7">
      <w:pPr>
        <w:spacing w:after="0"/>
        <w:ind w:firstLine="567"/>
        <w:jc w:val="both"/>
        <w:rPr>
          <w:rFonts w:ascii="Times New Roman" w:hAnsi="Times New Roman" w:cs="Times New Roman"/>
          <w:sz w:val="28"/>
          <w:szCs w:val="28"/>
          <w:lang w:val="bg-BG"/>
        </w:rPr>
      </w:pPr>
    </w:p>
    <w:p w14:paraId="6226674C" w14:textId="77777777" w:rsidR="006D46B3" w:rsidRPr="006D46B3" w:rsidRDefault="006D46B3" w:rsidP="006D46B3">
      <w:pPr>
        <w:spacing w:after="0"/>
        <w:ind w:firstLine="567"/>
        <w:jc w:val="right"/>
        <w:rPr>
          <w:rFonts w:ascii="Times New Roman" w:hAnsi="Times New Roman" w:cs="Times New Roman"/>
          <w:sz w:val="28"/>
          <w:szCs w:val="28"/>
          <w:lang w:val="bg-BG"/>
        </w:rPr>
      </w:pPr>
      <w:r w:rsidRPr="006D46B3">
        <w:rPr>
          <w:rFonts w:ascii="Times New Roman" w:hAnsi="Times New Roman" w:cs="Times New Roman"/>
          <w:sz w:val="28"/>
          <w:szCs w:val="28"/>
          <w:lang w:val="bg-BG"/>
        </w:rPr>
        <w:lastRenderedPageBreak/>
        <w:t xml:space="preserve"> Апендикс  1</w:t>
      </w:r>
    </w:p>
    <w:p w14:paraId="7655AE71" w14:textId="77777777" w:rsidR="006D46B3" w:rsidRPr="006D46B3" w:rsidRDefault="006D46B3" w:rsidP="006D46B3">
      <w:pPr>
        <w:spacing w:after="0"/>
        <w:ind w:firstLine="567"/>
        <w:jc w:val="right"/>
        <w:rPr>
          <w:rFonts w:ascii="Times New Roman" w:hAnsi="Times New Roman" w:cs="Times New Roman"/>
          <w:sz w:val="28"/>
          <w:szCs w:val="28"/>
          <w:lang w:val="bg-BG"/>
        </w:rPr>
      </w:pPr>
      <w:r w:rsidRPr="006D46B3">
        <w:rPr>
          <w:rFonts w:ascii="Times New Roman" w:hAnsi="Times New Roman" w:cs="Times New Roman"/>
          <w:sz w:val="28"/>
          <w:szCs w:val="28"/>
          <w:lang w:val="bg-BG"/>
        </w:rPr>
        <w:t>Приложение 2</w:t>
      </w:r>
    </w:p>
    <w:p w14:paraId="50120B1A" w14:textId="77777777" w:rsidR="006D46B3" w:rsidRPr="006D46B3" w:rsidRDefault="006D46B3" w:rsidP="006D46B3">
      <w:pPr>
        <w:spacing w:after="0"/>
        <w:ind w:firstLine="567"/>
        <w:jc w:val="right"/>
        <w:rPr>
          <w:rFonts w:ascii="Times New Roman" w:hAnsi="Times New Roman" w:cs="Times New Roman"/>
          <w:sz w:val="28"/>
          <w:szCs w:val="28"/>
          <w:lang w:val="bg-BG"/>
        </w:rPr>
      </w:pPr>
      <w:r w:rsidRPr="006D46B3">
        <w:rPr>
          <w:rFonts w:ascii="Times New Roman" w:hAnsi="Times New Roman" w:cs="Times New Roman"/>
          <w:sz w:val="28"/>
          <w:szCs w:val="28"/>
          <w:lang w:val="bg-BG"/>
        </w:rPr>
        <w:t>Споразумение № 1809</w:t>
      </w:r>
    </w:p>
    <w:p w14:paraId="5F40CD91" w14:textId="77777777" w:rsidR="006D46B3" w:rsidRPr="006D46B3" w:rsidRDefault="006D46B3" w:rsidP="006D46B3">
      <w:pPr>
        <w:spacing w:after="0"/>
        <w:ind w:firstLine="567"/>
        <w:jc w:val="right"/>
        <w:rPr>
          <w:rFonts w:ascii="Times New Roman" w:hAnsi="Times New Roman" w:cs="Times New Roman"/>
          <w:sz w:val="28"/>
          <w:szCs w:val="28"/>
          <w:lang w:val="bg-BG"/>
        </w:rPr>
      </w:pPr>
      <w:r w:rsidRPr="006D46B3">
        <w:rPr>
          <w:rFonts w:ascii="Times New Roman" w:hAnsi="Times New Roman" w:cs="Times New Roman"/>
          <w:sz w:val="28"/>
          <w:szCs w:val="28"/>
          <w:lang w:val="bg-BG"/>
        </w:rPr>
        <w:t>(</w:t>
      </w:r>
      <w:r w:rsidR="000D21ED">
        <w:rPr>
          <w:rFonts w:ascii="Times New Roman" w:hAnsi="Times New Roman" w:cs="Times New Roman"/>
          <w:i/>
          <w:sz w:val="28"/>
          <w:szCs w:val="28"/>
          <w:lang w:val="bg-BG"/>
        </w:rPr>
        <w:t>четвърта</w:t>
      </w:r>
      <w:r w:rsidRPr="006D46B3">
        <w:rPr>
          <w:rFonts w:ascii="Times New Roman" w:hAnsi="Times New Roman" w:cs="Times New Roman"/>
          <w:i/>
          <w:sz w:val="28"/>
          <w:szCs w:val="28"/>
          <w:lang w:val="bg-BG"/>
        </w:rPr>
        <w:t xml:space="preserve"> </w:t>
      </w:r>
      <w:r w:rsidR="000D21ED">
        <w:rPr>
          <w:rFonts w:ascii="Times New Roman" w:hAnsi="Times New Roman" w:cs="Times New Roman"/>
          <w:i/>
          <w:sz w:val="28"/>
          <w:szCs w:val="28"/>
          <w:lang w:val="bg-BG"/>
        </w:rPr>
        <w:t>редакция</w:t>
      </w:r>
      <w:r w:rsidRPr="006D46B3">
        <w:rPr>
          <w:rFonts w:ascii="Times New Roman" w:hAnsi="Times New Roman" w:cs="Times New Roman"/>
          <w:sz w:val="28"/>
          <w:szCs w:val="28"/>
          <w:lang w:val="bg-BG"/>
        </w:rPr>
        <w:t>)</w:t>
      </w:r>
    </w:p>
    <w:p w14:paraId="541B2DCF" w14:textId="77777777" w:rsidR="006D46B3" w:rsidRPr="006D46B3" w:rsidRDefault="006D46B3" w:rsidP="006D46B3">
      <w:pPr>
        <w:spacing w:after="0"/>
        <w:ind w:firstLine="567"/>
        <w:jc w:val="both"/>
        <w:rPr>
          <w:rFonts w:ascii="Times New Roman" w:hAnsi="Times New Roman" w:cs="Times New Roman"/>
          <w:sz w:val="28"/>
          <w:szCs w:val="28"/>
          <w:lang w:val="bg-BG"/>
        </w:rPr>
      </w:pPr>
    </w:p>
    <w:p w14:paraId="31B93AE3" w14:textId="77777777" w:rsidR="006D46B3" w:rsidRPr="006D46B3" w:rsidRDefault="006D46B3" w:rsidP="006D46B3">
      <w:pPr>
        <w:spacing w:after="0"/>
        <w:ind w:firstLine="567"/>
        <w:jc w:val="center"/>
        <w:rPr>
          <w:rFonts w:ascii="Times New Roman" w:hAnsi="Times New Roman" w:cs="Times New Roman"/>
          <w:b/>
          <w:sz w:val="28"/>
          <w:szCs w:val="28"/>
          <w:lang w:val="bg-BG"/>
        </w:rPr>
      </w:pPr>
      <w:r w:rsidRPr="006D46B3">
        <w:rPr>
          <w:rFonts w:ascii="Times New Roman" w:hAnsi="Times New Roman" w:cs="Times New Roman"/>
          <w:b/>
          <w:sz w:val="28"/>
          <w:szCs w:val="28"/>
          <w:lang w:val="bg-BG"/>
        </w:rPr>
        <w:t>ОБЩИ УСЛОВИЯ, ПРИЛОЖИМИ ЗА ИЗВЪРШВАНЕ НА СТОПАНСКИ ОПЕРАЦИИ НА COMMIT</w:t>
      </w:r>
    </w:p>
    <w:p w14:paraId="2A14E464" w14:textId="77777777" w:rsidR="006D46B3" w:rsidRPr="006D46B3" w:rsidRDefault="006D46B3" w:rsidP="006D46B3">
      <w:pPr>
        <w:spacing w:after="0"/>
        <w:ind w:firstLine="567"/>
        <w:jc w:val="both"/>
        <w:rPr>
          <w:rFonts w:ascii="Times New Roman" w:hAnsi="Times New Roman" w:cs="Times New Roman"/>
          <w:sz w:val="28"/>
          <w:szCs w:val="28"/>
          <w:lang w:val="bg-BG"/>
        </w:rPr>
      </w:pPr>
    </w:p>
    <w:p w14:paraId="7E8AA691"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1. Общи положения.</w:t>
      </w:r>
    </w:p>
    <w:p w14:paraId="28250B81"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 xml:space="preserve">Размяна или покупка е извършена, когато участваща в партньорството за поддръжка COMMIT държава (COMMIT), обмени материален актив с друга участваща в COMMIT държава или когато NSPA или потребителят е закупил материал от доставчици чрез COMMIT. </w:t>
      </w:r>
    </w:p>
    <w:p w14:paraId="30370D09"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Транзакциите между участващите в COMMIT държави ще бъдат подчинени на националното и/или международното право, в допълнение към законите на икономическите общности, като например Европейския съюз (ЕС), според случая.</w:t>
      </w:r>
    </w:p>
    <w:p w14:paraId="4AFBDC73"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2. Прехвърляне на собствеността.</w:t>
      </w:r>
    </w:p>
    <w:p w14:paraId="3B44FAE0"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Прехвърлянето на собствеността от предлагащата държава на получаващата държава се извършва в момента на изпращане. Материалите пътуват на риск на получаващата страна-участничка в COMMIT. Обикновено не се прилага застраховка на материалите, освен ако не е изрично поискано от получаващата страница-участничка в COMMIT.</w:t>
      </w:r>
    </w:p>
    <w:p w14:paraId="605927B5"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3. Транспорт.</w:t>
      </w:r>
    </w:p>
    <w:p w14:paraId="57553DC5"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3.1 Общи положения.</w:t>
      </w:r>
    </w:p>
    <w:p w14:paraId="7C2F816F"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3.1.1 Предлагащата страна-участничка в COMMIT ще предостави материалите на разположение за вземане от поискалата страна-участничка в COMMIT.</w:t>
      </w:r>
    </w:p>
    <w:p w14:paraId="45857B7B"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 xml:space="preserve">3.1.2 Заявяващата страна-участничка в COMMIT или ще вземе материалите директно от предлагащата страна-участничка в COMMIT, или ще организира вземането им от трета страна, например спедитор. Заявяващата страна-участничка в COMMIT може също да се възползва от услугите на NSPA, за да организира транспортирането. </w:t>
      </w:r>
    </w:p>
    <w:p w14:paraId="2CDEF6C6"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3.1.3 Когато заявяващата страна-участничка в партньорството за поддръжка на COMMIT направи уговорки за доставка с предлагащата страна-участничка в партньорството за поддръжка на COMMIT, пратките не са отговорност на NSPA.</w:t>
      </w:r>
    </w:p>
    <w:p w14:paraId="00ADE2A6"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3.1.4 Заявяващата страна-участничка в партньорството за поддръжка на COMMIT може да поиска от NSPA вземане на материалите за доставка до NSPA и последващо вземане от NSPA от заявяващата страница-участничка в партньорството за поддръжка на COMMIT. Това обикновено ще бъде така, когато заявяващата страна-участничка в партньорството за поддръжка на COMMIT има служител за връзка в NSPA.</w:t>
      </w:r>
    </w:p>
    <w:p w14:paraId="29DCB02E"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lastRenderedPageBreak/>
        <w:t>3.1.5 Участващите страни в партньорството за поддръжка на COMMIT могат също да поискат от NSPA да организира цялото транспортиране от предлагащата страна-участничка в партньорството за поддръжка на COMMIT до заявяващата страна-участничка в партньорството за поддръжка на COMMIT, директно или чрез NSPA.</w:t>
      </w:r>
    </w:p>
    <w:p w14:paraId="125F9F32"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3.2 Транспортни разходи.</w:t>
      </w:r>
    </w:p>
    <w:p w14:paraId="796AEEE8"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3.2.1 Транспортните разходи се заплащат от заявяващата нация в Партньорството за поддръжка на COMMIT.</w:t>
      </w:r>
    </w:p>
    <w:p w14:paraId="165C2325"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3.2.2 Когато заявяващата участваща нация в Партньорството за поддръжка на COMMIT направи уговорки за доставка с предлагащата участваща нация в Партньорството за поддръжка на COMMIT, свързаните с това разходи ще бъдат заплатени директно от заявяващата участваща нация в Партньорството за поддръжка на COMMIT на предлагащата участваща нация в Партньорството за поддръжка на COMMIT, без участието на NSPA.</w:t>
      </w:r>
    </w:p>
    <w:p w14:paraId="67BD110A"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3.2.3 Ако NSPA организира транспорт от името на заявяващата участваща нация в Партньорството за поддръжка на COMMIT, NSPA ще таксува разходите за транспорт, включително таксите за обработка на NSPA, директно на заявяващата участваща нация в Партньорството за поддръжка на COMMIT.</w:t>
      </w:r>
    </w:p>
    <w:p w14:paraId="5B439B3A"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3.2.4 Могат да се сключат постоянни транспортни договорености между NSPA и участващите нации в Партньорството за поддръжка на COMMIT, при условие че бъдат договорени отделно всички специални условия и местоположението на участващата нация в Партньорството за поддръжка на COMMIT.</w:t>
      </w:r>
    </w:p>
    <w:p w14:paraId="4BA6DDCE"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4. Документация за доставка.</w:t>
      </w:r>
    </w:p>
    <w:p w14:paraId="5B980A97"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4.1 Документацията за доставка ще бъде изготвена от предлагащата страна-участничка в партньорството за поддръжка на COMMIT.</w:t>
      </w:r>
    </w:p>
    <w:p w14:paraId="72DB2C20"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4.2 Документацията за доставка трябва да съдържа необходимата минимална информация, включително тази, свързана с митническите изисквания.</w:t>
      </w:r>
    </w:p>
    <w:p w14:paraId="5D38CFB1"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4.3 Страната-участничка в партньорството за поддръжка на COMMIT може да създаде стандартната документация за доставка на COMMIT, използвайки системата EDP за COMMIT. Документацията за доставка ще включва информацията, необходима за митническо оформяне.</w:t>
      </w:r>
    </w:p>
    <w:p w14:paraId="6784B41B"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 Изисквания за обмен.</w:t>
      </w:r>
    </w:p>
    <w:p w14:paraId="68FE64D8"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5.1 Оферти за наличност на материални активи.</w:t>
      </w:r>
    </w:p>
    <w:p w14:paraId="026FA809"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5.1.1 Участващите страни в партньорството за поддръжка на COMMIT ще подават оферти за наличност на материални активи в електронен формат за обмен на данни чрез телекомуникации до NSPA и ще имат възможност да актуализират базата данни за COMMIT интерактивно, онлайн или на партиди.</w:t>
      </w:r>
    </w:p>
    <w:p w14:paraId="108E1486"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 xml:space="preserve">5.1.2 АНГАЖИМЕНТ Партньорство за поддръжка Участващите държави се задължават по принцип да предоставят материални активи в предложените количества за срока на периода, за който е направено предложението, или по друг начин да се </w:t>
      </w:r>
      <w:r w:rsidRPr="006D46B3">
        <w:rPr>
          <w:rFonts w:ascii="Times New Roman" w:hAnsi="Times New Roman" w:cs="Times New Roman"/>
          <w:sz w:val="28"/>
          <w:szCs w:val="28"/>
          <w:lang w:val="bg-BG"/>
        </w:rPr>
        <w:lastRenderedPageBreak/>
        <w:t>ангажират да актуализират информацията, когато е необходимо. Такива периоди няма да бъдат по-кратки от един месец.</w:t>
      </w:r>
    </w:p>
    <w:p w14:paraId="35B61573"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5.2 Цени.</w:t>
      </w:r>
    </w:p>
    <w:p w14:paraId="2561B32C"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5.2.1 Предложените цени ще бъдат тези, посочени от участващата страна в партньорството за поддръжка на COMMIT.</w:t>
      </w:r>
    </w:p>
    <w:p w14:paraId="30236305"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Цените ще бъдат посочени във всяка конвертируема валута на участващите страни в партньорството за поддръжка на COMMIT. Валутните курсове се актуализират ежедневно от системата EDP за COMMIT. Предлагащата страна, участваща в партньорството за поддръжка на COMMIT, се ангажира да продаде материалните активи на цената, посочена в момента, в който друга участваща страна в партньорството за поддръжка на COMMIT подаде заявка за размяна и системата за електронна обработка на данни (EDP) за COMMIT потвърди наличността. Това правило се прилага само ако срокът на валидност на офертата все още не е изтекъл. Прилага се датата на обработка на заявката за размяна.</w:t>
      </w:r>
    </w:p>
    <w:p w14:paraId="589A8DF5"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5.2.2 Винаги, когато участваща страна в партньорството за поддръжка на COMMIT желае да гарантира, че офертата не надвишава определена единична цена, тя трябва да посочи това в заявката за размяна.</w:t>
      </w:r>
    </w:p>
    <w:p w14:paraId="3C44D35C"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5.3 Състояние на материалните активи.</w:t>
      </w:r>
    </w:p>
    <w:p w14:paraId="376D44B8"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 xml:space="preserve">5.3.1 Предлаганите материални активи ще бъдат само в годно за употреба състояние, нови или употребявани. Исторически записи, като например дневници, ще придружават материалите, ако е уместно. </w:t>
      </w:r>
    </w:p>
    <w:p w14:paraId="75F20794"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5.3.2 Където е приложимо, като цяло и в случай на употребявани материали по-специално, предлагащата нация-участничка в партньорството за поддръжка на COMMIT може да предостави допълнителна информация за състоянието на конфигурацията, като например ниво на редакция и препратка към модификациите, приложени към материала. Софтуерът EDP за COMMIT е в състояние да обработва такава допълнителна информация.</w:t>
      </w:r>
    </w:p>
    <w:p w14:paraId="6119B692"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 xml:space="preserve">5.3.3 Освен това, състоянието на предлаганите резервни части може да бъде </w:t>
      </w:r>
      <w:proofErr w:type="spellStart"/>
      <w:r w:rsidRPr="006D46B3">
        <w:rPr>
          <w:rFonts w:ascii="Times New Roman" w:hAnsi="Times New Roman" w:cs="Times New Roman"/>
          <w:sz w:val="28"/>
          <w:szCs w:val="28"/>
          <w:lang w:val="bg-BG"/>
        </w:rPr>
        <w:t>ремонтируемо</w:t>
      </w:r>
      <w:proofErr w:type="spellEnd"/>
      <w:r w:rsidRPr="006D46B3">
        <w:rPr>
          <w:rFonts w:ascii="Times New Roman" w:hAnsi="Times New Roman" w:cs="Times New Roman"/>
          <w:sz w:val="28"/>
          <w:szCs w:val="28"/>
          <w:lang w:val="bg-BG"/>
        </w:rPr>
        <w:t xml:space="preserve">, употребявано, рециклирано или ремонтирано, но трябва да бъде ясно идентифицирано, когато са в </w:t>
      </w:r>
      <w:proofErr w:type="spellStart"/>
      <w:r w:rsidRPr="006D46B3">
        <w:rPr>
          <w:rFonts w:ascii="Times New Roman" w:hAnsi="Times New Roman" w:cs="Times New Roman"/>
          <w:sz w:val="28"/>
          <w:szCs w:val="28"/>
          <w:lang w:val="bg-BG"/>
        </w:rPr>
        <w:t>ремонтируемо</w:t>
      </w:r>
      <w:proofErr w:type="spellEnd"/>
      <w:r w:rsidRPr="006D46B3">
        <w:rPr>
          <w:rFonts w:ascii="Times New Roman" w:hAnsi="Times New Roman" w:cs="Times New Roman"/>
          <w:sz w:val="28"/>
          <w:szCs w:val="28"/>
          <w:lang w:val="bg-BG"/>
        </w:rPr>
        <w:t xml:space="preserve"> състояние.</w:t>
      </w:r>
    </w:p>
    <w:p w14:paraId="327DD7FB"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5.4 Качество.</w:t>
      </w:r>
    </w:p>
    <w:p w14:paraId="20D382F7"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5.4.1 Нацията-участничка в партньорството за поддръжка на COMMIT гарантира, че предлаганите материални активи са в съответствие с приложимите спецификации и стандарти.</w:t>
      </w:r>
    </w:p>
    <w:p w14:paraId="6D53FBD8"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5.4.2 Материали могат да бъдат предлагани, ако са били произведени и/или закупени преди това от нацията-участничка в партньорството за поддръжка на COMMIT, ако са с приемливо качество.</w:t>
      </w:r>
    </w:p>
    <w:p w14:paraId="49F17D90"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5.4.3 Когато Споразумението влезе в сила, NSPO ще информира Министерството на отбраната относно текущите спецификации и стандарти за качество за COMMIT.</w:t>
      </w:r>
    </w:p>
    <w:p w14:paraId="506ACCF6"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5.5 Общонатовска покана.</w:t>
      </w:r>
    </w:p>
    <w:p w14:paraId="2C45D66E"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lastRenderedPageBreak/>
        <w:t>5.5.1 Когато участващите държави в партньорството за поддръжка на COMMIT не намерят материални активи, регистрирани в базата данни за COMMIT и имат спешна нужда, участващите държави в партньорството за поддръжка на COMMIT могат да подадат искане до всички останали участващи държави в партньорството за поддръжка на COMMIT, за да установят наличността на такива активи (това е известно като общонатовска покана).</w:t>
      </w:r>
    </w:p>
    <w:p w14:paraId="0E40045E"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Всички участващи държави в партньорството за поддръжка на COMMIT ще проверят своите инвентаризации и по принцип ще предложат налични материални активи за размяна, за да задоволят спешната нужда.</w:t>
      </w:r>
    </w:p>
    <w:p w14:paraId="48F44BC9"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5.5.2 Участващите държави в партньорството за поддръжка на COMMIT се задължават да откликнат на призивите в рамките на НАТО. При спешни нужди, участващите държави в партньорството за поддръжка на COMMIT ще разгледат такива искания в общ интерес, за да помогнат на участващите държави в партньорството за поддръжка на COMMIT в трудна ситуация с логистична поддръжка. В тази връзка, участващите държави в партньорството за поддръжка на COMMIT се задължават по принцип да предлагат количества материални активи, които са над собствените им нужди, дори ако това включва спадане под теоретичното им ниво на запасите.</w:t>
      </w:r>
    </w:p>
    <w:p w14:paraId="5F0C3C5A"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5.6 Анулиране.</w:t>
      </w:r>
    </w:p>
    <w:p w14:paraId="73743CD5"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5.6.1 Преди поемане на твърд ангажимент, исканията и/или офертите за размяна на материали могат да бъдат оттеглени без санкции. Участващите държави в партньорството за поддръжка на COMMIT се считат за поели твърд ангажимент за сделка, когато купувачът приеме електронно описаните по-долу условия.</w:t>
      </w:r>
    </w:p>
    <w:p w14:paraId="4D4EA60C"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5.6.2 Твърд ангажимент за сделка, която представлява обща стойност на материалните активи по-малка или равна на 5000 щатски долара, не може да бъде анулиран.</w:t>
      </w:r>
    </w:p>
    <w:p w14:paraId="5D44FF23"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5.6.3 Твърд ангажимент за транзакция, която представлява обща стойност на материалните активи, по-голяма от 5000 щатски долара, може да бъде анулиран с неустойка.</w:t>
      </w:r>
    </w:p>
    <w:p w14:paraId="3AFCC751"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5.6.3.1 Когато транзакцията бъде анулирана от заявяващата страна-участничка в COMMIT, тя ще заплати неустойка в размер на 10% от общата стойност на материалните активи по транзакцията в полза на предлагащата страна-участничка в COMMIT. Освен това, NSPA ще приложи таксата за продажба както към заявяващата, така и към предлагащата страна-участничка в COMMIT.</w:t>
      </w:r>
    </w:p>
    <w:p w14:paraId="0E7753F5"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5.6.3.2 Когато транзакцията бъде анулирана от предлагащата страна-участничка в COMMIT, тя ще заплати неустойка в размер на 10% от общата стойност на материалните активи по транзакцията в полза на заявяващата страна-участничка в COMMIT.</w:t>
      </w:r>
    </w:p>
    <w:p w14:paraId="12DC9634"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5.6.4 За всяка транзакция eCat1 условията са посочени в съответния договор.</w:t>
      </w:r>
    </w:p>
    <w:p w14:paraId="337B0536"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6. Гаранция..</w:t>
      </w:r>
    </w:p>
    <w:p w14:paraId="1183A490"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lastRenderedPageBreak/>
        <w:t>Обикновено няма гаранция за материали, обменяни между участващите държави в Партньорството за поддръжка на COMMIT. Когато има гаранция, предлагащата държава-участничка в Партньорството за поддръжка на COMMIT ще информира заявяващата държава-участничка в Партньорството за поддръжка на COMMIT полза на последните.</w:t>
      </w:r>
    </w:p>
    <w:p w14:paraId="024CE7C8"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7. Сметка на участващата нация в партньорството за поддръжка на COMMIT</w:t>
      </w:r>
    </w:p>
    <w:p w14:paraId="5B64915C"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7.1 За всяка участваща нация в партньорството за поддръжка на COMMIT ще бъде създадена уникална сметка на участващата нация в партньорството за поддръжка на COMMIT. Може да бъде създадена само една сметка за всяка участваща нация в партньорството за поддръжка на COMMIT.</w:t>
      </w:r>
    </w:p>
    <w:p w14:paraId="3C296EFC"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7.2 Сметката на участващата нация в партньорството за поддръжка на COMMIT ще служи за поддържане на пълен одитиран запис на всяка финансова транзакция. Тази сметка на участващата нация в партньорството за поддръжка на COMMIT не е банкова сметка, а бизнес сметка, която ще се използва като основа за дебитиране и кредитиране на транзакции, които се извършват, и такси за продажби, дължими за COMMIT.</w:t>
      </w:r>
    </w:p>
    <w:p w14:paraId="1C938DFE"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7.3 Лихвите, натрупани върху непогасените авансови плащания, ще бъдат кредитирани по сметката на участващата нация в партньорството за поддръжка на COMMIT.</w:t>
      </w:r>
    </w:p>
    <w:p w14:paraId="63BB17F2"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8. Фактуриране и финансов отчет.</w:t>
      </w:r>
    </w:p>
    <w:p w14:paraId="1B92947B"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8.1 Финансовото разплащане ще се извършва до края на всяка календарна година.</w:t>
      </w:r>
    </w:p>
    <w:p w14:paraId="6156E5EF"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8.2 Докато идеята е да се прилага дебитна и кредитна операция, индивидуалната информация за фактуриране за всяка транзакция ще бъде представяна в стандартен формат за електронен обмен на данни всеки път, когато изискване е изпълнено.</w:t>
      </w:r>
    </w:p>
    <w:p w14:paraId="5DBFE4F4"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8.3 Участващите в COMMIT държави ще имат достъп за запитвания, за да видят състоянието на своите сметки.</w:t>
      </w:r>
    </w:p>
    <w:p w14:paraId="25BF4A65"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9. Несъответствия.</w:t>
      </w:r>
    </w:p>
    <w:p w14:paraId="3695D1CB"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9.1 Всички несъответствия ще бъдат докладвани чрез електронен обмен на данни.</w:t>
      </w:r>
    </w:p>
    <w:p w14:paraId="2C9E2F11"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Несъответствия могат да бъдат докладвани за количествени, качествени и финансови разлики.</w:t>
      </w:r>
    </w:p>
    <w:p w14:paraId="4B805C3E"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9.2 Докладването на несъответствия няма да оправдае анулирането на таксата за продажби, която ще се прилага към заявяващата и/или предлагащата страна участничка в COMMIT.</w:t>
      </w:r>
    </w:p>
    <w:p w14:paraId="165F91CA"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9.3 Когато страните участнички в COMMIT, чрез NSPA, действащ като посредник, постигнат споразумение, на заявяващата страна участничка в COMMIT ще бъде кредитирана съответната сума от споразумението.</w:t>
      </w:r>
    </w:p>
    <w:p w14:paraId="6B68AEFF"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10. Обучение.</w:t>
      </w:r>
    </w:p>
    <w:p w14:paraId="2A0E6AD1"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 xml:space="preserve">Участващите в партньорството за поддръжка на COMMIT държави ще получат първоначално и опреснително обучение от NSPA за използване на системата EDP за COMMIT. Такова обучение ще се проведе безплатно в NSPA, Люксембург. Когато участващите в партньорството за поддръжка на COMMIT държави желаят такова </w:t>
      </w:r>
      <w:r w:rsidRPr="006D46B3">
        <w:rPr>
          <w:rFonts w:ascii="Times New Roman" w:hAnsi="Times New Roman" w:cs="Times New Roman"/>
          <w:sz w:val="28"/>
          <w:szCs w:val="28"/>
          <w:lang w:val="bg-BG"/>
        </w:rPr>
        <w:lastRenderedPageBreak/>
        <w:t>обучение да се проведе на мястото на участващата в партньорството за поддръжка на COMMIT държава, участващата в партньорството за поддръжка на COMMIT държава ще поеме разходите. За такова обучение и за заявки, различни от първоначално и опреснително обучение, NSPA ще предостави оценка на разходите.</w:t>
      </w:r>
    </w:p>
    <w:p w14:paraId="0624A946" w14:textId="77777777" w:rsidR="006D46B3" w:rsidRP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11. Ръководство за потребителя.</w:t>
      </w:r>
    </w:p>
    <w:p w14:paraId="477E91A2" w14:textId="77777777" w:rsidR="006D46B3" w:rsidRDefault="006D46B3" w:rsidP="006D46B3">
      <w:pPr>
        <w:spacing w:after="0"/>
        <w:ind w:firstLine="567"/>
        <w:jc w:val="both"/>
        <w:rPr>
          <w:rFonts w:ascii="Times New Roman" w:hAnsi="Times New Roman" w:cs="Times New Roman"/>
          <w:sz w:val="28"/>
          <w:szCs w:val="28"/>
          <w:lang w:val="bg-BG"/>
        </w:rPr>
      </w:pPr>
      <w:r w:rsidRPr="006D46B3">
        <w:rPr>
          <w:rFonts w:ascii="Times New Roman" w:hAnsi="Times New Roman" w:cs="Times New Roman"/>
          <w:sz w:val="28"/>
          <w:szCs w:val="28"/>
          <w:lang w:val="bg-BG"/>
        </w:rPr>
        <w:t>Ръководство за потребителя за системата EDP за COMMIT, на английски и френски език, ще бъде предоставено в два хартиени екземпляра на участващата в партньорството за поддръжка на COMMIT държава. Ръководството ще бъде достъпно и в електронен формат (PDF формат). Участващата в партньорството за поддръжка на COMMIT държава има право да прави толкова копия за собствена употреба, колкото желае, стига участващата в партньорството за поддръжка на COMMIT държава да се ангажира да не разпространява ръководството на трети страни. В допълнение, системата за електронно разплащане ще има помощна функция както на английски, така и на френски език.</w:t>
      </w:r>
    </w:p>
    <w:p w14:paraId="5DA5DE53" w14:textId="77777777" w:rsidR="006D46B3" w:rsidRDefault="006D46B3" w:rsidP="00722BC7">
      <w:pPr>
        <w:spacing w:after="0"/>
        <w:ind w:firstLine="567"/>
        <w:jc w:val="both"/>
        <w:rPr>
          <w:rFonts w:ascii="Times New Roman" w:hAnsi="Times New Roman" w:cs="Times New Roman"/>
          <w:sz w:val="28"/>
          <w:szCs w:val="28"/>
          <w:lang w:val="bg-BG"/>
        </w:rPr>
      </w:pPr>
    </w:p>
    <w:p w14:paraId="3F4EF443" w14:textId="77777777" w:rsidR="0098561A" w:rsidRDefault="0098561A" w:rsidP="00722BC7">
      <w:pPr>
        <w:spacing w:after="0"/>
        <w:ind w:firstLine="567"/>
        <w:jc w:val="both"/>
        <w:rPr>
          <w:rFonts w:ascii="Times New Roman" w:hAnsi="Times New Roman" w:cs="Times New Roman"/>
          <w:sz w:val="28"/>
          <w:szCs w:val="28"/>
          <w:lang w:val="bg-BG"/>
        </w:rPr>
      </w:pPr>
    </w:p>
    <w:p w14:paraId="52FD8D93" w14:textId="77777777" w:rsidR="0098561A" w:rsidRDefault="0098561A" w:rsidP="00722BC7">
      <w:pPr>
        <w:spacing w:after="0"/>
        <w:ind w:firstLine="567"/>
        <w:jc w:val="both"/>
        <w:rPr>
          <w:rFonts w:ascii="Times New Roman" w:hAnsi="Times New Roman" w:cs="Times New Roman"/>
          <w:sz w:val="28"/>
          <w:szCs w:val="28"/>
          <w:lang w:val="bg-BG"/>
        </w:rPr>
      </w:pPr>
    </w:p>
    <w:p w14:paraId="642D1512" w14:textId="77777777" w:rsidR="0098561A" w:rsidRPr="00831A5B" w:rsidRDefault="0098561A" w:rsidP="00722BC7">
      <w:pPr>
        <w:spacing w:after="0"/>
        <w:ind w:firstLine="567"/>
        <w:jc w:val="both"/>
        <w:rPr>
          <w:rFonts w:ascii="Times New Roman" w:hAnsi="Times New Roman" w:cs="Times New Roman"/>
          <w:sz w:val="28"/>
          <w:szCs w:val="28"/>
          <w:lang w:val="bg-BG"/>
        </w:rPr>
      </w:pPr>
    </w:p>
    <w:p w14:paraId="308E371F" w14:textId="77777777" w:rsidR="000609AE" w:rsidRPr="00831A5B" w:rsidRDefault="000609AE" w:rsidP="00722BC7">
      <w:pPr>
        <w:spacing w:after="0"/>
        <w:ind w:firstLine="567"/>
        <w:jc w:val="both"/>
        <w:rPr>
          <w:rFonts w:ascii="Times New Roman" w:hAnsi="Times New Roman" w:cs="Times New Roman"/>
          <w:sz w:val="28"/>
          <w:szCs w:val="28"/>
          <w:lang w:val="bg-BG"/>
        </w:rPr>
      </w:pPr>
    </w:p>
    <w:p w14:paraId="5AE56319" w14:textId="77777777" w:rsidR="000609AE" w:rsidRDefault="000609AE" w:rsidP="00722BC7">
      <w:pPr>
        <w:spacing w:after="0"/>
        <w:ind w:firstLine="567"/>
        <w:jc w:val="both"/>
        <w:rPr>
          <w:lang w:val="bg-BG"/>
        </w:rPr>
      </w:pPr>
    </w:p>
    <w:p w14:paraId="2D1790D2" w14:textId="77777777" w:rsidR="006D46B3" w:rsidRDefault="006D46B3" w:rsidP="0095696C">
      <w:pPr>
        <w:spacing w:after="0"/>
        <w:jc w:val="right"/>
        <w:rPr>
          <w:lang w:val="bg-BG"/>
        </w:rPr>
      </w:pPr>
    </w:p>
    <w:p w14:paraId="7C1BA0DA" w14:textId="77777777" w:rsidR="006D46B3" w:rsidRDefault="006D46B3" w:rsidP="0095696C">
      <w:pPr>
        <w:spacing w:after="0"/>
        <w:jc w:val="right"/>
        <w:rPr>
          <w:lang w:val="bg-BG"/>
        </w:rPr>
      </w:pPr>
    </w:p>
    <w:p w14:paraId="4AF6BFDC" w14:textId="77777777" w:rsidR="006D46B3" w:rsidRDefault="006D46B3" w:rsidP="0095696C">
      <w:pPr>
        <w:spacing w:after="0"/>
        <w:jc w:val="right"/>
        <w:rPr>
          <w:lang w:val="bg-BG"/>
        </w:rPr>
      </w:pPr>
    </w:p>
    <w:p w14:paraId="772B2DB7" w14:textId="77777777" w:rsidR="006D46B3" w:rsidRDefault="006D46B3" w:rsidP="0095696C">
      <w:pPr>
        <w:spacing w:after="0"/>
        <w:jc w:val="right"/>
        <w:rPr>
          <w:lang w:val="bg-BG"/>
        </w:rPr>
      </w:pPr>
    </w:p>
    <w:p w14:paraId="4E85BAAB" w14:textId="77777777" w:rsidR="006D46B3" w:rsidRDefault="006D46B3" w:rsidP="0095696C">
      <w:pPr>
        <w:spacing w:after="0"/>
        <w:jc w:val="right"/>
        <w:rPr>
          <w:lang w:val="bg-BG"/>
        </w:rPr>
      </w:pPr>
    </w:p>
    <w:p w14:paraId="7B570F41" w14:textId="77777777" w:rsidR="006D46B3" w:rsidRDefault="006D46B3" w:rsidP="0095696C">
      <w:pPr>
        <w:spacing w:after="0"/>
        <w:jc w:val="right"/>
        <w:rPr>
          <w:lang w:val="bg-BG"/>
        </w:rPr>
      </w:pPr>
    </w:p>
    <w:p w14:paraId="55F12859" w14:textId="77777777" w:rsidR="006D46B3" w:rsidRDefault="006D46B3" w:rsidP="0095696C">
      <w:pPr>
        <w:spacing w:after="0"/>
        <w:jc w:val="right"/>
        <w:rPr>
          <w:lang w:val="bg-BG"/>
        </w:rPr>
      </w:pPr>
    </w:p>
    <w:p w14:paraId="1FA5C25D" w14:textId="77777777" w:rsidR="006D46B3" w:rsidRDefault="006D46B3" w:rsidP="0095696C">
      <w:pPr>
        <w:spacing w:after="0"/>
        <w:jc w:val="right"/>
        <w:rPr>
          <w:lang w:val="bg-BG"/>
        </w:rPr>
      </w:pPr>
    </w:p>
    <w:p w14:paraId="351E3012" w14:textId="77777777" w:rsidR="006D46B3" w:rsidRDefault="006D46B3" w:rsidP="0095696C">
      <w:pPr>
        <w:spacing w:after="0"/>
        <w:jc w:val="right"/>
        <w:rPr>
          <w:lang w:val="bg-BG"/>
        </w:rPr>
      </w:pPr>
    </w:p>
    <w:p w14:paraId="6226E48D" w14:textId="77777777" w:rsidR="006D46B3" w:rsidRDefault="006D46B3" w:rsidP="0095696C">
      <w:pPr>
        <w:spacing w:after="0"/>
        <w:jc w:val="right"/>
        <w:rPr>
          <w:lang w:val="bg-BG"/>
        </w:rPr>
      </w:pPr>
    </w:p>
    <w:p w14:paraId="091AD00A" w14:textId="77777777" w:rsidR="006D46B3" w:rsidRDefault="006D46B3" w:rsidP="0095696C">
      <w:pPr>
        <w:spacing w:after="0"/>
        <w:jc w:val="right"/>
        <w:rPr>
          <w:lang w:val="bg-BG"/>
        </w:rPr>
      </w:pPr>
    </w:p>
    <w:p w14:paraId="64ABC8CD" w14:textId="77777777" w:rsidR="006D46B3" w:rsidRDefault="006D46B3" w:rsidP="0095696C">
      <w:pPr>
        <w:spacing w:after="0"/>
        <w:jc w:val="right"/>
        <w:rPr>
          <w:lang w:val="bg-BG"/>
        </w:rPr>
      </w:pPr>
    </w:p>
    <w:p w14:paraId="2D435104" w14:textId="77777777" w:rsidR="006D46B3" w:rsidRDefault="006D46B3" w:rsidP="0095696C">
      <w:pPr>
        <w:spacing w:after="0"/>
        <w:jc w:val="right"/>
        <w:rPr>
          <w:lang w:val="bg-BG"/>
        </w:rPr>
      </w:pPr>
    </w:p>
    <w:p w14:paraId="0A87D98D" w14:textId="77777777" w:rsidR="006D46B3" w:rsidRDefault="006D46B3" w:rsidP="0095696C">
      <w:pPr>
        <w:spacing w:after="0"/>
        <w:jc w:val="right"/>
        <w:rPr>
          <w:lang w:val="bg-BG"/>
        </w:rPr>
      </w:pPr>
    </w:p>
    <w:p w14:paraId="18B1BA8F" w14:textId="77777777" w:rsidR="006D46B3" w:rsidRDefault="006D46B3" w:rsidP="0095696C">
      <w:pPr>
        <w:spacing w:after="0"/>
        <w:jc w:val="right"/>
        <w:rPr>
          <w:lang w:val="bg-BG"/>
        </w:rPr>
      </w:pPr>
    </w:p>
    <w:p w14:paraId="754ECC99" w14:textId="77777777" w:rsidR="006D46B3" w:rsidRDefault="006D46B3" w:rsidP="0095696C">
      <w:pPr>
        <w:spacing w:after="0"/>
        <w:jc w:val="right"/>
        <w:rPr>
          <w:lang w:val="bg-BG"/>
        </w:rPr>
      </w:pPr>
    </w:p>
    <w:p w14:paraId="6B0C02D0" w14:textId="77777777" w:rsidR="006D46B3" w:rsidRDefault="006D46B3" w:rsidP="0095696C">
      <w:pPr>
        <w:spacing w:after="0"/>
        <w:jc w:val="right"/>
        <w:rPr>
          <w:lang w:val="bg-BG"/>
        </w:rPr>
      </w:pPr>
    </w:p>
    <w:p w14:paraId="46D4E1DE" w14:textId="77777777" w:rsidR="006D46B3" w:rsidRDefault="006D46B3" w:rsidP="0095696C">
      <w:pPr>
        <w:spacing w:after="0"/>
        <w:jc w:val="right"/>
        <w:rPr>
          <w:lang w:val="bg-BG"/>
        </w:rPr>
      </w:pPr>
    </w:p>
    <w:p w14:paraId="6FE9E8AC" w14:textId="77777777" w:rsidR="006D46B3" w:rsidRDefault="006D46B3" w:rsidP="0095696C">
      <w:pPr>
        <w:spacing w:after="0"/>
        <w:jc w:val="right"/>
        <w:rPr>
          <w:lang w:val="bg-BG"/>
        </w:rPr>
      </w:pPr>
    </w:p>
    <w:p w14:paraId="7B900551" w14:textId="77777777" w:rsidR="006D46B3" w:rsidRDefault="006D46B3" w:rsidP="0095696C">
      <w:pPr>
        <w:spacing w:after="0"/>
        <w:jc w:val="right"/>
        <w:rPr>
          <w:lang w:val="bg-BG"/>
        </w:rPr>
      </w:pPr>
    </w:p>
    <w:p w14:paraId="5F28F7EC" w14:textId="77777777" w:rsidR="006D46B3" w:rsidRDefault="006D46B3" w:rsidP="0095696C">
      <w:pPr>
        <w:spacing w:after="0"/>
        <w:jc w:val="right"/>
        <w:rPr>
          <w:lang w:val="bg-BG"/>
        </w:rPr>
      </w:pPr>
    </w:p>
    <w:p w14:paraId="41BC108C" w14:textId="77777777" w:rsidR="006D46B3" w:rsidRDefault="006D46B3" w:rsidP="0095696C">
      <w:pPr>
        <w:spacing w:after="0"/>
        <w:jc w:val="right"/>
        <w:rPr>
          <w:lang w:val="bg-BG"/>
        </w:rPr>
      </w:pPr>
    </w:p>
    <w:p w14:paraId="66D38F57" w14:textId="77777777" w:rsidR="006D46B3" w:rsidRDefault="006D46B3" w:rsidP="0095696C">
      <w:pPr>
        <w:spacing w:after="0"/>
        <w:jc w:val="right"/>
        <w:rPr>
          <w:lang w:val="bg-BG"/>
        </w:rPr>
      </w:pPr>
    </w:p>
    <w:p w14:paraId="5D2EFD8E" w14:textId="77777777" w:rsidR="006D46B3" w:rsidRDefault="006D46B3" w:rsidP="0095696C">
      <w:pPr>
        <w:spacing w:after="0"/>
        <w:jc w:val="right"/>
        <w:rPr>
          <w:lang w:val="bg-BG"/>
        </w:rPr>
      </w:pPr>
    </w:p>
    <w:p w14:paraId="6EC22193" w14:textId="77777777" w:rsidR="002E6A4C" w:rsidRDefault="0098561A" w:rsidP="0095696C">
      <w:pPr>
        <w:spacing w:after="0"/>
        <w:jc w:val="right"/>
        <w:rPr>
          <w:lang w:val="bg-BG"/>
        </w:rPr>
      </w:pPr>
      <w:r w:rsidRPr="001463FE">
        <w:rPr>
          <w:lang w:val="bg-BG"/>
        </w:rPr>
        <w:lastRenderedPageBreak/>
        <w:t xml:space="preserve">Приложение </w:t>
      </w:r>
      <w:r w:rsidR="001463FE" w:rsidRPr="001463FE">
        <w:rPr>
          <w:lang w:val="bg-BG"/>
        </w:rPr>
        <w:t>2</w:t>
      </w:r>
      <w:r>
        <w:rPr>
          <w:lang w:val="bg-BG"/>
        </w:rPr>
        <w:t>,</w:t>
      </w:r>
      <w:r w:rsidR="001463FE" w:rsidRPr="001463FE">
        <w:rPr>
          <w:lang w:val="bg-BG"/>
        </w:rPr>
        <w:t xml:space="preserve"> </w:t>
      </w:r>
      <w:r w:rsidR="002E6A4C">
        <w:rPr>
          <w:lang w:val="bg-BG"/>
        </w:rPr>
        <w:t>Ап</w:t>
      </w:r>
      <w:r w:rsidR="00C55695">
        <w:rPr>
          <w:lang w:val="bg-BG"/>
        </w:rPr>
        <w:t>ендик</w:t>
      </w:r>
      <w:r>
        <w:rPr>
          <w:lang w:val="bg-BG"/>
        </w:rPr>
        <w:t>с</w:t>
      </w:r>
      <w:r w:rsidRPr="001463FE">
        <w:rPr>
          <w:lang w:val="bg-BG"/>
        </w:rPr>
        <w:t xml:space="preserve"> </w:t>
      </w:r>
      <w:r w:rsidR="001463FE" w:rsidRPr="001463FE">
        <w:rPr>
          <w:lang w:val="bg-BG"/>
        </w:rPr>
        <w:t>2</w:t>
      </w:r>
      <w:r w:rsidR="002E6A4C">
        <w:rPr>
          <w:lang w:val="bg-BG"/>
        </w:rPr>
        <w:t>,</w:t>
      </w:r>
    </w:p>
    <w:p w14:paraId="288F014F" w14:textId="77777777" w:rsidR="0095696C" w:rsidRDefault="001463FE" w:rsidP="0095696C">
      <w:pPr>
        <w:spacing w:after="0"/>
        <w:jc w:val="right"/>
        <w:rPr>
          <w:lang w:val="bg-BG"/>
        </w:rPr>
      </w:pPr>
      <w:r w:rsidRPr="001463FE">
        <w:rPr>
          <w:lang w:val="bg-BG"/>
        </w:rPr>
        <w:t xml:space="preserve"> </w:t>
      </w:r>
      <w:r w:rsidR="0095696C" w:rsidRPr="001463FE">
        <w:rPr>
          <w:lang w:val="bg-BG"/>
        </w:rPr>
        <w:t xml:space="preserve">Споразумение </w:t>
      </w:r>
      <w:r w:rsidRPr="001463FE">
        <w:rPr>
          <w:lang w:val="bg-BG"/>
        </w:rPr>
        <w:t>№ 1809</w:t>
      </w:r>
      <w:r w:rsidR="0095696C">
        <w:rPr>
          <w:lang w:val="bg-BG"/>
        </w:rPr>
        <w:t>,</w:t>
      </w:r>
      <w:r w:rsidRPr="001463FE">
        <w:rPr>
          <w:lang w:val="bg-BG"/>
        </w:rPr>
        <w:t xml:space="preserve"> </w:t>
      </w:r>
    </w:p>
    <w:p w14:paraId="113205C0" w14:textId="77777777" w:rsidR="001463FE" w:rsidRDefault="006D46B3" w:rsidP="0095696C">
      <w:pPr>
        <w:spacing w:after="0"/>
        <w:jc w:val="right"/>
        <w:rPr>
          <w:lang w:val="bg-BG"/>
        </w:rPr>
      </w:pPr>
      <w:r>
        <w:rPr>
          <w:lang w:val="bg-BG"/>
        </w:rPr>
        <w:t>(</w:t>
      </w:r>
      <w:r w:rsidR="000D21ED">
        <w:rPr>
          <w:i/>
          <w:lang w:val="bg-BG"/>
        </w:rPr>
        <w:t>четвърта</w:t>
      </w:r>
      <w:r w:rsidRPr="006D46B3">
        <w:rPr>
          <w:i/>
          <w:lang w:val="bg-BG"/>
        </w:rPr>
        <w:t xml:space="preserve"> </w:t>
      </w:r>
      <w:r w:rsidR="000D21ED">
        <w:rPr>
          <w:i/>
          <w:lang w:val="bg-BG"/>
        </w:rPr>
        <w:t>редакция</w:t>
      </w:r>
      <w:r>
        <w:rPr>
          <w:lang w:val="bg-BG"/>
        </w:rPr>
        <w:t>)</w:t>
      </w:r>
    </w:p>
    <w:p w14:paraId="47134641" w14:textId="77777777" w:rsidR="00BA3602" w:rsidRDefault="00BA3602" w:rsidP="0095696C">
      <w:pPr>
        <w:spacing w:after="0"/>
        <w:jc w:val="right"/>
        <w:rPr>
          <w:lang w:val="bg-BG"/>
        </w:rPr>
      </w:pPr>
    </w:p>
    <w:p w14:paraId="497B0B99" w14:textId="77777777" w:rsidR="00BA3602" w:rsidRPr="001463FE" w:rsidRDefault="00BA3602" w:rsidP="0095696C">
      <w:pPr>
        <w:spacing w:after="0"/>
        <w:jc w:val="right"/>
        <w:rPr>
          <w:lang w:val="bg-BG"/>
        </w:rPr>
      </w:pPr>
    </w:p>
    <w:p w14:paraId="1078BA36" w14:textId="77777777" w:rsidR="001463FE" w:rsidRPr="0098561A" w:rsidRDefault="001463FE" w:rsidP="00BA3602">
      <w:pPr>
        <w:jc w:val="center"/>
        <w:rPr>
          <w:rFonts w:ascii="Times New Roman" w:hAnsi="Times New Roman" w:cs="Times New Roman"/>
          <w:sz w:val="28"/>
          <w:szCs w:val="28"/>
          <w:lang w:val="bg-BG"/>
        </w:rPr>
      </w:pPr>
      <w:r w:rsidRPr="0098561A">
        <w:rPr>
          <w:rFonts w:ascii="Times New Roman" w:hAnsi="Times New Roman" w:cs="Times New Roman"/>
          <w:sz w:val="28"/>
          <w:szCs w:val="28"/>
          <w:lang w:val="bg-BG"/>
        </w:rPr>
        <w:t>ГОДИШНИ АБОНАМЕНТНИ ТАКСИ И ТАКСИ ЗА ПРОДАЖБИ (EUR)</w:t>
      </w:r>
    </w:p>
    <w:p w14:paraId="028C63FE" w14:textId="77777777" w:rsidR="001463FE" w:rsidRPr="001463FE" w:rsidRDefault="001463FE" w:rsidP="00BA3602">
      <w:pPr>
        <w:ind w:left="426" w:hanging="284"/>
        <w:rPr>
          <w:lang w:val="bg-BG"/>
        </w:rPr>
      </w:pPr>
    </w:p>
    <w:tbl>
      <w:tblPr>
        <w:tblW w:w="0" w:type="auto"/>
        <w:tblInd w:w="704" w:type="dxa"/>
        <w:tblLayout w:type="fixed"/>
        <w:tblCellMar>
          <w:left w:w="10" w:type="dxa"/>
          <w:right w:w="10" w:type="dxa"/>
        </w:tblCellMar>
        <w:tblLook w:val="04A0" w:firstRow="1" w:lastRow="0" w:firstColumn="1" w:lastColumn="0" w:noHBand="0" w:noVBand="1"/>
      </w:tblPr>
      <w:tblGrid>
        <w:gridCol w:w="2678"/>
        <w:gridCol w:w="1262"/>
        <w:gridCol w:w="1171"/>
        <w:gridCol w:w="1830"/>
        <w:gridCol w:w="15"/>
        <w:gridCol w:w="1833"/>
      </w:tblGrid>
      <w:tr w:rsidR="0098561A" w:rsidRPr="001463FE" w14:paraId="249CDC0E" w14:textId="77777777" w:rsidTr="00BA3602">
        <w:trPr>
          <w:trHeight w:hRule="exact" w:val="737"/>
        </w:trPr>
        <w:tc>
          <w:tcPr>
            <w:tcW w:w="2678" w:type="dxa"/>
            <w:tcBorders>
              <w:top w:val="single" w:sz="4" w:space="0" w:color="auto"/>
              <w:left w:val="single" w:sz="4" w:space="0" w:color="auto"/>
            </w:tcBorders>
            <w:shd w:val="clear" w:color="auto" w:fill="FFFFFF"/>
          </w:tcPr>
          <w:p w14:paraId="5EE4A77E" w14:textId="77777777" w:rsidR="0098561A" w:rsidRPr="0098573B" w:rsidRDefault="0098573B" w:rsidP="00BA3602">
            <w:pPr>
              <w:spacing w:after="0"/>
              <w:jc w:val="center"/>
              <w:rPr>
                <w:lang w:val="bg-BG"/>
              </w:rPr>
            </w:pPr>
            <w:r>
              <w:rPr>
                <w:lang w:val="bg-BG"/>
              </w:rPr>
              <w:t>Критерии за определяне на разходите</w:t>
            </w:r>
          </w:p>
        </w:tc>
        <w:tc>
          <w:tcPr>
            <w:tcW w:w="1262" w:type="dxa"/>
            <w:tcBorders>
              <w:top w:val="single" w:sz="4" w:space="0" w:color="auto"/>
              <w:left w:val="single" w:sz="4" w:space="0" w:color="auto"/>
            </w:tcBorders>
            <w:shd w:val="clear" w:color="auto" w:fill="FFFFFF"/>
          </w:tcPr>
          <w:p w14:paraId="04FA6AAA" w14:textId="77777777" w:rsidR="0098561A" w:rsidRPr="0098561A" w:rsidRDefault="0098561A" w:rsidP="00BA3602">
            <w:pPr>
              <w:widowControl w:val="0"/>
              <w:spacing w:after="0" w:line="200" w:lineRule="exact"/>
              <w:jc w:val="center"/>
              <w:rPr>
                <w:rFonts w:ascii="Arial" w:eastAsia="Arial" w:hAnsi="Arial" w:cs="Arial"/>
                <w:color w:val="000000"/>
                <w:sz w:val="20"/>
                <w:szCs w:val="20"/>
                <w:lang w:val="bg-BG" w:bidi="en-US"/>
              </w:rPr>
            </w:pPr>
            <w:r>
              <w:rPr>
                <w:rFonts w:ascii="Arial" w:eastAsia="Arial" w:hAnsi="Arial" w:cs="Arial"/>
                <w:color w:val="000000"/>
                <w:sz w:val="20"/>
                <w:szCs w:val="20"/>
                <w:lang w:val="bg-BG" w:bidi="en-US"/>
              </w:rPr>
              <w:t>Цена</w:t>
            </w:r>
          </w:p>
        </w:tc>
        <w:tc>
          <w:tcPr>
            <w:tcW w:w="1171" w:type="dxa"/>
            <w:tcBorders>
              <w:top w:val="single" w:sz="4" w:space="0" w:color="auto"/>
              <w:left w:val="single" w:sz="4" w:space="0" w:color="auto"/>
            </w:tcBorders>
            <w:shd w:val="clear" w:color="auto" w:fill="FFFFFF"/>
          </w:tcPr>
          <w:p w14:paraId="15DAB6BB" w14:textId="77777777" w:rsidR="0098561A" w:rsidRPr="0098561A" w:rsidRDefault="0098561A" w:rsidP="00BA3602">
            <w:pPr>
              <w:widowControl w:val="0"/>
              <w:spacing w:after="0" w:line="200" w:lineRule="exact"/>
              <w:jc w:val="center"/>
              <w:rPr>
                <w:rFonts w:ascii="Arial" w:eastAsia="Arial" w:hAnsi="Arial" w:cs="Arial"/>
                <w:color w:val="000000"/>
                <w:sz w:val="20"/>
                <w:szCs w:val="20"/>
                <w:lang w:val="bg-BG" w:bidi="en-US"/>
              </w:rPr>
            </w:pPr>
            <w:r>
              <w:rPr>
                <w:rFonts w:ascii="Arial" w:eastAsia="Arial" w:hAnsi="Arial" w:cs="Arial"/>
                <w:color w:val="000000"/>
                <w:sz w:val="20"/>
                <w:szCs w:val="20"/>
                <w:lang w:val="bg-BG" w:bidi="en-US"/>
              </w:rPr>
              <w:t>Общо</w:t>
            </w:r>
          </w:p>
        </w:tc>
        <w:tc>
          <w:tcPr>
            <w:tcW w:w="1845" w:type="dxa"/>
            <w:gridSpan w:val="2"/>
            <w:tcBorders>
              <w:top w:val="single" w:sz="4" w:space="0" w:color="auto"/>
              <w:left w:val="single" w:sz="4" w:space="0" w:color="auto"/>
            </w:tcBorders>
            <w:shd w:val="clear" w:color="auto" w:fill="FFFFFF"/>
            <w:vAlign w:val="bottom"/>
          </w:tcPr>
          <w:p w14:paraId="02A0D58A" w14:textId="77777777" w:rsidR="002E6A4C" w:rsidRPr="002E6A4C" w:rsidRDefault="002E6A4C" w:rsidP="00DF1322">
            <w:pPr>
              <w:widowControl w:val="0"/>
              <w:spacing w:after="0" w:line="240" w:lineRule="exact"/>
              <w:jc w:val="center"/>
              <w:rPr>
                <w:rFonts w:ascii="Arial" w:eastAsia="Arial" w:hAnsi="Arial" w:cs="Arial"/>
                <w:color w:val="000000"/>
                <w:sz w:val="20"/>
                <w:szCs w:val="20"/>
                <w:lang w:val="bg-BG" w:bidi="en-US"/>
              </w:rPr>
            </w:pPr>
            <w:r>
              <w:rPr>
                <w:rFonts w:ascii="Arial" w:eastAsia="Arial" w:hAnsi="Arial" w:cs="Arial"/>
                <w:color w:val="000000"/>
                <w:sz w:val="20"/>
                <w:szCs w:val="20"/>
                <w:lang w:val="bg-BG" w:bidi="en-US"/>
              </w:rPr>
              <w:t>Т</w:t>
            </w:r>
            <w:proofErr w:type="spellStart"/>
            <w:r>
              <w:rPr>
                <w:rFonts w:ascii="Arial" w:eastAsia="Arial" w:hAnsi="Arial" w:cs="Arial"/>
                <w:color w:val="000000"/>
                <w:sz w:val="20"/>
                <w:szCs w:val="20"/>
                <w:lang w:bidi="en-US"/>
              </w:rPr>
              <w:t>акси</w:t>
            </w:r>
            <w:proofErr w:type="spellEnd"/>
            <w:r w:rsidR="0098573B" w:rsidRPr="0098573B">
              <w:rPr>
                <w:rFonts w:ascii="Arial" w:eastAsia="Arial" w:hAnsi="Arial" w:cs="Arial"/>
                <w:color w:val="000000"/>
                <w:sz w:val="20"/>
                <w:szCs w:val="20"/>
                <w:lang w:bidi="en-US"/>
              </w:rPr>
              <w:t xml:space="preserve"> </w:t>
            </w:r>
            <w:proofErr w:type="spellStart"/>
            <w:r w:rsidR="0098573B" w:rsidRPr="0098573B">
              <w:rPr>
                <w:rFonts w:ascii="Arial" w:eastAsia="Arial" w:hAnsi="Arial" w:cs="Arial"/>
                <w:color w:val="000000"/>
                <w:sz w:val="20"/>
                <w:szCs w:val="20"/>
                <w:lang w:bidi="en-US"/>
              </w:rPr>
              <w:t>за</w:t>
            </w:r>
            <w:proofErr w:type="spellEnd"/>
            <w:r w:rsidR="0098573B" w:rsidRPr="0098573B">
              <w:rPr>
                <w:rFonts w:ascii="Arial" w:eastAsia="Arial" w:hAnsi="Arial" w:cs="Arial"/>
                <w:color w:val="000000"/>
                <w:sz w:val="20"/>
                <w:szCs w:val="20"/>
                <w:lang w:bidi="en-US"/>
              </w:rPr>
              <w:t xml:space="preserve"> </w:t>
            </w:r>
            <w:proofErr w:type="spellStart"/>
            <w:r w:rsidR="0098573B" w:rsidRPr="0098573B">
              <w:rPr>
                <w:rFonts w:ascii="Arial" w:eastAsia="Arial" w:hAnsi="Arial" w:cs="Arial"/>
                <w:color w:val="000000"/>
                <w:sz w:val="20"/>
                <w:szCs w:val="20"/>
                <w:lang w:bidi="en-US"/>
              </w:rPr>
              <w:t>продажби</w:t>
            </w:r>
            <w:proofErr w:type="spellEnd"/>
            <w:r>
              <w:rPr>
                <w:rFonts w:ascii="Arial" w:eastAsia="Arial" w:hAnsi="Arial" w:cs="Arial"/>
                <w:color w:val="000000"/>
                <w:sz w:val="20"/>
                <w:szCs w:val="20"/>
                <w:lang w:val="bg-BG" w:bidi="en-US"/>
              </w:rPr>
              <w:t xml:space="preserve"> чрез размяна</w:t>
            </w:r>
            <w:r w:rsidR="00DF1322">
              <w:rPr>
                <w:rFonts w:ascii="Arial" w:eastAsia="Arial" w:hAnsi="Arial" w:cs="Arial"/>
                <w:color w:val="000000"/>
                <w:sz w:val="20"/>
                <w:szCs w:val="20"/>
                <w:lang w:val="bg-BG" w:bidi="en-US"/>
              </w:rPr>
              <w:t xml:space="preserve"> на излишни ресурси</w:t>
            </w:r>
          </w:p>
        </w:tc>
        <w:tc>
          <w:tcPr>
            <w:tcW w:w="1833" w:type="dxa"/>
            <w:tcBorders>
              <w:top w:val="single" w:sz="4" w:space="0" w:color="auto"/>
              <w:left w:val="single" w:sz="4" w:space="0" w:color="auto"/>
              <w:right w:val="single" w:sz="4" w:space="0" w:color="auto"/>
            </w:tcBorders>
            <w:shd w:val="clear" w:color="auto" w:fill="FFFFFF"/>
            <w:vAlign w:val="bottom"/>
          </w:tcPr>
          <w:p w14:paraId="6F2CCC0C" w14:textId="77777777" w:rsidR="0098561A" w:rsidRPr="002E6A4C" w:rsidRDefault="0098573B" w:rsidP="00BA3602">
            <w:pPr>
              <w:widowControl w:val="0"/>
              <w:spacing w:after="0" w:line="240" w:lineRule="exact"/>
              <w:jc w:val="center"/>
              <w:rPr>
                <w:rFonts w:ascii="Arial" w:eastAsia="Arial" w:hAnsi="Arial" w:cs="Arial"/>
                <w:color w:val="000000"/>
                <w:sz w:val="20"/>
                <w:szCs w:val="20"/>
                <w:lang w:val="bg-BG" w:bidi="en-US"/>
              </w:rPr>
            </w:pPr>
            <w:proofErr w:type="spellStart"/>
            <w:r w:rsidRPr="0098573B">
              <w:rPr>
                <w:rFonts w:ascii="Arial" w:eastAsia="Arial" w:hAnsi="Arial" w:cs="Arial"/>
                <w:color w:val="000000"/>
                <w:sz w:val="20"/>
                <w:szCs w:val="20"/>
                <w:lang w:bidi="en-US"/>
              </w:rPr>
              <w:t>Такси</w:t>
            </w:r>
            <w:proofErr w:type="spellEnd"/>
            <w:r w:rsidRPr="0098573B">
              <w:rPr>
                <w:rFonts w:ascii="Arial" w:eastAsia="Arial" w:hAnsi="Arial" w:cs="Arial"/>
                <w:color w:val="000000"/>
                <w:sz w:val="20"/>
                <w:szCs w:val="20"/>
                <w:lang w:bidi="en-US"/>
              </w:rPr>
              <w:t xml:space="preserve"> </w:t>
            </w:r>
            <w:proofErr w:type="spellStart"/>
            <w:r w:rsidRPr="0098573B">
              <w:rPr>
                <w:rFonts w:ascii="Arial" w:eastAsia="Arial" w:hAnsi="Arial" w:cs="Arial"/>
                <w:color w:val="000000"/>
                <w:sz w:val="20"/>
                <w:szCs w:val="20"/>
                <w:lang w:bidi="en-US"/>
              </w:rPr>
              <w:t>за</w:t>
            </w:r>
            <w:proofErr w:type="spellEnd"/>
            <w:r w:rsidRPr="0098573B">
              <w:rPr>
                <w:rFonts w:ascii="Arial" w:eastAsia="Arial" w:hAnsi="Arial" w:cs="Arial"/>
                <w:color w:val="000000"/>
                <w:sz w:val="20"/>
                <w:szCs w:val="20"/>
                <w:lang w:bidi="en-US"/>
              </w:rPr>
              <w:t xml:space="preserve"> </w:t>
            </w:r>
            <w:proofErr w:type="spellStart"/>
            <w:r w:rsidRPr="0098573B">
              <w:rPr>
                <w:rFonts w:ascii="Arial" w:eastAsia="Arial" w:hAnsi="Arial" w:cs="Arial"/>
                <w:color w:val="000000"/>
                <w:sz w:val="20"/>
                <w:szCs w:val="20"/>
                <w:lang w:bidi="en-US"/>
              </w:rPr>
              <w:t>продажби</w:t>
            </w:r>
            <w:proofErr w:type="spellEnd"/>
            <w:r w:rsidRPr="0098573B">
              <w:rPr>
                <w:rFonts w:ascii="Arial" w:eastAsia="Arial" w:hAnsi="Arial" w:cs="Arial"/>
                <w:color w:val="000000"/>
                <w:sz w:val="20"/>
                <w:szCs w:val="20"/>
                <w:lang w:bidi="en-US"/>
              </w:rPr>
              <w:t xml:space="preserve"> </w:t>
            </w:r>
            <w:r w:rsidR="002E6A4C">
              <w:rPr>
                <w:rFonts w:ascii="Arial" w:eastAsia="Arial" w:hAnsi="Arial" w:cs="Arial"/>
                <w:color w:val="000000"/>
                <w:sz w:val="20"/>
                <w:szCs w:val="20"/>
                <w:lang w:val="bg-BG" w:bidi="en-US"/>
              </w:rPr>
              <w:t>чрез електронен каталог</w:t>
            </w:r>
            <w:r w:rsidR="002E6A4C">
              <w:rPr>
                <w:rFonts w:ascii="Arial" w:eastAsia="Arial" w:hAnsi="Arial" w:cs="Arial"/>
                <w:color w:val="000000"/>
                <w:sz w:val="20"/>
                <w:szCs w:val="20"/>
                <w:lang w:bidi="en-US"/>
              </w:rPr>
              <w:t xml:space="preserve"> </w:t>
            </w:r>
            <w:r w:rsidR="002E6A4C">
              <w:rPr>
                <w:rFonts w:ascii="Arial" w:eastAsia="Arial" w:hAnsi="Arial" w:cs="Arial"/>
                <w:color w:val="000000"/>
                <w:sz w:val="20"/>
                <w:szCs w:val="20"/>
                <w:lang w:val="bg-BG" w:bidi="en-US"/>
              </w:rPr>
              <w:t>(е</w:t>
            </w:r>
            <w:r w:rsidR="0098561A" w:rsidRPr="001463FE">
              <w:rPr>
                <w:rFonts w:ascii="Arial" w:eastAsia="Arial" w:hAnsi="Arial" w:cs="Arial"/>
                <w:color w:val="000000"/>
                <w:sz w:val="20"/>
                <w:szCs w:val="20"/>
                <w:lang w:bidi="en-US"/>
              </w:rPr>
              <w:t>Cat1</w:t>
            </w:r>
            <w:r w:rsidR="002E6A4C">
              <w:rPr>
                <w:rFonts w:ascii="Arial" w:eastAsia="Arial" w:hAnsi="Arial" w:cs="Arial"/>
                <w:color w:val="000000"/>
                <w:sz w:val="20"/>
                <w:szCs w:val="20"/>
                <w:lang w:val="bg-BG" w:bidi="en-US"/>
              </w:rPr>
              <w:t>)</w:t>
            </w:r>
          </w:p>
        </w:tc>
      </w:tr>
      <w:tr w:rsidR="0098561A" w:rsidRPr="001463FE" w14:paraId="1F69E3B3" w14:textId="77777777" w:rsidTr="00BA3602">
        <w:trPr>
          <w:trHeight w:hRule="exact" w:val="250"/>
        </w:trPr>
        <w:tc>
          <w:tcPr>
            <w:tcW w:w="2678" w:type="dxa"/>
            <w:tcBorders>
              <w:top w:val="single" w:sz="4" w:space="0" w:color="auto"/>
              <w:left w:val="single" w:sz="4" w:space="0" w:color="auto"/>
            </w:tcBorders>
            <w:shd w:val="clear" w:color="auto" w:fill="FFFFFF"/>
          </w:tcPr>
          <w:p w14:paraId="30B2BAA9" w14:textId="77777777" w:rsidR="0098561A" w:rsidRDefault="0098561A" w:rsidP="0098561A">
            <w:proofErr w:type="spellStart"/>
            <w:r w:rsidRPr="005F35CF">
              <w:t>Малки</w:t>
            </w:r>
            <w:proofErr w:type="spellEnd"/>
            <w:r w:rsidRPr="005F35CF">
              <w:t xml:space="preserve"> </w:t>
            </w:r>
            <w:proofErr w:type="spellStart"/>
            <w:r w:rsidRPr="005F35CF">
              <w:t>потребители</w:t>
            </w:r>
            <w:proofErr w:type="spellEnd"/>
          </w:p>
        </w:tc>
        <w:tc>
          <w:tcPr>
            <w:tcW w:w="1262" w:type="dxa"/>
            <w:tcBorders>
              <w:top w:val="single" w:sz="4" w:space="0" w:color="auto"/>
              <w:left w:val="single" w:sz="4" w:space="0" w:color="auto"/>
            </w:tcBorders>
            <w:shd w:val="clear" w:color="auto" w:fill="FFFFFF"/>
            <w:vAlign w:val="bottom"/>
          </w:tcPr>
          <w:p w14:paraId="53AFBA5D" w14:textId="77777777" w:rsidR="0098561A" w:rsidRPr="001463FE" w:rsidRDefault="0098561A" w:rsidP="0098561A">
            <w:pPr>
              <w:widowControl w:val="0"/>
              <w:spacing w:after="0" w:line="200" w:lineRule="exact"/>
              <w:jc w:val="right"/>
              <w:rPr>
                <w:rFonts w:ascii="Arial" w:eastAsia="Arial" w:hAnsi="Arial" w:cs="Arial"/>
                <w:color w:val="000000"/>
                <w:sz w:val="20"/>
                <w:szCs w:val="20"/>
                <w:lang w:bidi="en-US"/>
              </w:rPr>
            </w:pPr>
            <w:r w:rsidRPr="001463FE">
              <w:rPr>
                <w:rFonts w:ascii="Arial" w:eastAsia="Arial" w:hAnsi="Arial" w:cs="Arial"/>
                <w:color w:val="000000"/>
                <w:sz w:val="20"/>
                <w:szCs w:val="20"/>
                <w:lang w:bidi="en-US"/>
              </w:rPr>
              <w:t>41,000</w:t>
            </w:r>
          </w:p>
        </w:tc>
        <w:tc>
          <w:tcPr>
            <w:tcW w:w="1171" w:type="dxa"/>
            <w:tcBorders>
              <w:top w:val="single" w:sz="4" w:space="0" w:color="auto"/>
              <w:left w:val="single" w:sz="4" w:space="0" w:color="auto"/>
            </w:tcBorders>
            <w:shd w:val="clear" w:color="auto" w:fill="FFFFFF"/>
            <w:vAlign w:val="bottom"/>
          </w:tcPr>
          <w:p w14:paraId="178D5AE1" w14:textId="77777777" w:rsidR="0098561A" w:rsidRPr="001463FE" w:rsidRDefault="0098561A" w:rsidP="0098561A">
            <w:pPr>
              <w:widowControl w:val="0"/>
              <w:spacing w:after="0" w:line="200" w:lineRule="exact"/>
              <w:jc w:val="right"/>
              <w:rPr>
                <w:rFonts w:ascii="Arial" w:eastAsia="Arial" w:hAnsi="Arial" w:cs="Arial"/>
                <w:color w:val="000000"/>
                <w:sz w:val="20"/>
                <w:szCs w:val="20"/>
                <w:lang w:bidi="en-US"/>
              </w:rPr>
            </w:pPr>
            <w:r w:rsidRPr="001463FE">
              <w:rPr>
                <w:rFonts w:ascii="Arial" w:eastAsia="Arial" w:hAnsi="Arial" w:cs="Arial"/>
                <w:color w:val="000000"/>
                <w:sz w:val="20"/>
                <w:szCs w:val="20"/>
                <w:lang w:bidi="en-US"/>
              </w:rPr>
              <w:t>41,000</w:t>
            </w:r>
          </w:p>
        </w:tc>
        <w:tc>
          <w:tcPr>
            <w:tcW w:w="1830" w:type="dxa"/>
            <w:tcBorders>
              <w:top w:val="single" w:sz="4" w:space="0" w:color="auto"/>
              <w:left w:val="single" w:sz="4" w:space="0" w:color="auto"/>
            </w:tcBorders>
            <w:shd w:val="clear" w:color="auto" w:fill="FFFFFF"/>
            <w:vAlign w:val="bottom"/>
          </w:tcPr>
          <w:p w14:paraId="24E41C18" w14:textId="77777777" w:rsidR="0098561A" w:rsidRPr="001463FE" w:rsidRDefault="0098561A" w:rsidP="002E6A4C">
            <w:pPr>
              <w:widowControl w:val="0"/>
              <w:spacing w:after="0" w:line="200" w:lineRule="exact"/>
              <w:jc w:val="center"/>
              <w:rPr>
                <w:rFonts w:ascii="Arial" w:eastAsia="Arial" w:hAnsi="Arial" w:cs="Arial"/>
                <w:color w:val="000000"/>
                <w:sz w:val="20"/>
                <w:szCs w:val="20"/>
                <w:lang w:bidi="en-US"/>
              </w:rPr>
            </w:pPr>
            <w:r w:rsidRPr="001463FE">
              <w:rPr>
                <w:rFonts w:ascii="Arial" w:eastAsia="Arial" w:hAnsi="Arial" w:cs="Arial"/>
                <w:color w:val="000000"/>
                <w:sz w:val="20"/>
                <w:szCs w:val="20"/>
                <w:lang w:bidi="en-US"/>
              </w:rPr>
              <w:t>3%</w:t>
            </w:r>
          </w:p>
        </w:tc>
        <w:tc>
          <w:tcPr>
            <w:tcW w:w="1848" w:type="dxa"/>
            <w:gridSpan w:val="2"/>
            <w:tcBorders>
              <w:top w:val="single" w:sz="4" w:space="0" w:color="auto"/>
              <w:left w:val="single" w:sz="4" w:space="0" w:color="auto"/>
              <w:right w:val="single" w:sz="4" w:space="0" w:color="auto"/>
            </w:tcBorders>
            <w:shd w:val="clear" w:color="auto" w:fill="FFFFFF"/>
            <w:vAlign w:val="bottom"/>
          </w:tcPr>
          <w:p w14:paraId="5E167A97" w14:textId="77777777" w:rsidR="0098561A" w:rsidRPr="001463FE" w:rsidRDefault="0098561A" w:rsidP="002E6A4C">
            <w:pPr>
              <w:widowControl w:val="0"/>
              <w:spacing w:after="0" w:line="200" w:lineRule="exact"/>
              <w:jc w:val="center"/>
              <w:rPr>
                <w:rFonts w:ascii="Arial" w:eastAsia="Arial" w:hAnsi="Arial" w:cs="Arial"/>
                <w:color w:val="000000"/>
                <w:sz w:val="20"/>
                <w:szCs w:val="20"/>
                <w:lang w:bidi="en-US"/>
              </w:rPr>
            </w:pPr>
            <w:r w:rsidRPr="001463FE">
              <w:rPr>
                <w:rFonts w:ascii="Arial" w:eastAsia="Arial" w:hAnsi="Arial" w:cs="Arial"/>
                <w:color w:val="000000"/>
                <w:sz w:val="20"/>
                <w:szCs w:val="20"/>
                <w:lang w:bidi="en-US"/>
              </w:rPr>
              <w:t>3%</w:t>
            </w:r>
          </w:p>
        </w:tc>
      </w:tr>
      <w:tr w:rsidR="001463FE" w:rsidRPr="001463FE" w14:paraId="7DD5150B" w14:textId="77777777" w:rsidTr="00BA3602">
        <w:trPr>
          <w:trHeight w:hRule="exact" w:val="254"/>
        </w:trPr>
        <w:tc>
          <w:tcPr>
            <w:tcW w:w="2678" w:type="dxa"/>
            <w:tcBorders>
              <w:top w:val="single" w:sz="4" w:space="0" w:color="auto"/>
              <w:left w:val="single" w:sz="4" w:space="0" w:color="auto"/>
              <w:bottom w:val="single" w:sz="4" w:space="0" w:color="auto"/>
            </w:tcBorders>
            <w:shd w:val="clear" w:color="auto" w:fill="FFFFFF"/>
            <w:vAlign w:val="bottom"/>
          </w:tcPr>
          <w:p w14:paraId="3C5112A2" w14:textId="77777777" w:rsidR="001463FE" w:rsidRPr="001463FE" w:rsidRDefault="0098561A" w:rsidP="0098561A">
            <w:pPr>
              <w:widowControl w:val="0"/>
              <w:spacing w:after="0" w:line="200" w:lineRule="exact"/>
              <w:rPr>
                <w:rFonts w:ascii="Arial" w:eastAsia="Arial" w:hAnsi="Arial" w:cs="Arial"/>
                <w:color w:val="000000"/>
                <w:sz w:val="20"/>
                <w:szCs w:val="20"/>
                <w:lang w:bidi="en-US"/>
              </w:rPr>
            </w:pPr>
            <w:proofErr w:type="spellStart"/>
            <w:r w:rsidRPr="0098561A">
              <w:rPr>
                <w:rFonts w:ascii="Arial" w:eastAsia="Arial" w:hAnsi="Arial" w:cs="Arial"/>
                <w:color w:val="000000"/>
                <w:sz w:val="20"/>
                <w:szCs w:val="20"/>
                <w:lang w:bidi="en-US"/>
              </w:rPr>
              <w:t>Големи</w:t>
            </w:r>
            <w:proofErr w:type="spellEnd"/>
            <w:r w:rsidRPr="0098561A">
              <w:rPr>
                <w:rFonts w:ascii="Arial" w:eastAsia="Arial" w:hAnsi="Arial" w:cs="Arial"/>
                <w:color w:val="000000"/>
                <w:sz w:val="20"/>
                <w:szCs w:val="20"/>
                <w:lang w:bidi="en-US"/>
              </w:rPr>
              <w:t xml:space="preserve"> </w:t>
            </w:r>
            <w:proofErr w:type="spellStart"/>
            <w:r w:rsidRPr="0098561A">
              <w:rPr>
                <w:rFonts w:ascii="Arial" w:eastAsia="Arial" w:hAnsi="Arial" w:cs="Arial"/>
                <w:color w:val="000000"/>
                <w:sz w:val="20"/>
                <w:szCs w:val="20"/>
                <w:lang w:bidi="en-US"/>
              </w:rPr>
              <w:t>потребители</w:t>
            </w:r>
            <w:proofErr w:type="spellEnd"/>
          </w:p>
        </w:tc>
        <w:tc>
          <w:tcPr>
            <w:tcW w:w="1262" w:type="dxa"/>
            <w:tcBorders>
              <w:top w:val="single" w:sz="4" w:space="0" w:color="auto"/>
              <w:left w:val="single" w:sz="4" w:space="0" w:color="auto"/>
              <w:bottom w:val="single" w:sz="4" w:space="0" w:color="auto"/>
            </w:tcBorders>
            <w:shd w:val="clear" w:color="auto" w:fill="FFFFFF"/>
            <w:vAlign w:val="bottom"/>
          </w:tcPr>
          <w:p w14:paraId="0D44AB12" w14:textId="77777777" w:rsidR="001463FE" w:rsidRPr="001463FE" w:rsidRDefault="001463FE" w:rsidP="001463FE">
            <w:pPr>
              <w:widowControl w:val="0"/>
              <w:spacing w:after="0" w:line="200" w:lineRule="exact"/>
              <w:jc w:val="right"/>
              <w:rPr>
                <w:rFonts w:ascii="Arial" w:eastAsia="Arial" w:hAnsi="Arial" w:cs="Arial"/>
                <w:color w:val="000000"/>
                <w:sz w:val="20"/>
                <w:szCs w:val="20"/>
                <w:lang w:bidi="en-US"/>
              </w:rPr>
            </w:pPr>
            <w:r w:rsidRPr="001463FE">
              <w:rPr>
                <w:rFonts w:ascii="Arial" w:eastAsia="Arial" w:hAnsi="Arial" w:cs="Arial"/>
                <w:color w:val="000000"/>
                <w:sz w:val="20"/>
                <w:szCs w:val="20"/>
                <w:lang w:bidi="en-US"/>
              </w:rPr>
              <w:t>82,000</w:t>
            </w:r>
          </w:p>
        </w:tc>
        <w:tc>
          <w:tcPr>
            <w:tcW w:w="1171" w:type="dxa"/>
            <w:tcBorders>
              <w:top w:val="single" w:sz="4" w:space="0" w:color="auto"/>
              <w:left w:val="single" w:sz="4" w:space="0" w:color="auto"/>
              <w:bottom w:val="single" w:sz="4" w:space="0" w:color="auto"/>
            </w:tcBorders>
            <w:shd w:val="clear" w:color="auto" w:fill="FFFFFF"/>
            <w:vAlign w:val="bottom"/>
          </w:tcPr>
          <w:p w14:paraId="1E637954" w14:textId="77777777" w:rsidR="001463FE" w:rsidRPr="001463FE" w:rsidRDefault="001463FE" w:rsidP="001463FE">
            <w:pPr>
              <w:widowControl w:val="0"/>
              <w:spacing w:after="0" w:line="200" w:lineRule="exact"/>
              <w:jc w:val="right"/>
              <w:rPr>
                <w:rFonts w:ascii="Arial" w:eastAsia="Arial" w:hAnsi="Arial" w:cs="Arial"/>
                <w:color w:val="000000"/>
                <w:sz w:val="20"/>
                <w:szCs w:val="20"/>
                <w:lang w:bidi="en-US"/>
              </w:rPr>
            </w:pPr>
            <w:r w:rsidRPr="001463FE">
              <w:rPr>
                <w:rFonts w:ascii="Arial" w:eastAsia="Arial" w:hAnsi="Arial" w:cs="Arial"/>
                <w:color w:val="000000"/>
                <w:sz w:val="20"/>
                <w:szCs w:val="20"/>
                <w:lang w:bidi="en-US"/>
              </w:rPr>
              <w:t>82,000</w:t>
            </w:r>
          </w:p>
        </w:tc>
        <w:tc>
          <w:tcPr>
            <w:tcW w:w="1830" w:type="dxa"/>
            <w:tcBorders>
              <w:top w:val="single" w:sz="4" w:space="0" w:color="auto"/>
              <w:left w:val="single" w:sz="4" w:space="0" w:color="auto"/>
              <w:bottom w:val="single" w:sz="4" w:space="0" w:color="auto"/>
            </w:tcBorders>
            <w:shd w:val="clear" w:color="auto" w:fill="FFFFFF"/>
            <w:vAlign w:val="bottom"/>
          </w:tcPr>
          <w:p w14:paraId="6932504C" w14:textId="77777777" w:rsidR="001463FE" w:rsidRPr="001463FE" w:rsidRDefault="001463FE" w:rsidP="002E6A4C">
            <w:pPr>
              <w:widowControl w:val="0"/>
              <w:spacing w:after="0" w:line="200" w:lineRule="exact"/>
              <w:jc w:val="center"/>
              <w:rPr>
                <w:rFonts w:ascii="Arial" w:eastAsia="Arial" w:hAnsi="Arial" w:cs="Arial"/>
                <w:color w:val="000000"/>
                <w:sz w:val="20"/>
                <w:szCs w:val="20"/>
                <w:lang w:bidi="en-US"/>
              </w:rPr>
            </w:pPr>
            <w:r w:rsidRPr="001463FE">
              <w:rPr>
                <w:rFonts w:ascii="Arial" w:eastAsia="Arial" w:hAnsi="Arial" w:cs="Arial"/>
                <w:color w:val="000000"/>
                <w:sz w:val="20"/>
                <w:szCs w:val="20"/>
                <w:lang w:bidi="en-US"/>
              </w:rPr>
              <w:t>3%</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A3F6A12" w14:textId="77777777" w:rsidR="001463FE" w:rsidRPr="001463FE" w:rsidRDefault="001463FE" w:rsidP="002E6A4C">
            <w:pPr>
              <w:widowControl w:val="0"/>
              <w:spacing w:after="0" w:line="200" w:lineRule="exact"/>
              <w:jc w:val="center"/>
              <w:rPr>
                <w:rFonts w:ascii="Arial" w:eastAsia="Arial" w:hAnsi="Arial" w:cs="Arial"/>
                <w:color w:val="000000"/>
                <w:sz w:val="20"/>
                <w:szCs w:val="20"/>
                <w:lang w:bidi="en-US"/>
              </w:rPr>
            </w:pPr>
            <w:r w:rsidRPr="001463FE">
              <w:rPr>
                <w:rFonts w:ascii="Arial" w:eastAsia="Arial" w:hAnsi="Arial" w:cs="Arial"/>
                <w:color w:val="000000"/>
                <w:sz w:val="20"/>
                <w:szCs w:val="20"/>
                <w:lang w:bidi="en-US"/>
              </w:rPr>
              <w:t>3%</w:t>
            </w:r>
          </w:p>
        </w:tc>
      </w:tr>
    </w:tbl>
    <w:p w14:paraId="72954566" w14:textId="77777777" w:rsidR="0095696C" w:rsidRDefault="0095696C" w:rsidP="001463FE">
      <w:pPr>
        <w:rPr>
          <w:lang w:val="bg-BG"/>
        </w:rPr>
      </w:pPr>
    </w:p>
    <w:p w14:paraId="63944460" w14:textId="77777777" w:rsidR="0095696C" w:rsidRDefault="0095696C" w:rsidP="001463FE">
      <w:pPr>
        <w:rPr>
          <w:lang w:val="bg-BG"/>
        </w:rPr>
      </w:pPr>
    </w:p>
    <w:p w14:paraId="4A100D7C" w14:textId="77777777" w:rsidR="001463FE" w:rsidRPr="001463FE" w:rsidRDefault="0095696C" w:rsidP="00BA3602">
      <w:pPr>
        <w:ind w:firstLine="709"/>
        <w:rPr>
          <w:lang w:val="bg-BG"/>
        </w:rPr>
      </w:pPr>
      <w:r>
        <w:rPr>
          <w:lang w:val="bg-BG"/>
        </w:rPr>
        <w:t>Критерии за определяне на</w:t>
      </w:r>
      <w:r w:rsidR="00BA3602">
        <w:rPr>
          <w:lang w:val="bg-BG"/>
        </w:rPr>
        <w:t xml:space="preserve"> разходите за</w:t>
      </w:r>
      <w:r>
        <w:rPr>
          <w:lang w:val="bg-BG"/>
        </w:rPr>
        <w:t xml:space="preserve"> </w:t>
      </w:r>
      <w:r w:rsidRPr="0095696C">
        <w:rPr>
          <w:lang w:val="bg-BG"/>
        </w:rPr>
        <w:t>„малки“/„големи“ потребители</w:t>
      </w:r>
      <w:r w:rsidR="00BA3602">
        <w:rPr>
          <w:lang w:val="bg-BG"/>
        </w:rPr>
        <w:t>.</w:t>
      </w:r>
    </w:p>
    <w:p w14:paraId="64E23C7D" w14:textId="77777777" w:rsidR="001463FE" w:rsidRPr="001463FE" w:rsidRDefault="001463FE" w:rsidP="00BA3602">
      <w:pPr>
        <w:spacing w:after="0"/>
        <w:ind w:firstLine="709"/>
        <w:rPr>
          <w:lang w:val="bg-BG"/>
        </w:rPr>
      </w:pPr>
      <w:r w:rsidRPr="001463FE">
        <w:rPr>
          <w:lang w:val="bg-BG"/>
        </w:rPr>
        <w:t>По-малко от 1 000 000 EUR = потребител от малък бизнес</w:t>
      </w:r>
    </w:p>
    <w:p w14:paraId="56377D92" w14:textId="77777777" w:rsidR="001463FE" w:rsidRPr="001463FE" w:rsidRDefault="001463FE" w:rsidP="00BA3602">
      <w:pPr>
        <w:spacing w:after="0"/>
        <w:ind w:firstLine="709"/>
        <w:rPr>
          <w:lang w:val="bg-BG"/>
        </w:rPr>
      </w:pPr>
      <w:r w:rsidRPr="001463FE">
        <w:rPr>
          <w:lang w:val="bg-BG"/>
        </w:rPr>
        <w:t>Равно или по-голямо от 1 000 000 EUR = потребител от голям бизнес</w:t>
      </w:r>
    </w:p>
    <w:sectPr w:rsidR="001463FE" w:rsidRPr="001463FE" w:rsidSect="00E25050">
      <w:footerReference w:type="default" r:id="rId8"/>
      <w:pgSz w:w="12240" w:h="15840"/>
      <w:pgMar w:top="851" w:right="474" w:bottom="426" w:left="1417"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41E1" w14:textId="77777777" w:rsidR="00283A46" w:rsidRDefault="00283A46" w:rsidP="00F82F2E">
      <w:pPr>
        <w:spacing w:after="0" w:line="240" w:lineRule="auto"/>
      </w:pPr>
      <w:r>
        <w:separator/>
      </w:r>
    </w:p>
  </w:endnote>
  <w:endnote w:type="continuationSeparator" w:id="0">
    <w:p w14:paraId="69583D40" w14:textId="77777777" w:rsidR="00283A46" w:rsidRDefault="00283A46" w:rsidP="00F8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445888"/>
      <w:docPartObj>
        <w:docPartGallery w:val="Page Numbers (Bottom of Page)"/>
        <w:docPartUnique/>
      </w:docPartObj>
    </w:sdtPr>
    <w:sdtEndPr>
      <w:rPr>
        <w:noProof/>
      </w:rPr>
    </w:sdtEndPr>
    <w:sdtContent>
      <w:p w14:paraId="2A7B5A69" w14:textId="77777777" w:rsidR="00C55695" w:rsidRDefault="00C55695">
        <w:pPr>
          <w:pStyle w:val="Footer"/>
          <w:jc w:val="right"/>
        </w:pPr>
        <w:r>
          <w:fldChar w:fldCharType="begin"/>
        </w:r>
        <w:r>
          <w:instrText xml:space="preserve"> PAGE   \* MERGEFORMAT </w:instrText>
        </w:r>
        <w:r>
          <w:fldChar w:fldCharType="separate"/>
        </w:r>
        <w:r w:rsidR="00EA44AC">
          <w:rPr>
            <w:noProof/>
          </w:rPr>
          <w:t>21</w:t>
        </w:r>
        <w:r>
          <w:rPr>
            <w:noProof/>
          </w:rPr>
          <w:fldChar w:fldCharType="end"/>
        </w:r>
      </w:p>
    </w:sdtContent>
  </w:sdt>
  <w:p w14:paraId="5948339A" w14:textId="77777777" w:rsidR="00C55695" w:rsidRDefault="00C55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482CC" w14:textId="77777777" w:rsidR="00283A46" w:rsidRDefault="00283A46" w:rsidP="00F82F2E">
      <w:pPr>
        <w:spacing w:after="0" w:line="240" w:lineRule="auto"/>
      </w:pPr>
      <w:r>
        <w:separator/>
      </w:r>
    </w:p>
  </w:footnote>
  <w:footnote w:type="continuationSeparator" w:id="0">
    <w:p w14:paraId="5D29756D" w14:textId="77777777" w:rsidR="00283A46" w:rsidRDefault="00283A46" w:rsidP="00F82F2E">
      <w:pPr>
        <w:spacing w:after="0" w:line="240" w:lineRule="auto"/>
      </w:pPr>
      <w:r>
        <w:continuationSeparator/>
      </w:r>
    </w:p>
  </w:footnote>
  <w:footnote w:id="1">
    <w:p w14:paraId="30724C5F" w14:textId="77777777" w:rsidR="00A9288D" w:rsidRDefault="00A9288D" w:rsidP="00F82F2E">
      <w:pPr>
        <w:pStyle w:val="Footnote0"/>
        <w:shd w:val="clear" w:color="auto" w:fill="auto"/>
        <w:tabs>
          <w:tab w:val="left" w:pos="120"/>
        </w:tabs>
        <w:spacing w:line="197" w:lineRule="exact"/>
        <w:jc w:val="both"/>
      </w:pPr>
      <w:r>
        <w:rPr>
          <w:vertAlign w:val="superscript"/>
        </w:rPr>
        <w:footnoteRef/>
      </w:r>
      <w:r>
        <w:tab/>
        <w:t>A minimum of two NSPO Member Nations is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2B5"/>
    <w:multiLevelType w:val="hybridMultilevel"/>
    <w:tmpl w:val="DAE63A3E"/>
    <w:lvl w:ilvl="0" w:tplc="C4D25A18">
      <w:numFmt w:val="bullet"/>
      <w:lvlText w:val=""/>
      <w:lvlJc w:val="left"/>
      <w:pPr>
        <w:ind w:left="1800" w:hanging="360"/>
      </w:pPr>
      <w:rPr>
        <w:rFonts w:ascii="Symbol" w:eastAsiaTheme="minorHAnsi" w:hAnsi="Symbol"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11F47E24"/>
    <w:multiLevelType w:val="hybridMultilevel"/>
    <w:tmpl w:val="D8BE6C2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1D5D3919"/>
    <w:multiLevelType w:val="hybridMultilevel"/>
    <w:tmpl w:val="57583F2C"/>
    <w:lvl w:ilvl="0" w:tplc="C4D25A18">
      <w:numFmt w:val="bullet"/>
      <w:lvlText w:val=""/>
      <w:lvlJc w:val="left"/>
      <w:pPr>
        <w:ind w:left="1800" w:hanging="360"/>
      </w:pPr>
      <w:rPr>
        <w:rFonts w:ascii="Symbol" w:eastAsiaTheme="minorHAnsi" w:hAnsi="Symbol"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232905AE"/>
    <w:multiLevelType w:val="hybridMultilevel"/>
    <w:tmpl w:val="395CE164"/>
    <w:lvl w:ilvl="0" w:tplc="C4D25A18">
      <w:numFmt w:val="bullet"/>
      <w:lvlText w:val=""/>
      <w:lvlJc w:val="left"/>
      <w:pPr>
        <w:ind w:left="1800" w:hanging="360"/>
      </w:pPr>
      <w:rPr>
        <w:rFonts w:ascii="Symbol" w:eastAsiaTheme="minorHAnsi" w:hAnsi="Symbol"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2D1CEB"/>
    <w:multiLevelType w:val="hybridMultilevel"/>
    <w:tmpl w:val="41A836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376E3466"/>
    <w:multiLevelType w:val="hybridMultilevel"/>
    <w:tmpl w:val="F86AC6BA"/>
    <w:lvl w:ilvl="0" w:tplc="C4D25A18">
      <w:numFmt w:val="bullet"/>
      <w:lvlText w:val=""/>
      <w:lvlJc w:val="left"/>
      <w:pPr>
        <w:ind w:left="1800" w:hanging="360"/>
      </w:pPr>
      <w:rPr>
        <w:rFonts w:ascii="Symbol" w:eastAsiaTheme="minorHAnsi" w:hAnsi="Symbol"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52DD2DCB"/>
    <w:multiLevelType w:val="hybridMultilevel"/>
    <w:tmpl w:val="EF84493E"/>
    <w:lvl w:ilvl="0" w:tplc="C4D25A18">
      <w:numFmt w:val="bullet"/>
      <w:lvlText w:val=""/>
      <w:lvlJc w:val="left"/>
      <w:pPr>
        <w:ind w:left="1800" w:hanging="360"/>
      </w:pPr>
      <w:rPr>
        <w:rFonts w:ascii="Symbol" w:eastAsiaTheme="minorHAnsi" w:hAnsi="Symbol"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5B464F6D"/>
    <w:multiLevelType w:val="hybridMultilevel"/>
    <w:tmpl w:val="9F040DF0"/>
    <w:lvl w:ilvl="0" w:tplc="C4D25A18">
      <w:numFmt w:val="bullet"/>
      <w:lvlText w:val=""/>
      <w:lvlJc w:val="left"/>
      <w:pPr>
        <w:ind w:left="1080" w:hanging="360"/>
      </w:pPr>
      <w:rPr>
        <w:rFonts w:ascii="Symbol" w:eastAsiaTheme="minorHAnsi" w:hAnsi="Symbol"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6A242442"/>
    <w:multiLevelType w:val="hybridMultilevel"/>
    <w:tmpl w:val="8530E4C6"/>
    <w:lvl w:ilvl="0" w:tplc="C4D25A18">
      <w:numFmt w:val="bullet"/>
      <w:lvlText w:val=""/>
      <w:lvlJc w:val="left"/>
      <w:pPr>
        <w:ind w:left="1800" w:hanging="360"/>
      </w:pPr>
      <w:rPr>
        <w:rFonts w:ascii="Symbol" w:eastAsiaTheme="minorHAnsi" w:hAnsi="Symbol"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7A59765B"/>
    <w:multiLevelType w:val="hybridMultilevel"/>
    <w:tmpl w:val="C6E0F9D4"/>
    <w:lvl w:ilvl="0" w:tplc="C4D25A18">
      <w:numFmt w:val="bullet"/>
      <w:lvlText w:val=""/>
      <w:lvlJc w:val="left"/>
      <w:pPr>
        <w:ind w:left="1800" w:hanging="360"/>
      </w:pPr>
      <w:rPr>
        <w:rFonts w:ascii="Symbol" w:eastAsiaTheme="minorHAnsi" w:hAnsi="Symbol"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16cid:durableId="1722250260">
    <w:abstractNumId w:val="4"/>
  </w:num>
  <w:num w:numId="2" w16cid:durableId="2073383338">
    <w:abstractNumId w:val="7"/>
  </w:num>
  <w:num w:numId="3" w16cid:durableId="2034962835">
    <w:abstractNumId w:val="5"/>
  </w:num>
  <w:num w:numId="4" w16cid:durableId="1724016903">
    <w:abstractNumId w:val="3"/>
  </w:num>
  <w:num w:numId="5" w16cid:durableId="1802189002">
    <w:abstractNumId w:val="8"/>
  </w:num>
  <w:num w:numId="6" w16cid:durableId="1370762946">
    <w:abstractNumId w:val="6"/>
  </w:num>
  <w:num w:numId="7" w16cid:durableId="380517543">
    <w:abstractNumId w:val="0"/>
  </w:num>
  <w:num w:numId="8" w16cid:durableId="78799719">
    <w:abstractNumId w:val="2"/>
  </w:num>
  <w:num w:numId="9" w16cid:durableId="1204249108">
    <w:abstractNumId w:val="9"/>
  </w:num>
  <w:num w:numId="10" w16cid:durableId="161174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3E"/>
    <w:rsid w:val="000211A3"/>
    <w:rsid w:val="000609AE"/>
    <w:rsid w:val="000C2ED7"/>
    <w:rsid w:val="000D21ED"/>
    <w:rsid w:val="000D70A6"/>
    <w:rsid w:val="001463FE"/>
    <w:rsid w:val="001B0D7F"/>
    <w:rsid w:val="002307FC"/>
    <w:rsid w:val="00283A46"/>
    <w:rsid w:val="002E6A4C"/>
    <w:rsid w:val="0032483E"/>
    <w:rsid w:val="003267E9"/>
    <w:rsid w:val="0033710D"/>
    <w:rsid w:val="003B2055"/>
    <w:rsid w:val="003C257A"/>
    <w:rsid w:val="004048D3"/>
    <w:rsid w:val="004151C4"/>
    <w:rsid w:val="00420633"/>
    <w:rsid w:val="00490CC8"/>
    <w:rsid w:val="004F04A8"/>
    <w:rsid w:val="00532BFF"/>
    <w:rsid w:val="005A59D4"/>
    <w:rsid w:val="006121B1"/>
    <w:rsid w:val="0063171E"/>
    <w:rsid w:val="006579D0"/>
    <w:rsid w:val="006D46B3"/>
    <w:rsid w:val="00722BC7"/>
    <w:rsid w:val="007D386D"/>
    <w:rsid w:val="00822FCA"/>
    <w:rsid w:val="0082783A"/>
    <w:rsid w:val="00831A5B"/>
    <w:rsid w:val="008A58F2"/>
    <w:rsid w:val="008A6FBB"/>
    <w:rsid w:val="008E2450"/>
    <w:rsid w:val="008E334D"/>
    <w:rsid w:val="0095696C"/>
    <w:rsid w:val="00965E79"/>
    <w:rsid w:val="00975131"/>
    <w:rsid w:val="009846BB"/>
    <w:rsid w:val="0098561A"/>
    <w:rsid w:val="0098573B"/>
    <w:rsid w:val="009A6065"/>
    <w:rsid w:val="009B5330"/>
    <w:rsid w:val="009E090D"/>
    <w:rsid w:val="00A85CCC"/>
    <w:rsid w:val="00A91B78"/>
    <w:rsid w:val="00A9288D"/>
    <w:rsid w:val="00AA668E"/>
    <w:rsid w:val="00AD58DA"/>
    <w:rsid w:val="00AE12C6"/>
    <w:rsid w:val="00AE2106"/>
    <w:rsid w:val="00BA3602"/>
    <w:rsid w:val="00BD1DFA"/>
    <w:rsid w:val="00BE3B1E"/>
    <w:rsid w:val="00C2526A"/>
    <w:rsid w:val="00C55695"/>
    <w:rsid w:val="00CD0ED3"/>
    <w:rsid w:val="00CD2E06"/>
    <w:rsid w:val="00D5698A"/>
    <w:rsid w:val="00D85C85"/>
    <w:rsid w:val="00D973F0"/>
    <w:rsid w:val="00DE126F"/>
    <w:rsid w:val="00DF1322"/>
    <w:rsid w:val="00E02355"/>
    <w:rsid w:val="00E048FA"/>
    <w:rsid w:val="00E25050"/>
    <w:rsid w:val="00EA1BF8"/>
    <w:rsid w:val="00EA44AC"/>
    <w:rsid w:val="00F82F2E"/>
    <w:rsid w:val="00FE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EA5D9"/>
  <w15:chartTrackingRefBased/>
  <w15:docId w15:val="{E436490F-0A6F-4D64-89EC-C9B8CD7B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F82F2E"/>
    <w:rPr>
      <w:rFonts w:ascii="Arial" w:eastAsia="Arial" w:hAnsi="Arial" w:cs="Arial"/>
      <w:sz w:val="16"/>
      <w:szCs w:val="16"/>
      <w:shd w:val="clear" w:color="auto" w:fill="FFFFFF"/>
    </w:rPr>
  </w:style>
  <w:style w:type="paragraph" w:customStyle="1" w:styleId="Footnote0">
    <w:name w:val="Footnote"/>
    <w:basedOn w:val="Normal"/>
    <w:link w:val="Footnote"/>
    <w:rsid w:val="00F82F2E"/>
    <w:pPr>
      <w:widowControl w:val="0"/>
      <w:shd w:val="clear" w:color="auto" w:fill="FFFFFF"/>
      <w:spacing w:after="0" w:line="0" w:lineRule="atLeast"/>
    </w:pPr>
    <w:rPr>
      <w:rFonts w:ascii="Arial" w:eastAsia="Arial" w:hAnsi="Arial" w:cs="Arial"/>
      <w:sz w:val="16"/>
      <w:szCs w:val="16"/>
    </w:rPr>
  </w:style>
  <w:style w:type="paragraph" w:styleId="ListParagraph">
    <w:name w:val="List Paragraph"/>
    <w:basedOn w:val="Normal"/>
    <w:uiPriority w:val="34"/>
    <w:qFormat/>
    <w:rsid w:val="00C2526A"/>
    <w:pPr>
      <w:ind w:left="720"/>
      <w:contextualSpacing/>
    </w:pPr>
  </w:style>
  <w:style w:type="paragraph" w:styleId="Header">
    <w:name w:val="header"/>
    <w:basedOn w:val="Normal"/>
    <w:link w:val="HeaderChar"/>
    <w:uiPriority w:val="99"/>
    <w:unhideWhenUsed/>
    <w:rsid w:val="00C556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5695"/>
  </w:style>
  <w:style w:type="paragraph" w:styleId="Footer">
    <w:name w:val="footer"/>
    <w:basedOn w:val="Normal"/>
    <w:link w:val="FooterChar"/>
    <w:uiPriority w:val="99"/>
    <w:unhideWhenUsed/>
    <w:rsid w:val="00C556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5695"/>
  </w:style>
  <w:style w:type="paragraph" w:styleId="BalloonText">
    <w:name w:val="Balloon Text"/>
    <w:basedOn w:val="Normal"/>
    <w:link w:val="BalloonTextChar"/>
    <w:uiPriority w:val="99"/>
    <w:semiHidden/>
    <w:unhideWhenUsed/>
    <w:rsid w:val="00D85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C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1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CC1D-68FD-4355-B7E2-F1094F18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8879</Words>
  <Characters>50616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Gospodinov</dc:creator>
  <cp:keywords/>
  <dc:description/>
  <cp:lastModifiedBy>Галина Смелова</cp:lastModifiedBy>
  <cp:revision>2</cp:revision>
  <cp:lastPrinted>2026-03-13T11:26:00Z</cp:lastPrinted>
  <dcterms:created xsi:type="dcterms:W3CDTF">2026-05-04T09:49:00Z</dcterms:created>
  <dcterms:modified xsi:type="dcterms:W3CDTF">2026-05-04T09:49:00Z</dcterms:modified>
</cp:coreProperties>
</file>