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8A26" w14:textId="78A07B91" w:rsidR="005D5265" w:rsidRPr="00195ACA" w:rsidRDefault="00195ACA" w:rsidP="00015F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lang w:val="bg-BG" w:eastAsia="en-IE"/>
        </w:rPr>
      </w:pPr>
      <w:r w:rsidRPr="00195ACA">
        <w:rPr>
          <w:rFonts w:ascii="Times New Roman" w:eastAsia="Times New Roman" w:hAnsi="Times New Roman" w:cs="Times New Roman"/>
          <w:b/>
          <w:bCs/>
          <w:i/>
          <w:iCs/>
          <w:lang w:val="bg-BG" w:eastAsia="en-IE"/>
        </w:rPr>
        <w:t xml:space="preserve">ЧАСТ 1: </w:t>
      </w:r>
      <w:r w:rsidR="00E67F4D">
        <w:rPr>
          <w:rFonts w:ascii="Times New Roman" w:eastAsia="Times New Roman" w:hAnsi="Times New Roman" w:cs="Times New Roman"/>
          <w:b/>
          <w:bCs/>
          <w:i/>
          <w:iCs/>
          <w:lang w:val="bg-BG" w:eastAsia="en-IE"/>
        </w:rPr>
        <w:t>П</w:t>
      </w:r>
      <w:r w:rsidR="00E67F4D" w:rsidRPr="00195ACA">
        <w:rPr>
          <w:rFonts w:ascii="Times New Roman" w:eastAsia="Times New Roman" w:hAnsi="Times New Roman" w:cs="Times New Roman"/>
          <w:b/>
          <w:bCs/>
          <w:i/>
          <w:iCs/>
          <w:lang w:val="bg-BG" w:eastAsia="en-IE"/>
        </w:rPr>
        <w:t>редложение за изменение в мерки, свързани с опростяване</w:t>
      </w:r>
      <w:r w:rsidR="00124BAE">
        <w:rPr>
          <w:rFonts w:ascii="Times New Roman" w:eastAsia="Times New Roman" w:hAnsi="Times New Roman" w:cs="Times New Roman"/>
          <w:b/>
          <w:bCs/>
          <w:i/>
          <w:iCs/>
          <w:lang w:val="bg-BG" w:eastAsia="en-IE"/>
        </w:rPr>
        <w:t xml:space="preserve"> или корекция на технически грешки</w:t>
      </w:r>
    </w:p>
    <w:p w14:paraId="3B9E95B8" w14:textId="77777777" w:rsidR="00195ACA" w:rsidRPr="00195ACA" w:rsidRDefault="00195ACA" w:rsidP="00015F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bg-BG" w:eastAsia="en-IE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227"/>
        <w:gridCol w:w="10802"/>
      </w:tblGrid>
      <w:tr w:rsidR="005D5265" w:rsidRPr="00F56767" w14:paraId="51422DAA" w14:textId="77777777" w:rsidTr="00FF2644">
        <w:tc>
          <w:tcPr>
            <w:tcW w:w="14029" w:type="dxa"/>
            <w:gridSpan w:val="2"/>
            <w:shd w:val="clear" w:color="auto" w:fill="1F3864"/>
          </w:tcPr>
          <w:p w14:paraId="2F4DA866" w14:textId="77777777" w:rsidR="005D5265" w:rsidRPr="00F56767" w:rsidRDefault="005D5265" w:rsidP="00015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val="en-IE"/>
              </w:rPr>
            </w:pPr>
          </w:p>
        </w:tc>
      </w:tr>
      <w:tr w:rsidR="005D5265" w:rsidRPr="00F56767" w14:paraId="5300570C" w14:textId="77777777" w:rsidTr="00E67F4D">
        <w:tc>
          <w:tcPr>
            <w:tcW w:w="3227" w:type="dxa"/>
            <w:shd w:val="clear" w:color="auto" w:fill="45B0E1" w:themeFill="accent1" w:themeFillTint="99"/>
          </w:tcPr>
          <w:p w14:paraId="72DEC013" w14:textId="0A5C93F4" w:rsidR="005D5265" w:rsidRPr="00F56767" w:rsidRDefault="005D5265" w:rsidP="00015F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color w:val="FFFFFF"/>
                <w:sz w:val="20"/>
                <w:szCs w:val="20"/>
                <w:u w:val="single"/>
                <w:lang w:val="en-IE"/>
              </w:rPr>
            </w:pP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color w:val="FFFFFF"/>
                <w:sz w:val="20"/>
                <w:szCs w:val="20"/>
                <w:lang w:val="en-US"/>
              </w:rPr>
              <w:t xml:space="preserve">CID референтен номер </w:t>
            </w:r>
            <w:r w:rsidR="000016FA" w:rsidRPr="00F56767">
              <w:rPr>
                <w:rFonts w:ascii="Times New Roman" w:eastAsia="Calibri" w:hAnsi="Times New Roman" w:cs="Times New Roman"/>
                <w:b/>
                <w:bCs/>
                <w:noProof/>
                <w:color w:val="FFFFFF"/>
                <w:sz w:val="20"/>
                <w:szCs w:val="20"/>
                <w:lang w:val="bg-BG"/>
              </w:rPr>
              <w:t>на засегнатите</w:t>
            </w: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color w:val="FFFFFF"/>
                <w:sz w:val="20"/>
                <w:szCs w:val="20"/>
                <w:lang w:val="en-US"/>
              </w:rPr>
              <w:t xml:space="preserve"> мерки</w:t>
            </w:r>
          </w:p>
        </w:tc>
        <w:tc>
          <w:tcPr>
            <w:tcW w:w="10802" w:type="dxa"/>
            <w:shd w:val="clear" w:color="auto" w:fill="45B0E1" w:themeFill="accent1" w:themeFillTint="99"/>
          </w:tcPr>
          <w:p w14:paraId="334536D8" w14:textId="6D11CB61" w:rsidR="008C4D9F" w:rsidRPr="00F56767" w:rsidRDefault="008C4D9F" w:rsidP="008C4D9F">
            <w:pPr>
              <w:spacing w:line="259" w:lineRule="auto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bg-BG" w:eastAsia="en-US"/>
              </w:rPr>
            </w:pP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bg-BG" w:eastAsia="en-US"/>
              </w:rPr>
              <w:t xml:space="preserve">Компонент </w:t>
            </w: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n-US" w:eastAsia="en-US"/>
              </w:rPr>
              <w:t>C</w:t>
            </w: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bg-BG" w:eastAsia="en-US"/>
              </w:rPr>
              <w:t>1 „Образование и умения“</w:t>
            </w:r>
          </w:p>
          <w:p w14:paraId="334B9D17" w14:textId="096C09BB" w:rsidR="008C4D9F" w:rsidRPr="00F56767" w:rsidRDefault="008C4D9F" w:rsidP="008C4D9F">
            <w:pPr>
              <w:spacing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</w:pPr>
            <w:r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 xml:space="preserve">Реформа </w:t>
            </w:r>
            <w:r w:rsidR="00124BAE"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2 (</w:t>
            </w:r>
            <w:r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С1.R2</w:t>
            </w:r>
            <w:r w:rsidR="00124BAE"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)</w:t>
            </w:r>
            <w:r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: Реформа на висшето образование</w:t>
            </w:r>
          </w:p>
          <w:p w14:paraId="4ABFDA8F" w14:textId="77777777" w:rsidR="008C4D9F" w:rsidRPr="00F56767" w:rsidRDefault="008C4D9F" w:rsidP="008C4D9F">
            <w:pPr>
              <w:spacing w:line="259" w:lineRule="auto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n-US" w:eastAsia="en-US"/>
              </w:rPr>
            </w:pP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bg-BG" w:eastAsia="en-US"/>
              </w:rPr>
              <w:t xml:space="preserve">Компонент </w:t>
            </w: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n-US" w:eastAsia="en-US"/>
              </w:rPr>
              <w:t>C</w:t>
            </w: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bg-BG" w:eastAsia="en-US"/>
              </w:rPr>
              <w:t>3 Интелигентна индустрия</w:t>
            </w:r>
          </w:p>
          <w:p w14:paraId="08FC1DB4" w14:textId="1C89F79B" w:rsidR="008C4D9F" w:rsidRPr="00F56767" w:rsidRDefault="008C4D9F" w:rsidP="008C4D9F">
            <w:pPr>
              <w:spacing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</w:pPr>
            <w:r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 xml:space="preserve">Инвестиция </w:t>
            </w:r>
            <w:r w:rsidR="00124BAE"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2 (</w:t>
            </w:r>
            <w:r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C3.I2</w:t>
            </w:r>
            <w:r w:rsidR="00124BAE"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)</w:t>
            </w:r>
            <w:r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: Програма за икономическа трансформация</w:t>
            </w:r>
            <w:r w:rsidR="00EB162D"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, 2.2.c — Схема за безвъзмездни средства за подпомагане на предприятията в прехода към кръгова икономика</w:t>
            </w:r>
          </w:p>
          <w:p w14:paraId="2DCB7006" w14:textId="150B2DB9" w:rsidR="008C4D9F" w:rsidRPr="00F56767" w:rsidRDefault="008C4D9F" w:rsidP="008C4D9F">
            <w:pPr>
              <w:spacing w:line="259" w:lineRule="auto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bg-BG" w:eastAsia="en-US"/>
              </w:rPr>
            </w:pP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bg-BG" w:eastAsia="en-US"/>
              </w:rPr>
              <w:t xml:space="preserve">Компонент </w:t>
            </w: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n-US" w:eastAsia="en-US"/>
              </w:rPr>
              <w:t xml:space="preserve">C4 </w:t>
            </w: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bg-BG" w:eastAsia="en-US"/>
              </w:rPr>
              <w:t>Нисковъглеродна икономика</w:t>
            </w:r>
          </w:p>
          <w:p w14:paraId="576FCDC3" w14:textId="77777777" w:rsidR="008C4D9F" w:rsidRPr="00F56767" w:rsidRDefault="008C4D9F" w:rsidP="008C4D9F">
            <w:pPr>
              <w:spacing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</w:pPr>
            <w:r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Инвестиция 2 (C4.I2): Подкрепа за енергия от възобновяеми източници за домакинствата</w:t>
            </w:r>
          </w:p>
          <w:p w14:paraId="65D63913" w14:textId="77777777" w:rsidR="008C4D9F" w:rsidRPr="00F56767" w:rsidRDefault="008C4D9F" w:rsidP="008C4D9F">
            <w:pPr>
              <w:spacing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</w:pPr>
            <w:r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Инвестиция 7 (C4.I7): Насърчаване на използването на възобновяема енергия от геотермални източници</w:t>
            </w:r>
          </w:p>
          <w:p w14:paraId="60DAF588" w14:textId="005FD2C9" w:rsidR="008C4D9F" w:rsidRPr="00F56767" w:rsidRDefault="008C4D9F" w:rsidP="008C4D9F">
            <w:pPr>
              <w:spacing w:line="259" w:lineRule="auto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bg-BG" w:eastAsia="en-US"/>
              </w:rPr>
            </w:pP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bg-BG" w:eastAsia="en-US"/>
              </w:rPr>
              <w:t xml:space="preserve">Компонент </w:t>
            </w: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n-US" w:eastAsia="en-US"/>
              </w:rPr>
              <w:t>C</w:t>
            </w: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bg-BG" w:eastAsia="en-US"/>
              </w:rPr>
              <w:t>6 Устойчиво селско стопанство</w:t>
            </w:r>
          </w:p>
          <w:p w14:paraId="64A47850" w14:textId="77777777" w:rsidR="008C4D9F" w:rsidRPr="00F56767" w:rsidRDefault="008C4D9F" w:rsidP="008C4D9F">
            <w:pPr>
              <w:spacing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</w:pPr>
            <w:r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Инвестиция 2 (C6.I2) Цифровизация на процесите от фермата до трапезата</w:t>
            </w:r>
          </w:p>
          <w:p w14:paraId="037234F8" w14:textId="77261899" w:rsidR="008C4D9F" w:rsidRPr="00F56767" w:rsidRDefault="008C4D9F" w:rsidP="008C4D9F">
            <w:pPr>
              <w:spacing w:line="259" w:lineRule="auto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n-US" w:eastAsia="en-US"/>
              </w:rPr>
            </w:pP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bg-BG" w:eastAsia="en-US"/>
              </w:rPr>
              <w:t xml:space="preserve">Компонент </w:t>
            </w: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n-US" w:eastAsia="en-US"/>
              </w:rPr>
              <w:t>C</w:t>
            </w: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bg-BG" w:eastAsia="en-US"/>
              </w:rPr>
              <w:t>8 Устойчив транспорт</w:t>
            </w:r>
          </w:p>
          <w:p w14:paraId="4F66BE6C" w14:textId="77777777" w:rsidR="008C4D9F" w:rsidRPr="00F56767" w:rsidRDefault="008C4D9F" w:rsidP="008C4D9F">
            <w:pPr>
              <w:spacing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</w:pPr>
            <w:r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Реформа 1 (C8.R1): Стратегическа рамка за транспорта</w:t>
            </w:r>
          </w:p>
          <w:p w14:paraId="0339EAF1" w14:textId="77777777" w:rsidR="008C4D9F" w:rsidRPr="00F56767" w:rsidRDefault="008C4D9F" w:rsidP="008C4D9F">
            <w:pPr>
              <w:spacing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</w:pPr>
            <w:r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Реформа 4 (C8.R4): Интегриран обществен транспорт</w:t>
            </w:r>
          </w:p>
          <w:p w14:paraId="5FF6BF65" w14:textId="77777777" w:rsidR="008C4D9F" w:rsidRPr="00F56767" w:rsidRDefault="008C4D9F" w:rsidP="008C4D9F">
            <w:pPr>
              <w:spacing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</w:pPr>
            <w:r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Реформа 5 (C8.R5): Електрическа мобилност</w:t>
            </w:r>
          </w:p>
          <w:p w14:paraId="5FAE5363" w14:textId="77777777" w:rsidR="00124BAE" w:rsidRPr="00F56767" w:rsidRDefault="00124BAE" w:rsidP="008C4D9F">
            <w:pPr>
              <w:spacing w:line="259" w:lineRule="auto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lang w:val="bg-BG" w:eastAsia="en-US"/>
              </w:rPr>
            </w:pPr>
          </w:p>
          <w:p w14:paraId="4BBC49D5" w14:textId="384845F4" w:rsidR="00124BAE" w:rsidRPr="00F56767" w:rsidRDefault="00124BAE" w:rsidP="008C4D9F">
            <w:pPr>
              <w:spacing w:line="259" w:lineRule="auto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bg-BG" w:eastAsia="en-US"/>
              </w:rPr>
            </w:pPr>
            <w:r w:rsidRPr="00F56767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bg-BG" w:eastAsia="en-US"/>
              </w:rPr>
              <w:t>Корекция на техническа грешка</w:t>
            </w:r>
          </w:p>
          <w:p w14:paraId="6B91A436" w14:textId="0B8A8C8A" w:rsidR="008C4D9F" w:rsidRPr="00F56767" w:rsidRDefault="00124BAE" w:rsidP="008C4D9F">
            <w:pPr>
              <w:spacing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</w:pPr>
            <w:r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 xml:space="preserve">Описание на </w:t>
            </w:r>
            <w:r w:rsidR="008C4D9F" w:rsidRPr="00F56767">
              <w:rPr>
                <w:rFonts w:ascii="Times New Roman" w:eastAsiaTheme="minorHAnsi" w:hAnsi="Times New Roman" w:cs="Times New Roman"/>
                <w:sz w:val="20"/>
                <w:szCs w:val="20"/>
                <w:lang w:val="bg-BG" w:eastAsia="en-US"/>
              </w:rPr>
              <w:t>Компонент C9 Местно развитие</w:t>
            </w:r>
          </w:p>
          <w:p w14:paraId="2EC191BA" w14:textId="19BAEDE5" w:rsidR="008E2228" w:rsidRPr="00F56767" w:rsidRDefault="008E2228" w:rsidP="00124BA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FFFFFF"/>
                <w:sz w:val="20"/>
                <w:szCs w:val="20"/>
                <w:u w:val="single"/>
                <w:lang w:val="bg-BG"/>
              </w:rPr>
            </w:pPr>
          </w:p>
        </w:tc>
      </w:tr>
      <w:tr w:rsidR="005D5265" w:rsidRPr="00F56767" w14:paraId="4A6D2C56" w14:textId="77777777" w:rsidTr="00FF2644">
        <w:tc>
          <w:tcPr>
            <w:tcW w:w="3227" w:type="dxa"/>
            <w:shd w:val="clear" w:color="auto" w:fill="BDD6EE"/>
          </w:tcPr>
          <w:p w14:paraId="4F185654" w14:textId="360578A0" w:rsidR="005D5265" w:rsidRPr="00F56767" w:rsidRDefault="005D5265" w:rsidP="00015F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u w:val="single"/>
                <w:lang w:val="en-IE"/>
              </w:rPr>
            </w:pP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 xml:space="preserve">Правно основание на </w:t>
            </w:r>
            <w:r w:rsidR="000016FA"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bg-BG"/>
              </w:rPr>
              <w:t>изменението</w:t>
            </w: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 xml:space="preserve"> (изберете поне едно)</w:t>
            </w:r>
          </w:p>
        </w:tc>
        <w:tc>
          <w:tcPr>
            <w:tcW w:w="10802" w:type="dxa"/>
          </w:tcPr>
          <w:p w14:paraId="73B4AEBA" w14:textId="23C1F21A" w:rsidR="005D5265" w:rsidRPr="00F56767" w:rsidRDefault="005D5265" w:rsidP="00015F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F56767">
              <w:rPr>
                <w:rFonts w:ascii="Segoe UI Symbol" w:eastAsia="MS Gothic" w:hAnsi="Segoe UI Symbol" w:cs="Segoe UI Symbol"/>
                <w:noProof/>
                <w:color w:val="2B579A"/>
                <w:sz w:val="20"/>
                <w:szCs w:val="20"/>
                <w:shd w:val="clear" w:color="auto" w:fill="E6E6E6"/>
                <w:lang w:val="en-US"/>
              </w:rPr>
              <w:t>☒</w:t>
            </w:r>
            <w:r w:rsidRPr="00F56767">
              <w:rPr>
                <w:rFonts w:ascii="Times New Roman" w:eastAsia="MS Gothic" w:hAnsi="Times New Roman" w:cs="Times New Roman"/>
                <w:noProof/>
                <w:color w:val="2B579A"/>
                <w:sz w:val="20"/>
                <w:szCs w:val="20"/>
                <w:shd w:val="clear" w:color="auto" w:fill="E6E6E6"/>
                <w:lang w:val="en-US"/>
              </w:rPr>
              <w:t xml:space="preserve"> </w:t>
            </w:r>
            <w:r w:rsidRPr="00F5676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Член 21 – изменение поради обективни обстоятелства</w:t>
            </w:r>
          </w:p>
          <w:p w14:paraId="17AFB2DB" w14:textId="3AA810E9" w:rsidR="005D5265" w:rsidRPr="00F56767" w:rsidRDefault="00124BAE" w:rsidP="00015F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bg-BG"/>
              </w:rPr>
            </w:pPr>
            <w:r w:rsidRPr="00F56767">
              <w:rPr>
                <w:rFonts w:ascii="Segoe UI Symbol" w:eastAsia="MS Gothic" w:hAnsi="Segoe UI Symbol" w:cs="Segoe UI Symbol"/>
                <w:noProof/>
                <w:color w:val="2B579A"/>
                <w:sz w:val="20"/>
                <w:szCs w:val="20"/>
                <w:shd w:val="clear" w:color="auto" w:fill="E6E6E6"/>
                <w:lang w:val="en-US"/>
              </w:rPr>
              <w:t>☒</w:t>
            </w:r>
            <w:r w:rsidR="005D5265" w:rsidRPr="00F56767">
              <w:rPr>
                <w:rFonts w:ascii="Times New Roman" w:eastAsia="MS Gothic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F5676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bg-BG"/>
              </w:rPr>
              <w:t>К</w:t>
            </w:r>
            <w:r w:rsidR="005D5265" w:rsidRPr="00F5676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орекция на техническа грешка</w:t>
            </w:r>
          </w:p>
        </w:tc>
      </w:tr>
      <w:tr w:rsidR="005D5265" w:rsidRPr="00F56767" w14:paraId="6075A05C" w14:textId="77777777" w:rsidTr="00195ACA">
        <w:tc>
          <w:tcPr>
            <w:tcW w:w="3227" w:type="dxa"/>
            <w:tcBorders>
              <w:bottom w:val="nil"/>
            </w:tcBorders>
            <w:shd w:val="clear" w:color="auto" w:fill="BDD6EE"/>
          </w:tcPr>
          <w:p w14:paraId="594AC299" w14:textId="67FC64C3" w:rsidR="005D5265" w:rsidRPr="00F56767" w:rsidRDefault="000016FA" w:rsidP="00015F7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bg-BG"/>
              </w:rPr>
              <w:t xml:space="preserve">Изменени </w:t>
            </w:r>
            <w:r w:rsidR="005D5265"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елементи (само за</w:t>
            </w: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bg-BG"/>
              </w:rPr>
              <w:t xml:space="preserve"> изменени</w:t>
            </w:r>
            <w:r w:rsidR="005D5265"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 xml:space="preserve"> мерки)</w:t>
            </w:r>
          </w:p>
          <w:p w14:paraId="24183BE1" w14:textId="77777777" w:rsidR="005D5265" w:rsidRPr="00F56767" w:rsidRDefault="005D5265" w:rsidP="00015F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u w:val="single"/>
                <w:lang w:val="en-IE"/>
              </w:rPr>
            </w:pPr>
          </w:p>
        </w:tc>
        <w:tc>
          <w:tcPr>
            <w:tcW w:w="10802" w:type="dxa"/>
            <w:tcBorders>
              <w:bottom w:val="nil"/>
            </w:tcBorders>
          </w:tcPr>
          <w:p w14:paraId="50BDE77A" w14:textId="2A183CA2" w:rsidR="005D5265" w:rsidRPr="00F56767" w:rsidRDefault="00AB4508" w:rsidP="00015F7A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F56767">
              <w:rPr>
                <w:rFonts w:ascii="Segoe UI Symbol" w:eastAsia="MS Gothic" w:hAnsi="Segoe UI Symbol" w:cs="Segoe UI Symbol"/>
                <w:noProof/>
                <w:color w:val="2B579A"/>
                <w:sz w:val="20"/>
                <w:szCs w:val="20"/>
                <w:shd w:val="clear" w:color="auto" w:fill="E6E6E6"/>
                <w:lang w:val="en-US"/>
              </w:rPr>
              <w:t>☒</w:t>
            </w:r>
            <w:r w:rsidR="005D5265" w:rsidRPr="00F5676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Описание на компонента/мярката</w:t>
            </w:r>
          </w:p>
          <w:p w14:paraId="20660AC4" w14:textId="106F808C" w:rsidR="005D5265" w:rsidRPr="00F56767" w:rsidRDefault="005D5265" w:rsidP="00015F7A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F56767">
              <w:rPr>
                <w:rFonts w:ascii="Segoe UI Symbol" w:eastAsia="MS Gothic" w:hAnsi="Segoe UI Symbol" w:cs="Segoe UI Symbol"/>
                <w:noProof/>
                <w:color w:val="2B579A"/>
                <w:sz w:val="20"/>
                <w:szCs w:val="20"/>
                <w:shd w:val="clear" w:color="auto" w:fill="E6E6E6"/>
                <w:lang w:val="en-US"/>
              </w:rPr>
              <w:t>☒</w:t>
            </w:r>
            <w:r w:rsidRPr="00F56767">
              <w:rPr>
                <w:rFonts w:ascii="Times New Roman" w:eastAsia="MS Gothic" w:hAnsi="Times New Roman" w:cs="Times New Roman"/>
                <w:noProof/>
                <w:color w:val="2B579A"/>
                <w:sz w:val="20"/>
                <w:szCs w:val="20"/>
                <w:shd w:val="clear" w:color="auto" w:fill="E6E6E6"/>
                <w:lang w:val="en-US"/>
              </w:rPr>
              <w:t xml:space="preserve"> </w:t>
            </w:r>
            <w:r w:rsidRPr="00F5676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Етапи и цели</w:t>
            </w:r>
          </w:p>
          <w:p w14:paraId="0DB47EEA" w14:textId="24755835" w:rsidR="00B726F2" w:rsidRPr="00F56767" w:rsidRDefault="00B726F2" w:rsidP="00015F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bg-BG"/>
              </w:rPr>
            </w:pPr>
          </w:p>
        </w:tc>
      </w:tr>
      <w:tr w:rsidR="000D0593" w:rsidRPr="00F56767" w14:paraId="543DA0F4" w14:textId="77777777" w:rsidTr="00195ACA">
        <w:tc>
          <w:tcPr>
            <w:tcW w:w="3227" w:type="dxa"/>
            <w:tcBorders>
              <w:bottom w:val="nil"/>
            </w:tcBorders>
            <w:shd w:val="clear" w:color="auto" w:fill="BDD6EE"/>
          </w:tcPr>
          <w:p w14:paraId="24341278" w14:textId="175424C3" w:rsidR="000D0593" w:rsidRPr="00F56767" w:rsidRDefault="000D0593" w:rsidP="00015F7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bg-BG"/>
              </w:rPr>
            </w:pP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bg-BG"/>
              </w:rPr>
              <w:t>Обосновка</w:t>
            </w:r>
          </w:p>
        </w:tc>
        <w:tc>
          <w:tcPr>
            <w:tcW w:w="10802" w:type="dxa"/>
            <w:tcBorders>
              <w:bottom w:val="nil"/>
            </w:tcBorders>
          </w:tcPr>
          <w:p w14:paraId="7CE523E2" w14:textId="7FCA6CF7" w:rsidR="000D0593" w:rsidRPr="00F56767" w:rsidRDefault="000D0593" w:rsidP="000D059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bg-BG"/>
              </w:rPr>
            </w:pPr>
            <w:r w:rsidRPr="00F5676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bg-BG"/>
              </w:rPr>
              <w:t xml:space="preserve">В съответствие със Съобщението на Комисията от 4 юни 2025 г. „NextGenerationEU – Пътят към 2026 г.“ </w:t>
            </w:r>
            <w:r w:rsidRPr="00F56767">
              <w:rPr>
                <w:rFonts w:ascii="Times New Roman" w:eastAsia="Aptos" w:hAnsi="Times New Roman" w:cs="Times New Roman"/>
                <w:sz w:val="20"/>
                <w:szCs w:val="20"/>
                <w:lang w:val="en-IE" w:eastAsia="en-US"/>
              </w:rPr>
              <w:t>(</w:t>
            </w:r>
            <w:proofErr w:type="gramStart"/>
            <w:r w:rsidRPr="00F56767">
              <w:rPr>
                <w:rFonts w:ascii="Times New Roman" w:eastAsia="Aptos" w:hAnsi="Times New Roman" w:cs="Times New Roman"/>
                <w:sz w:val="20"/>
                <w:szCs w:val="20"/>
                <w:lang w:val="en-IE" w:eastAsia="en-US"/>
              </w:rPr>
              <w:t>COM(</w:t>
            </w:r>
            <w:proofErr w:type="gramEnd"/>
            <w:r w:rsidRPr="00F56767">
              <w:rPr>
                <w:rFonts w:ascii="Times New Roman" w:eastAsia="Aptos" w:hAnsi="Times New Roman" w:cs="Times New Roman"/>
                <w:sz w:val="20"/>
                <w:szCs w:val="20"/>
                <w:lang w:val="en-IE" w:eastAsia="en-US"/>
              </w:rPr>
              <w:t xml:space="preserve">2025)310, 4 June 2024), </w:t>
            </w:r>
            <w:r w:rsidRPr="00F5676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bg-BG"/>
              </w:rPr>
              <w:t xml:space="preserve">Планът се изменя допълнително с цел опростяване и по-ефективно изпълнение. В допълнение, коригира се техническа грешка в описанието на Компонент 9. </w:t>
            </w:r>
          </w:p>
          <w:p w14:paraId="7CB559A9" w14:textId="1861527E" w:rsidR="000D0593" w:rsidRPr="00F56767" w:rsidRDefault="000D0593" w:rsidP="00015F7A">
            <w:pPr>
              <w:spacing w:line="240" w:lineRule="auto"/>
              <w:rPr>
                <w:rFonts w:ascii="Times New Roman" w:eastAsia="MS Gothic" w:hAnsi="Times New Roman" w:cs="Times New Roman"/>
                <w:noProof/>
                <w:color w:val="2B579A"/>
                <w:sz w:val="20"/>
                <w:szCs w:val="20"/>
                <w:shd w:val="clear" w:color="auto" w:fill="E6E6E6"/>
                <w:lang w:val="en-US"/>
              </w:rPr>
            </w:pPr>
          </w:p>
        </w:tc>
      </w:tr>
      <w:tr w:rsidR="00195ACA" w:rsidRPr="00F56767" w14:paraId="4F082801" w14:textId="77777777" w:rsidTr="00195ACA">
        <w:tc>
          <w:tcPr>
            <w:tcW w:w="1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AFD196" w14:textId="77777777" w:rsidR="00195ACA" w:rsidRPr="00F56767" w:rsidRDefault="00195ACA" w:rsidP="000D0593">
            <w:pPr>
              <w:spacing w:line="240" w:lineRule="auto"/>
              <w:rPr>
                <w:rFonts w:ascii="Times New Roman" w:eastAsia="MS Gothic" w:hAnsi="Times New Roman" w:cs="Times New Roman"/>
                <w:noProof/>
                <w:color w:val="2B579A"/>
                <w:sz w:val="20"/>
                <w:szCs w:val="20"/>
                <w:shd w:val="clear" w:color="auto" w:fill="E6E6E6"/>
                <w:lang w:val="en-US"/>
              </w:rPr>
            </w:pPr>
          </w:p>
        </w:tc>
      </w:tr>
    </w:tbl>
    <w:p w14:paraId="2E3AD4F5" w14:textId="77777777" w:rsidR="00195ACA" w:rsidRDefault="00195ACA">
      <w:r>
        <w:br w:type="page"/>
      </w:r>
    </w:p>
    <w:tbl>
      <w:tblPr>
        <w:tblStyle w:val="TableGrid"/>
        <w:tblW w:w="14029" w:type="dxa"/>
        <w:tblInd w:w="5" w:type="dxa"/>
        <w:tblLook w:val="04A0" w:firstRow="1" w:lastRow="0" w:firstColumn="1" w:lastColumn="0" w:noHBand="0" w:noVBand="1"/>
      </w:tblPr>
      <w:tblGrid>
        <w:gridCol w:w="14029"/>
      </w:tblGrid>
      <w:tr w:rsidR="00195ACA" w:rsidRPr="0045679D" w14:paraId="05844F01" w14:textId="77777777" w:rsidTr="00195ACA">
        <w:tc>
          <w:tcPr>
            <w:tcW w:w="14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801A79" w14:textId="77777777" w:rsidR="00195ACA" w:rsidRPr="00195ACA" w:rsidRDefault="00195ACA" w:rsidP="00195ACA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bg-BG"/>
              </w:rPr>
            </w:pPr>
          </w:p>
        </w:tc>
      </w:tr>
    </w:tbl>
    <w:tbl>
      <w:tblPr>
        <w:tblStyle w:val="TableGrid22"/>
        <w:tblW w:w="13994" w:type="dxa"/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13994"/>
      </w:tblGrid>
      <w:tr w:rsidR="008E2228" w:rsidRPr="008E2228" w14:paraId="2CA3AB91" w14:textId="77777777" w:rsidTr="000B030A">
        <w:tc>
          <w:tcPr>
            <w:tcW w:w="13994" w:type="dxa"/>
            <w:shd w:val="clear" w:color="auto" w:fill="153D63" w:themeFill="text2" w:themeFillTint="E6"/>
          </w:tcPr>
          <w:p w14:paraId="4DF0DEE4" w14:textId="4998B9DA" w:rsidR="00FF2644" w:rsidRPr="00784E26" w:rsidRDefault="00FF2644" w:rsidP="00015F7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</w:pPr>
            <w:bookmarkStart w:id="0" w:name="_Hlk209708590"/>
            <w:r w:rsidRPr="008E222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Компонент </w:t>
            </w:r>
            <w:r w:rsidR="00784E26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C</w:t>
            </w:r>
            <w:r w:rsidRPr="008E2228">
              <w:rPr>
                <w:rFonts w:ascii="Times New Roman" w:hAnsi="Times New Roman" w:cs="Times New Roman"/>
                <w:b/>
                <w:color w:val="FFFFFF" w:themeColor="background1"/>
              </w:rPr>
              <w:t>1</w:t>
            </w:r>
            <w:r w:rsidR="00784E26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 xml:space="preserve"> </w:t>
            </w:r>
            <w:r w:rsidRPr="008E2228">
              <w:rPr>
                <w:rFonts w:ascii="Times New Roman" w:hAnsi="Times New Roman" w:cs="Times New Roman"/>
                <w:b/>
                <w:color w:val="FFFFFF" w:themeColor="background1"/>
              </w:rPr>
              <w:t>Образование и умения</w:t>
            </w:r>
          </w:p>
        </w:tc>
      </w:tr>
    </w:tbl>
    <w:tbl>
      <w:tblPr>
        <w:tblStyle w:val="TableGrid81"/>
        <w:tblW w:w="14029" w:type="dxa"/>
        <w:shd w:val="clear" w:color="auto" w:fill="E8E8E8" w:themeFill="background2"/>
        <w:tblLook w:val="04A0" w:firstRow="1" w:lastRow="0" w:firstColumn="1" w:lastColumn="0" w:noHBand="0" w:noVBand="1"/>
      </w:tblPr>
      <w:tblGrid>
        <w:gridCol w:w="14029"/>
      </w:tblGrid>
      <w:tr w:rsidR="00FF2644" w:rsidRPr="00E52F22" w14:paraId="5801B1B6" w14:textId="77777777" w:rsidTr="00C94B36">
        <w:tc>
          <w:tcPr>
            <w:tcW w:w="14029" w:type="dxa"/>
            <w:shd w:val="clear" w:color="auto" w:fill="A5C9EB" w:themeFill="text2" w:themeFillTint="40"/>
          </w:tcPr>
          <w:p w14:paraId="435CBE6A" w14:textId="5496E09C" w:rsidR="00FF2644" w:rsidRPr="000277FF" w:rsidRDefault="00E336C2" w:rsidP="00015F7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bookmarkStart w:id="1" w:name="_Hlk209622066"/>
            <w:bookmarkEnd w:id="0"/>
            <w:r w:rsidRPr="000277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Реформа 1 </w:t>
            </w:r>
            <w:r w:rsidRPr="000277F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(</w:t>
            </w:r>
            <w:r w:rsidR="00FF2644" w:rsidRPr="000277FF">
              <w:rPr>
                <w:rFonts w:ascii="Times New Roman" w:hAnsi="Times New Roman" w:cs="Times New Roman"/>
                <w:b/>
                <w:sz w:val="22"/>
                <w:szCs w:val="22"/>
              </w:rPr>
              <w:t>C1.R1</w:t>
            </w:r>
            <w:r w:rsidRPr="000277F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)</w:t>
            </w:r>
            <w:r w:rsidR="00FF2644" w:rsidRPr="000277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Реформа на предучилищното и училищното образование и на ученето през целия живот</w:t>
            </w:r>
          </w:p>
        </w:tc>
      </w:tr>
    </w:tbl>
    <w:tbl>
      <w:tblPr>
        <w:tblStyle w:val="TableGrid222"/>
        <w:tblW w:w="13948" w:type="dxa"/>
        <w:tblLook w:val="04A0" w:firstRow="1" w:lastRow="0" w:firstColumn="1" w:lastColumn="0" w:noHBand="0" w:noVBand="1"/>
      </w:tblPr>
      <w:tblGrid>
        <w:gridCol w:w="4647"/>
        <w:gridCol w:w="4562"/>
        <w:gridCol w:w="4739"/>
      </w:tblGrid>
      <w:tr w:rsidR="000B030A" w:rsidRPr="005D352B" w14:paraId="37106049" w14:textId="77777777" w:rsidTr="006D574F">
        <w:tc>
          <w:tcPr>
            <w:tcW w:w="4647" w:type="dxa"/>
          </w:tcPr>
          <w:bookmarkEnd w:id="1"/>
          <w:p w14:paraId="4AEBC85B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 елементи</w:t>
            </w:r>
          </w:p>
        </w:tc>
        <w:tc>
          <w:tcPr>
            <w:tcW w:w="4562" w:type="dxa"/>
          </w:tcPr>
          <w:p w14:paraId="52721D7B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Настояща версия</w:t>
            </w:r>
          </w:p>
        </w:tc>
        <w:tc>
          <w:tcPr>
            <w:tcW w:w="4739" w:type="dxa"/>
          </w:tcPr>
          <w:p w14:paraId="7EE1CA07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Изменена версия</w:t>
            </w:r>
          </w:p>
        </w:tc>
      </w:tr>
    </w:tbl>
    <w:tbl>
      <w:tblPr>
        <w:tblStyle w:val="TableGrid81"/>
        <w:tblW w:w="14029" w:type="dxa"/>
        <w:tblLook w:val="04A0" w:firstRow="1" w:lastRow="0" w:firstColumn="1" w:lastColumn="0" w:noHBand="0" w:noVBand="1"/>
      </w:tblPr>
      <w:tblGrid>
        <w:gridCol w:w="4656"/>
        <w:gridCol w:w="4522"/>
        <w:gridCol w:w="4851"/>
      </w:tblGrid>
      <w:tr w:rsidR="00FF2644" w:rsidRPr="00807571" w14:paraId="76FB2050" w14:textId="77777777" w:rsidTr="00C94B36">
        <w:tc>
          <w:tcPr>
            <w:tcW w:w="4656" w:type="dxa"/>
          </w:tcPr>
          <w:p w14:paraId="7AEDC39D" w14:textId="5398703E" w:rsidR="00FF2644" w:rsidRPr="00807571" w:rsidRDefault="000B030A" w:rsidP="00015F7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Описание </w:t>
            </w:r>
          </w:p>
        </w:tc>
        <w:tc>
          <w:tcPr>
            <w:tcW w:w="4522" w:type="dxa"/>
          </w:tcPr>
          <w:p w14:paraId="0E76497C" w14:textId="59D061B8" w:rsidR="00FF2644" w:rsidRPr="00807571" w:rsidRDefault="00B726F2" w:rsidP="00015F7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Е</w:t>
            </w:r>
            <w:r w:rsidR="00FF2644" w:rsidRPr="0080757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тап № 4 </w:t>
            </w:r>
          </w:p>
          <w:p w14:paraId="73013CE4" w14:textId="77777777" w:rsidR="00E50261" w:rsidRDefault="00FF2644" w:rsidP="00015F7A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</w:pPr>
            <w:r w:rsidRPr="00807571"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Описание:</w:t>
            </w:r>
          </w:p>
          <w:p w14:paraId="0773FABA" w14:textId="77777777" w:rsidR="00E50261" w:rsidRDefault="00E50261" w:rsidP="00015F7A">
            <w:pPr>
              <w:spacing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0261">
              <w:rPr>
                <w:rFonts w:ascii="Times New Roman" w:hAnsi="Times New Roman"/>
                <w:noProof/>
                <w:sz w:val="20"/>
                <w:szCs w:val="20"/>
              </w:rPr>
              <w:t xml:space="preserve">Правният(ите) акт(ове) предвиждат: </w:t>
            </w:r>
          </w:p>
          <w:p w14:paraId="70B3E04F" w14:textId="2EF03C8A" w:rsidR="00E50261" w:rsidRDefault="00E50261" w:rsidP="00E50261">
            <w:pPr>
              <w:pStyle w:val="ListParagraph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0261">
              <w:rPr>
                <w:rFonts w:ascii="Times New Roman" w:hAnsi="Times New Roman"/>
                <w:noProof/>
                <w:sz w:val="20"/>
                <w:szCs w:val="20"/>
              </w:rPr>
              <w:t>одобряване на списъка на професиите за професионално образование и обучение (ПОО);</w:t>
            </w:r>
          </w:p>
          <w:p w14:paraId="353EA9C5" w14:textId="6F176CBF" w:rsidR="00E50261" w:rsidRDefault="00E50261" w:rsidP="00E50261">
            <w:pPr>
              <w:pStyle w:val="ListParagraph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0261">
              <w:rPr>
                <w:rFonts w:ascii="Times New Roman" w:hAnsi="Times New Roman"/>
                <w:noProof/>
                <w:sz w:val="20"/>
                <w:szCs w:val="20"/>
              </w:rPr>
              <w:t xml:space="preserve">одобряване на поне 250 държавни образователни стандарта, планове, програми за придобиване на професионална квалификация; </w:t>
            </w:r>
          </w:p>
          <w:p w14:paraId="49E26F2F" w14:textId="77777777" w:rsidR="00E50261" w:rsidRDefault="00E50261" w:rsidP="00E50261">
            <w:pPr>
              <w:pStyle w:val="ListParagraph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0261">
              <w:rPr>
                <w:rFonts w:ascii="Times New Roman" w:hAnsi="Times New Roman"/>
                <w:noProof/>
                <w:sz w:val="20"/>
                <w:szCs w:val="20"/>
              </w:rPr>
              <w:t>разширяване на ролята на работодателите при изменението на списъка на професиите за ПОО и при одобряването на държ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авните образователни стандарти;</w:t>
            </w:r>
          </w:p>
          <w:p w14:paraId="5D345ADA" w14:textId="3EE4DAE8" w:rsidR="00E50261" w:rsidRPr="00E50261" w:rsidRDefault="00E50261" w:rsidP="00E50261">
            <w:pPr>
              <w:pStyle w:val="ListParagraph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0261">
              <w:rPr>
                <w:rFonts w:ascii="Times New Roman" w:hAnsi="Times New Roman"/>
                <w:noProof/>
                <w:sz w:val="20"/>
                <w:szCs w:val="20"/>
              </w:rPr>
              <w:t>предложения за онлайн обучение.</w:t>
            </w:r>
          </w:p>
        </w:tc>
        <w:tc>
          <w:tcPr>
            <w:tcW w:w="4851" w:type="dxa"/>
          </w:tcPr>
          <w:p w14:paraId="3C8E4B6A" w14:textId="47B1C8D5" w:rsidR="00FF2644" w:rsidRDefault="00B726F2" w:rsidP="00015F7A">
            <w:pPr>
              <w:spacing w:line="240" w:lineRule="auto"/>
              <w:jc w:val="both"/>
              <w:rPr>
                <w:rFonts w:ascii="Times New Roman" w:eastAsia="MS Mincho" w:hAnsi="Times New Roman" w:cs="Arial"/>
                <w:noProof/>
                <w:sz w:val="20"/>
                <w:szCs w:val="20"/>
                <w:u w:val="single"/>
                <w:lang w:eastAsia="ja-JP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Е</w:t>
            </w:r>
            <w:r w:rsidR="00FF2644" w:rsidRPr="0080757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тап № 4</w:t>
            </w:r>
            <w:r w:rsidR="00FF2644" w:rsidRPr="00807571">
              <w:rPr>
                <w:rFonts w:ascii="Times New Roman" w:eastAsia="MS Mincho" w:hAnsi="Times New Roman" w:cs="Arial"/>
                <w:noProof/>
                <w:sz w:val="20"/>
                <w:szCs w:val="20"/>
                <w:u w:val="single"/>
                <w:lang w:eastAsia="ja-JP"/>
              </w:rPr>
              <w:t xml:space="preserve"> </w:t>
            </w:r>
          </w:p>
          <w:p w14:paraId="1118B06A" w14:textId="77777777" w:rsidR="00FF2644" w:rsidRDefault="00FF2644" w:rsidP="00015F7A">
            <w:pPr>
              <w:spacing w:line="240" w:lineRule="auto"/>
              <w:jc w:val="both"/>
              <w:rPr>
                <w:rFonts w:ascii="Times New Roman" w:eastAsia="MS Mincho" w:hAnsi="Times New Roman" w:cs="Arial"/>
                <w:i/>
                <w:iCs/>
                <w:noProof/>
                <w:sz w:val="20"/>
                <w:szCs w:val="20"/>
                <w:lang w:eastAsia="ja-JP"/>
              </w:rPr>
            </w:pPr>
            <w:r w:rsidRPr="00807571">
              <w:rPr>
                <w:rFonts w:ascii="Times New Roman" w:eastAsia="MS Mincho" w:hAnsi="Times New Roman" w:cs="Arial"/>
                <w:i/>
                <w:iCs/>
                <w:noProof/>
                <w:sz w:val="20"/>
                <w:szCs w:val="20"/>
                <w:lang w:eastAsia="ja-JP"/>
              </w:rPr>
              <w:t xml:space="preserve">Описание: </w:t>
            </w:r>
          </w:p>
          <w:p w14:paraId="345662E0" w14:textId="77777777" w:rsidR="00E50261" w:rsidRPr="00E50261" w:rsidRDefault="00E50261" w:rsidP="00E50261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 w:cs="Arial"/>
                <w:noProof/>
                <w:sz w:val="20"/>
                <w:szCs w:val="20"/>
                <w:lang w:val="bg" w:eastAsia="ja-JP"/>
              </w:rPr>
            </w:pPr>
            <w:r w:rsidRPr="00E50261">
              <w:rPr>
                <w:rFonts w:ascii="Times New Roman" w:eastAsia="MS Mincho" w:hAnsi="Times New Roman" w:cs="Arial"/>
                <w:noProof/>
                <w:sz w:val="20"/>
                <w:szCs w:val="20"/>
                <w:lang w:val="bg" w:eastAsia="ja-JP"/>
              </w:rPr>
              <w:t xml:space="preserve">Правният(ите) акт(ове) предвиждат: </w:t>
            </w:r>
          </w:p>
          <w:p w14:paraId="711BFA0C" w14:textId="77777777" w:rsidR="00E50261" w:rsidRPr="00E50261" w:rsidRDefault="00E50261" w:rsidP="00E50261">
            <w:pPr>
              <w:widowControl w:val="0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eastAsia="MS Mincho" w:hAnsi="Times New Roman" w:cs="Arial"/>
                <w:noProof/>
                <w:sz w:val="20"/>
                <w:szCs w:val="20"/>
                <w:lang w:val="bg" w:eastAsia="ja-JP"/>
              </w:rPr>
            </w:pPr>
            <w:r w:rsidRPr="00E50261">
              <w:rPr>
                <w:rFonts w:ascii="Times New Roman" w:eastAsia="MS Mincho" w:hAnsi="Times New Roman" w:cs="Arial"/>
                <w:noProof/>
                <w:sz w:val="20"/>
                <w:szCs w:val="20"/>
                <w:lang w:val="bg" w:eastAsia="ja-JP"/>
              </w:rPr>
              <w:t>одобряване на списъка на професиите за професионално образование и обучение (ПОО);</w:t>
            </w:r>
          </w:p>
          <w:p w14:paraId="595493EC" w14:textId="40B8A511" w:rsidR="00E50261" w:rsidRPr="00E50261" w:rsidRDefault="00E50261" w:rsidP="00E50261">
            <w:pPr>
              <w:widowControl w:val="0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eastAsia="MS Mincho" w:hAnsi="Times New Roman" w:cs="Arial"/>
                <w:noProof/>
                <w:sz w:val="20"/>
                <w:szCs w:val="20"/>
                <w:lang w:val="bg" w:eastAsia="ja-JP"/>
              </w:rPr>
            </w:pPr>
            <w:r w:rsidRPr="00E50261">
              <w:rPr>
                <w:rFonts w:ascii="Times New Roman" w:eastAsia="MS Mincho" w:hAnsi="Times New Roman" w:cs="Arial"/>
                <w:noProof/>
                <w:sz w:val="20"/>
                <w:szCs w:val="20"/>
                <w:lang w:eastAsia="ja-JP"/>
              </w:rPr>
              <w:t xml:space="preserve">одобряване на </w:t>
            </w:r>
            <w:r w:rsidRPr="00E50261">
              <w:rPr>
                <w:rFonts w:ascii="Times New Roman" w:eastAsia="MS Mincho" w:hAnsi="Times New Roman" w:cs="Arial"/>
                <w:b/>
                <w:noProof/>
                <w:sz w:val="20"/>
                <w:szCs w:val="20"/>
                <w:lang w:eastAsia="ja-JP"/>
              </w:rPr>
              <w:t>поне общо 250 от следните:</w:t>
            </w:r>
            <w:r>
              <w:rPr>
                <w:rFonts w:ascii="Times New Roman" w:eastAsia="MS Mincho" w:hAnsi="Times New Roman" w:cs="Arial"/>
                <w:noProof/>
                <w:sz w:val="20"/>
                <w:szCs w:val="20"/>
                <w:lang w:eastAsia="ja-JP"/>
              </w:rPr>
              <w:t xml:space="preserve"> </w:t>
            </w:r>
            <w:r w:rsidRPr="00E50261">
              <w:rPr>
                <w:rFonts w:ascii="Times New Roman" w:eastAsia="MS Mincho" w:hAnsi="Times New Roman" w:cs="Arial"/>
                <w:noProof/>
                <w:sz w:val="20"/>
                <w:szCs w:val="20"/>
                <w:lang w:eastAsia="ja-JP"/>
              </w:rPr>
              <w:t xml:space="preserve">държавни образователни стандарта, планове, програми за придобиване на професионална квалификация; </w:t>
            </w:r>
          </w:p>
          <w:p w14:paraId="60DED97D" w14:textId="77777777" w:rsidR="00E50261" w:rsidRDefault="00E50261" w:rsidP="00E50261">
            <w:pPr>
              <w:widowControl w:val="0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eastAsia="MS Mincho" w:hAnsi="Times New Roman" w:cs="Arial"/>
                <w:noProof/>
                <w:sz w:val="20"/>
                <w:szCs w:val="20"/>
                <w:lang w:val="bg" w:eastAsia="ja-JP"/>
              </w:rPr>
            </w:pPr>
            <w:r w:rsidRPr="00E50261">
              <w:rPr>
                <w:rFonts w:ascii="Times New Roman" w:eastAsia="MS Mincho" w:hAnsi="Times New Roman" w:cs="Arial"/>
                <w:noProof/>
                <w:sz w:val="20"/>
                <w:szCs w:val="20"/>
                <w:lang w:eastAsia="ja-JP"/>
              </w:rPr>
              <w:t xml:space="preserve">разширяване на ролята на работодателите при изменението на списъка на професиите за ПОО </w:t>
            </w:r>
            <w:r w:rsidRPr="00E50261">
              <w:rPr>
                <w:rFonts w:ascii="Times New Roman" w:eastAsia="MS Mincho" w:hAnsi="Times New Roman" w:cs="Arial"/>
                <w:strike/>
                <w:noProof/>
                <w:sz w:val="20"/>
                <w:szCs w:val="20"/>
                <w:lang w:eastAsia="ja-JP"/>
              </w:rPr>
              <w:t>и при одобряването на държ</w:t>
            </w:r>
            <w:r w:rsidRPr="00E50261">
              <w:rPr>
                <w:rFonts w:ascii="Times New Roman" w:eastAsia="MS Mincho" w:hAnsi="Times New Roman" w:cs="Arial"/>
                <w:strike/>
                <w:noProof/>
                <w:sz w:val="20"/>
                <w:szCs w:val="20"/>
                <w:lang w:val="bg" w:eastAsia="ja-JP"/>
              </w:rPr>
              <w:t>авните образователни стандарти</w:t>
            </w:r>
            <w:r w:rsidRPr="00E50261">
              <w:rPr>
                <w:rFonts w:ascii="Times New Roman" w:eastAsia="MS Mincho" w:hAnsi="Times New Roman" w:cs="Arial"/>
                <w:noProof/>
                <w:sz w:val="20"/>
                <w:szCs w:val="20"/>
                <w:lang w:val="bg" w:eastAsia="ja-JP"/>
              </w:rPr>
              <w:t>;</w:t>
            </w:r>
          </w:p>
          <w:p w14:paraId="77684A66" w14:textId="00EB606D" w:rsidR="00FF2644" w:rsidRPr="00E50261" w:rsidRDefault="00E50261" w:rsidP="00E50261">
            <w:pPr>
              <w:widowControl w:val="0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eastAsia="MS Mincho" w:hAnsi="Times New Roman" w:cs="Arial"/>
                <w:noProof/>
                <w:sz w:val="20"/>
                <w:szCs w:val="20"/>
                <w:lang w:val="bg" w:eastAsia="ja-JP"/>
              </w:rPr>
            </w:pPr>
            <w:r w:rsidRPr="00E50261">
              <w:rPr>
                <w:rFonts w:ascii="Times New Roman" w:eastAsia="MS Mincho" w:hAnsi="Times New Roman" w:cs="Arial"/>
                <w:noProof/>
                <w:sz w:val="20"/>
                <w:szCs w:val="20"/>
                <w:lang w:val="bg" w:eastAsia="ja-JP"/>
              </w:rPr>
              <w:t>предложения за онлайн обучение.</w:t>
            </w:r>
          </w:p>
        </w:tc>
      </w:tr>
      <w:tr w:rsidR="000B030A" w:rsidRPr="00807571" w14:paraId="57064538" w14:textId="77777777" w:rsidTr="00C94B36">
        <w:tc>
          <w:tcPr>
            <w:tcW w:w="4656" w:type="dxa"/>
          </w:tcPr>
          <w:p w14:paraId="1C36B248" w14:textId="77777777" w:rsidR="000B030A" w:rsidRDefault="000B030A" w:rsidP="00015F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22" w:type="dxa"/>
          </w:tcPr>
          <w:p w14:paraId="796227A1" w14:textId="77777777" w:rsidR="000B030A" w:rsidRDefault="000B030A" w:rsidP="00015F7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851" w:type="dxa"/>
          </w:tcPr>
          <w:p w14:paraId="45974386" w14:textId="77777777" w:rsidR="000B030A" w:rsidRDefault="000B030A" w:rsidP="00015F7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</w:tbl>
    <w:tbl>
      <w:tblPr>
        <w:tblStyle w:val="TableGrid22"/>
        <w:tblW w:w="14029" w:type="dxa"/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14029"/>
      </w:tblGrid>
      <w:tr w:rsidR="00AB4508" w:rsidRPr="008E2228" w14:paraId="52C7B773" w14:textId="77777777" w:rsidTr="00115067">
        <w:tc>
          <w:tcPr>
            <w:tcW w:w="14029" w:type="dxa"/>
            <w:shd w:val="clear" w:color="auto" w:fill="153D63" w:themeFill="text2" w:themeFillTint="E6"/>
          </w:tcPr>
          <w:p w14:paraId="53F756BF" w14:textId="32E6A937" w:rsidR="00AB4508" w:rsidRPr="00E336C2" w:rsidRDefault="00AB4508" w:rsidP="00015F7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</w:pPr>
            <w:bookmarkStart w:id="2" w:name="_Hlk209712673"/>
            <w:r w:rsidRPr="008E222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Компонент </w:t>
            </w:r>
            <w:r w:rsidR="00E336C2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3</w:t>
            </w:r>
            <w:r w:rsidRPr="008E222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="002A0519" w:rsidRPr="002A0519">
              <w:rPr>
                <w:rFonts w:ascii="Times New Roman" w:hAnsi="Times New Roman" w:cs="Times New Roman"/>
                <w:b/>
                <w:color w:val="FFFFFF" w:themeColor="background1"/>
              </w:rPr>
              <w:t>Интелигентна индустрия</w:t>
            </w:r>
          </w:p>
        </w:tc>
      </w:tr>
      <w:tr w:rsidR="0034430A" w:rsidRPr="00452F7D" w14:paraId="26DDC3DF" w14:textId="77777777" w:rsidTr="00115067">
        <w:tblPrEx>
          <w:jc w:val="center"/>
          <w:shd w:val="clear" w:color="auto" w:fill="auto"/>
        </w:tblPrEx>
        <w:trPr>
          <w:jc w:val="center"/>
        </w:trPr>
        <w:tc>
          <w:tcPr>
            <w:tcW w:w="14029" w:type="dxa"/>
            <w:shd w:val="clear" w:color="auto" w:fill="A5C9EB" w:themeFill="text2" w:themeFillTint="40"/>
          </w:tcPr>
          <w:p w14:paraId="183E3E03" w14:textId="16E39054" w:rsidR="0034430A" w:rsidRPr="00885D1F" w:rsidRDefault="0034430A" w:rsidP="00015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bookmarkStart w:id="3" w:name="_Hlk209710770"/>
            <w:bookmarkEnd w:id="2"/>
            <w:r w:rsidRPr="00885D1F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  <w:r w:rsidRPr="00885D1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885D1F">
              <w:rPr>
                <w:rFonts w:ascii="Times New Roman" w:hAnsi="Times New Roman" w:cs="Times New Roman"/>
                <w:b/>
                <w:sz w:val="22"/>
                <w:szCs w:val="22"/>
              </w:rPr>
              <w:t>.I</w:t>
            </w:r>
            <w:r w:rsidRPr="00885D1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Pr="00885D1F">
              <w:rPr>
                <w:rFonts w:ascii="Times New Roman" w:hAnsi="Times New Roman" w:cs="Times New Roman"/>
                <w:b/>
                <w:sz w:val="22"/>
                <w:szCs w:val="22"/>
              </w:rPr>
              <w:t>: Програма за икономическа трансформация</w:t>
            </w:r>
          </w:p>
        </w:tc>
      </w:tr>
      <w:bookmarkEnd w:id="3"/>
      <w:tr w:rsidR="004D0498" w:rsidRPr="006678D5" w14:paraId="7EC8048C" w14:textId="77777777" w:rsidTr="00115067">
        <w:tblPrEx>
          <w:jc w:val="center"/>
          <w:shd w:val="clear" w:color="auto" w:fill="auto"/>
        </w:tblPrEx>
        <w:trPr>
          <w:jc w:val="center"/>
        </w:trPr>
        <w:tc>
          <w:tcPr>
            <w:tcW w:w="14029" w:type="dxa"/>
            <w:shd w:val="clear" w:color="auto" w:fill="A5C9EB" w:themeFill="text2" w:themeFillTint="40"/>
          </w:tcPr>
          <w:p w14:paraId="7E28D032" w14:textId="68AC61F4" w:rsidR="004D0498" w:rsidRPr="00885D1F" w:rsidRDefault="004D0498" w:rsidP="00340A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85D1F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  <w:r w:rsidRPr="00885D1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885D1F">
              <w:rPr>
                <w:rFonts w:ascii="Times New Roman" w:hAnsi="Times New Roman" w:cs="Times New Roman"/>
                <w:b/>
                <w:sz w:val="22"/>
                <w:szCs w:val="22"/>
              </w:rPr>
              <w:t>.I</w:t>
            </w:r>
            <w:r w:rsidRPr="00885D1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Pr="00885D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885D1F">
              <w:rPr>
                <w:rFonts w:ascii="Times New Roman" w:eastAsia="Courier New" w:hAnsi="Times New Roman" w:cs="Times New Roman"/>
                <w:b/>
                <w:sz w:val="22"/>
                <w:szCs w:val="22"/>
                <w:lang w:eastAsia="en-US" w:bidi="en-US"/>
              </w:rPr>
              <w:t xml:space="preserve">Инвестиция </w:t>
            </w:r>
            <w:r w:rsidR="00340ACB" w:rsidRPr="00340ACB">
              <w:rPr>
                <w:rFonts w:ascii="Times New Roman" w:eastAsia="Courier New" w:hAnsi="Times New Roman" w:cs="Times New Roman"/>
                <w:b/>
                <w:sz w:val="22"/>
                <w:szCs w:val="22"/>
                <w:lang w:eastAsia="en-US" w:bidi="en-US"/>
              </w:rPr>
              <w:t>2.2.c — Схема за безвъзмездни средства за подпомагане на предприятията в прехода към кръгова икономика</w:t>
            </w:r>
          </w:p>
        </w:tc>
      </w:tr>
    </w:tbl>
    <w:tbl>
      <w:tblPr>
        <w:tblStyle w:val="TableGrid223"/>
        <w:tblW w:w="13948" w:type="dxa"/>
        <w:tblLook w:val="04A0" w:firstRow="1" w:lastRow="0" w:firstColumn="1" w:lastColumn="0" w:noHBand="0" w:noVBand="1"/>
      </w:tblPr>
      <w:tblGrid>
        <w:gridCol w:w="4647"/>
        <w:gridCol w:w="4651"/>
        <w:gridCol w:w="4650"/>
      </w:tblGrid>
      <w:tr w:rsidR="000B030A" w:rsidRPr="005D352B" w14:paraId="6FD92896" w14:textId="77777777" w:rsidTr="000B030A">
        <w:tc>
          <w:tcPr>
            <w:tcW w:w="4647" w:type="dxa"/>
          </w:tcPr>
          <w:p w14:paraId="3E562830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 елементи</w:t>
            </w:r>
          </w:p>
        </w:tc>
        <w:tc>
          <w:tcPr>
            <w:tcW w:w="4651" w:type="dxa"/>
          </w:tcPr>
          <w:p w14:paraId="0A5091EE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Настояща версия</w:t>
            </w:r>
          </w:p>
        </w:tc>
        <w:tc>
          <w:tcPr>
            <w:tcW w:w="4650" w:type="dxa"/>
          </w:tcPr>
          <w:p w14:paraId="4FFB1ECB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Изменена версия</w:t>
            </w:r>
          </w:p>
        </w:tc>
      </w:tr>
    </w:tbl>
    <w:tbl>
      <w:tblPr>
        <w:tblStyle w:val="TableGrid22"/>
        <w:tblW w:w="14029" w:type="dxa"/>
        <w:tblLook w:val="04A0" w:firstRow="1" w:lastRow="0" w:firstColumn="1" w:lastColumn="0" w:noHBand="0" w:noVBand="1"/>
      </w:tblPr>
      <w:tblGrid>
        <w:gridCol w:w="4647"/>
        <w:gridCol w:w="4651"/>
        <w:gridCol w:w="4731"/>
      </w:tblGrid>
      <w:tr w:rsidR="004E142F" w:rsidRPr="00F56767" w14:paraId="436C8B03" w14:textId="77777777" w:rsidTr="00115067">
        <w:tc>
          <w:tcPr>
            <w:tcW w:w="4647" w:type="dxa"/>
          </w:tcPr>
          <w:p w14:paraId="6658D4B5" w14:textId="62AAEA66" w:rsidR="004E142F" w:rsidRPr="00F56767" w:rsidRDefault="000B030A" w:rsidP="00015F7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Наименование и описание</w:t>
            </w:r>
          </w:p>
        </w:tc>
        <w:tc>
          <w:tcPr>
            <w:tcW w:w="4651" w:type="dxa"/>
          </w:tcPr>
          <w:p w14:paraId="1C6226D5" w14:textId="1B12E613" w:rsidR="00F8052E" w:rsidRPr="00F56767" w:rsidRDefault="00340ACB" w:rsidP="00015F7A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en-US" w:bidi="en-US"/>
              </w:rPr>
              <w:t>Цел № 60</w:t>
            </w:r>
          </w:p>
          <w:p w14:paraId="0BE0B4D7" w14:textId="746AFB04" w:rsidR="00F8052E" w:rsidRPr="00F56767" w:rsidRDefault="00340ACB" w:rsidP="00015F7A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Times New Roman"/>
                <w:i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Times New Roman"/>
                <w:i/>
                <w:sz w:val="20"/>
                <w:szCs w:val="20"/>
                <w:lang w:eastAsia="en-US" w:bidi="en-US"/>
              </w:rPr>
              <w:t>Наименование:</w:t>
            </w:r>
          </w:p>
          <w:p w14:paraId="11C032E9" w14:textId="68CFB9C5" w:rsidR="00340ACB" w:rsidRPr="00F56767" w:rsidRDefault="00340ACB" w:rsidP="00015F7A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Times New Roman"/>
                <w:sz w:val="20"/>
                <w:szCs w:val="20"/>
                <w:lang w:eastAsia="en-US" w:bidi="en-US"/>
              </w:rPr>
              <w:t>Завършени проекти в областта на кръговата икономика</w:t>
            </w:r>
          </w:p>
          <w:p w14:paraId="5819C86F" w14:textId="43A1606A" w:rsidR="00340ACB" w:rsidRPr="00F56767" w:rsidRDefault="00F8052E" w:rsidP="00015F7A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Times New Roman"/>
                <w:i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Times New Roman"/>
                <w:i/>
                <w:sz w:val="20"/>
                <w:szCs w:val="20"/>
                <w:lang w:eastAsia="en-US" w:bidi="en-US"/>
              </w:rPr>
              <w:t xml:space="preserve">Описание: </w:t>
            </w:r>
            <w:r w:rsidR="007049D1" w:rsidRPr="00F56767">
              <w:rPr>
                <w:rFonts w:ascii="Times New Roman" w:eastAsia="Courier New" w:hAnsi="Times New Roman" w:cs="Times New Roman"/>
                <w:i/>
                <w:sz w:val="20"/>
                <w:szCs w:val="20"/>
                <w:lang w:eastAsia="en-US" w:bidi="en-US"/>
              </w:rPr>
              <w:t xml:space="preserve"> </w:t>
            </w:r>
          </w:p>
          <w:p w14:paraId="20FCA497" w14:textId="22483E5F" w:rsidR="00340ACB" w:rsidRPr="00F56767" w:rsidRDefault="00340ACB" w:rsidP="00015F7A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Times New Roman"/>
                <w:sz w:val="20"/>
                <w:szCs w:val="20"/>
                <w:lang w:eastAsia="en-US" w:bidi="en-US"/>
              </w:rPr>
              <w:t>Подпомогнати дружества.</w:t>
            </w:r>
          </w:p>
          <w:p w14:paraId="78E51A83" w14:textId="46934AFE" w:rsidR="00946983" w:rsidRPr="00F56767" w:rsidRDefault="00340ACB" w:rsidP="00340ACB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u w:val="single"/>
                <w:lang w:eastAsia="en-US" w:bidi="en-US"/>
              </w:rPr>
            </w:pPr>
            <w:r w:rsidRPr="00F56767">
              <w:rPr>
                <w:rFonts w:ascii="Times New Roman" w:eastAsia="Courier New" w:hAnsi="Times New Roman" w:cs="Times New Roman"/>
                <w:sz w:val="20"/>
                <w:szCs w:val="20"/>
                <w:u w:val="single"/>
                <w:lang w:eastAsia="en-US" w:bidi="en-US"/>
              </w:rPr>
              <w:t xml:space="preserve"> </w:t>
            </w:r>
          </w:p>
        </w:tc>
        <w:tc>
          <w:tcPr>
            <w:tcW w:w="4731" w:type="dxa"/>
          </w:tcPr>
          <w:p w14:paraId="74AE1C33" w14:textId="4A616CB5" w:rsidR="00F8052E" w:rsidRPr="00F56767" w:rsidRDefault="00340ACB" w:rsidP="00015F7A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eastAsia="en-US" w:bidi="en-US"/>
              </w:rPr>
              <w:t>Цел № 60</w:t>
            </w:r>
          </w:p>
          <w:p w14:paraId="362AD9F2" w14:textId="77777777" w:rsidR="00340ACB" w:rsidRPr="00F56767" w:rsidRDefault="00340ACB" w:rsidP="00340ACB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Times New Roman"/>
                <w:i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Times New Roman"/>
                <w:i/>
                <w:sz w:val="20"/>
                <w:szCs w:val="20"/>
                <w:lang w:eastAsia="en-US" w:bidi="en-US"/>
              </w:rPr>
              <w:t>Наименование:</w:t>
            </w:r>
          </w:p>
          <w:p w14:paraId="4456F222" w14:textId="09837D04" w:rsidR="00340ACB" w:rsidRPr="00F56767" w:rsidRDefault="00340ACB" w:rsidP="00340ACB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Times New Roman"/>
                <w:sz w:val="20"/>
                <w:szCs w:val="20"/>
                <w:lang w:eastAsia="en-US" w:bidi="en-US"/>
              </w:rPr>
              <w:t>Подпомогнати дружества.</w:t>
            </w:r>
          </w:p>
          <w:p w14:paraId="535FF35E" w14:textId="2E4C68A3" w:rsidR="00340ACB" w:rsidRPr="00F56767" w:rsidRDefault="00340ACB" w:rsidP="00340ACB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Times New Roman"/>
                <w:i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Times New Roman"/>
                <w:i/>
                <w:sz w:val="20"/>
                <w:szCs w:val="20"/>
                <w:lang w:eastAsia="en-US" w:bidi="en-US"/>
              </w:rPr>
              <w:t xml:space="preserve">Описание:  </w:t>
            </w:r>
          </w:p>
          <w:p w14:paraId="23083E42" w14:textId="0963A3B5" w:rsidR="00340ACB" w:rsidRPr="00F56767" w:rsidRDefault="00340ACB" w:rsidP="00340ACB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Times New Roman"/>
                <w:sz w:val="20"/>
                <w:szCs w:val="20"/>
                <w:lang w:eastAsia="en-US" w:bidi="en-US"/>
              </w:rPr>
              <w:t>Подпомогнати дружества в областта на кръговата икономика</w:t>
            </w:r>
          </w:p>
          <w:p w14:paraId="08370FF9" w14:textId="77777777" w:rsidR="00F8052E" w:rsidRPr="00F56767" w:rsidRDefault="00F8052E" w:rsidP="00340ACB">
            <w:pPr>
              <w:widowControl w:val="0"/>
              <w:spacing w:line="240" w:lineRule="auto"/>
              <w:ind w:left="360"/>
              <w:jc w:val="both"/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val="en-US" w:eastAsia="en-US" w:bidi="en-US"/>
              </w:rPr>
            </w:pPr>
          </w:p>
        </w:tc>
      </w:tr>
      <w:tr w:rsidR="007049D1" w:rsidRPr="00E70F02" w14:paraId="47CA856A" w14:textId="77777777" w:rsidTr="00946983">
        <w:tc>
          <w:tcPr>
            <w:tcW w:w="14029" w:type="dxa"/>
            <w:gridSpan w:val="3"/>
            <w:shd w:val="clear" w:color="auto" w:fill="153D63" w:themeFill="text2" w:themeFillTint="E6"/>
          </w:tcPr>
          <w:p w14:paraId="6FDB3699" w14:textId="5D3E3BA9" w:rsidR="0072469D" w:rsidRPr="00E70F02" w:rsidRDefault="0072469D" w:rsidP="00015F7A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FFFFF" w:themeColor="background1"/>
                <w:lang w:eastAsia="en-US" w:bidi="en-US"/>
              </w:rPr>
            </w:pPr>
            <w:r w:rsidRPr="00E70F02">
              <w:rPr>
                <w:rFonts w:ascii="Times New Roman" w:eastAsia="Courier New" w:hAnsi="Times New Roman" w:cs="Courier New"/>
                <w:b/>
                <w:bCs/>
                <w:color w:val="FFFFFF" w:themeColor="background1"/>
                <w:lang w:eastAsia="en-US" w:bidi="en-US"/>
              </w:rPr>
              <w:t xml:space="preserve">Компонент </w:t>
            </w:r>
            <w:r w:rsidR="0022288F" w:rsidRPr="00E70F02">
              <w:rPr>
                <w:rFonts w:ascii="Times New Roman" w:eastAsia="Courier New" w:hAnsi="Times New Roman" w:cs="Courier New"/>
                <w:b/>
                <w:bCs/>
                <w:color w:val="FFFFFF" w:themeColor="background1"/>
                <w:lang w:val="en-US" w:eastAsia="en-US" w:bidi="en-US"/>
              </w:rPr>
              <w:t>C</w:t>
            </w:r>
            <w:r w:rsidRPr="00E70F02">
              <w:rPr>
                <w:rFonts w:ascii="Times New Roman" w:eastAsia="Courier New" w:hAnsi="Times New Roman" w:cs="Courier New"/>
                <w:b/>
                <w:bCs/>
                <w:color w:val="FFFFFF" w:themeColor="background1"/>
                <w:lang w:eastAsia="en-US" w:bidi="en-US"/>
              </w:rPr>
              <w:t>4 Нисковъглеродна икономика</w:t>
            </w:r>
          </w:p>
        </w:tc>
      </w:tr>
      <w:tr w:rsidR="00340ACB" w:rsidRPr="00E70F02" w14:paraId="06FC06FE" w14:textId="77777777" w:rsidTr="00482BBC">
        <w:tblPrEx>
          <w:jc w:val="center"/>
        </w:tblPrEx>
        <w:trPr>
          <w:jc w:val="center"/>
        </w:trPr>
        <w:tc>
          <w:tcPr>
            <w:tcW w:w="14029" w:type="dxa"/>
            <w:gridSpan w:val="3"/>
            <w:shd w:val="clear" w:color="auto" w:fill="A5C9EB" w:themeFill="text2" w:themeFillTint="40"/>
          </w:tcPr>
          <w:p w14:paraId="4E680105" w14:textId="719A451E" w:rsidR="00340ACB" w:rsidRPr="00E70F02" w:rsidRDefault="000D05DF" w:rsidP="00482B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70F02">
              <w:rPr>
                <w:rFonts w:ascii="Times New Roman" w:hAnsi="Times New Roman" w:cs="Times New Roman"/>
                <w:b/>
                <w:sz w:val="22"/>
                <w:szCs w:val="22"/>
              </w:rPr>
              <w:t>C4.I2: Подкрепа за енергия от възобновяеми източници за домакинствата</w:t>
            </w:r>
          </w:p>
        </w:tc>
      </w:tr>
    </w:tbl>
    <w:tbl>
      <w:tblPr>
        <w:tblStyle w:val="TableGrid224"/>
        <w:tblW w:w="13948" w:type="dxa"/>
        <w:tblLook w:val="04A0" w:firstRow="1" w:lastRow="0" w:firstColumn="1" w:lastColumn="0" w:noHBand="0" w:noVBand="1"/>
      </w:tblPr>
      <w:tblGrid>
        <w:gridCol w:w="4647"/>
        <w:gridCol w:w="4651"/>
        <w:gridCol w:w="4650"/>
      </w:tblGrid>
      <w:tr w:rsidR="000B030A" w:rsidRPr="005D352B" w14:paraId="7EC78AFB" w14:textId="77777777" w:rsidTr="000B030A">
        <w:tc>
          <w:tcPr>
            <w:tcW w:w="4647" w:type="dxa"/>
          </w:tcPr>
          <w:p w14:paraId="14A5D42C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 елементи</w:t>
            </w:r>
          </w:p>
        </w:tc>
        <w:tc>
          <w:tcPr>
            <w:tcW w:w="4651" w:type="dxa"/>
          </w:tcPr>
          <w:p w14:paraId="38C95E39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Настояща версия</w:t>
            </w:r>
          </w:p>
        </w:tc>
        <w:tc>
          <w:tcPr>
            <w:tcW w:w="4650" w:type="dxa"/>
          </w:tcPr>
          <w:p w14:paraId="20307A10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Изменена версия</w:t>
            </w:r>
          </w:p>
        </w:tc>
      </w:tr>
    </w:tbl>
    <w:tbl>
      <w:tblPr>
        <w:tblStyle w:val="TableGrid22"/>
        <w:tblW w:w="14029" w:type="dxa"/>
        <w:tblLook w:val="04A0" w:firstRow="1" w:lastRow="0" w:firstColumn="1" w:lastColumn="0" w:noHBand="0" w:noVBand="1"/>
      </w:tblPr>
      <w:tblGrid>
        <w:gridCol w:w="4647"/>
        <w:gridCol w:w="4651"/>
        <w:gridCol w:w="4731"/>
      </w:tblGrid>
      <w:tr w:rsidR="00F9797B" w:rsidRPr="00F56767" w14:paraId="16EF5868" w14:textId="77777777" w:rsidTr="00115067">
        <w:tc>
          <w:tcPr>
            <w:tcW w:w="4647" w:type="dxa"/>
          </w:tcPr>
          <w:p w14:paraId="18807410" w14:textId="0BBA821D" w:rsidR="00F9797B" w:rsidRPr="00F56767" w:rsidRDefault="000B030A" w:rsidP="00015F7A">
            <w:pPr>
              <w:spacing w:line="240" w:lineRule="auto"/>
              <w:rPr>
                <w:rFonts w:ascii="Times New Roman" w:eastAsia="Courier New" w:hAnsi="Times New Roman" w:cs="Courier New"/>
                <w:b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Наименование, описание и целева стойност</w:t>
            </w:r>
          </w:p>
        </w:tc>
        <w:tc>
          <w:tcPr>
            <w:tcW w:w="4651" w:type="dxa"/>
          </w:tcPr>
          <w:p w14:paraId="3435D030" w14:textId="77777777" w:rsidR="00F9797B" w:rsidRPr="00F56767" w:rsidRDefault="00F9797B" w:rsidP="00015F7A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  <w:t>Цел № 78</w:t>
            </w:r>
          </w:p>
          <w:p w14:paraId="6399BFE5" w14:textId="5755E8E1" w:rsidR="00B64BF7" w:rsidRPr="00F56767" w:rsidRDefault="00B64BF7" w:rsidP="00015F7A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 xml:space="preserve">Наименование: </w:t>
            </w:r>
          </w:p>
          <w:p w14:paraId="15D3DDB4" w14:textId="6799ED5E" w:rsidR="00340ACB" w:rsidRPr="00F56767" w:rsidRDefault="00340ACB" w:rsidP="00015F7A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Подпомогнати домакинства</w:t>
            </w:r>
          </w:p>
          <w:p w14:paraId="737D5BFC" w14:textId="0D77D4C5" w:rsidR="00B64BF7" w:rsidRPr="00F56767" w:rsidRDefault="00340ACB" w:rsidP="00340ACB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lastRenderedPageBreak/>
              <w:t>Описание:</w:t>
            </w:r>
          </w:p>
          <w:p w14:paraId="492A4309" w14:textId="7916BAE1" w:rsidR="00340ACB" w:rsidRPr="00F56767" w:rsidRDefault="000D05DF" w:rsidP="00340ACB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>Доказателство(а) за плащане(</w:t>
            </w:r>
            <w:proofErr w:type="spellStart"/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>ия</w:t>
            </w:r>
            <w:proofErr w:type="spellEnd"/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) за инсталирането на слънчева битова топла вода или фотоволтаични системи до 10 </w:t>
            </w:r>
            <w:proofErr w:type="spellStart"/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>kWp</w:t>
            </w:r>
            <w:proofErr w:type="spellEnd"/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 за най-малко 1500 домакинства</w:t>
            </w:r>
            <w:r w:rsidRPr="00F56767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>.</w:t>
            </w:r>
          </w:p>
          <w:p w14:paraId="045C32B0" w14:textId="77777777" w:rsidR="00340ACB" w:rsidRPr="00F56767" w:rsidRDefault="00340ACB" w:rsidP="00340ACB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 xml:space="preserve">Целева стойност: 1500 </w:t>
            </w:r>
          </w:p>
          <w:p w14:paraId="12F14AB4" w14:textId="1BA0D6C6" w:rsidR="00951A47" w:rsidRPr="00F56767" w:rsidRDefault="00951A47" w:rsidP="00340ACB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4731" w:type="dxa"/>
          </w:tcPr>
          <w:p w14:paraId="7B2ABC01" w14:textId="77777777" w:rsidR="00F9797B" w:rsidRPr="00F56767" w:rsidRDefault="00F9797B" w:rsidP="00015F7A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  <w:lastRenderedPageBreak/>
              <w:t>Цел № 78</w:t>
            </w:r>
          </w:p>
          <w:p w14:paraId="3C942C6F" w14:textId="7B9ED399" w:rsidR="00F9797B" w:rsidRPr="00F56767" w:rsidRDefault="00F9797B" w:rsidP="00015F7A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 xml:space="preserve">Наименование: </w:t>
            </w:r>
          </w:p>
          <w:p w14:paraId="17288B32" w14:textId="197D68F4" w:rsidR="00951A47" w:rsidRPr="00F56767" w:rsidRDefault="00951A47" w:rsidP="00015F7A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Плащания за слънчева битова топла вода или </w:t>
            </w:r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lastRenderedPageBreak/>
              <w:t>фотоволтаични системи</w:t>
            </w:r>
          </w:p>
          <w:p w14:paraId="406D2EFA" w14:textId="77777777" w:rsidR="00F9797B" w:rsidRPr="00F56767" w:rsidRDefault="00F9797B" w:rsidP="00951A47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 xml:space="preserve">Описание: </w:t>
            </w:r>
          </w:p>
          <w:p w14:paraId="3027A186" w14:textId="43E0DD8B" w:rsidR="00951A47" w:rsidRPr="00F56767" w:rsidRDefault="00951A47" w:rsidP="00951A47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Доказателство(а) </w:t>
            </w:r>
            <w:r w:rsidR="00BD3285"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за </w:t>
            </w:r>
            <w:r w:rsidR="007901F0"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>плащане(</w:t>
            </w:r>
            <w:proofErr w:type="spellStart"/>
            <w:r w:rsidR="007901F0"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>ия</w:t>
            </w:r>
            <w:proofErr w:type="spellEnd"/>
            <w:r w:rsidR="007901F0"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) за </w:t>
            </w:r>
            <w:r w:rsidR="00BD3285"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най-малко </w:t>
            </w:r>
            <w:r w:rsidR="00BD3285" w:rsidRPr="00F56767">
              <w:rPr>
                <w:rFonts w:ascii="Times New Roman" w:eastAsia="Courier New" w:hAnsi="Times New Roman" w:cs="Courier New"/>
                <w:iCs/>
                <w:strike/>
                <w:sz w:val="20"/>
                <w:szCs w:val="20"/>
                <w:lang w:eastAsia="en-US" w:bidi="en-US"/>
              </w:rPr>
              <w:t>1500</w:t>
            </w:r>
            <w:r w:rsidR="00BD3285"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 1420 </w:t>
            </w:r>
            <w:r w:rsidRPr="00F56767">
              <w:rPr>
                <w:rFonts w:ascii="Times New Roman" w:eastAsia="Courier New" w:hAnsi="Times New Roman" w:cs="Courier New"/>
                <w:iCs/>
                <w:strike/>
                <w:sz w:val="20"/>
                <w:szCs w:val="20"/>
                <w:lang w:eastAsia="en-US" w:bidi="en-US"/>
              </w:rPr>
              <w:t>за инсталирането на</w:t>
            </w:r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 </w:t>
            </w:r>
            <w:r w:rsidR="007901F0"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системи </w:t>
            </w:r>
            <w:r w:rsidR="00BD3285"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за </w:t>
            </w:r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>слънчева битова топла вода или фотоволтаи</w:t>
            </w:r>
            <w:r w:rsidR="0006132F"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>чни</w:t>
            </w:r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 </w:t>
            </w:r>
            <w:r w:rsidR="007901F0"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системи </w:t>
            </w:r>
            <w:r w:rsidRPr="00F56767">
              <w:rPr>
                <w:rFonts w:ascii="Times New Roman" w:eastAsia="Courier New" w:hAnsi="Times New Roman" w:cs="Courier New"/>
                <w:iCs/>
                <w:strike/>
                <w:sz w:val="20"/>
                <w:szCs w:val="20"/>
                <w:lang w:eastAsia="en-US" w:bidi="en-US"/>
              </w:rPr>
              <w:t xml:space="preserve">до 10 </w:t>
            </w:r>
            <w:proofErr w:type="spellStart"/>
            <w:r w:rsidRPr="00F56767">
              <w:rPr>
                <w:rFonts w:ascii="Times New Roman" w:eastAsia="Courier New" w:hAnsi="Times New Roman" w:cs="Courier New"/>
                <w:iCs/>
                <w:strike/>
                <w:sz w:val="20"/>
                <w:szCs w:val="20"/>
                <w:lang w:eastAsia="en-US" w:bidi="en-US"/>
              </w:rPr>
              <w:t>kWp</w:t>
            </w:r>
            <w:proofErr w:type="spellEnd"/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 </w:t>
            </w:r>
            <w:r w:rsidRPr="00F56767">
              <w:rPr>
                <w:rFonts w:ascii="Times New Roman" w:eastAsia="Courier New" w:hAnsi="Times New Roman" w:cs="Courier New"/>
                <w:iCs/>
                <w:strike/>
                <w:sz w:val="20"/>
                <w:szCs w:val="20"/>
                <w:lang w:eastAsia="en-US" w:bidi="en-US"/>
              </w:rPr>
              <w:t>домакинства</w:t>
            </w:r>
            <w:r w:rsidR="007901F0" w:rsidRPr="00F56767">
              <w:rPr>
                <w:rFonts w:ascii="Times New Roman" w:eastAsia="Courier New" w:hAnsi="Times New Roman" w:cs="Courier New"/>
                <w:iCs/>
                <w:strike/>
                <w:sz w:val="20"/>
                <w:szCs w:val="20"/>
                <w:lang w:eastAsia="en-US" w:bidi="en-US"/>
              </w:rPr>
              <w:t xml:space="preserve"> </w:t>
            </w:r>
          </w:p>
          <w:p w14:paraId="29B2CD14" w14:textId="4E387EB4" w:rsidR="00951A47" w:rsidRPr="00F56767" w:rsidRDefault="00951A47" w:rsidP="00951A47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 xml:space="preserve">Целева стойност: 1420 </w:t>
            </w:r>
          </w:p>
          <w:p w14:paraId="4DCB9A68" w14:textId="4752021B" w:rsidR="00951A47" w:rsidRPr="00F56767" w:rsidRDefault="00951A47" w:rsidP="00951A47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</w:p>
        </w:tc>
      </w:tr>
      <w:tr w:rsidR="008C012F" w:rsidRPr="00E70F02" w14:paraId="70065F66" w14:textId="77777777" w:rsidTr="00115067">
        <w:tc>
          <w:tcPr>
            <w:tcW w:w="14029" w:type="dxa"/>
            <w:gridSpan w:val="3"/>
            <w:shd w:val="clear" w:color="auto" w:fill="A5C9EB" w:themeFill="text2" w:themeFillTint="40"/>
          </w:tcPr>
          <w:p w14:paraId="045C9D2C" w14:textId="18FEA1B3" w:rsidR="008C012F" w:rsidRPr="00E70F02" w:rsidRDefault="000B37EB" w:rsidP="000B37EB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sz w:val="22"/>
                <w:szCs w:val="22"/>
                <w:lang w:eastAsia="en-US" w:bidi="en-US"/>
              </w:rPr>
            </w:pPr>
            <w:r w:rsidRPr="00E70F02">
              <w:rPr>
                <w:rFonts w:ascii="Times New Roman" w:eastAsia="Courier New" w:hAnsi="Times New Roman" w:cs="Courier New"/>
                <w:b/>
                <w:bCs/>
                <w:sz w:val="22"/>
                <w:szCs w:val="22"/>
                <w:lang w:eastAsia="en-US" w:bidi="en-US"/>
              </w:rPr>
              <w:lastRenderedPageBreak/>
              <w:t>Инвестиция C4.I7: Увеличаване на използването на възобновяема енергия от геотермални източници</w:t>
            </w:r>
          </w:p>
        </w:tc>
      </w:tr>
    </w:tbl>
    <w:tbl>
      <w:tblPr>
        <w:tblStyle w:val="TableGrid224"/>
        <w:tblW w:w="13948" w:type="dxa"/>
        <w:tblLook w:val="04A0" w:firstRow="1" w:lastRow="0" w:firstColumn="1" w:lastColumn="0" w:noHBand="0" w:noVBand="1"/>
      </w:tblPr>
      <w:tblGrid>
        <w:gridCol w:w="4647"/>
        <w:gridCol w:w="4651"/>
        <w:gridCol w:w="4650"/>
      </w:tblGrid>
      <w:tr w:rsidR="000B030A" w:rsidRPr="005D352B" w14:paraId="7D07F033" w14:textId="77777777" w:rsidTr="00482BBC">
        <w:tc>
          <w:tcPr>
            <w:tcW w:w="4647" w:type="dxa"/>
          </w:tcPr>
          <w:p w14:paraId="75F32812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 елементи</w:t>
            </w:r>
          </w:p>
        </w:tc>
        <w:tc>
          <w:tcPr>
            <w:tcW w:w="4651" w:type="dxa"/>
          </w:tcPr>
          <w:p w14:paraId="0C5533B4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Настояща версия</w:t>
            </w:r>
          </w:p>
        </w:tc>
        <w:tc>
          <w:tcPr>
            <w:tcW w:w="4650" w:type="dxa"/>
          </w:tcPr>
          <w:p w14:paraId="3BAD28ED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Изменена версия</w:t>
            </w:r>
          </w:p>
        </w:tc>
      </w:tr>
    </w:tbl>
    <w:tbl>
      <w:tblPr>
        <w:tblStyle w:val="TableGrid22"/>
        <w:tblW w:w="14029" w:type="dxa"/>
        <w:tblLook w:val="04A0" w:firstRow="1" w:lastRow="0" w:firstColumn="1" w:lastColumn="0" w:noHBand="0" w:noVBand="1"/>
      </w:tblPr>
      <w:tblGrid>
        <w:gridCol w:w="4647"/>
        <w:gridCol w:w="4651"/>
        <w:gridCol w:w="4731"/>
      </w:tblGrid>
      <w:tr w:rsidR="00515692" w:rsidRPr="00F56767" w14:paraId="40DD935A" w14:textId="77777777" w:rsidTr="00115067">
        <w:tc>
          <w:tcPr>
            <w:tcW w:w="4647" w:type="dxa"/>
          </w:tcPr>
          <w:p w14:paraId="2DD3B229" w14:textId="4A9F1AD2" w:rsidR="00515692" w:rsidRPr="00F56767" w:rsidRDefault="000B030A" w:rsidP="00015F7A">
            <w:pPr>
              <w:spacing w:line="240" w:lineRule="auto"/>
              <w:rPr>
                <w:rFonts w:ascii="Times New Roman" w:eastAsia="Courier New" w:hAnsi="Times New Roman" w:cs="Courier New"/>
                <w:b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Описание </w:t>
            </w:r>
          </w:p>
        </w:tc>
        <w:tc>
          <w:tcPr>
            <w:tcW w:w="4651" w:type="dxa"/>
          </w:tcPr>
          <w:p w14:paraId="45FA0CC5" w14:textId="7A357005" w:rsidR="00515692" w:rsidRPr="00F56767" w:rsidRDefault="000B37EB" w:rsidP="00015F7A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  <w:t>Етап № 106</w:t>
            </w:r>
          </w:p>
          <w:p w14:paraId="33F2AF7D" w14:textId="77777777" w:rsidR="00515692" w:rsidRPr="00F56767" w:rsidRDefault="00515692" w:rsidP="000B37EB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>Описание:</w:t>
            </w:r>
            <w:r w:rsidRPr="00F56767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 </w:t>
            </w:r>
          </w:p>
          <w:p w14:paraId="2D669E8B" w14:textId="20BB74A4" w:rsidR="000B37EB" w:rsidRPr="00F56767" w:rsidRDefault="000B37EB" w:rsidP="000B37EB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>Инструментът дава възможност на ползвателите да изчисляват усреднените разходи за геотермална топлинна енергия въз основа на географското местоположение и топлинните характеристики. Инструментът е публично достъпен.</w:t>
            </w:r>
          </w:p>
        </w:tc>
        <w:tc>
          <w:tcPr>
            <w:tcW w:w="4731" w:type="dxa"/>
          </w:tcPr>
          <w:p w14:paraId="5654F8ED" w14:textId="6EE9AFFC" w:rsidR="00515692" w:rsidRPr="00F56767" w:rsidRDefault="000B37EB" w:rsidP="00015F7A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  <w:t>Етап  № 106</w:t>
            </w:r>
          </w:p>
          <w:p w14:paraId="50E8D113" w14:textId="77777777" w:rsidR="00515692" w:rsidRPr="00F56767" w:rsidRDefault="00515692" w:rsidP="000B37E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F56767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>Описание:</w:t>
            </w:r>
            <w:r w:rsidRPr="00F56767">
              <w:rPr>
                <w:sz w:val="20"/>
                <w:szCs w:val="20"/>
              </w:rPr>
              <w:t xml:space="preserve"> </w:t>
            </w:r>
          </w:p>
          <w:p w14:paraId="0705EDA4" w14:textId="76875956" w:rsidR="000B37EB" w:rsidRPr="00F56767" w:rsidRDefault="000B37EB" w:rsidP="000B37EB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Инструментът дава възможност </w:t>
            </w:r>
            <w:r w:rsidRPr="00F56767">
              <w:rPr>
                <w:rFonts w:ascii="Times New Roman" w:eastAsia="Courier New" w:hAnsi="Times New Roman" w:cs="Courier New"/>
                <w:iCs/>
                <w:strike/>
                <w:sz w:val="20"/>
                <w:szCs w:val="20"/>
                <w:lang w:eastAsia="en-US" w:bidi="en-US"/>
              </w:rPr>
              <w:t>на ползвателите да</w:t>
            </w:r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 </w:t>
            </w:r>
            <w:r w:rsidR="00EC6E7F"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за </w:t>
            </w:r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>изчислява</w:t>
            </w:r>
            <w:r w:rsidR="00EC6E7F"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>не</w:t>
            </w:r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 усреднените разходи за геотермална топлинна енергия въз основа на географското местоположение и топлинните характеристики. Инструментът е </w:t>
            </w:r>
            <w:r w:rsidRPr="00F56767">
              <w:rPr>
                <w:rFonts w:ascii="Times New Roman" w:eastAsia="Courier New" w:hAnsi="Times New Roman" w:cs="Courier New"/>
                <w:iCs/>
                <w:strike/>
                <w:sz w:val="20"/>
                <w:szCs w:val="20"/>
                <w:lang w:eastAsia="en-US" w:bidi="en-US"/>
              </w:rPr>
              <w:t>публично</w:t>
            </w:r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 достъпен</w:t>
            </w:r>
            <w:r w:rsidR="00EC6E7F"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 xml:space="preserve"> онлайн</w:t>
            </w:r>
            <w:r w:rsidRPr="00F56767">
              <w:rPr>
                <w:rFonts w:ascii="Times New Roman" w:eastAsia="Courier New" w:hAnsi="Times New Roman" w:cs="Courier New"/>
                <w:iCs/>
                <w:sz w:val="20"/>
                <w:szCs w:val="20"/>
                <w:lang w:eastAsia="en-US" w:bidi="en-US"/>
              </w:rPr>
              <w:t>.</w:t>
            </w:r>
          </w:p>
          <w:p w14:paraId="54DD178E" w14:textId="7A8CCF9F" w:rsidR="000B37EB" w:rsidRPr="00F56767" w:rsidRDefault="000B37EB" w:rsidP="000B37EB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</w:p>
        </w:tc>
      </w:tr>
      <w:tr w:rsidR="003162BD" w:rsidRPr="00E70F02" w14:paraId="3A75809B" w14:textId="77777777" w:rsidTr="00592DE3">
        <w:tc>
          <w:tcPr>
            <w:tcW w:w="14029" w:type="dxa"/>
            <w:gridSpan w:val="3"/>
            <w:shd w:val="clear" w:color="auto" w:fill="153D63" w:themeFill="text2" w:themeFillTint="E6"/>
          </w:tcPr>
          <w:p w14:paraId="2731BEE8" w14:textId="782572B0" w:rsidR="003162BD" w:rsidRPr="00E70F02" w:rsidRDefault="003162BD" w:rsidP="00015F7A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lang w:eastAsia="en-US" w:bidi="en-US"/>
              </w:rPr>
            </w:pPr>
            <w:r w:rsidRPr="00E70F02">
              <w:rPr>
                <w:rFonts w:ascii="Times New Roman" w:eastAsia="Courier New" w:hAnsi="Times New Roman" w:cs="Courier New"/>
                <w:b/>
                <w:bCs/>
                <w:color w:val="FFFFFF" w:themeColor="background1"/>
                <w:lang w:eastAsia="en-US" w:bidi="en-US"/>
              </w:rPr>
              <w:t xml:space="preserve">Компонент </w:t>
            </w:r>
            <w:r w:rsidR="00E70F02">
              <w:rPr>
                <w:rFonts w:ascii="Times New Roman" w:eastAsia="Courier New" w:hAnsi="Times New Roman" w:cs="Courier New"/>
                <w:b/>
                <w:bCs/>
                <w:color w:val="FFFFFF" w:themeColor="background1"/>
                <w:lang w:eastAsia="en-US" w:bidi="en-US"/>
              </w:rPr>
              <w:t>С</w:t>
            </w:r>
            <w:r w:rsidRPr="00E70F02">
              <w:rPr>
                <w:rFonts w:ascii="Times New Roman" w:eastAsia="Courier New" w:hAnsi="Times New Roman" w:cs="Courier New"/>
                <w:b/>
                <w:bCs/>
                <w:color w:val="FFFFFF" w:themeColor="background1"/>
                <w:lang w:eastAsia="en-US" w:bidi="en-US"/>
              </w:rPr>
              <w:t>6 Устойчиво селско стопанство</w:t>
            </w:r>
          </w:p>
        </w:tc>
      </w:tr>
      <w:tr w:rsidR="0066636E" w:rsidRPr="00E70F02" w14:paraId="1E5E87B9" w14:textId="77777777" w:rsidTr="00115067">
        <w:tc>
          <w:tcPr>
            <w:tcW w:w="14029" w:type="dxa"/>
            <w:gridSpan w:val="3"/>
            <w:shd w:val="clear" w:color="auto" w:fill="A5C9EB" w:themeFill="text2" w:themeFillTint="40"/>
          </w:tcPr>
          <w:p w14:paraId="36636676" w14:textId="79036CBE" w:rsidR="0066636E" w:rsidRPr="00E70F02" w:rsidRDefault="0066636E" w:rsidP="00015F7A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Courier New"/>
                <w:sz w:val="22"/>
                <w:szCs w:val="22"/>
                <w:lang w:val="en-US" w:eastAsia="en-US" w:bidi="en-US"/>
              </w:rPr>
            </w:pPr>
            <w:r w:rsidRPr="00E70F02">
              <w:rPr>
                <w:rFonts w:ascii="Times New Roman" w:eastAsia="Courier New" w:hAnsi="Times New Roman" w:cs="Courier New"/>
                <w:b/>
                <w:sz w:val="22"/>
                <w:szCs w:val="22"/>
                <w:lang w:eastAsia="en-US" w:bidi="en-US"/>
              </w:rPr>
              <w:t xml:space="preserve">Инвестиция 2 </w:t>
            </w:r>
            <w:r w:rsidRPr="00E70F02">
              <w:rPr>
                <w:rFonts w:ascii="Times New Roman" w:eastAsia="Courier New" w:hAnsi="Times New Roman" w:cs="Courier New"/>
                <w:b/>
                <w:sz w:val="22"/>
                <w:szCs w:val="22"/>
                <w:lang w:val="en-US" w:eastAsia="en-US" w:bidi="en-US"/>
              </w:rPr>
              <w:t>(C6.I2)</w:t>
            </w:r>
            <w:r w:rsidRPr="00E70F02">
              <w:rPr>
                <w:rFonts w:ascii="Times New Roman" w:eastAsia="Courier New" w:hAnsi="Times New Roman" w:cs="Courier New"/>
                <w:b/>
                <w:sz w:val="22"/>
                <w:szCs w:val="22"/>
                <w:lang w:eastAsia="en-US" w:bidi="en-US"/>
              </w:rPr>
              <w:t xml:space="preserve"> Цифровизация на процесите от фермата до трапезата</w:t>
            </w:r>
          </w:p>
        </w:tc>
      </w:tr>
    </w:tbl>
    <w:tbl>
      <w:tblPr>
        <w:tblStyle w:val="TableGrid224"/>
        <w:tblW w:w="13948" w:type="dxa"/>
        <w:tblLook w:val="04A0" w:firstRow="1" w:lastRow="0" w:firstColumn="1" w:lastColumn="0" w:noHBand="0" w:noVBand="1"/>
      </w:tblPr>
      <w:tblGrid>
        <w:gridCol w:w="4647"/>
        <w:gridCol w:w="4651"/>
        <w:gridCol w:w="4650"/>
      </w:tblGrid>
      <w:tr w:rsidR="000B030A" w:rsidRPr="005D352B" w14:paraId="14E217BB" w14:textId="77777777" w:rsidTr="00482BBC">
        <w:tc>
          <w:tcPr>
            <w:tcW w:w="4647" w:type="dxa"/>
          </w:tcPr>
          <w:p w14:paraId="75DA7FAA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 елементи</w:t>
            </w:r>
          </w:p>
        </w:tc>
        <w:tc>
          <w:tcPr>
            <w:tcW w:w="4651" w:type="dxa"/>
          </w:tcPr>
          <w:p w14:paraId="5A609E88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Настояща версия</w:t>
            </w:r>
          </w:p>
        </w:tc>
        <w:tc>
          <w:tcPr>
            <w:tcW w:w="4650" w:type="dxa"/>
          </w:tcPr>
          <w:p w14:paraId="47AEB853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Изменена версия</w:t>
            </w:r>
          </w:p>
        </w:tc>
      </w:tr>
    </w:tbl>
    <w:tbl>
      <w:tblPr>
        <w:tblStyle w:val="TableGrid22"/>
        <w:tblW w:w="14029" w:type="dxa"/>
        <w:tblLook w:val="04A0" w:firstRow="1" w:lastRow="0" w:firstColumn="1" w:lastColumn="0" w:noHBand="0" w:noVBand="1"/>
      </w:tblPr>
      <w:tblGrid>
        <w:gridCol w:w="4647"/>
        <w:gridCol w:w="4651"/>
        <w:gridCol w:w="4731"/>
      </w:tblGrid>
      <w:tr w:rsidR="0066636E" w:rsidRPr="00F56767" w14:paraId="5EFA8AC6" w14:textId="77777777" w:rsidTr="00115067">
        <w:tc>
          <w:tcPr>
            <w:tcW w:w="4647" w:type="dxa"/>
          </w:tcPr>
          <w:p w14:paraId="1E7B0E4C" w14:textId="0AA2C4E3" w:rsidR="0066636E" w:rsidRPr="00F56767" w:rsidRDefault="000B030A" w:rsidP="00015F7A">
            <w:pPr>
              <w:spacing w:line="240" w:lineRule="auto"/>
              <w:rPr>
                <w:rFonts w:ascii="Times New Roman" w:eastAsia="Courier New" w:hAnsi="Times New Roman" w:cs="Courier New"/>
                <w:b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Описание </w:t>
            </w:r>
          </w:p>
        </w:tc>
        <w:tc>
          <w:tcPr>
            <w:tcW w:w="4651" w:type="dxa"/>
          </w:tcPr>
          <w:p w14:paraId="6769A938" w14:textId="77777777" w:rsidR="0066636E" w:rsidRPr="00F56767" w:rsidRDefault="0066636E" w:rsidP="00015F7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Етап № 136</w:t>
            </w:r>
          </w:p>
          <w:p w14:paraId="29315E35" w14:textId="77777777" w:rsidR="0066636E" w:rsidRPr="00F56767" w:rsidRDefault="0066636E" w:rsidP="00015F7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Описание: </w:t>
            </w:r>
          </w:p>
          <w:p w14:paraId="6FE105D1" w14:textId="5841DBF2" w:rsidR="0066636E" w:rsidRPr="00F56767" w:rsidRDefault="00EC6E7F" w:rsidP="00015F7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Издаден протокол за приемане, потвърждаващ, че електронната информационна система в земеделието, включително комуникационната мрежа от полеви датчици и датчици за дъжд и четири модула, е достъпна. </w:t>
            </w:r>
          </w:p>
          <w:p w14:paraId="71E03B18" w14:textId="77777777" w:rsidR="0066636E" w:rsidRPr="00F56767" w:rsidRDefault="0066636E" w:rsidP="00015F7A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u w:val="single"/>
                <w:lang w:eastAsia="en-US" w:bidi="en-US"/>
              </w:rPr>
            </w:pPr>
          </w:p>
        </w:tc>
        <w:tc>
          <w:tcPr>
            <w:tcW w:w="4731" w:type="dxa"/>
          </w:tcPr>
          <w:p w14:paraId="26A911F9" w14:textId="77777777" w:rsidR="0066636E" w:rsidRPr="00F56767" w:rsidRDefault="0066636E" w:rsidP="00015F7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Етап № 136</w:t>
            </w:r>
          </w:p>
          <w:p w14:paraId="748C7E52" w14:textId="660FFC90" w:rsidR="0066636E" w:rsidRPr="00F56767" w:rsidRDefault="0066636E" w:rsidP="00015F7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Описание: </w:t>
            </w:r>
          </w:p>
          <w:p w14:paraId="4247FE7B" w14:textId="2E63E286" w:rsidR="0022288F" w:rsidRPr="00F56767" w:rsidRDefault="00EC6E7F" w:rsidP="00015F7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Издаден протокол за приемане, потвърждаващ, че електронната информационна система в земеделието, включително комуникационната мрежа от полеви датчици и датчици за дъжд и четири </w:t>
            </w:r>
            <w:r w:rsidRPr="00F567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допълнителни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модула, е достъпна.</w:t>
            </w:r>
          </w:p>
        </w:tc>
      </w:tr>
      <w:tr w:rsidR="00DD7924" w:rsidRPr="00E70F02" w14:paraId="637A1B7D" w14:textId="77777777" w:rsidTr="00885D1F">
        <w:tc>
          <w:tcPr>
            <w:tcW w:w="14029" w:type="dxa"/>
            <w:gridSpan w:val="3"/>
            <w:shd w:val="clear" w:color="auto" w:fill="153D63" w:themeFill="text2" w:themeFillTint="E6"/>
          </w:tcPr>
          <w:p w14:paraId="0DA3E44D" w14:textId="4FADB935" w:rsidR="0066636E" w:rsidRPr="00E70F02" w:rsidRDefault="0066636E" w:rsidP="00015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</w:pPr>
            <w:r w:rsidRPr="00E70F0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Компонент </w:t>
            </w:r>
            <w:r w:rsidR="00E70F02" w:rsidRPr="00E70F02">
              <w:rPr>
                <w:rFonts w:ascii="Times New Roman" w:hAnsi="Times New Roman" w:cs="Times New Roman"/>
                <w:b/>
                <w:color w:val="FFFFFF" w:themeColor="background1"/>
              </w:rPr>
              <w:t>С</w:t>
            </w:r>
            <w:r w:rsidRPr="00E70F02">
              <w:rPr>
                <w:rFonts w:ascii="Times New Roman" w:hAnsi="Times New Roman" w:cs="Times New Roman"/>
                <w:b/>
                <w:color w:val="FFFFFF" w:themeColor="background1"/>
              </w:rPr>
              <w:t>8 Устойчив транспорт</w:t>
            </w:r>
          </w:p>
        </w:tc>
      </w:tr>
      <w:tr w:rsidR="0066636E" w:rsidRPr="00E70F02" w14:paraId="0F63AE16" w14:textId="77777777" w:rsidTr="00115067">
        <w:tc>
          <w:tcPr>
            <w:tcW w:w="14029" w:type="dxa"/>
            <w:gridSpan w:val="3"/>
            <w:shd w:val="clear" w:color="auto" w:fill="A5C9EB" w:themeFill="text2" w:themeFillTint="40"/>
          </w:tcPr>
          <w:p w14:paraId="2A1F5745" w14:textId="0B9D3C98" w:rsidR="0066636E" w:rsidRPr="00E70F02" w:rsidRDefault="0066636E" w:rsidP="00015F7A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sz w:val="22"/>
                <w:szCs w:val="22"/>
                <w:lang w:eastAsia="en-US" w:bidi="en-US"/>
              </w:rPr>
            </w:pPr>
            <w:r w:rsidRPr="00E70F02">
              <w:rPr>
                <w:rFonts w:ascii="Times New Roman" w:eastAsia="Courier New" w:hAnsi="Times New Roman" w:cs="Courier New"/>
                <w:b/>
                <w:bCs/>
                <w:sz w:val="22"/>
                <w:szCs w:val="22"/>
                <w:lang w:eastAsia="en-US" w:bidi="en-US"/>
              </w:rPr>
              <w:t>Реформа 1 (C8.R1): Стратегическа рамка за транспорта</w:t>
            </w:r>
          </w:p>
        </w:tc>
      </w:tr>
    </w:tbl>
    <w:tbl>
      <w:tblPr>
        <w:tblStyle w:val="TableGrid224"/>
        <w:tblW w:w="13948" w:type="dxa"/>
        <w:tblLook w:val="04A0" w:firstRow="1" w:lastRow="0" w:firstColumn="1" w:lastColumn="0" w:noHBand="0" w:noVBand="1"/>
      </w:tblPr>
      <w:tblGrid>
        <w:gridCol w:w="4647"/>
        <w:gridCol w:w="4651"/>
        <w:gridCol w:w="4650"/>
      </w:tblGrid>
      <w:tr w:rsidR="000B030A" w:rsidRPr="005D352B" w14:paraId="04E4925F" w14:textId="77777777" w:rsidTr="00482BBC">
        <w:tc>
          <w:tcPr>
            <w:tcW w:w="4647" w:type="dxa"/>
          </w:tcPr>
          <w:p w14:paraId="3BA0872A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 елементи</w:t>
            </w:r>
          </w:p>
        </w:tc>
        <w:tc>
          <w:tcPr>
            <w:tcW w:w="4651" w:type="dxa"/>
          </w:tcPr>
          <w:p w14:paraId="186E1C52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Настояща версия</w:t>
            </w:r>
          </w:p>
        </w:tc>
        <w:tc>
          <w:tcPr>
            <w:tcW w:w="4650" w:type="dxa"/>
          </w:tcPr>
          <w:p w14:paraId="534122E5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Изменена версия</w:t>
            </w:r>
          </w:p>
        </w:tc>
      </w:tr>
    </w:tbl>
    <w:tbl>
      <w:tblPr>
        <w:tblStyle w:val="TableGrid22"/>
        <w:tblW w:w="14029" w:type="dxa"/>
        <w:tblLook w:val="04A0" w:firstRow="1" w:lastRow="0" w:firstColumn="1" w:lastColumn="0" w:noHBand="0" w:noVBand="1"/>
      </w:tblPr>
      <w:tblGrid>
        <w:gridCol w:w="4647"/>
        <w:gridCol w:w="4651"/>
        <w:gridCol w:w="4731"/>
      </w:tblGrid>
      <w:tr w:rsidR="00D95368" w:rsidRPr="00F56767" w14:paraId="72BBCDE2" w14:textId="77777777" w:rsidTr="00115067">
        <w:tc>
          <w:tcPr>
            <w:tcW w:w="4647" w:type="dxa"/>
          </w:tcPr>
          <w:p w14:paraId="37024017" w14:textId="6FA7E4AC" w:rsidR="00D95368" w:rsidRPr="00F56767" w:rsidRDefault="000B030A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Описание </w:t>
            </w:r>
          </w:p>
        </w:tc>
        <w:tc>
          <w:tcPr>
            <w:tcW w:w="4651" w:type="dxa"/>
          </w:tcPr>
          <w:p w14:paraId="6C6183BA" w14:textId="58592E42" w:rsidR="00D95368" w:rsidRPr="00F56767" w:rsidRDefault="00D95368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Етап №163</w:t>
            </w:r>
          </w:p>
          <w:p w14:paraId="3099996E" w14:textId="77777777" w:rsidR="00D95368" w:rsidRPr="00F56767" w:rsidRDefault="00D95368" w:rsidP="00D953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Описание: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4FE179" w14:textId="50B2DB04" w:rsidR="00D95368" w:rsidRPr="00F56767" w:rsidRDefault="005B7EA9" w:rsidP="00D953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Министерството на транспорта и съобщенията (МТ</w:t>
            </w:r>
            <w:r w:rsidR="00B553A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): • Одобрява план за действие с етапни цели, график и показатели за изпълнение относно 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капацитета на Национална компания „Железопътна инфраструктура“ (НКЖИ) и МТ</w:t>
            </w:r>
            <w:r w:rsidR="00B553A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за управление на проекти по TEN-T; • Създава съвместна координационна работна група(и) между МТ</w:t>
            </w:r>
            <w:r w:rsidR="00B553A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и НКЖИ за планиране и докладване на проекти; • Актуализира системата за мониторинг, за да се проследи напредъкът в изпълнението на проектите за железопътна инфраструктура.</w:t>
            </w:r>
          </w:p>
        </w:tc>
        <w:tc>
          <w:tcPr>
            <w:tcW w:w="4731" w:type="dxa"/>
          </w:tcPr>
          <w:p w14:paraId="3389B3C7" w14:textId="5932EDB3" w:rsidR="00D95368" w:rsidRPr="00F56767" w:rsidRDefault="00D95368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Етап № 163</w:t>
            </w:r>
          </w:p>
          <w:p w14:paraId="736839FF" w14:textId="0EAC1D3C" w:rsidR="00D95368" w:rsidRPr="00F56767" w:rsidRDefault="00D95368" w:rsidP="00D953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Описание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B069388" w14:textId="615C6AE1" w:rsidR="005B7EA9" w:rsidRPr="00F56767" w:rsidRDefault="005B7EA9" w:rsidP="00D953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Министерството на транспорта и съобщенията (МТ</w:t>
            </w:r>
            <w:r w:rsidR="00B553A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F567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одобрява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7EA3C36" w14:textId="29A3A110" w:rsidR="00CB101D" w:rsidRPr="00F56767" w:rsidRDefault="005B7EA9" w:rsidP="00D953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• </w:t>
            </w:r>
            <w:r w:rsidRPr="00F56767">
              <w:rPr>
                <w:rFonts w:ascii="Times New Roman" w:hAnsi="Times New Roman" w:cs="Times New Roman"/>
                <w:strike/>
                <w:sz w:val="20"/>
                <w:szCs w:val="20"/>
              </w:rPr>
              <w:t>Одобрява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план за действие с етапни цели, график и показатели за изпълнение относно капацитета на Национална компания „Железопътна инфраструктура“ (НКЖИ) и МТ</w:t>
            </w:r>
            <w:r w:rsidR="00B553A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за управление на проекти по TEN-T; </w:t>
            </w:r>
          </w:p>
          <w:p w14:paraId="5DDC8CFF" w14:textId="510CC817" w:rsidR="00CB101D" w:rsidRPr="00F56767" w:rsidRDefault="005B7EA9" w:rsidP="00D953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F567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Създава</w:t>
            </w:r>
            <w:r w:rsidR="00CB101D" w:rsidRPr="00F567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 на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съвместна координационна работна група(и) между МТ</w:t>
            </w:r>
            <w:r w:rsidR="00B553A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и НКЖИ за планиране и докладване на проекти; </w:t>
            </w:r>
          </w:p>
          <w:p w14:paraId="6442D394" w14:textId="0D853C79" w:rsidR="00D95368" w:rsidRPr="00F56767" w:rsidRDefault="005B7EA9" w:rsidP="00CB101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F56767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Актуализира </w:t>
            </w:r>
            <w:r w:rsidR="00CB101D" w:rsidRPr="00F56767">
              <w:rPr>
                <w:rFonts w:ascii="Times New Roman" w:hAnsi="Times New Roman" w:cs="Times New Roman"/>
                <w:b/>
                <w:sz w:val="20"/>
                <w:szCs w:val="20"/>
              </w:rPr>
              <w:t>Създаване на</w:t>
            </w:r>
            <w:r w:rsidR="00CB101D"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53A3" w:rsidRPr="00B55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база данни</w:t>
            </w:r>
            <w:r w:rsidR="00B553A3" w:rsidRPr="00B55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53A3">
              <w:rPr>
                <w:rFonts w:ascii="Times New Roman" w:hAnsi="Times New Roman" w:cs="Times New Roman"/>
                <w:strike/>
                <w:sz w:val="20"/>
                <w:szCs w:val="20"/>
              </w:rPr>
              <w:t>система з</w:t>
            </w:r>
            <w:r w:rsidRPr="00F56767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а мониторинг, за да се </w:t>
            </w:r>
            <w:r w:rsidR="00CB101D" w:rsidRPr="00F5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</w:t>
            </w:r>
            <w:r w:rsidRPr="00F56767">
              <w:rPr>
                <w:rFonts w:ascii="Times New Roman" w:hAnsi="Times New Roman" w:cs="Times New Roman"/>
                <w:b/>
                <w:sz w:val="20"/>
                <w:szCs w:val="20"/>
              </w:rPr>
              <w:t>прослед</w:t>
            </w:r>
            <w:r w:rsidR="00CB101D" w:rsidRPr="00F56767">
              <w:rPr>
                <w:rFonts w:ascii="Times New Roman" w:hAnsi="Times New Roman" w:cs="Times New Roman"/>
                <w:b/>
                <w:sz w:val="20"/>
                <w:szCs w:val="20"/>
              </w:rPr>
              <w:t>яване на н</w:t>
            </w:r>
            <w:r w:rsidRPr="00F56767">
              <w:rPr>
                <w:rFonts w:ascii="Times New Roman" w:hAnsi="Times New Roman" w:cs="Times New Roman"/>
                <w:b/>
                <w:sz w:val="20"/>
                <w:szCs w:val="20"/>
              </w:rPr>
              <w:t>апредък</w:t>
            </w:r>
            <w:r w:rsidR="00CB101D" w:rsidRPr="00F5676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F5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изпълнението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на проектите за </w:t>
            </w:r>
            <w:r w:rsidR="00CB101D" w:rsidRPr="00F567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TEN-T</w:t>
            </w:r>
            <w:r w:rsidR="00CB101D" w:rsidRPr="00F567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железопътна инфраструктура.</w:t>
            </w:r>
          </w:p>
        </w:tc>
      </w:tr>
      <w:tr w:rsidR="00D95368" w:rsidRPr="00E70F02" w14:paraId="6A20AF53" w14:textId="77777777" w:rsidTr="00115067">
        <w:tc>
          <w:tcPr>
            <w:tcW w:w="14029" w:type="dxa"/>
            <w:gridSpan w:val="3"/>
            <w:shd w:val="clear" w:color="auto" w:fill="A5C9EB" w:themeFill="text2" w:themeFillTint="40"/>
          </w:tcPr>
          <w:p w14:paraId="7457DF5C" w14:textId="7B5DE3BD" w:rsidR="00D95368" w:rsidRPr="00E70F02" w:rsidRDefault="00D95368" w:rsidP="00D9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0F0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Реформа 4 (C8.R4): Интегриран обществен транспорт</w:t>
            </w:r>
          </w:p>
        </w:tc>
      </w:tr>
    </w:tbl>
    <w:tbl>
      <w:tblPr>
        <w:tblStyle w:val="TableGrid224"/>
        <w:tblW w:w="13948" w:type="dxa"/>
        <w:tblLook w:val="04A0" w:firstRow="1" w:lastRow="0" w:firstColumn="1" w:lastColumn="0" w:noHBand="0" w:noVBand="1"/>
      </w:tblPr>
      <w:tblGrid>
        <w:gridCol w:w="4647"/>
        <w:gridCol w:w="4651"/>
        <w:gridCol w:w="4650"/>
      </w:tblGrid>
      <w:tr w:rsidR="000B030A" w:rsidRPr="005D352B" w14:paraId="61DF4696" w14:textId="77777777" w:rsidTr="00482BBC">
        <w:tc>
          <w:tcPr>
            <w:tcW w:w="4647" w:type="dxa"/>
          </w:tcPr>
          <w:p w14:paraId="18A05CD4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 елементи</w:t>
            </w:r>
          </w:p>
        </w:tc>
        <w:tc>
          <w:tcPr>
            <w:tcW w:w="4651" w:type="dxa"/>
          </w:tcPr>
          <w:p w14:paraId="5B15E96F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Настояща версия</w:t>
            </w:r>
          </w:p>
        </w:tc>
        <w:tc>
          <w:tcPr>
            <w:tcW w:w="4650" w:type="dxa"/>
          </w:tcPr>
          <w:p w14:paraId="72A93EE8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Изменена версия</w:t>
            </w:r>
          </w:p>
        </w:tc>
      </w:tr>
    </w:tbl>
    <w:tbl>
      <w:tblPr>
        <w:tblStyle w:val="TableGrid22"/>
        <w:tblW w:w="14029" w:type="dxa"/>
        <w:tblLook w:val="04A0" w:firstRow="1" w:lastRow="0" w:firstColumn="1" w:lastColumn="0" w:noHBand="0" w:noVBand="1"/>
      </w:tblPr>
      <w:tblGrid>
        <w:gridCol w:w="4647"/>
        <w:gridCol w:w="4651"/>
        <w:gridCol w:w="4731"/>
      </w:tblGrid>
      <w:tr w:rsidR="00D95368" w:rsidRPr="00F56767" w14:paraId="5B6D69CB" w14:textId="77777777" w:rsidTr="00115067">
        <w:tc>
          <w:tcPr>
            <w:tcW w:w="4647" w:type="dxa"/>
          </w:tcPr>
          <w:p w14:paraId="24715C33" w14:textId="5BECD60B" w:rsidR="00D95368" w:rsidRPr="00F56767" w:rsidRDefault="000B030A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Описание </w:t>
            </w:r>
          </w:p>
        </w:tc>
        <w:tc>
          <w:tcPr>
            <w:tcW w:w="4651" w:type="dxa"/>
          </w:tcPr>
          <w:p w14:paraId="2BEAD1CB" w14:textId="059DF2F0" w:rsidR="00D95368" w:rsidRPr="00F56767" w:rsidRDefault="00D95368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Етап № 176</w:t>
            </w:r>
          </w:p>
          <w:p w14:paraId="28384A8B" w14:textId="7A1F208E" w:rsidR="00BE419E" w:rsidRPr="00F56767" w:rsidRDefault="00D95368" w:rsidP="00BE419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Описание: </w:t>
            </w:r>
          </w:p>
          <w:p w14:paraId="7FC6EB93" w14:textId="14E3BF41" w:rsidR="00D95368" w:rsidRPr="00F56767" w:rsidRDefault="00BE419E" w:rsidP="00D953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Правните актове за обществения транспорт предвиждат: - правила за управление на данните за пътуванията в реално време, - създаване на транспортна мрежа с координирани разписания, - права и/или отговорности на оператора(</w:t>
            </w:r>
            <w:proofErr w:type="spellStart"/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ите</w:t>
            </w:r>
            <w:proofErr w:type="spellEnd"/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) и пътниците. Правният(те) акт(</w:t>
            </w:r>
            <w:proofErr w:type="spellStart"/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ове</w:t>
            </w:r>
            <w:proofErr w:type="spellEnd"/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) уреждат създаването и поддържането на национална система за единен транспортен документ, както и сроковете за влизането му в сила. Техническите спецификации на националната система за единен транспортен документ се одобряват от съответното министерство.</w:t>
            </w:r>
          </w:p>
        </w:tc>
        <w:tc>
          <w:tcPr>
            <w:tcW w:w="4731" w:type="dxa"/>
          </w:tcPr>
          <w:p w14:paraId="0D48743F" w14:textId="454A6B9F" w:rsidR="00D95368" w:rsidRPr="00F56767" w:rsidRDefault="00D95368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Етап № 176</w:t>
            </w:r>
          </w:p>
          <w:p w14:paraId="69BAFC26" w14:textId="77777777" w:rsidR="00BE419E" w:rsidRPr="00F56767" w:rsidRDefault="00D95368" w:rsidP="00D9536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Описание: </w:t>
            </w:r>
          </w:p>
          <w:p w14:paraId="4146FD3A" w14:textId="0472CBC4" w:rsidR="00D95368" w:rsidRPr="00F56767" w:rsidRDefault="00BE419E" w:rsidP="00D9536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Правните актове за обществения транспорт предвиждат: - правила за управление на данните за пътуванията в реално време, - създаване на транспортна </w:t>
            </w:r>
            <w:r w:rsidRPr="00F56767">
              <w:rPr>
                <w:rFonts w:ascii="Times New Roman" w:hAnsi="Times New Roman" w:cs="Times New Roman"/>
                <w:strike/>
                <w:sz w:val="20"/>
                <w:szCs w:val="20"/>
              </w:rPr>
              <w:t>мрежа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67">
              <w:rPr>
                <w:rFonts w:ascii="Times New Roman" w:hAnsi="Times New Roman" w:cs="Times New Roman"/>
                <w:b/>
                <w:sz w:val="20"/>
                <w:szCs w:val="20"/>
              </w:rPr>
              <w:t>схема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с координирани разписания, - права и/или отговорности на оператора(</w:t>
            </w:r>
            <w:proofErr w:type="spellStart"/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ите</w:t>
            </w:r>
            <w:proofErr w:type="spellEnd"/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) и пътниците. Правният(те) акт(</w:t>
            </w:r>
            <w:proofErr w:type="spellStart"/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ове</w:t>
            </w:r>
            <w:proofErr w:type="spellEnd"/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) уреждат създаването и поддържането на национална система за единен транспортен документ, както и сроковете за влизането му в сила. Техническите спецификации на националната система за единен транспортен документ се одобряват от съответното министерство.</w:t>
            </w:r>
          </w:p>
        </w:tc>
      </w:tr>
      <w:tr w:rsidR="00D95368" w:rsidRPr="00E70F02" w14:paraId="3A9AF649" w14:textId="77777777" w:rsidTr="00115067">
        <w:tc>
          <w:tcPr>
            <w:tcW w:w="14029" w:type="dxa"/>
            <w:gridSpan w:val="3"/>
            <w:shd w:val="clear" w:color="auto" w:fill="A5C9EB" w:themeFill="text2" w:themeFillTint="40"/>
          </w:tcPr>
          <w:p w14:paraId="1B482AB4" w14:textId="48002556" w:rsidR="00D95368" w:rsidRPr="00E70F02" w:rsidRDefault="00D95368" w:rsidP="00D9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4" w:name="_Hlk210038230"/>
            <w:r w:rsidRPr="00E70F02">
              <w:rPr>
                <w:rFonts w:ascii="Times New Roman" w:hAnsi="Times New Roman" w:cs="Times New Roman"/>
                <w:b/>
                <w:sz w:val="22"/>
                <w:szCs w:val="22"/>
              </w:rPr>
              <w:t>Реформа 5 (C8.R5): Електрическа мобилност</w:t>
            </w:r>
          </w:p>
        </w:tc>
      </w:tr>
    </w:tbl>
    <w:tbl>
      <w:tblPr>
        <w:tblStyle w:val="TableGrid224"/>
        <w:tblW w:w="13948" w:type="dxa"/>
        <w:tblLook w:val="04A0" w:firstRow="1" w:lastRow="0" w:firstColumn="1" w:lastColumn="0" w:noHBand="0" w:noVBand="1"/>
      </w:tblPr>
      <w:tblGrid>
        <w:gridCol w:w="4647"/>
        <w:gridCol w:w="4651"/>
        <w:gridCol w:w="4650"/>
      </w:tblGrid>
      <w:tr w:rsidR="000B030A" w:rsidRPr="005D352B" w14:paraId="5A55FB85" w14:textId="77777777" w:rsidTr="00482BBC">
        <w:tc>
          <w:tcPr>
            <w:tcW w:w="4647" w:type="dxa"/>
          </w:tcPr>
          <w:bookmarkEnd w:id="4"/>
          <w:p w14:paraId="0A1D3B6C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 елементи</w:t>
            </w:r>
          </w:p>
        </w:tc>
        <w:tc>
          <w:tcPr>
            <w:tcW w:w="4651" w:type="dxa"/>
          </w:tcPr>
          <w:p w14:paraId="1E7D4BB8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Настояща версия</w:t>
            </w:r>
          </w:p>
        </w:tc>
        <w:tc>
          <w:tcPr>
            <w:tcW w:w="4650" w:type="dxa"/>
          </w:tcPr>
          <w:p w14:paraId="47CE8F23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Изменена версия</w:t>
            </w:r>
          </w:p>
        </w:tc>
      </w:tr>
    </w:tbl>
    <w:tbl>
      <w:tblPr>
        <w:tblStyle w:val="TableGrid22"/>
        <w:tblW w:w="14029" w:type="dxa"/>
        <w:tblLook w:val="04A0" w:firstRow="1" w:lastRow="0" w:firstColumn="1" w:lastColumn="0" w:noHBand="0" w:noVBand="1"/>
      </w:tblPr>
      <w:tblGrid>
        <w:gridCol w:w="4647"/>
        <w:gridCol w:w="4651"/>
        <w:gridCol w:w="4731"/>
      </w:tblGrid>
      <w:tr w:rsidR="00D95368" w:rsidRPr="00F56767" w14:paraId="21BFE1DA" w14:textId="77777777" w:rsidTr="00115067">
        <w:tc>
          <w:tcPr>
            <w:tcW w:w="4647" w:type="dxa"/>
          </w:tcPr>
          <w:p w14:paraId="0F472FD6" w14:textId="32954040" w:rsidR="00D95368" w:rsidRPr="00F56767" w:rsidRDefault="000B030A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Описание </w:t>
            </w:r>
          </w:p>
        </w:tc>
        <w:tc>
          <w:tcPr>
            <w:tcW w:w="4651" w:type="dxa"/>
          </w:tcPr>
          <w:p w14:paraId="3902DD2A" w14:textId="38410872" w:rsidR="00D95368" w:rsidRPr="00F56767" w:rsidRDefault="00D95368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Етап № 178</w:t>
            </w:r>
          </w:p>
          <w:p w14:paraId="5BFBE213" w14:textId="350C4511" w:rsidR="00BE419E" w:rsidRPr="00F56767" w:rsidRDefault="00D95368" w:rsidP="00BE419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Описание:</w:t>
            </w:r>
            <w:r w:rsidRPr="00F56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E910358" w14:textId="77777777" w:rsidR="00BE419E" w:rsidRPr="00F56767" w:rsidRDefault="00BE419E" w:rsidP="00D953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Правният(те) акт(</w:t>
            </w:r>
            <w:proofErr w:type="spellStart"/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ове</w:t>
            </w:r>
            <w:proofErr w:type="spellEnd"/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) предвиждат:</w:t>
            </w:r>
          </w:p>
          <w:p w14:paraId="48A6EB70" w14:textId="77777777" w:rsidR="00BE419E" w:rsidRPr="00F56767" w:rsidRDefault="00BE419E" w:rsidP="00D953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- опростяване на процедурата за присъединяване към станциите за зареждане, инсталирани за лично ползване;</w:t>
            </w:r>
          </w:p>
          <w:p w14:paraId="6796464D" w14:textId="77777777" w:rsidR="00BE419E" w:rsidRPr="00F56767" w:rsidRDefault="00BE419E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F56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задължение за общините с население над 5000 жители да осигурят места за поне една публично достъпна зарядна станция. </w:t>
            </w:r>
          </w:p>
          <w:p w14:paraId="591E590B" w14:textId="77777777" w:rsidR="00BE419E" w:rsidRPr="00F56767" w:rsidRDefault="00BE419E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Cs/>
                <w:sz w:val="20"/>
                <w:szCs w:val="20"/>
              </w:rPr>
              <w:t>С правния(те) акт(</w:t>
            </w:r>
            <w:proofErr w:type="spellStart"/>
            <w:r w:rsidRPr="00F56767">
              <w:rPr>
                <w:rFonts w:ascii="Times New Roman" w:hAnsi="Times New Roman" w:cs="Times New Roman"/>
                <w:bCs/>
                <w:sz w:val="20"/>
                <w:szCs w:val="20"/>
              </w:rPr>
              <w:t>ове</w:t>
            </w:r>
            <w:proofErr w:type="spellEnd"/>
            <w:r w:rsidRPr="00F56767">
              <w:rPr>
                <w:rFonts w:ascii="Times New Roman" w:hAnsi="Times New Roman" w:cs="Times New Roman"/>
                <w:bCs/>
                <w:sz w:val="20"/>
                <w:szCs w:val="20"/>
              </w:rPr>
              <w:t>) се въвежда и годишна данъчна амортизация за електрическите превозни средства.</w:t>
            </w:r>
          </w:p>
          <w:p w14:paraId="6AAF3E4C" w14:textId="5307463C" w:rsidR="00BE419E" w:rsidRPr="00F56767" w:rsidRDefault="00BE419E" w:rsidP="00D953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</w:tcPr>
          <w:p w14:paraId="5FF5DF65" w14:textId="09BE68F0" w:rsidR="00D95368" w:rsidRPr="00F56767" w:rsidRDefault="00D95368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Етап № 178</w:t>
            </w:r>
          </w:p>
          <w:p w14:paraId="00A5C0A2" w14:textId="09EC82C3" w:rsidR="00BE419E" w:rsidRPr="00F56767" w:rsidRDefault="00D95368" w:rsidP="00BE419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Описание:</w:t>
            </w:r>
            <w:r w:rsidRPr="00F56767">
              <w:rPr>
                <w:sz w:val="20"/>
                <w:szCs w:val="20"/>
              </w:rPr>
              <w:t xml:space="preserve"> </w:t>
            </w:r>
          </w:p>
          <w:p w14:paraId="6C365485" w14:textId="77777777" w:rsidR="00BE419E" w:rsidRPr="00F56767" w:rsidRDefault="00BE419E" w:rsidP="00BE419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Правният(те) акт(</w:t>
            </w:r>
            <w:proofErr w:type="spellStart"/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ове</w:t>
            </w:r>
            <w:proofErr w:type="spellEnd"/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) предвиждат:</w:t>
            </w:r>
          </w:p>
          <w:p w14:paraId="7B555B10" w14:textId="77777777" w:rsidR="00BE419E" w:rsidRPr="00F56767" w:rsidRDefault="00BE419E" w:rsidP="00BE419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- опростяване на процедурата за присъединяване към станциите за зареждане, инсталирани за лично ползване;</w:t>
            </w:r>
          </w:p>
          <w:p w14:paraId="1493729F" w14:textId="2F9AA5BA" w:rsidR="00BE419E" w:rsidRPr="00F56767" w:rsidRDefault="00BE419E" w:rsidP="00BE419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F56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задължение за </w:t>
            </w:r>
            <w:r w:rsidR="001F74FE" w:rsidRPr="00F56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кметовете на</w:t>
            </w:r>
            <w:r w:rsidR="001F74FE" w:rsidRPr="00F56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56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общините с население над 5000 жители да </w:t>
            </w:r>
            <w:r w:rsidRPr="00F56767"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  <w:t>осигурят места за</w:t>
            </w:r>
            <w:r w:rsidRPr="00F56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F74FE" w:rsidRPr="00F56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изградят</w:t>
            </w:r>
            <w:r w:rsidR="001F74FE" w:rsidRPr="00F56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56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поне една публично достъпна зарядна станция. </w:t>
            </w:r>
          </w:p>
          <w:p w14:paraId="77A0F056" w14:textId="77777777" w:rsidR="00BE419E" w:rsidRPr="00F56767" w:rsidRDefault="00BE419E" w:rsidP="00BE419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Cs/>
                <w:sz w:val="20"/>
                <w:szCs w:val="20"/>
              </w:rPr>
              <w:t>С правния(те) акт(</w:t>
            </w:r>
            <w:proofErr w:type="spellStart"/>
            <w:r w:rsidRPr="00F56767">
              <w:rPr>
                <w:rFonts w:ascii="Times New Roman" w:hAnsi="Times New Roman" w:cs="Times New Roman"/>
                <w:bCs/>
                <w:sz w:val="20"/>
                <w:szCs w:val="20"/>
              </w:rPr>
              <w:t>ове</w:t>
            </w:r>
            <w:proofErr w:type="spellEnd"/>
            <w:r w:rsidRPr="00F56767">
              <w:rPr>
                <w:rFonts w:ascii="Times New Roman" w:hAnsi="Times New Roman" w:cs="Times New Roman"/>
                <w:bCs/>
                <w:sz w:val="20"/>
                <w:szCs w:val="20"/>
              </w:rPr>
              <w:t>) се въвежда и годишна данъчна амортизация за електрическите превозни средства.</w:t>
            </w:r>
          </w:p>
          <w:p w14:paraId="4434341C" w14:textId="5968647C" w:rsidR="00D95368" w:rsidRPr="00F56767" w:rsidRDefault="00D95368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5368" w:rsidRPr="00F56767" w14:paraId="21D6CB17" w14:textId="77777777" w:rsidTr="00115067">
        <w:tc>
          <w:tcPr>
            <w:tcW w:w="4647" w:type="dxa"/>
          </w:tcPr>
          <w:p w14:paraId="59482D34" w14:textId="2CC6F888" w:rsidR="00D95368" w:rsidRPr="00F56767" w:rsidRDefault="000B030A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Описание </w:t>
            </w:r>
          </w:p>
        </w:tc>
        <w:tc>
          <w:tcPr>
            <w:tcW w:w="4651" w:type="dxa"/>
          </w:tcPr>
          <w:p w14:paraId="40FB08E5" w14:textId="561A88A5" w:rsidR="00D95368" w:rsidRPr="00F56767" w:rsidRDefault="00D95368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 № 181</w:t>
            </w:r>
          </w:p>
          <w:p w14:paraId="3E7379F2" w14:textId="77777777" w:rsidR="00D95368" w:rsidRPr="00F56767" w:rsidRDefault="00D95368" w:rsidP="001F74F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Описание: </w:t>
            </w:r>
          </w:p>
          <w:p w14:paraId="79910D55" w14:textId="70D1A30E" w:rsidR="001F74FE" w:rsidRPr="00F56767" w:rsidRDefault="001F74FE" w:rsidP="001F74F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iCs/>
                <w:sz w:val="20"/>
                <w:szCs w:val="20"/>
              </w:rPr>
              <w:t>Зони с ниски емисии се въвеждат в центровете на най-малко три от следните градове: София, Пловдив, Варна, Бургас, Русе и Стара Загора или</w:t>
            </w:r>
            <w:r w:rsidRPr="00F567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</w:t>
            </w:r>
            <w:r w:rsidRPr="00F56767">
              <w:rPr>
                <w:rFonts w:ascii="Times New Roman" w:hAnsi="Times New Roman" w:cs="Times New Roman"/>
                <w:iCs/>
                <w:sz w:val="20"/>
                <w:szCs w:val="20"/>
              </w:rPr>
              <w:t>центровете на поне два от тези градове, като поне един от тях има население над един милион жители. В тези зони трябва да се забрани достъпът и движението на автомобилите със стандарт за емисии Евро 3 или по-нисък.</w:t>
            </w:r>
          </w:p>
        </w:tc>
        <w:tc>
          <w:tcPr>
            <w:tcW w:w="4731" w:type="dxa"/>
          </w:tcPr>
          <w:p w14:paraId="4CB97568" w14:textId="33E304B6" w:rsidR="00D95368" w:rsidRPr="00F56767" w:rsidRDefault="00D95368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 № 181 </w:t>
            </w:r>
          </w:p>
          <w:p w14:paraId="48EE169C" w14:textId="77777777" w:rsidR="00D95368" w:rsidRPr="00F56767" w:rsidRDefault="00D95368" w:rsidP="001F74F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Описание:</w:t>
            </w:r>
            <w:r w:rsidRPr="00F56767">
              <w:rPr>
                <w:sz w:val="20"/>
                <w:szCs w:val="20"/>
              </w:rPr>
              <w:t xml:space="preserve"> </w:t>
            </w:r>
          </w:p>
          <w:p w14:paraId="109A9382" w14:textId="5EB4E8F2" w:rsidR="001F74FE" w:rsidRPr="00F56767" w:rsidRDefault="001F74FE" w:rsidP="001F74F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Зони с ниски емисии се въвеждат в </w:t>
            </w:r>
            <w:r w:rsidRPr="00F56767">
              <w:rPr>
                <w:rFonts w:ascii="Times New Roman" w:hAnsi="Times New Roman" w:cs="Times New Roman"/>
                <w:strike/>
                <w:sz w:val="20"/>
                <w:szCs w:val="20"/>
              </w:rPr>
              <w:t>центровете на най-малко три от следните градове: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София и Пловдив. </w:t>
            </w:r>
            <w:r w:rsidRPr="00F56767">
              <w:rPr>
                <w:rFonts w:ascii="Times New Roman" w:hAnsi="Times New Roman" w:cs="Times New Roman"/>
                <w:strike/>
                <w:sz w:val="20"/>
                <w:szCs w:val="20"/>
              </w:rPr>
              <w:t>, Варна, Бургас, Русе и Стара Загора или в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67">
              <w:rPr>
                <w:rFonts w:ascii="Times New Roman" w:hAnsi="Times New Roman" w:cs="Times New Roman"/>
                <w:strike/>
                <w:sz w:val="20"/>
                <w:szCs w:val="20"/>
              </w:rPr>
              <w:t>центровете на поне два от тези градове, като поне един от тях има население над един милион жители</w:t>
            </w:r>
            <w:r w:rsidRPr="00F56767">
              <w:rPr>
                <w:rFonts w:ascii="Times New Roman" w:hAnsi="Times New Roman" w:cs="Times New Roman"/>
                <w:sz w:val="20"/>
                <w:szCs w:val="20"/>
              </w:rPr>
              <w:t>. В тези зони трябва да се забрани достъпът и движението на автомобилите със стандарт за емисии Евро 3 или по-нисък.</w:t>
            </w:r>
          </w:p>
          <w:p w14:paraId="01D9F69E" w14:textId="5F8BC893" w:rsidR="001F74FE" w:rsidRPr="00F56767" w:rsidRDefault="001F74FE" w:rsidP="001F74F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30A" w:rsidRPr="00E70F02" w14:paraId="73DC6CA5" w14:textId="77777777" w:rsidTr="00482BBC">
        <w:tc>
          <w:tcPr>
            <w:tcW w:w="14029" w:type="dxa"/>
            <w:gridSpan w:val="3"/>
            <w:shd w:val="clear" w:color="auto" w:fill="153D63" w:themeFill="text2" w:themeFillTint="E6"/>
          </w:tcPr>
          <w:p w14:paraId="286633C2" w14:textId="2812A39F" w:rsidR="000B030A" w:rsidRPr="00E70F02" w:rsidRDefault="000B030A" w:rsidP="00482B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</w:pPr>
            <w:r w:rsidRPr="00E70F02">
              <w:rPr>
                <w:rFonts w:ascii="Times New Roman" w:hAnsi="Times New Roman" w:cs="Times New Roman"/>
                <w:b/>
                <w:color w:val="FFFFFF" w:themeColor="background1"/>
              </w:rPr>
              <w:t>Компонент C 9 Местно развитие</w:t>
            </w:r>
          </w:p>
        </w:tc>
      </w:tr>
    </w:tbl>
    <w:tbl>
      <w:tblPr>
        <w:tblStyle w:val="TableGrid224"/>
        <w:tblW w:w="13948" w:type="dxa"/>
        <w:tblLook w:val="04A0" w:firstRow="1" w:lastRow="0" w:firstColumn="1" w:lastColumn="0" w:noHBand="0" w:noVBand="1"/>
      </w:tblPr>
      <w:tblGrid>
        <w:gridCol w:w="4647"/>
        <w:gridCol w:w="4651"/>
        <w:gridCol w:w="4650"/>
      </w:tblGrid>
      <w:tr w:rsidR="000B030A" w:rsidRPr="005D352B" w14:paraId="2AB9CDE8" w14:textId="77777777" w:rsidTr="00482BBC">
        <w:tc>
          <w:tcPr>
            <w:tcW w:w="4647" w:type="dxa"/>
          </w:tcPr>
          <w:p w14:paraId="35CDA12F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 елементи</w:t>
            </w:r>
          </w:p>
        </w:tc>
        <w:tc>
          <w:tcPr>
            <w:tcW w:w="4651" w:type="dxa"/>
          </w:tcPr>
          <w:p w14:paraId="2CAD52A1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Настояща версия</w:t>
            </w:r>
          </w:p>
        </w:tc>
        <w:tc>
          <w:tcPr>
            <w:tcW w:w="4650" w:type="dxa"/>
          </w:tcPr>
          <w:p w14:paraId="1047BA11" w14:textId="77777777" w:rsidR="000B030A" w:rsidRPr="005D352B" w:rsidRDefault="000B030A" w:rsidP="00482B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2B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Изменена версия</w:t>
            </w:r>
          </w:p>
        </w:tc>
      </w:tr>
    </w:tbl>
    <w:tbl>
      <w:tblPr>
        <w:tblStyle w:val="TableGrid22"/>
        <w:tblW w:w="14029" w:type="dxa"/>
        <w:tblLook w:val="04A0" w:firstRow="1" w:lastRow="0" w:firstColumn="1" w:lastColumn="0" w:noHBand="0" w:noVBand="1"/>
      </w:tblPr>
      <w:tblGrid>
        <w:gridCol w:w="4647"/>
        <w:gridCol w:w="4651"/>
        <w:gridCol w:w="4731"/>
      </w:tblGrid>
      <w:tr w:rsidR="000B030A" w:rsidRPr="00F56767" w14:paraId="442FCC90" w14:textId="77777777" w:rsidTr="00115067">
        <w:tc>
          <w:tcPr>
            <w:tcW w:w="4647" w:type="dxa"/>
          </w:tcPr>
          <w:p w14:paraId="51EBA7AF" w14:textId="603DAFC9" w:rsidR="000B030A" w:rsidRPr="00F56767" w:rsidRDefault="000B030A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Описание </w:t>
            </w:r>
          </w:p>
        </w:tc>
        <w:tc>
          <w:tcPr>
            <w:tcW w:w="4651" w:type="dxa"/>
          </w:tcPr>
          <w:p w14:paraId="526AEF6B" w14:textId="77777777" w:rsidR="000B030A" w:rsidRPr="00F56767" w:rsidRDefault="000B030A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Описание </w:t>
            </w:r>
          </w:p>
          <w:p w14:paraId="3D47E6B3" w14:textId="77777777" w:rsidR="000B030A" w:rsidRPr="00F56767" w:rsidRDefault="000B030A" w:rsidP="000B03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567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Този компонент на българския план за възстановяване и устойчивост има за цел да определи рамката за подобряване на конкурентоспособността и устойчивото развитие на регионите на държавата и да насърчи местното развитие. Компонентът е насочен и към управлението на водите, което е важен аспект на екологичния преход. </w:t>
            </w:r>
          </w:p>
          <w:p w14:paraId="0A6A47D5" w14:textId="77777777" w:rsidR="000B030A" w:rsidRPr="00F56767" w:rsidRDefault="000B030A" w:rsidP="000B03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567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Компонентът допринася за изпълнението на специфичните за държавата препоръки за 2019 и 2020 г., съгласно които следва да бъдат отчетени регионалните различия и съсредоточаване в областта на водите и по-специално екологичната инфраструктура (специфична за държавата препоръка 3 от 2019 г. и специфична за държавата препоръка 3 от 2020 г.). </w:t>
            </w:r>
          </w:p>
          <w:p w14:paraId="588CCD2C" w14:textId="2A5271F3" w:rsidR="000B030A" w:rsidRPr="00F56767" w:rsidRDefault="000B030A" w:rsidP="000B030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  <w14:ligatures w14:val="standardContextual"/>
              </w:rPr>
              <w:lastRenderedPageBreak/>
              <w:t xml:space="preserve">Очаква се, че нито една мярка в този компонент не вреди в значителна степен на екологичните цели по смисъла на член 17 от Регламент (ЕС) 2020/852, като се вземат предвид описанието на мерките и стъпките за смекчаване на последиците, определени в плана за възстановяване и устойчивост в съответствие с Техническите насоки на принципа за </w:t>
            </w:r>
            <w:proofErr w:type="spellStart"/>
            <w:r w:rsidRPr="00F567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  <w14:ligatures w14:val="standardContextual"/>
              </w:rPr>
              <w:t>ненанасяне</w:t>
            </w:r>
            <w:proofErr w:type="spellEnd"/>
            <w:r w:rsidRPr="00F567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на значителни вреди (ПНЗВ) (2021/C58/01).</w:t>
            </w:r>
          </w:p>
        </w:tc>
        <w:tc>
          <w:tcPr>
            <w:tcW w:w="4731" w:type="dxa"/>
          </w:tcPr>
          <w:p w14:paraId="0A8A6852" w14:textId="7CDCCDBE" w:rsidR="000B030A" w:rsidRPr="00F56767" w:rsidRDefault="000B030A" w:rsidP="00D95368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F56767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  <w:lang w:eastAsia="en-US"/>
                <w14:ligatures w14:val="standardContextual"/>
              </w:rPr>
              <w:lastRenderedPageBreak/>
              <w:t>Описание</w:t>
            </w:r>
          </w:p>
          <w:p w14:paraId="6DEDA726" w14:textId="77777777" w:rsidR="000B030A" w:rsidRPr="00F56767" w:rsidRDefault="000B030A" w:rsidP="000B030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F567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Този компонент на българския план за възстановяване и устойчивост има за цел да определи рамката за подобряване на конкурентоспособността и устойчивото развитие на регионите на държавата и да насърчи местното развитие. Компонентът е насочен и към управлението на водите, което е важен аспект на екологичния преход. </w:t>
            </w:r>
          </w:p>
          <w:p w14:paraId="51325584" w14:textId="77777777" w:rsidR="000B030A" w:rsidRPr="00F56767" w:rsidRDefault="000B030A" w:rsidP="000B030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trike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F56767">
              <w:rPr>
                <w:rFonts w:ascii="Times New Roman" w:eastAsiaTheme="minorHAnsi" w:hAnsi="Times New Roman" w:cs="Times New Roman"/>
                <w:strike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Компонентът допринася за изпълнението на специфичните за държавата препоръки за 2019 и 2020 г., съгласно които следва да бъдат отчетени регионалните различия и съсредоточаване в областта на водите и по-специално екологичната инфраструктура (специфична за държавата препоръка 3 от 2019 г. и специфична за държавата препоръка 3 от 2020 г.). </w:t>
            </w:r>
          </w:p>
          <w:p w14:paraId="2CA800B4" w14:textId="13078B56" w:rsidR="000B030A" w:rsidRPr="00F56767" w:rsidRDefault="000B030A" w:rsidP="000B030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F567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Очаква се, че нито една мярка в този компонент не вреди в значителна степен на екологичните цели по </w:t>
            </w:r>
            <w:r w:rsidRPr="00F567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  <w14:ligatures w14:val="standardContextual"/>
              </w:rPr>
              <w:lastRenderedPageBreak/>
              <w:t xml:space="preserve">смисъла на член 17 от Регламент (ЕС) 2020/852, като се вземат предвид описанието на мерките и стъпките за смекчаване на последиците, определени в плана за възстановяване и устойчивост в съответствие с Техническите насоки на принципа за </w:t>
            </w:r>
            <w:proofErr w:type="spellStart"/>
            <w:r w:rsidRPr="00F567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  <w14:ligatures w14:val="standardContextual"/>
              </w:rPr>
              <w:t>ненанасяне</w:t>
            </w:r>
            <w:proofErr w:type="spellEnd"/>
            <w:r w:rsidRPr="00F567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на значителни вреди (ПНЗВ) (2021/C58/01).</w:t>
            </w:r>
          </w:p>
        </w:tc>
      </w:tr>
      <w:tr w:rsidR="000B030A" w:rsidRPr="00F56767" w14:paraId="20ED1510" w14:textId="77777777" w:rsidTr="00115067">
        <w:tc>
          <w:tcPr>
            <w:tcW w:w="4647" w:type="dxa"/>
          </w:tcPr>
          <w:p w14:paraId="37BA234F" w14:textId="77777777" w:rsidR="000B030A" w:rsidRPr="00F56767" w:rsidRDefault="000B030A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1" w:type="dxa"/>
          </w:tcPr>
          <w:p w14:paraId="7AE95268" w14:textId="77777777" w:rsidR="000B030A" w:rsidRPr="00F56767" w:rsidRDefault="000B030A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31" w:type="dxa"/>
          </w:tcPr>
          <w:p w14:paraId="640B4F46" w14:textId="77777777" w:rsidR="000B030A" w:rsidRPr="00F56767" w:rsidRDefault="000B030A" w:rsidP="00D95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0A39B6C" w14:textId="77777777" w:rsidR="00E67F4D" w:rsidRDefault="00E67F4D" w:rsidP="00015F7A">
      <w:pPr>
        <w:spacing w:after="0" w:line="240" w:lineRule="auto"/>
        <w:rPr>
          <w:rFonts w:ascii="Times New Roman" w:hAnsi="Times New Roman" w:cs="Times New Roman"/>
          <w:i/>
          <w:iCs/>
          <w:lang w:val="en-IE"/>
        </w:rPr>
      </w:pPr>
    </w:p>
    <w:p w14:paraId="049986BB" w14:textId="77777777" w:rsidR="000B030A" w:rsidRDefault="000B030A" w:rsidP="00015F7A">
      <w:pPr>
        <w:spacing w:after="0" w:line="240" w:lineRule="auto"/>
        <w:rPr>
          <w:rFonts w:ascii="Times New Roman" w:hAnsi="Times New Roman" w:cs="Times New Roman"/>
          <w:i/>
          <w:iCs/>
          <w:lang w:val="en-IE"/>
        </w:rPr>
      </w:pPr>
    </w:p>
    <w:p w14:paraId="7EE962B7" w14:textId="1A5724E0" w:rsidR="00E67F4D" w:rsidRDefault="00E67F4D" w:rsidP="00015F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bg-BG"/>
        </w:rPr>
      </w:pPr>
      <w:r w:rsidRPr="00E67F4D">
        <w:rPr>
          <w:rFonts w:ascii="Times New Roman" w:hAnsi="Times New Roman" w:cs="Times New Roman"/>
          <w:b/>
          <w:bCs/>
          <w:i/>
          <w:iCs/>
          <w:lang w:val="bg-BG"/>
        </w:rPr>
        <w:t>ЧАСТ 2 Предложение за изменение в мерки, които не са свързани с опростяване</w:t>
      </w:r>
    </w:p>
    <w:p w14:paraId="2C23498A" w14:textId="77777777" w:rsidR="00E67F4D" w:rsidRDefault="00E67F4D" w:rsidP="00015F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bg-BG"/>
        </w:rPr>
      </w:pPr>
    </w:p>
    <w:tbl>
      <w:tblPr>
        <w:tblStyle w:val="TableGrid11"/>
        <w:tblW w:w="14029" w:type="dxa"/>
        <w:tblLook w:val="04A0" w:firstRow="1" w:lastRow="0" w:firstColumn="1" w:lastColumn="0" w:noHBand="0" w:noVBand="1"/>
      </w:tblPr>
      <w:tblGrid>
        <w:gridCol w:w="3681"/>
        <w:gridCol w:w="10348"/>
      </w:tblGrid>
      <w:tr w:rsidR="00F81988" w:rsidRPr="00E70F02" w14:paraId="784C74E0" w14:textId="77777777" w:rsidTr="001A0763">
        <w:tc>
          <w:tcPr>
            <w:tcW w:w="14029" w:type="dxa"/>
            <w:gridSpan w:val="2"/>
            <w:shd w:val="clear" w:color="auto" w:fill="1F3864"/>
          </w:tcPr>
          <w:p w14:paraId="7D065DE1" w14:textId="4FC3770D" w:rsidR="00F81988" w:rsidRPr="00E70F02" w:rsidRDefault="00F81988" w:rsidP="00F819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bg-BG"/>
              </w:rPr>
            </w:pPr>
            <w:r w:rsidRPr="00E70F02">
              <w:rPr>
                <w:rFonts w:ascii="Times New Roman" w:hAnsi="Times New Roman" w:cs="Times New Roman"/>
                <w:b/>
                <w:color w:val="FFFFFF" w:themeColor="background1"/>
                <w:lang w:val="bg-BG"/>
              </w:rPr>
              <w:t xml:space="preserve">Компонент </w:t>
            </w:r>
            <w:r w:rsidR="00E70F02">
              <w:rPr>
                <w:rFonts w:ascii="Times New Roman" w:hAnsi="Times New Roman" w:cs="Times New Roman"/>
                <w:b/>
                <w:color w:val="FFFFFF" w:themeColor="background1"/>
                <w:lang w:val="bg-BG"/>
              </w:rPr>
              <w:t>С</w:t>
            </w:r>
            <w:r w:rsidRPr="00E70F02">
              <w:rPr>
                <w:rFonts w:ascii="Times New Roman" w:hAnsi="Times New Roman" w:cs="Times New Roman"/>
                <w:b/>
                <w:color w:val="FFFFFF" w:themeColor="background1"/>
                <w:lang w:val="bg-BG"/>
              </w:rPr>
              <w:t>10</w:t>
            </w:r>
            <w:r w:rsidR="001A0763" w:rsidRPr="00E70F02">
              <w:rPr>
                <w:rFonts w:ascii="Times New Roman" w:hAnsi="Times New Roman" w:cs="Times New Roman"/>
                <w:b/>
                <w:color w:val="FFFFFF" w:themeColor="background1"/>
                <w:lang w:val="bg-BG"/>
              </w:rPr>
              <w:t xml:space="preserve"> </w:t>
            </w:r>
            <w:r w:rsidR="00547346" w:rsidRPr="00E70F02">
              <w:rPr>
                <w:rFonts w:ascii="Times New Roman" w:hAnsi="Times New Roman" w:cs="Times New Roman"/>
                <w:b/>
                <w:color w:val="FFFFFF" w:themeColor="background1"/>
                <w:lang w:val="bg-BG"/>
              </w:rPr>
              <w:t xml:space="preserve"> Бизнес среда</w:t>
            </w:r>
          </w:p>
        </w:tc>
      </w:tr>
      <w:tr w:rsidR="00F81988" w:rsidRPr="00F56767" w14:paraId="509C4B50" w14:textId="77777777" w:rsidTr="001A0763">
        <w:tc>
          <w:tcPr>
            <w:tcW w:w="3681" w:type="dxa"/>
            <w:shd w:val="clear" w:color="auto" w:fill="00B0F0"/>
          </w:tcPr>
          <w:p w14:paraId="282CA432" w14:textId="77777777" w:rsidR="00F81988" w:rsidRPr="00F56767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color w:val="FFFFFF"/>
                <w:sz w:val="20"/>
                <w:szCs w:val="20"/>
                <w:u w:val="single"/>
                <w:lang w:val="en-IE" w:eastAsia="en-US"/>
              </w:rPr>
            </w:pP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color w:val="FFFFFF"/>
                <w:sz w:val="20"/>
                <w:szCs w:val="20"/>
                <w:lang w:val="en-US" w:eastAsia="en-US"/>
              </w:rPr>
              <w:t>Инвестиция/реформа CID референтен номер</w:t>
            </w:r>
          </w:p>
        </w:tc>
        <w:tc>
          <w:tcPr>
            <w:tcW w:w="10348" w:type="dxa"/>
            <w:shd w:val="clear" w:color="auto" w:fill="00B0F0"/>
          </w:tcPr>
          <w:p w14:paraId="53A3DE84" w14:textId="77777777" w:rsidR="00F81988" w:rsidRPr="00F56767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color w:val="FFFFFF"/>
                <w:sz w:val="20"/>
                <w:szCs w:val="20"/>
                <w:u w:val="single"/>
                <w:lang w:val="bg-BG" w:eastAsia="en-US"/>
              </w:rPr>
            </w:pPr>
            <w:r w:rsidRPr="00F56767">
              <w:rPr>
                <w:rFonts w:ascii="Times New Roman" w:eastAsia="Aptos" w:hAnsi="Times New Roman" w:cs="Times New Roman"/>
                <w:b/>
                <w:sz w:val="20"/>
                <w:szCs w:val="20"/>
                <w:lang w:val="en-US" w:eastAsia="en-US"/>
              </w:rPr>
              <w:t xml:space="preserve">C10.R2 </w:t>
            </w:r>
          </w:p>
        </w:tc>
      </w:tr>
      <w:tr w:rsidR="00F81988" w:rsidRPr="00F56767" w14:paraId="4CA4F418" w14:textId="77777777" w:rsidTr="001A0763">
        <w:tc>
          <w:tcPr>
            <w:tcW w:w="3681" w:type="dxa"/>
            <w:shd w:val="clear" w:color="auto" w:fill="00B0F0"/>
          </w:tcPr>
          <w:p w14:paraId="17022258" w14:textId="77777777" w:rsidR="00F81988" w:rsidRPr="00F56767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color w:val="FFFFFF"/>
                <w:sz w:val="20"/>
                <w:szCs w:val="20"/>
                <w:u w:val="single"/>
                <w:lang w:val="en-IE" w:eastAsia="en-US"/>
              </w:rPr>
            </w:pP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color w:val="FFFFFF"/>
                <w:sz w:val="20"/>
                <w:szCs w:val="20"/>
                <w:lang w:val="en-US" w:eastAsia="en-US"/>
              </w:rPr>
              <w:t>Име на инвестицията/реформата</w:t>
            </w:r>
          </w:p>
        </w:tc>
        <w:tc>
          <w:tcPr>
            <w:tcW w:w="10348" w:type="dxa"/>
            <w:shd w:val="clear" w:color="auto" w:fill="00B0F0"/>
          </w:tcPr>
          <w:p w14:paraId="47EC3B1F" w14:textId="77777777" w:rsidR="00F81988" w:rsidRPr="00F56767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color w:val="FFFFFF"/>
                <w:sz w:val="20"/>
                <w:szCs w:val="20"/>
                <w:u w:val="single"/>
                <w:lang w:val="en-IE" w:eastAsia="en-US"/>
              </w:rPr>
            </w:pPr>
            <w:r w:rsidRPr="00F56767">
              <w:rPr>
                <w:rFonts w:ascii="Times New Roman" w:eastAsia="Aptos" w:hAnsi="Times New Roman" w:cs="Times New Roman"/>
                <w:b/>
                <w:sz w:val="20"/>
                <w:szCs w:val="20"/>
                <w:lang w:val="en-US" w:eastAsia="en-US"/>
              </w:rPr>
              <w:t>„</w:t>
            </w:r>
            <w:proofErr w:type="spellStart"/>
            <w:r w:rsidRPr="00F56767">
              <w:rPr>
                <w:rFonts w:ascii="Times New Roman" w:eastAsia="Aptos" w:hAnsi="Times New Roman" w:cs="Times New Roman"/>
                <w:b/>
                <w:sz w:val="20"/>
                <w:szCs w:val="20"/>
                <w:lang w:val="en-US" w:eastAsia="en-US"/>
              </w:rPr>
              <w:t>Противодействие</w:t>
            </w:r>
            <w:proofErr w:type="spellEnd"/>
            <w:r w:rsidRPr="00F56767">
              <w:rPr>
                <w:rFonts w:ascii="Times New Roman" w:eastAsia="Aptos" w:hAnsi="Times New Roman" w:cs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56767">
              <w:rPr>
                <w:rFonts w:ascii="Times New Roman" w:eastAsia="Aptos" w:hAnsi="Times New Roman" w:cs="Times New Roman"/>
                <w:b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F56767">
              <w:rPr>
                <w:rFonts w:ascii="Times New Roman" w:eastAsia="Aptos" w:hAnsi="Times New Roman" w:cs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proofErr w:type="gramStart"/>
            <w:r w:rsidRPr="00F56767">
              <w:rPr>
                <w:rFonts w:ascii="Times New Roman" w:eastAsia="Aptos" w:hAnsi="Times New Roman" w:cs="Times New Roman"/>
                <w:b/>
                <w:sz w:val="20"/>
                <w:szCs w:val="20"/>
                <w:lang w:val="en-US" w:eastAsia="en-US"/>
              </w:rPr>
              <w:t>корупцията</w:t>
            </w:r>
            <w:proofErr w:type="spellEnd"/>
            <w:r w:rsidRPr="00F56767">
              <w:rPr>
                <w:rFonts w:ascii="Times New Roman" w:eastAsia="Aptos" w:hAnsi="Times New Roman" w:cs="Times New Roman"/>
                <w:b/>
                <w:sz w:val="20"/>
                <w:szCs w:val="20"/>
                <w:lang w:val="en-US" w:eastAsia="en-US"/>
              </w:rPr>
              <w:t>“</w:t>
            </w:r>
            <w:proofErr w:type="gramEnd"/>
          </w:p>
        </w:tc>
      </w:tr>
      <w:tr w:rsidR="00F81988" w:rsidRPr="00F56767" w14:paraId="2EB14268" w14:textId="77777777" w:rsidTr="001A0763">
        <w:tc>
          <w:tcPr>
            <w:tcW w:w="3681" w:type="dxa"/>
            <w:shd w:val="clear" w:color="auto" w:fill="BDD6EE"/>
          </w:tcPr>
          <w:p w14:paraId="6F3522C5" w14:textId="77777777" w:rsidR="00F81988" w:rsidRPr="00F56767" w:rsidRDefault="00F81988" w:rsidP="00F8198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en-US" w:eastAsia="en-US"/>
              </w:rPr>
            </w:pP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en-US" w:eastAsia="en-US"/>
              </w:rPr>
              <w:t>Вид промяна в сравнение с CID</w:t>
            </w:r>
          </w:p>
        </w:tc>
        <w:tc>
          <w:tcPr>
            <w:tcW w:w="10348" w:type="dxa"/>
          </w:tcPr>
          <w:p w14:paraId="6483C88A" w14:textId="77777777" w:rsidR="00F81988" w:rsidRPr="00F56767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u w:val="single"/>
                <w:lang w:val="en-IE" w:eastAsia="en-US"/>
              </w:rPr>
            </w:pPr>
            <w:r w:rsidRPr="00F5676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en-US"/>
              </w:rPr>
              <w:t>Модифицирано</w:t>
            </w:r>
          </w:p>
        </w:tc>
      </w:tr>
      <w:tr w:rsidR="00F81988" w:rsidRPr="00F56767" w14:paraId="3B789CE8" w14:textId="77777777" w:rsidTr="001A0763">
        <w:tc>
          <w:tcPr>
            <w:tcW w:w="3681" w:type="dxa"/>
            <w:shd w:val="clear" w:color="auto" w:fill="BDD6EE"/>
          </w:tcPr>
          <w:p w14:paraId="614D5550" w14:textId="77777777" w:rsidR="00F81988" w:rsidRPr="00F56767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u w:val="single"/>
                <w:lang w:val="en-IE" w:eastAsia="en-US"/>
              </w:rPr>
            </w:pP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en-US" w:eastAsia="en-US"/>
              </w:rPr>
              <w:t xml:space="preserve">Правно основание на </w:t>
            </w: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bg-BG" w:eastAsia="en-US"/>
              </w:rPr>
              <w:t>изменението</w:t>
            </w: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en-US" w:eastAsia="en-US"/>
              </w:rPr>
              <w:t xml:space="preserve"> (изберете поне едно)</w:t>
            </w:r>
          </w:p>
        </w:tc>
        <w:tc>
          <w:tcPr>
            <w:tcW w:w="10348" w:type="dxa"/>
          </w:tcPr>
          <w:p w14:paraId="6ECECD7A" w14:textId="77777777" w:rsidR="00F81988" w:rsidRPr="00F56767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en-US"/>
              </w:rPr>
            </w:pPr>
            <w:r w:rsidRPr="00F56767">
              <w:rPr>
                <w:rFonts w:ascii="Segoe UI Symbol" w:eastAsia="MS Gothic" w:hAnsi="Segoe UI Symbol" w:cs="Segoe UI Symbol"/>
                <w:noProof/>
                <w:color w:val="2B579A"/>
                <w:sz w:val="20"/>
                <w:szCs w:val="20"/>
                <w:shd w:val="clear" w:color="auto" w:fill="E6E6E6"/>
                <w:lang w:val="en-US" w:eastAsia="en-US"/>
              </w:rPr>
              <w:t>☒</w:t>
            </w:r>
            <w:r w:rsidRPr="00F56767">
              <w:rPr>
                <w:rFonts w:ascii="Times New Roman" w:eastAsia="MS Gothic" w:hAnsi="Times New Roman" w:cs="Times New Roman"/>
                <w:noProof/>
                <w:color w:val="2B579A"/>
                <w:sz w:val="20"/>
                <w:szCs w:val="20"/>
                <w:shd w:val="clear" w:color="auto" w:fill="E6E6E6"/>
                <w:lang w:val="en-US" w:eastAsia="en-US"/>
              </w:rPr>
              <w:t xml:space="preserve"> </w:t>
            </w:r>
            <w:r w:rsidRPr="00F5676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en-US"/>
              </w:rPr>
              <w:t>Член 21 – изменение поради обективни обстоятелства</w:t>
            </w:r>
          </w:p>
          <w:p w14:paraId="0EADC559" w14:textId="77777777" w:rsidR="00F81988" w:rsidRPr="00F56767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 w:eastAsia="en-US"/>
              </w:rPr>
            </w:pPr>
          </w:p>
        </w:tc>
      </w:tr>
      <w:tr w:rsidR="00F81988" w:rsidRPr="00F56767" w14:paraId="24A2EAF3" w14:textId="77777777" w:rsidTr="001A0763">
        <w:tc>
          <w:tcPr>
            <w:tcW w:w="3681" w:type="dxa"/>
            <w:shd w:val="clear" w:color="auto" w:fill="BDD6EE"/>
          </w:tcPr>
          <w:p w14:paraId="1D284541" w14:textId="77777777" w:rsidR="00F81988" w:rsidRPr="00F56767" w:rsidRDefault="00F81988" w:rsidP="00F8198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en-US" w:eastAsia="en-US"/>
              </w:rPr>
            </w:pP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bg-BG" w:eastAsia="en-US"/>
              </w:rPr>
              <w:t>Изменени</w:t>
            </w: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en-US" w:eastAsia="en-US"/>
              </w:rPr>
              <w:t xml:space="preserve"> елементи (само за </w:t>
            </w: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bg-BG" w:eastAsia="en-US"/>
              </w:rPr>
              <w:t>изменени</w:t>
            </w:r>
            <w:r w:rsidRPr="00F56767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en-US" w:eastAsia="en-US"/>
              </w:rPr>
              <w:t xml:space="preserve"> мерки)</w:t>
            </w:r>
          </w:p>
          <w:p w14:paraId="2CF58157" w14:textId="77777777" w:rsidR="00F81988" w:rsidRPr="00F56767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u w:val="single"/>
                <w:lang w:val="en-IE" w:eastAsia="en-US"/>
              </w:rPr>
            </w:pPr>
          </w:p>
        </w:tc>
        <w:tc>
          <w:tcPr>
            <w:tcW w:w="10348" w:type="dxa"/>
          </w:tcPr>
          <w:p w14:paraId="616FBF52" w14:textId="77777777" w:rsidR="00F81988" w:rsidRPr="00F56767" w:rsidRDefault="00F81988" w:rsidP="00F81988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en-US"/>
              </w:rPr>
            </w:pPr>
            <w:r w:rsidRPr="00F56767">
              <w:rPr>
                <w:rFonts w:ascii="Segoe UI Symbol" w:eastAsia="Calibri" w:hAnsi="Segoe UI Symbol" w:cs="Segoe UI Symbol"/>
                <w:noProof/>
                <w:color w:val="2B579A"/>
                <w:sz w:val="20"/>
                <w:szCs w:val="20"/>
                <w:shd w:val="clear" w:color="auto" w:fill="E6E6E6"/>
                <w:lang w:val="en-US" w:eastAsia="en-US"/>
              </w:rPr>
              <w:t>☐</w:t>
            </w:r>
            <w:r w:rsidRPr="00F56767">
              <w:rPr>
                <w:rFonts w:ascii="Times New Roman" w:eastAsia="Calibri" w:hAnsi="Times New Roman" w:cs="Times New Roman"/>
                <w:noProof/>
                <w:color w:val="2B579A"/>
                <w:sz w:val="20"/>
                <w:szCs w:val="20"/>
                <w:shd w:val="clear" w:color="auto" w:fill="E6E6E6"/>
                <w:lang w:val="en-US" w:eastAsia="en-US"/>
              </w:rPr>
              <w:t xml:space="preserve"> </w:t>
            </w:r>
            <w:r w:rsidRPr="00F5676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en-US"/>
              </w:rPr>
              <w:t>Описание на компонента/мярката</w:t>
            </w:r>
          </w:p>
          <w:p w14:paraId="170B8907" w14:textId="77777777" w:rsidR="00F81988" w:rsidRPr="00F56767" w:rsidRDefault="00F81988" w:rsidP="00F81988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en-US"/>
              </w:rPr>
            </w:pPr>
            <w:r w:rsidRPr="00F56767">
              <w:rPr>
                <w:rFonts w:ascii="Segoe UI Symbol" w:eastAsia="MS Gothic" w:hAnsi="Segoe UI Symbol" w:cs="Segoe UI Symbol"/>
                <w:noProof/>
                <w:color w:val="2B579A"/>
                <w:sz w:val="20"/>
                <w:szCs w:val="20"/>
                <w:shd w:val="clear" w:color="auto" w:fill="E6E6E6"/>
                <w:lang w:val="en-US" w:eastAsia="en-US"/>
              </w:rPr>
              <w:t>☒</w:t>
            </w:r>
            <w:r w:rsidRPr="00F56767">
              <w:rPr>
                <w:rFonts w:ascii="Times New Roman" w:eastAsia="MS Gothic" w:hAnsi="Times New Roman" w:cs="Times New Roman"/>
                <w:noProof/>
                <w:color w:val="2B579A"/>
                <w:sz w:val="20"/>
                <w:szCs w:val="20"/>
                <w:shd w:val="clear" w:color="auto" w:fill="E6E6E6"/>
                <w:lang w:val="en-US" w:eastAsia="en-US"/>
              </w:rPr>
              <w:t xml:space="preserve"> </w:t>
            </w:r>
            <w:r w:rsidRPr="00F5676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en-US"/>
              </w:rPr>
              <w:t>Етапи и цели</w:t>
            </w:r>
          </w:p>
          <w:p w14:paraId="30949C06" w14:textId="77777777" w:rsidR="00F81988" w:rsidRPr="00F56767" w:rsidRDefault="00F81988" w:rsidP="00F81988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en-US"/>
              </w:rPr>
            </w:pPr>
            <w:r w:rsidRPr="00F56767">
              <w:rPr>
                <w:rFonts w:ascii="Segoe UI Symbol" w:eastAsia="Calibri" w:hAnsi="Segoe UI Symbol" w:cs="Segoe UI Symbol"/>
                <w:noProof/>
                <w:color w:val="2B579A"/>
                <w:sz w:val="20"/>
                <w:szCs w:val="20"/>
                <w:shd w:val="clear" w:color="auto" w:fill="E6E6E6"/>
                <w:lang w:val="en-US" w:eastAsia="en-US"/>
              </w:rPr>
              <w:t>☐</w:t>
            </w:r>
            <w:r w:rsidRPr="00F56767">
              <w:rPr>
                <w:rFonts w:ascii="Times New Roman" w:eastAsia="Calibri" w:hAnsi="Times New Roman" w:cs="Times New Roman"/>
                <w:noProof/>
                <w:color w:val="2B579A"/>
                <w:sz w:val="20"/>
                <w:szCs w:val="20"/>
                <w:shd w:val="clear" w:color="auto" w:fill="E6E6E6"/>
                <w:lang w:val="en-US" w:eastAsia="en-US"/>
              </w:rPr>
              <w:t xml:space="preserve">  </w:t>
            </w:r>
            <w:r w:rsidRPr="00F5676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en-US"/>
              </w:rPr>
              <w:t>Очаквана цена</w:t>
            </w:r>
          </w:p>
          <w:p w14:paraId="50325AC9" w14:textId="77777777" w:rsidR="00F81988" w:rsidRPr="00F56767" w:rsidRDefault="00F81988" w:rsidP="00F81988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en-US"/>
              </w:rPr>
            </w:pPr>
            <w:r w:rsidRPr="00F56767">
              <w:rPr>
                <w:rFonts w:ascii="Segoe UI Symbol" w:eastAsia="Calibri" w:hAnsi="Segoe UI Symbol" w:cs="Segoe UI Symbol"/>
                <w:noProof/>
                <w:color w:val="2B579A"/>
                <w:sz w:val="20"/>
                <w:szCs w:val="20"/>
                <w:shd w:val="clear" w:color="auto" w:fill="E6E6E6"/>
                <w:lang w:val="en-US" w:eastAsia="en-US"/>
              </w:rPr>
              <w:t>☐</w:t>
            </w:r>
            <w:r w:rsidRPr="00F56767">
              <w:rPr>
                <w:rFonts w:ascii="Times New Roman" w:eastAsia="Calibri" w:hAnsi="Times New Roman" w:cs="Times New Roman"/>
                <w:noProof/>
                <w:color w:val="2B579A"/>
                <w:sz w:val="20"/>
                <w:szCs w:val="20"/>
                <w:shd w:val="clear" w:color="auto" w:fill="E6E6E6"/>
                <w:lang w:val="en-US" w:eastAsia="en-US"/>
              </w:rPr>
              <w:t xml:space="preserve"> </w:t>
            </w:r>
            <w:r w:rsidRPr="00F5676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en-US"/>
              </w:rPr>
              <w:t>Зелено и дигитално маркиране (потенциално уместно, тъй като има съществена промяна в основната мярка)</w:t>
            </w:r>
          </w:p>
          <w:p w14:paraId="36D1AB3C" w14:textId="77777777" w:rsidR="00F81988" w:rsidRPr="00F56767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u w:val="single"/>
                <w:lang w:val="en-IE" w:eastAsia="en-US"/>
              </w:rPr>
            </w:pPr>
            <w:r w:rsidRPr="00F56767">
              <w:rPr>
                <w:rFonts w:ascii="Segoe UI Symbol" w:eastAsia="Calibri" w:hAnsi="Segoe UI Symbol" w:cs="Segoe UI Symbol"/>
                <w:noProof/>
                <w:color w:val="2B579A"/>
                <w:sz w:val="20"/>
                <w:szCs w:val="20"/>
                <w:shd w:val="clear" w:color="auto" w:fill="E6E6E6"/>
                <w:lang w:val="en-US" w:eastAsia="en-US"/>
              </w:rPr>
              <w:t>☐</w:t>
            </w:r>
            <w:r w:rsidRPr="00F56767">
              <w:rPr>
                <w:rFonts w:ascii="Times New Roman" w:eastAsia="Calibri" w:hAnsi="Times New Roman" w:cs="Times New Roman"/>
                <w:noProof/>
                <w:color w:val="2B579A"/>
                <w:sz w:val="20"/>
                <w:szCs w:val="20"/>
                <w:shd w:val="clear" w:color="auto" w:fill="E6E6E6"/>
                <w:lang w:val="en-US" w:eastAsia="en-US"/>
              </w:rPr>
              <w:t xml:space="preserve"> </w:t>
            </w:r>
            <w:r w:rsidRPr="00F5676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en-US"/>
              </w:rPr>
              <w:t>Самооценка на DNSH</w:t>
            </w:r>
          </w:p>
        </w:tc>
      </w:tr>
    </w:tbl>
    <w:tbl>
      <w:tblPr>
        <w:tblStyle w:val="TableGrid221"/>
        <w:tblW w:w="14029" w:type="dxa"/>
        <w:tblLook w:val="04A0" w:firstRow="1" w:lastRow="0" w:firstColumn="1" w:lastColumn="0" w:noHBand="0" w:noVBand="1"/>
      </w:tblPr>
      <w:tblGrid>
        <w:gridCol w:w="3681"/>
        <w:gridCol w:w="5245"/>
        <w:gridCol w:w="5103"/>
      </w:tblGrid>
      <w:tr w:rsidR="00F81988" w:rsidRPr="00F81988" w14:paraId="7E780135" w14:textId="77777777" w:rsidTr="001A0763">
        <w:tc>
          <w:tcPr>
            <w:tcW w:w="3681" w:type="dxa"/>
          </w:tcPr>
          <w:p w14:paraId="191C3110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Изменени елементи</w:t>
            </w:r>
          </w:p>
        </w:tc>
        <w:tc>
          <w:tcPr>
            <w:tcW w:w="5245" w:type="dxa"/>
          </w:tcPr>
          <w:p w14:paraId="699302E9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Настояща версия</w:t>
            </w:r>
          </w:p>
        </w:tc>
        <w:tc>
          <w:tcPr>
            <w:tcW w:w="5103" w:type="dxa"/>
          </w:tcPr>
          <w:p w14:paraId="47E38527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Изменена версия</w:t>
            </w:r>
          </w:p>
        </w:tc>
      </w:tr>
      <w:tr w:rsidR="00F81988" w:rsidRPr="00F81988" w14:paraId="293F4B22" w14:textId="77777777" w:rsidTr="001A0763">
        <w:tc>
          <w:tcPr>
            <w:tcW w:w="3681" w:type="dxa"/>
          </w:tcPr>
          <w:p w14:paraId="5CD33880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2E2B7638" w14:textId="288A1A91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Описание на Реформа</w:t>
            </w:r>
            <w:r w:rsidR="0054734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F8198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C10.R2 „Противодействие на корупцията“</w:t>
            </w:r>
          </w:p>
          <w:p w14:paraId="54631583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Целта на тази реформа е да продължи борбата с корупцията на всички равнища на публичната администрация, съдебната система и прокуратурата.</w:t>
            </w:r>
          </w:p>
          <w:p w14:paraId="783D3441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По-специално чрез тази реформа ще се:</w:t>
            </w:r>
          </w:p>
          <w:p w14:paraId="5F0A9081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• гарантира, че Националният съвет по антикорупционни политики наблюдава изпълнението на Националната стратегия за предотвратяване и борба с корупцията и </w:t>
            </w: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свързаната с нея пътна карта, като приема доклад(и) за тяхното изпълнение;</w:t>
            </w:r>
          </w:p>
          <w:p w14:paraId="33569E79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укрепи капацитетът на Инспектората към Висшия съдебен съвет за превенция и противодействие на корупцията чрез преглед на етичните насоки и провеждане на</w:t>
            </w:r>
            <w:r w:rsidRPr="00F8198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обучения. Това не води до увеличаване на дисциплинарните правомощия на Инспектората. Преди да преразгледа насоките и да организира обученията, Инспекторатът ще проведе консултации с Венецианската комисия;</w:t>
            </w:r>
          </w:p>
          <w:p w14:paraId="1D0A5A3B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въведат инструменти за борба с корупцията и повишаване на почтеността на държавните служители, заемащи длъжности с голям риск от корупция в централната изпълнителна власт;</w:t>
            </w:r>
          </w:p>
          <w:p w14:paraId="31344DD8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въведат инструменти за борба с корупцията и повишаване на почтеността в държавните предприятия;</w:t>
            </w:r>
          </w:p>
          <w:p w14:paraId="3E9B2B17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създаде орган за борба с корупцията с правомощия да разследва и събира доказателства, при спазване на правните гаранции за правата и свободите на физическите лица и предприятията.</w:t>
            </w:r>
          </w:p>
          <w:p w14:paraId="61D0E01A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цел да се гарантира ефективността на наказателните разследвания и отчетността и наказателната отговорност на главния прокурор, с реформата ще се:</w:t>
            </w:r>
          </w:p>
          <w:p w14:paraId="253241FA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въведе възможност за съдебен контрол върху постановлението на прокурора за отказ да образува наказателно производство;</w:t>
            </w:r>
          </w:p>
          <w:p w14:paraId="1419E951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• </w:t>
            </w: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въведат годишни доклади от главния прокурор относно разследванията и присъдите по дела за корупция;</w:t>
            </w:r>
          </w:p>
          <w:p w14:paraId="41188591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осигурят необходимите предпазни мерки и гаранции за независимост на разследванията на главния прокурор и неговите заместници.</w:t>
            </w:r>
          </w:p>
          <w:p w14:paraId="64C8EDE8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B5BBC25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Накрая, реформата включва законодателни мерки за защита на лицата, които подават сигнали за нарушения, и за уреждане на лобистките дейности в контекста на общественото вземане на решения.</w:t>
            </w:r>
          </w:p>
          <w:p w14:paraId="594D8944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97EDE4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Изпълнението на реформата ще приключи до 30 юни 2026</w:t>
            </w:r>
            <w:r w:rsidRPr="00F8198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г.</w:t>
            </w:r>
          </w:p>
        </w:tc>
        <w:tc>
          <w:tcPr>
            <w:tcW w:w="5103" w:type="dxa"/>
          </w:tcPr>
          <w:p w14:paraId="758E04CA" w14:textId="714348A3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lastRenderedPageBreak/>
              <w:t>Описание на Реформа</w:t>
            </w:r>
            <w:r w:rsidR="0054734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F8198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C10.R2 „Противодействие на корупцията“</w:t>
            </w:r>
          </w:p>
          <w:p w14:paraId="645AA5BA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Целта на тази реформа е да продължи борбата с корупцията на всички равнища на публичната администрация, съдебната система и прокуратурата.</w:t>
            </w:r>
          </w:p>
          <w:p w14:paraId="0494C397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По-специално чрез тази реформа ще се:</w:t>
            </w:r>
          </w:p>
          <w:p w14:paraId="5A20245D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• гарантира, че Националният съвет по антикорупционни политики наблюдава изпълнението на Националната стратегия за предотвратяване и борба с корупцията и </w:t>
            </w: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свързаната с нея пътна карта, като приема доклад(и) за тяхното изпълнение;</w:t>
            </w:r>
          </w:p>
          <w:p w14:paraId="1E1FD995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укрепи капацитетът на Инспектората към Висшия съдебен съвет за превенция и противодействие на корупцията чрез преглед на етичните насоки и провеждане на</w:t>
            </w:r>
            <w:r w:rsidRPr="00F8198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обучения. Това не води до увеличаване на дисциплинарните правомощия на Инспектората. Преди да преразгледа насоките и да организира обученията, Инспекторатът ще проведе консултации с Венецианската комисия;</w:t>
            </w:r>
          </w:p>
          <w:p w14:paraId="46EADBC8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въведат инструменти за борба с корупцията и повишаване на почтеността на държавните служители, заемащи длъжности с голям риск от корупция в централната изпълнителна власт;</w:t>
            </w:r>
          </w:p>
          <w:p w14:paraId="3AFE5967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въведат инструменти за борба с корупцията и повишаване на почтеността в държавните предприятия;</w:t>
            </w:r>
          </w:p>
          <w:p w14:paraId="4AB8A4C7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създаде орган за борба с корупцията с правомощия да разследва и събира доказателства, при спазване на правните гаранции за правата и свободите на физическите лица и предприятията.</w:t>
            </w:r>
          </w:p>
          <w:p w14:paraId="28963066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цел да се гарантира ефективността на наказателните разследвания и отчетността и наказателната отговорност на главния прокурор, с реформата ще се:</w:t>
            </w:r>
          </w:p>
          <w:p w14:paraId="24CB852F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въведе възможност за съдебен контрол върху постановлението на прокурора за отказ да образува наказателно производство;</w:t>
            </w:r>
          </w:p>
          <w:p w14:paraId="2EC12488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• </w:t>
            </w: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въведат годишни доклади от главния прокурор относно разследванията и присъдите по дела за корупция;</w:t>
            </w:r>
          </w:p>
          <w:p w14:paraId="42A341AF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осигурят необходимите предпазни мерки и гаранции за независимост на разследванията на главния прокурор и неговите заместници.</w:t>
            </w:r>
          </w:p>
          <w:p w14:paraId="0C1BACF8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Накрая, реформата включва законодателни мерки за защита на лицата, които подават сигнали за нарушения, и за уреждане на лобистките дейности в контекста на общественото вземане на решения.</w:t>
            </w:r>
          </w:p>
          <w:p w14:paraId="1CC76A22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</w:pPr>
          </w:p>
        </w:tc>
      </w:tr>
      <w:tr w:rsidR="00F81988" w:rsidRPr="00F81988" w14:paraId="789F633A" w14:textId="77777777" w:rsidTr="001A0763">
        <w:tc>
          <w:tcPr>
            <w:tcW w:w="3681" w:type="dxa"/>
          </w:tcPr>
          <w:p w14:paraId="7C321457" w14:textId="77777777" w:rsidR="00F81988" w:rsidRPr="00F81988" w:rsidRDefault="00F81988" w:rsidP="00F81988">
            <w:pPr>
              <w:spacing w:line="240" w:lineRule="auto"/>
              <w:rPr>
                <w:rFonts w:ascii="Times New Roman" w:eastAsia="Courier New" w:hAnsi="Times New Roman" w:cs="Courier New"/>
                <w:b/>
                <w:bCs/>
                <w:i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5245" w:type="dxa"/>
          </w:tcPr>
          <w:p w14:paraId="28434844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  <w:t>Етап № 218</w:t>
            </w:r>
          </w:p>
          <w:p w14:paraId="38381984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 xml:space="preserve">Наименование: </w:t>
            </w:r>
          </w:p>
          <w:p w14:paraId="5B37BB5D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Влизане в сила на правен(ни) акт(</w:t>
            </w:r>
            <w:proofErr w:type="spellStart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ове</w:t>
            </w:r>
            <w:proofErr w:type="spellEnd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) за реформа на Комисията за противодействие на корупцията и за отнемане на незаконно придобитото имущество</w:t>
            </w:r>
          </w:p>
          <w:p w14:paraId="041BB388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 xml:space="preserve">Описание: </w:t>
            </w:r>
          </w:p>
          <w:p w14:paraId="35C32C98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С правен(ни) акт(</w:t>
            </w:r>
            <w:proofErr w:type="spellStart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ове</w:t>
            </w:r>
            <w:proofErr w:type="spellEnd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) се реформира съществуващата Комисия за противодействие на корупцията и за отнемане на незаконно придобитото имущество, като се предвижда създаването на политически и финансово независим антикорупционен орган. </w:t>
            </w:r>
          </w:p>
          <w:p w14:paraId="1B9281F0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Правният(те) акт(</w:t>
            </w:r>
            <w:proofErr w:type="spellStart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ове</w:t>
            </w:r>
            <w:proofErr w:type="spellEnd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) предвижда(т), че органът за борба с корупцията: </w:t>
            </w:r>
          </w:p>
          <w:p w14:paraId="5E8F88EF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- и конкретно неговото ръководство се назначава чрез прозрачен процес, който гарантира политическа независимост; </w:t>
            </w:r>
          </w:p>
          <w:p w14:paraId="4385343B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- разполага с правомощия да разследва и събира доказателства, при спазване на правните гаранции за правата и свободите на физическите лица и предприятията;</w:t>
            </w:r>
          </w:p>
          <w:p w14:paraId="68319B7D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 - отнася случаите на значителни разминавания в разминавания или конфликт на интереси към органа за отнемане на незаконно придобитото имущество;</w:t>
            </w:r>
          </w:p>
          <w:p w14:paraId="5227055E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 - подкрепя разработването на проверки за почтеност;</w:t>
            </w:r>
          </w:p>
          <w:p w14:paraId="3E05C3C3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 - си сътрудничи с Европейската прокуратура.</w:t>
            </w:r>
          </w:p>
          <w:p w14:paraId="7E33D6CB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Законът за органа за борба с корупцията се оценява от Групата държави срещу корупцията към Съвета на Европа (GRECO).</w:t>
            </w:r>
          </w:p>
          <w:p w14:paraId="25C42A7A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</w:p>
          <w:p w14:paraId="719E4031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>Срок за изпълнение: Т3, 2022</w:t>
            </w:r>
          </w:p>
          <w:p w14:paraId="5F1188A4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5103" w:type="dxa"/>
          </w:tcPr>
          <w:p w14:paraId="3EB3EAB2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  <w:t>Етап № 218</w:t>
            </w:r>
          </w:p>
          <w:p w14:paraId="173F96D1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 xml:space="preserve">Наименование: </w:t>
            </w: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Влизане в сила на правен(ни) акт(</w:t>
            </w:r>
            <w:proofErr w:type="spellStart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ове</w:t>
            </w:r>
            <w:proofErr w:type="spellEnd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)</w:t>
            </w:r>
            <w:r w:rsidRPr="00F81988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 xml:space="preserve">, </w:t>
            </w: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предвиждащ(и) създаването на орган за борба с корупцията</w:t>
            </w:r>
          </w:p>
          <w:p w14:paraId="7D8995D5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</w:p>
          <w:p w14:paraId="2245F847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 xml:space="preserve">Описание: </w:t>
            </w:r>
          </w:p>
          <w:p w14:paraId="715284D8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Правният(</w:t>
            </w:r>
            <w:proofErr w:type="spellStart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ите</w:t>
            </w:r>
            <w:proofErr w:type="spellEnd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) акт(</w:t>
            </w:r>
            <w:proofErr w:type="spellStart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ове</w:t>
            </w:r>
            <w:proofErr w:type="spellEnd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) предвижда(т) създаването на политически и финансово независим орган за борба с корупцията. </w:t>
            </w:r>
          </w:p>
          <w:p w14:paraId="05BF567F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</w:p>
          <w:p w14:paraId="1865FBB7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</w:p>
          <w:p w14:paraId="1B764A17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highlight w:val="yellow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Правният(</w:t>
            </w:r>
            <w:proofErr w:type="spellStart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ите</w:t>
            </w:r>
            <w:proofErr w:type="spellEnd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) акт(</w:t>
            </w:r>
            <w:proofErr w:type="spellStart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ове</w:t>
            </w:r>
            <w:proofErr w:type="spellEnd"/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) предвижда(т), че органът за борба с корупцията:</w:t>
            </w:r>
          </w:p>
          <w:p w14:paraId="24050715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- и конкретно неговото ръководство се назначава чрез прозрачен процес, който гарантира политическа независимост; </w:t>
            </w:r>
          </w:p>
          <w:p w14:paraId="6FED8957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- разполага с правомощия да разследва и събира доказателства, при спазване на правните гаранции за правата и свободите на физическите лица и предприятията;</w:t>
            </w:r>
          </w:p>
          <w:p w14:paraId="06BAD136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- отнася случаите на значителни разминавания в разминавания или конфликт на интереси към органа за отнемане на незаконно придобитото имущество;</w:t>
            </w:r>
          </w:p>
          <w:p w14:paraId="47F8A8CF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 — подкрепя разработването на проверки за почтеност;</w:t>
            </w:r>
          </w:p>
          <w:p w14:paraId="2970DCC6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 — си сътрудничи с Европейската прокуратура.</w:t>
            </w:r>
          </w:p>
          <w:p w14:paraId="69D26E05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highlight w:val="yellow"/>
                <w:lang w:eastAsia="en-US" w:bidi="en-US"/>
              </w:rPr>
            </w:pPr>
          </w:p>
          <w:p w14:paraId="48D3AAB4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highlight w:val="yellow"/>
                <w:lang w:eastAsia="en-US" w:bidi="en-US"/>
              </w:rPr>
            </w:pPr>
          </w:p>
          <w:p w14:paraId="7B48A303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highlight w:val="yellow"/>
                <w:lang w:eastAsia="en-US" w:bidi="en-US"/>
              </w:rPr>
            </w:pPr>
          </w:p>
          <w:p w14:paraId="2CA2B250" w14:textId="40CD2BBB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 xml:space="preserve">Срок за изпълнение: </w:t>
            </w: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Т4</w:t>
            </w:r>
            <w:r w:rsidR="001A0763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, </w:t>
            </w: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2025</w:t>
            </w:r>
            <w:r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 (Четвърто искане за плащане</w:t>
            </w:r>
            <w:r w:rsidR="00BD5EB4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)</w:t>
            </w:r>
          </w:p>
        </w:tc>
      </w:tr>
      <w:tr w:rsidR="00F81988" w:rsidRPr="00F81988" w14:paraId="550BA261" w14:textId="77777777" w:rsidTr="001A0763">
        <w:tc>
          <w:tcPr>
            <w:tcW w:w="3681" w:type="dxa"/>
          </w:tcPr>
          <w:p w14:paraId="15AEA2CE" w14:textId="77777777" w:rsidR="00F81988" w:rsidRPr="00F81988" w:rsidRDefault="00F81988" w:rsidP="00F81988">
            <w:pPr>
              <w:spacing w:line="240" w:lineRule="auto"/>
              <w:rPr>
                <w:rFonts w:ascii="Times New Roman" w:eastAsia="Courier New" w:hAnsi="Times New Roman" w:cs="Courier New"/>
                <w:b/>
                <w:bCs/>
                <w:i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5245" w:type="dxa"/>
          </w:tcPr>
          <w:p w14:paraId="67A880B1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  <w:t>Етап № 220</w:t>
            </w:r>
          </w:p>
          <w:p w14:paraId="465DE78F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>Наименование:</w:t>
            </w: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 </w:t>
            </w:r>
          </w:p>
          <w:p w14:paraId="1B8929F3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Създаване и започване на дейността на орган за борба с корупцията</w:t>
            </w:r>
          </w:p>
          <w:p w14:paraId="781B1050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>Описание:</w:t>
            </w:r>
            <w:r w:rsidRPr="00F81988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</w:p>
          <w:p w14:paraId="414DC061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Изпълнение на приетото законодателство за постигане на пълна оперативност на органа за борба с корупцията. Изпълнението обхваща всички необходими елементи, в т.ч. назначаването на ръководството и подбора, </w:t>
            </w: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lastRenderedPageBreak/>
              <w:t>разпределението и действителното внедряване на подходящите човешки, финансови и технически ресурси.</w:t>
            </w:r>
          </w:p>
          <w:p w14:paraId="5EDA11B1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</w:p>
          <w:p w14:paraId="7B1BE4F1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>Срок за изпълнение: Т2, 2025</w:t>
            </w:r>
          </w:p>
          <w:p w14:paraId="782ADC05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5103" w:type="dxa"/>
          </w:tcPr>
          <w:p w14:paraId="1F47B05E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  <w:lastRenderedPageBreak/>
              <w:t>Етап № 220</w:t>
            </w:r>
          </w:p>
          <w:p w14:paraId="1C45C611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>Наименование:</w:t>
            </w:r>
            <w:r w:rsidRPr="00F81988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</w:p>
          <w:p w14:paraId="3BCC2B54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Създаване и започване на дейността на орган за борба с корупцията</w:t>
            </w:r>
          </w:p>
          <w:p w14:paraId="22A7155A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 xml:space="preserve">Описание: </w:t>
            </w:r>
          </w:p>
          <w:p w14:paraId="7EEADD61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Изпълнение на приетото законодателство за постигане на пълна оперативност на органа за борба с корупцията. Изпълнението обхваща всички необходими елементи, в т.ч. назначаването на ръководството и подбора, </w:t>
            </w: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lastRenderedPageBreak/>
              <w:t>разпределението и действителното внедряване на подходящите човешки, финансови и технически ресурси.</w:t>
            </w:r>
          </w:p>
          <w:p w14:paraId="133BE194" w14:textId="7777777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</w:pPr>
          </w:p>
          <w:p w14:paraId="7B49B0AC" w14:textId="2A705207" w:rsidR="00F81988" w:rsidRPr="00F81988" w:rsidRDefault="00F81988" w:rsidP="00F81988">
            <w:pPr>
              <w:widowControl w:val="0"/>
              <w:spacing w:line="240" w:lineRule="auto"/>
              <w:jc w:val="both"/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</w:pPr>
            <w:r w:rsidRPr="00F81988">
              <w:rPr>
                <w:rFonts w:ascii="Times New Roman" w:eastAsia="Courier New" w:hAnsi="Times New Roman" w:cs="Courier New"/>
                <w:i/>
                <w:iCs/>
                <w:sz w:val="20"/>
                <w:szCs w:val="20"/>
                <w:lang w:eastAsia="en-US" w:bidi="en-US"/>
              </w:rPr>
              <w:t xml:space="preserve">Срок за изпълнение: </w:t>
            </w:r>
            <w:r w:rsidRPr="00F81988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Т2, 2026</w:t>
            </w:r>
            <w:r w:rsidR="00BD5EB4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 (Пето</w:t>
            </w:r>
            <w:r w:rsidR="00BD5EB4" w:rsidRPr="00BD5EB4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 xml:space="preserve"> искане за плащане</w:t>
            </w:r>
            <w:r w:rsidR="00BD5EB4">
              <w:rPr>
                <w:rFonts w:ascii="Times New Roman" w:eastAsia="Courier New" w:hAnsi="Times New Roman" w:cs="Courier New"/>
                <w:sz w:val="20"/>
                <w:szCs w:val="20"/>
                <w:lang w:eastAsia="en-US" w:bidi="en-US"/>
              </w:rPr>
              <w:t>)</w:t>
            </w:r>
          </w:p>
        </w:tc>
      </w:tr>
      <w:tr w:rsidR="00F81988" w:rsidRPr="00F81988" w14:paraId="6F214763" w14:textId="77777777" w:rsidTr="001A0763">
        <w:tc>
          <w:tcPr>
            <w:tcW w:w="3681" w:type="dxa"/>
          </w:tcPr>
          <w:p w14:paraId="3A6152A8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0"/>
                <w:szCs w:val="20"/>
                <w:lang w:val="en-US"/>
              </w:rPr>
            </w:pPr>
            <w:r w:rsidRPr="00F81988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0"/>
                <w:szCs w:val="20"/>
                <w:lang w:val="en-IE"/>
              </w:rPr>
              <w:lastRenderedPageBreak/>
              <w:t>Очакван</w:t>
            </w:r>
            <w:r w:rsidRPr="00F81988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0"/>
                <w:szCs w:val="20"/>
                <w:lang w:val="en-US"/>
              </w:rPr>
              <w:t>и</w:t>
            </w:r>
            <w:r w:rsidRPr="00F81988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0"/>
                <w:szCs w:val="20"/>
                <w:lang w:val="en-IE"/>
              </w:rPr>
              <w:t xml:space="preserve"> </w:t>
            </w:r>
            <w:r w:rsidRPr="00F81988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0"/>
                <w:szCs w:val="20"/>
                <w:lang w:val="en-US"/>
              </w:rPr>
              <w:t>разходи</w:t>
            </w:r>
          </w:p>
        </w:tc>
        <w:tc>
          <w:tcPr>
            <w:tcW w:w="5245" w:type="dxa"/>
          </w:tcPr>
          <w:p w14:paraId="42ACD4B1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en-US"/>
              </w:rPr>
            </w:pPr>
            <w:r w:rsidRPr="00F81988"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en-IE"/>
              </w:rPr>
              <w:t>Без промяна</w:t>
            </w:r>
          </w:p>
        </w:tc>
        <w:tc>
          <w:tcPr>
            <w:tcW w:w="5103" w:type="dxa"/>
          </w:tcPr>
          <w:p w14:paraId="7B686616" w14:textId="677C6EBC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en-US"/>
              </w:rPr>
            </w:pPr>
            <w:r w:rsidRPr="00F81988"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en-IE"/>
              </w:rPr>
              <w:t>Без промяна</w:t>
            </w:r>
          </w:p>
        </w:tc>
      </w:tr>
      <w:tr w:rsidR="00F81988" w:rsidRPr="00F81988" w14:paraId="43AC4FCA" w14:textId="77777777" w:rsidTr="001A0763">
        <w:tc>
          <w:tcPr>
            <w:tcW w:w="3681" w:type="dxa"/>
          </w:tcPr>
          <w:p w14:paraId="6ABC824B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0"/>
                <w:szCs w:val="20"/>
                <w:lang w:val="en-IE"/>
              </w:rPr>
            </w:pPr>
            <w:r w:rsidRPr="00F81988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0"/>
                <w:szCs w:val="20"/>
                <w:lang w:val="en-IE"/>
              </w:rPr>
              <w:t>Зелено и дигитално маркиране</w:t>
            </w:r>
          </w:p>
        </w:tc>
        <w:tc>
          <w:tcPr>
            <w:tcW w:w="5245" w:type="dxa"/>
          </w:tcPr>
          <w:p w14:paraId="5CDF75A6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en-IE"/>
              </w:rPr>
            </w:pPr>
            <w:r w:rsidRPr="00F81988"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en-IE"/>
              </w:rPr>
              <w:t>Без промяна</w:t>
            </w:r>
          </w:p>
        </w:tc>
        <w:tc>
          <w:tcPr>
            <w:tcW w:w="5103" w:type="dxa"/>
          </w:tcPr>
          <w:p w14:paraId="03B14B8F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en-IE"/>
              </w:rPr>
            </w:pPr>
            <w:r w:rsidRPr="00F81988"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en-IE"/>
              </w:rPr>
              <w:t>Без промяна</w:t>
            </w:r>
          </w:p>
        </w:tc>
      </w:tr>
      <w:tr w:rsidR="00F81988" w:rsidRPr="00F81988" w14:paraId="77801EC4" w14:textId="77777777" w:rsidTr="001A0763">
        <w:tc>
          <w:tcPr>
            <w:tcW w:w="3681" w:type="dxa"/>
          </w:tcPr>
          <w:p w14:paraId="447DE3FB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0"/>
                <w:szCs w:val="20"/>
                <w:lang w:val="en-IE"/>
              </w:rPr>
            </w:pPr>
            <w:r w:rsidRPr="00F81988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0"/>
                <w:szCs w:val="20"/>
                <w:lang w:val="en-IE"/>
              </w:rPr>
              <w:t>Самооценка за съответствие с принципа за „ненанасяне на значителни вреди“</w:t>
            </w:r>
          </w:p>
        </w:tc>
        <w:tc>
          <w:tcPr>
            <w:tcW w:w="5245" w:type="dxa"/>
          </w:tcPr>
          <w:p w14:paraId="2C9FE7BB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en-IE"/>
              </w:rPr>
            </w:pPr>
            <w:r w:rsidRPr="00F81988"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en-IE"/>
              </w:rPr>
              <w:t>Без промяна</w:t>
            </w:r>
          </w:p>
        </w:tc>
        <w:tc>
          <w:tcPr>
            <w:tcW w:w="5103" w:type="dxa"/>
          </w:tcPr>
          <w:p w14:paraId="0D89B8B8" w14:textId="77777777" w:rsidR="00F81988" w:rsidRPr="00F81988" w:rsidRDefault="00F81988" w:rsidP="00F819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en-US"/>
              </w:rPr>
            </w:pPr>
            <w:r w:rsidRPr="00F81988"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en-IE"/>
              </w:rPr>
              <w:t>Без промяна</w:t>
            </w:r>
          </w:p>
        </w:tc>
      </w:tr>
      <w:tr w:rsidR="00F81988" w:rsidRPr="00F81988" w14:paraId="0EA3609B" w14:textId="77777777" w:rsidTr="001A0763">
        <w:tc>
          <w:tcPr>
            <w:tcW w:w="14029" w:type="dxa"/>
            <w:gridSpan w:val="3"/>
          </w:tcPr>
          <w:p w14:paraId="092940B0" w14:textId="44BBB52C" w:rsidR="00F81988" w:rsidRPr="00F81988" w:rsidRDefault="00F81988" w:rsidP="00F8198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en-US"/>
              </w:rPr>
            </w:pPr>
            <w:r w:rsidRPr="00F81988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0"/>
                <w:szCs w:val="20"/>
                <w:lang w:val="en-US"/>
              </w:rPr>
              <w:t>Обосновка</w:t>
            </w:r>
            <w:r w:rsidRPr="00F81988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0"/>
                <w:szCs w:val="20"/>
                <w:lang w:val="en-IE"/>
              </w:rPr>
              <w:t xml:space="preserve">: 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 xml:space="preserve">Реформата следва да бъде изменена, тъй като поради обективни обстоятелства, които са извън контрола на българските власти, не е възможно реформата да бъде завършена в предвидения срок. 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Такива обстоятелства са предсрочното прекратяване на дейността на 51-вото Народно събрание през февруари 2026 г. и провеждането на 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>извънредни избори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.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 xml:space="preserve"> 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Именно поради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 xml:space="preserve"> извънредните избори на 19 април 2026 г. и времето, необходимо за съставянето и започването на работа на новия парламент, съответно 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-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 xml:space="preserve"> за сформирането на ново правителство, не е възможно необходимото законодателство да се приеме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в срок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 xml:space="preserve">. 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Междувременно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 xml:space="preserve"> българските власти предприеха всички възможни подготвителни стъпки за 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изпълнение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 xml:space="preserve"> на реформата, по-специално чрез изготвяне на законопроект, провеждане на обществени консултации и 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одобряването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 xml:space="preserve"> 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на законопроекта 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 xml:space="preserve">от 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служебното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 xml:space="preserve"> правителство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на 16 април 2026 г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 xml:space="preserve">. 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Описаните обективни обстоятелстава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 xml:space="preserve">, които са извън контрола на българските власти, оправдават отлагането на етапи 218 и 220 съответно до 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четвърто и пето плащане по НПВУ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 xml:space="preserve"> в съответствие с член 21 от Регламента за 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М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 xml:space="preserve">еханизма за възстановяване и 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устойчивост</w:t>
            </w:r>
            <w:r w:rsidRPr="00F8198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 xml:space="preserve">.  </w:t>
            </w:r>
            <w:r w:rsidR="00E474B9" w:rsidRPr="00E474B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IE"/>
              </w:rPr>
              <w:t>Предвид течащата процедура за изменение на Националния план за възстановяване и устойчивост, Министерството на правосъдието работи по конкретни предложения за изменение на описанието на етап 220.</w:t>
            </w:r>
          </w:p>
        </w:tc>
      </w:tr>
    </w:tbl>
    <w:p w14:paraId="2CBDC46B" w14:textId="77777777" w:rsidR="00F81988" w:rsidRPr="00F81988" w:rsidRDefault="00F81988" w:rsidP="00F81988">
      <w:pPr>
        <w:spacing w:line="240" w:lineRule="auto"/>
        <w:rPr>
          <w:rFonts w:ascii="Aptos" w:eastAsia="Aptos" w:hAnsi="Aptos" w:cs="Times New Roman"/>
          <w:lang w:val="en-US" w:eastAsia="en-US"/>
        </w:rPr>
      </w:pPr>
    </w:p>
    <w:p w14:paraId="0D8F53FE" w14:textId="77777777" w:rsidR="00E67F4D" w:rsidRPr="003077DB" w:rsidRDefault="00E67F4D" w:rsidP="00F81988">
      <w:pPr>
        <w:spacing w:line="240" w:lineRule="auto"/>
        <w:rPr>
          <w:rFonts w:ascii="Times New Roman" w:hAnsi="Times New Roman" w:cs="Times New Roman"/>
          <w:sz w:val="20"/>
          <w:szCs w:val="20"/>
          <w:lang w:val="bg-BG"/>
        </w:rPr>
      </w:pPr>
    </w:p>
    <w:p w14:paraId="3A7AC4B4" w14:textId="77777777" w:rsidR="00E67F4D" w:rsidRPr="00E67F4D" w:rsidRDefault="00E67F4D" w:rsidP="00F819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bg-BG"/>
        </w:rPr>
      </w:pPr>
    </w:p>
    <w:sectPr w:rsidR="00E67F4D" w:rsidRPr="00E67F4D" w:rsidSect="00FF2644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25424" w14:textId="77777777" w:rsidR="00D92621" w:rsidRDefault="00D92621" w:rsidP="00FF2644">
      <w:pPr>
        <w:spacing w:after="0" w:line="240" w:lineRule="auto"/>
      </w:pPr>
      <w:r>
        <w:separator/>
      </w:r>
    </w:p>
  </w:endnote>
  <w:endnote w:type="continuationSeparator" w:id="0">
    <w:p w14:paraId="03EB1850" w14:textId="77777777" w:rsidR="00D92621" w:rsidRDefault="00D92621" w:rsidP="00FF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191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E00F1" w14:textId="1A2D5F7C" w:rsidR="00A6174D" w:rsidRDefault="00A6174D">
        <w:pPr>
          <w:pStyle w:val="Footer"/>
          <w:jc w:val="right"/>
        </w:pPr>
        <w:r w:rsidRPr="009C2A42">
          <w:rPr>
            <w:rFonts w:ascii="Times New Roman" w:hAnsi="Times New Roman" w:cs="Times New Roman"/>
          </w:rPr>
          <w:fldChar w:fldCharType="begin"/>
        </w:r>
        <w:r w:rsidRPr="009C2A42">
          <w:rPr>
            <w:rFonts w:ascii="Times New Roman" w:hAnsi="Times New Roman" w:cs="Times New Roman"/>
          </w:rPr>
          <w:instrText xml:space="preserve"> PAGE   \* MERGEFORMAT </w:instrText>
        </w:r>
        <w:r w:rsidRPr="009C2A42">
          <w:rPr>
            <w:rFonts w:ascii="Times New Roman" w:hAnsi="Times New Roman" w:cs="Times New Roman"/>
          </w:rPr>
          <w:fldChar w:fldCharType="separate"/>
        </w:r>
        <w:r w:rsidR="00547346">
          <w:rPr>
            <w:rFonts w:ascii="Times New Roman" w:hAnsi="Times New Roman" w:cs="Times New Roman"/>
            <w:noProof/>
          </w:rPr>
          <w:t>7</w:t>
        </w:r>
        <w:r w:rsidRPr="009C2A4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C5F3127" w14:textId="77777777" w:rsidR="00A6174D" w:rsidRDefault="00A61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8821" w14:textId="77777777" w:rsidR="00D92621" w:rsidRDefault="00D92621" w:rsidP="00FF2644">
      <w:pPr>
        <w:spacing w:after="0" w:line="240" w:lineRule="auto"/>
      </w:pPr>
      <w:r>
        <w:separator/>
      </w:r>
    </w:p>
  </w:footnote>
  <w:footnote w:type="continuationSeparator" w:id="0">
    <w:p w14:paraId="55EB6310" w14:textId="77777777" w:rsidR="00D92621" w:rsidRDefault="00D92621" w:rsidP="00FF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571B" w14:textId="502ACD1A" w:rsidR="00A6174D" w:rsidRDefault="00E70F02">
    <w:pPr>
      <w:pStyle w:val="Header"/>
      <w:rPr>
        <w:rFonts w:ascii="Times New Roman" w:hAnsi="Times New Roman" w:cs="Times New Roman"/>
        <w:i/>
        <w:iCs/>
        <w:lang w:val="bg-BG"/>
      </w:rPr>
    </w:pPr>
    <w:r>
      <w:rPr>
        <w:rFonts w:ascii="Times New Roman" w:hAnsi="Times New Roman" w:cs="Times New Roman"/>
        <w:i/>
        <w:iCs/>
        <w:lang w:val="bg-BG"/>
      </w:rPr>
      <w:t xml:space="preserve">ПРИЛОЖЕНИЕ: </w:t>
    </w:r>
    <w:r w:rsidR="00A6174D" w:rsidRPr="000016FA">
      <w:rPr>
        <w:rFonts w:ascii="Times New Roman" w:hAnsi="Times New Roman" w:cs="Times New Roman"/>
        <w:i/>
        <w:iCs/>
        <w:lang w:val="bg-BG"/>
      </w:rPr>
      <w:t xml:space="preserve">ПРОЕКТ ЗА ИЗМЕНЕНИЕ НА НАЦИОНАЛНИЯ ПЛАН ЗА ВЪЗСТАНОВЯВАНЕ И УСТОЙЧИВОСТ </w:t>
    </w:r>
  </w:p>
  <w:p w14:paraId="75880B90" w14:textId="63B42BE7" w:rsidR="00A6174D" w:rsidRPr="00F36FFA" w:rsidRDefault="00A6174D">
    <w:pPr>
      <w:pStyle w:val="Header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9A1"/>
    <w:multiLevelType w:val="hybridMultilevel"/>
    <w:tmpl w:val="6DC0FC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69B4"/>
    <w:multiLevelType w:val="hybridMultilevel"/>
    <w:tmpl w:val="B8AE5D46"/>
    <w:lvl w:ilvl="0" w:tplc="9702B38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E4930"/>
    <w:multiLevelType w:val="hybridMultilevel"/>
    <w:tmpl w:val="6AA602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6602"/>
    <w:multiLevelType w:val="hybridMultilevel"/>
    <w:tmpl w:val="C3344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068CE"/>
    <w:multiLevelType w:val="hybridMultilevel"/>
    <w:tmpl w:val="CFF45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7643"/>
    <w:multiLevelType w:val="hybridMultilevel"/>
    <w:tmpl w:val="1ACA0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8159E"/>
    <w:multiLevelType w:val="hybridMultilevel"/>
    <w:tmpl w:val="1090B110"/>
    <w:lvl w:ilvl="0" w:tplc="3AF2AF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16E7B"/>
    <w:multiLevelType w:val="hybridMultilevel"/>
    <w:tmpl w:val="7EAC3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77712"/>
    <w:multiLevelType w:val="hybridMultilevel"/>
    <w:tmpl w:val="74BCB504"/>
    <w:lvl w:ilvl="0" w:tplc="9702B38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8047B"/>
    <w:multiLevelType w:val="hybridMultilevel"/>
    <w:tmpl w:val="5BE48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655A4"/>
    <w:multiLevelType w:val="hybridMultilevel"/>
    <w:tmpl w:val="5BE48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62E5E"/>
    <w:multiLevelType w:val="hybridMultilevel"/>
    <w:tmpl w:val="C6483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B618F"/>
    <w:multiLevelType w:val="hybridMultilevel"/>
    <w:tmpl w:val="CE10DA72"/>
    <w:lvl w:ilvl="0" w:tplc="9702B3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16B2A"/>
    <w:multiLevelType w:val="hybridMultilevel"/>
    <w:tmpl w:val="DC84315A"/>
    <w:lvl w:ilvl="0" w:tplc="9702B38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5D14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21D13"/>
    <w:multiLevelType w:val="hybridMultilevel"/>
    <w:tmpl w:val="B6A67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4473B"/>
    <w:multiLevelType w:val="hybridMultilevel"/>
    <w:tmpl w:val="BE205A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A6B09"/>
    <w:multiLevelType w:val="hybridMultilevel"/>
    <w:tmpl w:val="F91651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6565B"/>
    <w:multiLevelType w:val="hybridMultilevel"/>
    <w:tmpl w:val="FE825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D2387"/>
    <w:multiLevelType w:val="hybridMultilevel"/>
    <w:tmpl w:val="40EAE05A"/>
    <w:lvl w:ilvl="0" w:tplc="59F0C356">
      <w:start w:val="1"/>
      <w:numFmt w:val="bullet"/>
      <w:lvlText w:val="-"/>
      <w:lvlJc w:val="left"/>
      <w:pPr>
        <w:ind w:left="360" w:hanging="360"/>
      </w:pPr>
      <w:rPr>
        <w:rFonts w:ascii="Times New Roman" w:eastAsia="Courier New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934D7"/>
    <w:multiLevelType w:val="hybridMultilevel"/>
    <w:tmpl w:val="CC4AE0A0"/>
    <w:lvl w:ilvl="0" w:tplc="1A9C581E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A768D"/>
    <w:multiLevelType w:val="hybridMultilevel"/>
    <w:tmpl w:val="B9B2800C"/>
    <w:lvl w:ilvl="0" w:tplc="9702B38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77195C"/>
    <w:multiLevelType w:val="hybridMultilevel"/>
    <w:tmpl w:val="5BE48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153AA"/>
    <w:multiLevelType w:val="hybridMultilevel"/>
    <w:tmpl w:val="EB025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266241"/>
    <w:multiLevelType w:val="multilevel"/>
    <w:tmpl w:val="588C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DB64FE"/>
    <w:multiLevelType w:val="hybridMultilevel"/>
    <w:tmpl w:val="C1A68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47FF2"/>
    <w:multiLevelType w:val="hybridMultilevel"/>
    <w:tmpl w:val="81F62E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BAED54">
      <w:numFmt w:val="bullet"/>
      <w:lvlText w:val="-"/>
      <w:lvlJc w:val="left"/>
      <w:pPr>
        <w:ind w:left="-655" w:hanging="555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58117E"/>
    <w:multiLevelType w:val="hybridMultilevel"/>
    <w:tmpl w:val="C51A1D2A"/>
    <w:lvl w:ilvl="0" w:tplc="408E13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0409D"/>
    <w:multiLevelType w:val="hybridMultilevel"/>
    <w:tmpl w:val="0226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8703C"/>
    <w:multiLevelType w:val="hybridMultilevel"/>
    <w:tmpl w:val="08EEF90E"/>
    <w:lvl w:ilvl="0" w:tplc="1A9C581E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554E4D6">
      <w:numFmt w:val="bullet"/>
      <w:lvlText w:val="-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C1781"/>
    <w:multiLevelType w:val="hybridMultilevel"/>
    <w:tmpl w:val="5208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7297F"/>
    <w:multiLevelType w:val="hybridMultilevel"/>
    <w:tmpl w:val="FEC8F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46E80"/>
    <w:multiLevelType w:val="hybridMultilevel"/>
    <w:tmpl w:val="5BE48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20238"/>
    <w:multiLevelType w:val="hybridMultilevel"/>
    <w:tmpl w:val="FCEA5612"/>
    <w:lvl w:ilvl="0" w:tplc="1A9C581E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405A5"/>
    <w:multiLevelType w:val="hybridMultilevel"/>
    <w:tmpl w:val="96224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A90DA3"/>
    <w:multiLevelType w:val="hybridMultilevel"/>
    <w:tmpl w:val="D6586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F262FC"/>
    <w:multiLevelType w:val="hybridMultilevel"/>
    <w:tmpl w:val="46C67A68"/>
    <w:lvl w:ilvl="0" w:tplc="4B4C0EDA">
      <w:start w:val="2"/>
      <w:numFmt w:val="bullet"/>
      <w:lvlText w:val="-"/>
      <w:lvlJc w:val="left"/>
      <w:pPr>
        <w:ind w:left="360" w:hanging="360"/>
      </w:pPr>
      <w:rPr>
        <w:rFonts w:ascii="Times New Roman" w:eastAsia="Courier New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8319F4"/>
    <w:multiLevelType w:val="hybridMultilevel"/>
    <w:tmpl w:val="5BE48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F3998"/>
    <w:multiLevelType w:val="hybridMultilevel"/>
    <w:tmpl w:val="0D221068"/>
    <w:lvl w:ilvl="0" w:tplc="20F855DA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96115">
    <w:abstractNumId w:val="25"/>
  </w:num>
  <w:num w:numId="2" w16cid:durableId="1743983912">
    <w:abstractNumId w:val="16"/>
  </w:num>
  <w:num w:numId="3" w16cid:durableId="734160076">
    <w:abstractNumId w:val="15"/>
  </w:num>
  <w:num w:numId="4" w16cid:durableId="1654528991">
    <w:abstractNumId w:val="0"/>
  </w:num>
  <w:num w:numId="5" w16cid:durableId="1192107821">
    <w:abstractNumId w:val="24"/>
  </w:num>
  <w:num w:numId="6" w16cid:durableId="1107886692">
    <w:abstractNumId w:val="36"/>
  </w:num>
  <w:num w:numId="7" w16cid:durableId="1477333718">
    <w:abstractNumId w:val="17"/>
  </w:num>
  <w:num w:numId="8" w16cid:durableId="856887052">
    <w:abstractNumId w:val="19"/>
  </w:num>
  <w:num w:numId="9" w16cid:durableId="557714166">
    <w:abstractNumId w:val="6"/>
  </w:num>
  <w:num w:numId="10" w16cid:durableId="4244195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71635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2213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0646137">
    <w:abstractNumId w:val="38"/>
  </w:num>
  <w:num w:numId="14" w16cid:durableId="1602686539">
    <w:abstractNumId w:val="28"/>
  </w:num>
  <w:num w:numId="15" w16cid:durableId="1603998846">
    <w:abstractNumId w:val="4"/>
  </w:num>
  <w:num w:numId="16" w16cid:durableId="962158060">
    <w:abstractNumId w:val="29"/>
  </w:num>
  <w:num w:numId="17" w16cid:durableId="89662365">
    <w:abstractNumId w:val="33"/>
  </w:num>
  <w:num w:numId="18" w16cid:durableId="103038045">
    <w:abstractNumId w:val="8"/>
  </w:num>
  <w:num w:numId="19" w16cid:durableId="1452091828">
    <w:abstractNumId w:val="1"/>
  </w:num>
  <w:num w:numId="20" w16cid:durableId="402292316">
    <w:abstractNumId w:val="21"/>
  </w:num>
  <w:num w:numId="21" w16cid:durableId="572087893">
    <w:abstractNumId w:val="12"/>
  </w:num>
  <w:num w:numId="22" w16cid:durableId="185143138">
    <w:abstractNumId w:val="13"/>
  </w:num>
  <w:num w:numId="23" w16cid:durableId="737215157">
    <w:abstractNumId w:val="20"/>
  </w:num>
  <w:num w:numId="24" w16cid:durableId="1945990331">
    <w:abstractNumId w:val="26"/>
  </w:num>
  <w:num w:numId="25" w16cid:durableId="118958274">
    <w:abstractNumId w:val="34"/>
  </w:num>
  <w:num w:numId="26" w16cid:durableId="1398549368">
    <w:abstractNumId w:val="23"/>
  </w:num>
  <w:num w:numId="27" w16cid:durableId="242568680">
    <w:abstractNumId w:val="35"/>
  </w:num>
  <w:num w:numId="28" w16cid:durableId="1324550639">
    <w:abstractNumId w:val="30"/>
  </w:num>
  <w:num w:numId="29" w16cid:durableId="1730032773">
    <w:abstractNumId w:val="3"/>
  </w:num>
  <w:num w:numId="30" w16cid:durableId="1240867389">
    <w:abstractNumId w:val="32"/>
  </w:num>
  <w:num w:numId="31" w16cid:durableId="166671362">
    <w:abstractNumId w:val="18"/>
  </w:num>
  <w:num w:numId="32" w16cid:durableId="436944279">
    <w:abstractNumId w:val="10"/>
  </w:num>
  <w:num w:numId="33" w16cid:durableId="494415600">
    <w:abstractNumId w:val="37"/>
  </w:num>
  <w:num w:numId="34" w16cid:durableId="2140371607">
    <w:abstractNumId w:val="31"/>
  </w:num>
  <w:num w:numId="35" w16cid:durableId="82801047">
    <w:abstractNumId w:val="22"/>
  </w:num>
  <w:num w:numId="36" w16cid:durableId="1730108155">
    <w:abstractNumId w:val="9"/>
  </w:num>
  <w:num w:numId="37" w16cid:durableId="291986718">
    <w:abstractNumId w:val="11"/>
  </w:num>
  <w:num w:numId="38" w16cid:durableId="10992515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0370334">
    <w:abstractNumId w:val="7"/>
  </w:num>
  <w:num w:numId="40" w16cid:durableId="11430442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E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65"/>
    <w:rsid w:val="000016FA"/>
    <w:rsid w:val="00004524"/>
    <w:rsid w:val="00015F7A"/>
    <w:rsid w:val="000277FF"/>
    <w:rsid w:val="000336D3"/>
    <w:rsid w:val="00037755"/>
    <w:rsid w:val="00052798"/>
    <w:rsid w:val="0006132F"/>
    <w:rsid w:val="00061EFF"/>
    <w:rsid w:val="00072D96"/>
    <w:rsid w:val="00073996"/>
    <w:rsid w:val="00085D12"/>
    <w:rsid w:val="00093942"/>
    <w:rsid w:val="000B030A"/>
    <w:rsid w:val="000B1AD3"/>
    <w:rsid w:val="000B37EB"/>
    <w:rsid w:val="000C5C30"/>
    <w:rsid w:val="000D0593"/>
    <w:rsid w:val="000D05DF"/>
    <w:rsid w:val="000D3A78"/>
    <w:rsid w:val="000D68C9"/>
    <w:rsid w:val="000E09E9"/>
    <w:rsid w:val="000F1CCF"/>
    <w:rsid w:val="00111CF0"/>
    <w:rsid w:val="00115067"/>
    <w:rsid w:val="00124BAE"/>
    <w:rsid w:val="0013073D"/>
    <w:rsid w:val="001722D8"/>
    <w:rsid w:val="00172ABF"/>
    <w:rsid w:val="00181B7D"/>
    <w:rsid w:val="001845F4"/>
    <w:rsid w:val="00190F3B"/>
    <w:rsid w:val="001942CD"/>
    <w:rsid w:val="00195ACA"/>
    <w:rsid w:val="001A0763"/>
    <w:rsid w:val="001A6854"/>
    <w:rsid w:val="001B2060"/>
    <w:rsid w:val="001B4A28"/>
    <w:rsid w:val="001B6314"/>
    <w:rsid w:val="001C3B2D"/>
    <w:rsid w:val="001C57FA"/>
    <w:rsid w:val="001C5F06"/>
    <w:rsid w:val="001C736C"/>
    <w:rsid w:val="001D5FAE"/>
    <w:rsid w:val="001E5306"/>
    <w:rsid w:val="001F428F"/>
    <w:rsid w:val="001F5842"/>
    <w:rsid w:val="001F74FE"/>
    <w:rsid w:val="00213A46"/>
    <w:rsid w:val="0022288F"/>
    <w:rsid w:val="00230041"/>
    <w:rsid w:val="002359EA"/>
    <w:rsid w:val="00236829"/>
    <w:rsid w:val="00241BD2"/>
    <w:rsid w:val="00252478"/>
    <w:rsid w:val="00267CDB"/>
    <w:rsid w:val="00270782"/>
    <w:rsid w:val="00273FF9"/>
    <w:rsid w:val="002764B8"/>
    <w:rsid w:val="00276AF6"/>
    <w:rsid w:val="002775DF"/>
    <w:rsid w:val="002838E7"/>
    <w:rsid w:val="00291C72"/>
    <w:rsid w:val="002A0519"/>
    <w:rsid w:val="002A0BBE"/>
    <w:rsid w:val="002A1027"/>
    <w:rsid w:val="002A17BD"/>
    <w:rsid w:val="002A7E50"/>
    <w:rsid w:val="002B6974"/>
    <w:rsid w:val="002C13A3"/>
    <w:rsid w:val="002C6480"/>
    <w:rsid w:val="002C6AC2"/>
    <w:rsid w:val="002D7404"/>
    <w:rsid w:val="002E4AA5"/>
    <w:rsid w:val="00301F0D"/>
    <w:rsid w:val="00306B11"/>
    <w:rsid w:val="003162BD"/>
    <w:rsid w:val="00326FCD"/>
    <w:rsid w:val="00340ACB"/>
    <w:rsid w:val="00341708"/>
    <w:rsid w:val="00343BDB"/>
    <w:rsid w:val="0034430A"/>
    <w:rsid w:val="00361634"/>
    <w:rsid w:val="0036310C"/>
    <w:rsid w:val="003678D0"/>
    <w:rsid w:val="00367D2E"/>
    <w:rsid w:val="0037439E"/>
    <w:rsid w:val="003874AC"/>
    <w:rsid w:val="00391A2B"/>
    <w:rsid w:val="003B50AA"/>
    <w:rsid w:val="003D0779"/>
    <w:rsid w:val="003F1309"/>
    <w:rsid w:val="003F2BF9"/>
    <w:rsid w:val="00427BEC"/>
    <w:rsid w:val="0044355E"/>
    <w:rsid w:val="00452F7D"/>
    <w:rsid w:val="00453D0B"/>
    <w:rsid w:val="0045799E"/>
    <w:rsid w:val="00473BA4"/>
    <w:rsid w:val="004761BA"/>
    <w:rsid w:val="00493CA5"/>
    <w:rsid w:val="004951BE"/>
    <w:rsid w:val="00496D04"/>
    <w:rsid w:val="004A1D3C"/>
    <w:rsid w:val="004A4480"/>
    <w:rsid w:val="004A4C51"/>
    <w:rsid w:val="004A56A4"/>
    <w:rsid w:val="004B2524"/>
    <w:rsid w:val="004C1DEC"/>
    <w:rsid w:val="004D0498"/>
    <w:rsid w:val="004D0951"/>
    <w:rsid w:val="004D5FC9"/>
    <w:rsid w:val="004E142F"/>
    <w:rsid w:val="004F2FB8"/>
    <w:rsid w:val="004F48A6"/>
    <w:rsid w:val="004F709D"/>
    <w:rsid w:val="00504E7D"/>
    <w:rsid w:val="00505BB7"/>
    <w:rsid w:val="00515692"/>
    <w:rsid w:val="00521394"/>
    <w:rsid w:val="005230FB"/>
    <w:rsid w:val="005327BC"/>
    <w:rsid w:val="00535881"/>
    <w:rsid w:val="00535883"/>
    <w:rsid w:val="00545196"/>
    <w:rsid w:val="00547346"/>
    <w:rsid w:val="005578AB"/>
    <w:rsid w:val="00563449"/>
    <w:rsid w:val="005662EA"/>
    <w:rsid w:val="0058134F"/>
    <w:rsid w:val="005831CC"/>
    <w:rsid w:val="00592DE3"/>
    <w:rsid w:val="005A0381"/>
    <w:rsid w:val="005B427F"/>
    <w:rsid w:val="005B7EA9"/>
    <w:rsid w:val="005D0A3A"/>
    <w:rsid w:val="005D5265"/>
    <w:rsid w:val="005E6744"/>
    <w:rsid w:val="005F375A"/>
    <w:rsid w:val="005F5885"/>
    <w:rsid w:val="0061536A"/>
    <w:rsid w:val="00617098"/>
    <w:rsid w:val="006240D7"/>
    <w:rsid w:val="00632AAC"/>
    <w:rsid w:val="00644200"/>
    <w:rsid w:val="006464EB"/>
    <w:rsid w:val="00665931"/>
    <w:rsid w:val="0066636E"/>
    <w:rsid w:val="006678D5"/>
    <w:rsid w:val="006824B9"/>
    <w:rsid w:val="00684A48"/>
    <w:rsid w:val="00694EAD"/>
    <w:rsid w:val="006C13B5"/>
    <w:rsid w:val="006C341A"/>
    <w:rsid w:val="006D574F"/>
    <w:rsid w:val="006F5131"/>
    <w:rsid w:val="00701047"/>
    <w:rsid w:val="007049D1"/>
    <w:rsid w:val="00720441"/>
    <w:rsid w:val="0072469D"/>
    <w:rsid w:val="00731C4E"/>
    <w:rsid w:val="00734D14"/>
    <w:rsid w:val="00741544"/>
    <w:rsid w:val="00742648"/>
    <w:rsid w:val="00754BC7"/>
    <w:rsid w:val="00754BF0"/>
    <w:rsid w:val="007577B5"/>
    <w:rsid w:val="00760BE7"/>
    <w:rsid w:val="00763286"/>
    <w:rsid w:val="007652AA"/>
    <w:rsid w:val="007702CB"/>
    <w:rsid w:val="007753CE"/>
    <w:rsid w:val="00783C08"/>
    <w:rsid w:val="00784E26"/>
    <w:rsid w:val="00785579"/>
    <w:rsid w:val="007901F0"/>
    <w:rsid w:val="0079517C"/>
    <w:rsid w:val="00797838"/>
    <w:rsid w:val="007A0CF0"/>
    <w:rsid w:val="007A2AD0"/>
    <w:rsid w:val="007A557C"/>
    <w:rsid w:val="007B03F9"/>
    <w:rsid w:val="007B0EC7"/>
    <w:rsid w:val="007C2D13"/>
    <w:rsid w:val="007C5B37"/>
    <w:rsid w:val="008046B1"/>
    <w:rsid w:val="00813A31"/>
    <w:rsid w:val="0082157B"/>
    <w:rsid w:val="00823147"/>
    <w:rsid w:val="00837D40"/>
    <w:rsid w:val="00866514"/>
    <w:rsid w:val="00885D1F"/>
    <w:rsid w:val="00892D05"/>
    <w:rsid w:val="008A3014"/>
    <w:rsid w:val="008B24B1"/>
    <w:rsid w:val="008B355A"/>
    <w:rsid w:val="008B5915"/>
    <w:rsid w:val="008C012F"/>
    <w:rsid w:val="008C06DC"/>
    <w:rsid w:val="008C4D9F"/>
    <w:rsid w:val="008E03CB"/>
    <w:rsid w:val="008E2228"/>
    <w:rsid w:val="008E4389"/>
    <w:rsid w:val="008E4B2D"/>
    <w:rsid w:val="008E4CE6"/>
    <w:rsid w:val="008E6230"/>
    <w:rsid w:val="008E6CFD"/>
    <w:rsid w:val="008F5002"/>
    <w:rsid w:val="009003B6"/>
    <w:rsid w:val="009122A1"/>
    <w:rsid w:val="00933F3C"/>
    <w:rsid w:val="009453C6"/>
    <w:rsid w:val="00946983"/>
    <w:rsid w:val="00951A47"/>
    <w:rsid w:val="00984D98"/>
    <w:rsid w:val="009B5956"/>
    <w:rsid w:val="009C2A42"/>
    <w:rsid w:val="009C6714"/>
    <w:rsid w:val="009F2861"/>
    <w:rsid w:val="009F616B"/>
    <w:rsid w:val="00A20627"/>
    <w:rsid w:val="00A36145"/>
    <w:rsid w:val="00A4185C"/>
    <w:rsid w:val="00A42C27"/>
    <w:rsid w:val="00A46644"/>
    <w:rsid w:val="00A47AA9"/>
    <w:rsid w:val="00A5142A"/>
    <w:rsid w:val="00A6174D"/>
    <w:rsid w:val="00A70C48"/>
    <w:rsid w:val="00A72943"/>
    <w:rsid w:val="00AA2F76"/>
    <w:rsid w:val="00AB44BC"/>
    <w:rsid w:val="00AB4508"/>
    <w:rsid w:val="00AC1EE3"/>
    <w:rsid w:val="00AC75B5"/>
    <w:rsid w:val="00AD0CA2"/>
    <w:rsid w:val="00AE0E53"/>
    <w:rsid w:val="00B038A1"/>
    <w:rsid w:val="00B06B9E"/>
    <w:rsid w:val="00B144E0"/>
    <w:rsid w:val="00B25689"/>
    <w:rsid w:val="00B32C90"/>
    <w:rsid w:val="00B36C99"/>
    <w:rsid w:val="00B42C4F"/>
    <w:rsid w:val="00B47B41"/>
    <w:rsid w:val="00B50C55"/>
    <w:rsid w:val="00B52F7C"/>
    <w:rsid w:val="00B553A3"/>
    <w:rsid w:val="00B64B6D"/>
    <w:rsid w:val="00B64BF7"/>
    <w:rsid w:val="00B64CCA"/>
    <w:rsid w:val="00B659D7"/>
    <w:rsid w:val="00B726F2"/>
    <w:rsid w:val="00B7501E"/>
    <w:rsid w:val="00B759E5"/>
    <w:rsid w:val="00B82970"/>
    <w:rsid w:val="00BA3266"/>
    <w:rsid w:val="00BA3C3E"/>
    <w:rsid w:val="00BA4606"/>
    <w:rsid w:val="00BA7FEE"/>
    <w:rsid w:val="00BB0566"/>
    <w:rsid w:val="00BC6327"/>
    <w:rsid w:val="00BD01E5"/>
    <w:rsid w:val="00BD3285"/>
    <w:rsid w:val="00BD5EB4"/>
    <w:rsid w:val="00BE419E"/>
    <w:rsid w:val="00BE6F9C"/>
    <w:rsid w:val="00BF7647"/>
    <w:rsid w:val="00C00EE5"/>
    <w:rsid w:val="00C04F0B"/>
    <w:rsid w:val="00C10BC1"/>
    <w:rsid w:val="00C215C3"/>
    <w:rsid w:val="00C2338A"/>
    <w:rsid w:val="00C33F5C"/>
    <w:rsid w:val="00C61043"/>
    <w:rsid w:val="00C67B41"/>
    <w:rsid w:val="00C84151"/>
    <w:rsid w:val="00C94B36"/>
    <w:rsid w:val="00C95BCD"/>
    <w:rsid w:val="00CA4192"/>
    <w:rsid w:val="00CB101D"/>
    <w:rsid w:val="00CB118C"/>
    <w:rsid w:val="00CB4FCB"/>
    <w:rsid w:val="00CC0345"/>
    <w:rsid w:val="00CC240A"/>
    <w:rsid w:val="00CC27BE"/>
    <w:rsid w:val="00CD738E"/>
    <w:rsid w:val="00CF185C"/>
    <w:rsid w:val="00CF561B"/>
    <w:rsid w:val="00CF69D4"/>
    <w:rsid w:val="00CF712A"/>
    <w:rsid w:val="00CF73AF"/>
    <w:rsid w:val="00D2028F"/>
    <w:rsid w:val="00D23C3D"/>
    <w:rsid w:val="00D2791D"/>
    <w:rsid w:val="00D3480E"/>
    <w:rsid w:val="00D35133"/>
    <w:rsid w:val="00D465F5"/>
    <w:rsid w:val="00D63DFD"/>
    <w:rsid w:val="00D656A2"/>
    <w:rsid w:val="00D832E9"/>
    <w:rsid w:val="00D92621"/>
    <w:rsid w:val="00D95368"/>
    <w:rsid w:val="00D97041"/>
    <w:rsid w:val="00DA08C4"/>
    <w:rsid w:val="00DA2E52"/>
    <w:rsid w:val="00DA3149"/>
    <w:rsid w:val="00DA65AA"/>
    <w:rsid w:val="00DA7815"/>
    <w:rsid w:val="00DB558B"/>
    <w:rsid w:val="00DB5C3F"/>
    <w:rsid w:val="00DD014B"/>
    <w:rsid w:val="00DD3607"/>
    <w:rsid w:val="00DD7924"/>
    <w:rsid w:val="00DD7FC4"/>
    <w:rsid w:val="00DF03C1"/>
    <w:rsid w:val="00DF1EA1"/>
    <w:rsid w:val="00E0055B"/>
    <w:rsid w:val="00E21581"/>
    <w:rsid w:val="00E23A28"/>
    <w:rsid w:val="00E24D30"/>
    <w:rsid w:val="00E336C2"/>
    <w:rsid w:val="00E474B9"/>
    <w:rsid w:val="00E50261"/>
    <w:rsid w:val="00E67F4D"/>
    <w:rsid w:val="00E70F02"/>
    <w:rsid w:val="00E732BB"/>
    <w:rsid w:val="00E76951"/>
    <w:rsid w:val="00E83912"/>
    <w:rsid w:val="00EA20BE"/>
    <w:rsid w:val="00EA5793"/>
    <w:rsid w:val="00EA6789"/>
    <w:rsid w:val="00EB162D"/>
    <w:rsid w:val="00EB763F"/>
    <w:rsid w:val="00EC17D3"/>
    <w:rsid w:val="00EC6E7F"/>
    <w:rsid w:val="00EC7F03"/>
    <w:rsid w:val="00ED07F2"/>
    <w:rsid w:val="00EF3483"/>
    <w:rsid w:val="00F017B9"/>
    <w:rsid w:val="00F10E02"/>
    <w:rsid w:val="00F17751"/>
    <w:rsid w:val="00F34221"/>
    <w:rsid w:val="00F36FFA"/>
    <w:rsid w:val="00F40BF2"/>
    <w:rsid w:val="00F4567E"/>
    <w:rsid w:val="00F473EA"/>
    <w:rsid w:val="00F525DA"/>
    <w:rsid w:val="00F56767"/>
    <w:rsid w:val="00F635AA"/>
    <w:rsid w:val="00F665FA"/>
    <w:rsid w:val="00F70257"/>
    <w:rsid w:val="00F736BF"/>
    <w:rsid w:val="00F76CC0"/>
    <w:rsid w:val="00F8052E"/>
    <w:rsid w:val="00F81942"/>
    <w:rsid w:val="00F81988"/>
    <w:rsid w:val="00F827FC"/>
    <w:rsid w:val="00F9797B"/>
    <w:rsid w:val="00FA61BF"/>
    <w:rsid w:val="00FB108F"/>
    <w:rsid w:val="00FB49D0"/>
    <w:rsid w:val="00FD0E63"/>
    <w:rsid w:val="00FD605B"/>
    <w:rsid w:val="00FD68A8"/>
    <w:rsid w:val="00FE1099"/>
    <w:rsid w:val="00FE70F2"/>
    <w:rsid w:val="00FF2644"/>
    <w:rsid w:val="00FF49ED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673B"/>
  <w15:chartTrackingRefBased/>
  <w15:docId w15:val="{9CDA3C2C-7FFC-4A68-BE2B-3FCE7DAF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19E"/>
    <w:pPr>
      <w:spacing w:line="278" w:lineRule="auto"/>
    </w:pPr>
    <w:rPr>
      <w:rFonts w:eastAsiaTheme="minorEastAsia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2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265"/>
    <w:rPr>
      <w:rFonts w:eastAsiaTheme="majorEastAsia" w:cstheme="majorBidi"/>
      <w:color w:val="0F4761" w:themeColor="accent1" w:themeShade="BF"/>
      <w:sz w:val="28"/>
      <w:szCs w:val="28"/>
      <w:lang w:val="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265"/>
    <w:rPr>
      <w:rFonts w:eastAsiaTheme="majorEastAsia" w:cstheme="majorBidi"/>
      <w:i/>
      <w:iCs/>
      <w:color w:val="0F4761" w:themeColor="accent1" w:themeShade="BF"/>
      <w:lang w:val="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265"/>
    <w:rPr>
      <w:rFonts w:eastAsiaTheme="majorEastAsia" w:cstheme="majorBidi"/>
      <w:color w:val="0F4761" w:themeColor="accent1" w:themeShade="BF"/>
      <w:lang w:val="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265"/>
    <w:rPr>
      <w:rFonts w:eastAsiaTheme="majorEastAsia" w:cstheme="majorBidi"/>
      <w:i/>
      <w:iCs/>
      <w:color w:val="595959" w:themeColor="text1" w:themeTint="A6"/>
      <w:lang w:val="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265"/>
    <w:rPr>
      <w:rFonts w:eastAsiaTheme="majorEastAsia" w:cstheme="majorBidi"/>
      <w:color w:val="595959" w:themeColor="text1" w:themeTint="A6"/>
      <w:lang w:val="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265"/>
    <w:rPr>
      <w:rFonts w:eastAsiaTheme="majorEastAsia" w:cstheme="majorBidi"/>
      <w:i/>
      <w:iCs/>
      <w:color w:val="272727" w:themeColor="text1" w:themeTint="D8"/>
      <w:lang w:val="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65"/>
    <w:rPr>
      <w:rFonts w:eastAsiaTheme="majorEastAsia" w:cstheme="majorBidi"/>
      <w:color w:val="272727" w:themeColor="text1" w:themeTint="D8"/>
      <w:lang w:val="bg"/>
    </w:rPr>
  </w:style>
  <w:style w:type="paragraph" w:styleId="Title">
    <w:name w:val="Title"/>
    <w:basedOn w:val="Normal"/>
    <w:next w:val="Normal"/>
    <w:link w:val="TitleChar"/>
    <w:uiPriority w:val="10"/>
    <w:qFormat/>
    <w:rsid w:val="005D5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265"/>
    <w:rPr>
      <w:rFonts w:asciiTheme="majorHAnsi" w:eastAsiaTheme="majorEastAsia" w:hAnsiTheme="majorHAnsi" w:cstheme="majorBidi"/>
      <w:spacing w:val="-10"/>
      <w:kern w:val="28"/>
      <w:sz w:val="56"/>
      <w:szCs w:val="56"/>
      <w:lang w:val="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265"/>
    <w:rPr>
      <w:rFonts w:eastAsiaTheme="majorEastAsia" w:cstheme="majorBidi"/>
      <w:color w:val="595959" w:themeColor="text1" w:themeTint="A6"/>
      <w:spacing w:val="15"/>
      <w:sz w:val="28"/>
      <w:szCs w:val="28"/>
      <w:lang w:val="bg"/>
    </w:rPr>
  </w:style>
  <w:style w:type="paragraph" w:styleId="Quote">
    <w:name w:val="Quote"/>
    <w:basedOn w:val="Normal"/>
    <w:next w:val="Normal"/>
    <w:link w:val="QuoteChar"/>
    <w:uiPriority w:val="29"/>
    <w:qFormat/>
    <w:rsid w:val="005D5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265"/>
    <w:rPr>
      <w:i/>
      <w:iCs/>
      <w:color w:val="404040" w:themeColor="text1" w:themeTint="BF"/>
      <w:lang w:val="bg"/>
    </w:rPr>
  </w:style>
  <w:style w:type="paragraph" w:styleId="ListParagraph">
    <w:name w:val="List Paragraph"/>
    <w:aliases w:val="Bullet 3,ПАРАГРАФ,Bullet line,Style 1,C 1,Гл точки,Normal List,Endnote,Indent,Списък на абзаци"/>
    <w:basedOn w:val="Normal"/>
    <w:link w:val="ListParagraphChar"/>
    <w:uiPriority w:val="34"/>
    <w:qFormat/>
    <w:rsid w:val="005D5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265"/>
    <w:rPr>
      <w:i/>
      <w:iCs/>
      <w:color w:val="0F4761" w:themeColor="accent1" w:themeShade="BF"/>
      <w:lang w:val="bg"/>
    </w:rPr>
  </w:style>
  <w:style w:type="character" w:styleId="IntenseReference">
    <w:name w:val="Intense Reference"/>
    <w:basedOn w:val="DefaultParagraphFont"/>
    <w:uiPriority w:val="32"/>
    <w:qFormat/>
    <w:rsid w:val="005D52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5265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TableNormal"/>
    <w:next w:val="TableGrid"/>
    <w:uiPriority w:val="39"/>
    <w:rsid w:val="005D526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644"/>
    <w:rPr>
      <w:rFonts w:eastAsiaTheme="minorEastAsia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FF2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644"/>
    <w:rPr>
      <w:rFonts w:eastAsiaTheme="minorEastAsia"/>
      <w:sz w:val="24"/>
      <w:szCs w:val="24"/>
      <w:lang w:eastAsia="fr-FR"/>
    </w:rPr>
  </w:style>
  <w:style w:type="table" w:customStyle="1" w:styleId="TableGrid22">
    <w:name w:val="Table Grid22"/>
    <w:basedOn w:val="TableNormal"/>
    <w:next w:val="TableGrid"/>
    <w:uiPriority w:val="39"/>
    <w:rsid w:val="00FF2644"/>
    <w:pPr>
      <w:spacing w:after="0" w:line="240" w:lineRule="auto"/>
    </w:pPr>
    <w:rPr>
      <w:kern w:val="0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FF2644"/>
    <w:pPr>
      <w:spacing w:after="0" w:line="240" w:lineRule="auto"/>
    </w:pPr>
    <w:rPr>
      <w:kern w:val="0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3 Char,ПАРАГРАФ Char,Bullet line Char,Style 1 Char,C 1 Char,Гл точки Char,Normal List Char,Endnote Char,Indent Char,Списък на абзаци Char"/>
    <w:link w:val="ListParagraph"/>
    <w:uiPriority w:val="34"/>
    <w:qFormat/>
    <w:locked/>
    <w:rsid w:val="00FF2644"/>
    <w:rPr>
      <w:rFonts w:eastAsiaTheme="minorEastAsia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F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bg-BG" w:eastAsia="bg-BG"/>
      <w14:ligatures w14:val="none"/>
    </w:rPr>
  </w:style>
  <w:style w:type="character" w:styleId="Strong">
    <w:name w:val="Strong"/>
    <w:basedOn w:val="DefaultParagraphFont"/>
    <w:uiPriority w:val="22"/>
    <w:qFormat/>
    <w:rsid w:val="00FF2644"/>
    <w:rPr>
      <w:b/>
      <w:bCs/>
    </w:rPr>
  </w:style>
  <w:style w:type="paragraph" w:customStyle="1" w:styleId="Default">
    <w:name w:val="Default"/>
    <w:rsid w:val="006663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bg-BG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F2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861"/>
    <w:rPr>
      <w:rFonts w:eastAsiaTheme="minorEastAsia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861"/>
    <w:rPr>
      <w:rFonts w:eastAsiaTheme="minorEastAsia"/>
      <w:b/>
      <w:bCs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11506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067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115067"/>
  </w:style>
  <w:style w:type="table" w:customStyle="1" w:styleId="TableGrid1">
    <w:name w:val="Table Grid1"/>
    <w:basedOn w:val="TableNormal"/>
    <w:next w:val="TableGrid"/>
    <w:uiPriority w:val="39"/>
    <w:rsid w:val="00E67F4D"/>
    <w:pPr>
      <w:spacing w:after="0" w:line="240" w:lineRule="auto"/>
    </w:pPr>
    <w:rPr>
      <w:kern w:val="0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81988"/>
    <w:pPr>
      <w:spacing w:after="0" w:line="240" w:lineRule="auto"/>
    </w:pPr>
    <w:rPr>
      <w:rFonts w:eastAsia="Times New Roman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F81988"/>
    <w:pPr>
      <w:spacing w:after="0" w:line="240" w:lineRule="auto"/>
    </w:pPr>
    <w:rPr>
      <w:kern w:val="0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0B030A"/>
    <w:pPr>
      <w:spacing w:after="0" w:line="240" w:lineRule="auto"/>
    </w:pPr>
    <w:rPr>
      <w:kern w:val="0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0B030A"/>
    <w:pPr>
      <w:spacing w:after="0" w:line="240" w:lineRule="auto"/>
    </w:pPr>
    <w:rPr>
      <w:kern w:val="0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39"/>
    <w:rsid w:val="000B030A"/>
    <w:pPr>
      <w:spacing w:after="0" w:line="240" w:lineRule="auto"/>
    </w:pPr>
    <w:rPr>
      <w:kern w:val="0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132F"/>
    <w:pPr>
      <w:spacing w:after="0" w:line="240" w:lineRule="auto"/>
    </w:pPr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2C5F7-DF52-4744-B2B4-F8BA4F45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DEMOEN Lukas (ECFIN)</dc:creator>
  <cp:keywords/>
  <dc:description/>
  <cp:lastModifiedBy>Галина Смелова</cp:lastModifiedBy>
  <cp:revision>2</cp:revision>
  <dcterms:created xsi:type="dcterms:W3CDTF">2026-04-27T11:37:00Z</dcterms:created>
  <dcterms:modified xsi:type="dcterms:W3CDTF">2026-04-27T11:37:00Z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2025-09-05T09:53:20Z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c212feb8-c7f8-4eac-a857-f826961f4ed8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