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06372" w14:textId="77777777" w:rsidR="00F244E6" w:rsidRPr="00EE0F0C" w:rsidRDefault="00F244E6" w:rsidP="00F244E6">
      <w:pPr>
        <w:tabs>
          <w:tab w:val="left" w:pos="709"/>
          <w:tab w:val="left" w:pos="851"/>
        </w:tabs>
        <w:spacing w:line="230" w:lineRule="auto"/>
        <w:ind w:right="-1"/>
        <w:jc w:val="center"/>
        <w:rPr>
          <w:b/>
          <w:iCs/>
          <w:spacing w:val="100"/>
          <w:sz w:val="32"/>
          <w:szCs w:val="32"/>
        </w:rPr>
      </w:pPr>
      <w:r w:rsidRPr="00EE0F0C">
        <w:rPr>
          <w:b/>
          <w:iCs/>
          <w:spacing w:val="100"/>
          <w:sz w:val="32"/>
          <w:szCs w:val="32"/>
        </w:rPr>
        <w:t>ПРОГРАМА</w:t>
      </w:r>
    </w:p>
    <w:p w14:paraId="6753D684" w14:textId="12CEC933" w:rsidR="00140442" w:rsidRPr="00EE0F0C" w:rsidRDefault="00F244E6" w:rsidP="00EE0F0C">
      <w:pPr>
        <w:tabs>
          <w:tab w:val="left" w:pos="709"/>
          <w:tab w:val="left" w:pos="851"/>
        </w:tabs>
        <w:spacing w:line="230" w:lineRule="auto"/>
        <w:ind w:right="-1"/>
        <w:jc w:val="center"/>
        <w:rPr>
          <w:rFonts w:eastAsia="Calibri"/>
          <w:bCs/>
          <w:color w:val="000000"/>
          <w:sz w:val="28"/>
          <w:szCs w:val="28"/>
        </w:rPr>
      </w:pPr>
      <w:r w:rsidRPr="00EE0F0C">
        <w:rPr>
          <w:b/>
          <w:iCs/>
          <w:sz w:val="28"/>
          <w:szCs w:val="28"/>
        </w:rPr>
        <w:t xml:space="preserve">за </w:t>
      </w:r>
      <w:r w:rsidR="00F612B4" w:rsidRPr="00EE0F0C">
        <w:rPr>
          <w:b/>
          <w:iCs/>
          <w:sz w:val="28"/>
          <w:szCs w:val="28"/>
          <w:lang w:val="bg-BG"/>
        </w:rPr>
        <w:t xml:space="preserve">субсидиране </w:t>
      </w:r>
      <w:r w:rsidRPr="00EE0F0C">
        <w:rPr>
          <w:b/>
          <w:iCs/>
          <w:sz w:val="28"/>
          <w:szCs w:val="28"/>
        </w:rPr>
        <w:t xml:space="preserve">на превозвачи </w:t>
      </w:r>
      <w:r w:rsidR="002D3CC5" w:rsidRPr="00EE0F0C">
        <w:rPr>
          <w:b/>
          <w:iCs/>
          <w:sz w:val="28"/>
          <w:szCs w:val="28"/>
        </w:rPr>
        <w:t xml:space="preserve">по автобусни линии от утвърдените транспортни </w:t>
      </w:r>
      <w:r w:rsidR="000A0FA8" w:rsidRPr="00EE0F0C">
        <w:rPr>
          <w:b/>
          <w:iCs/>
          <w:sz w:val="28"/>
          <w:szCs w:val="28"/>
        </w:rPr>
        <w:t xml:space="preserve">схеми </w:t>
      </w:r>
      <w:r w:rsidR="000A0FA8" w:rsidRPr="00EE0F0C">
        <w:rPr>
          <w:b/>
          <w:iCs/>
          <w:sz w:val="28"/>
          <w:szCs w:val="28"/>
          <w:lang w:val="bg-BG"/>
        </w:rPr>
        <w:t xml:space="preserve">– </w:t>
      </w:r>
      <w:r w:rsidR="002D3CC5" w:rsidRPr="00EE0F0C">
        <w:rPr>
          <w:b/>
          <w:iCs/>
          <w:sz w:val="28"/>
          <w:szCs w:val="28"/>
        </w:rPr>
        <w:t>републиканска, междуобластна, областни и общински</w:t>
      </w:r>
      <w:r w:rsidR="000A0FA8" w:rsidRPr="00EE0F0C">
        <w:rPr>
          <w:b/>
          <w:iCs/>
          <w:sz w:val="28"/>
          <w:szCs w:val="28"/>
          <w:lang w:val="bg-BG"/>
        </w:rPr>
        <w:t>,</w:t>
      </w:r>
      <w:r w:rsidR="002D3CC5" w:rsidRPr="00EE0F0C">
        <w:rPr>
          <w:b/>
          <w:iCs/>
          <w:sz w:val="28"/>
          <w:szCs w:val="28"/>
        </w:rPr>
        <w:t xml:space="preserve"> </w:t>
      </w:r>
      <w:r w:rsidRPr="00EE0F0C">
        <w:rPr>
          <w:b/>
          <w:iCs/>
          <w:sz w:val="28"/>
          <w:szCs w:val="28"/>
        </w:rPr>
        <w:t>за увеличените цени на горивата</w:t>
      </w:r>
      <w:r w:rsidR="003E14CC" w:rsidRPr="00EE0F0C">
        <w:rPr>
          <w:b/>
          <w:iCs/>
          <w:sz w:val="28"/>
          <w:szCs w:val="28"/>
        </w:rPr>
        <w:t xml:space="preserve"> след избухване на конфликта в </w:t>
      </w:r>
      <w:r w:rsidR="003E14CC" w:rsidRPr="00EE0F0C">
        <w:rPr>
          <w:b/>
          <w:iCs/>
          <w:sz w:val="28"/>
          <w:szCs w:val="28"/>
          <w:lang w:val="bg-BG"/>
        </w:rPr>
        <w:t>Б</w:t>
      </w:r>
      <w:r w:rsidRPr="00EE0F0C">
        <w:rPr>
          <w:b/>
          <w:iCs/>
          <w:sz w:val="28"/>
          <w:szCs w:val="28"/>
        </w:rPr>
        <w:t>лизкия изток на 28 февруари 2026 г.</w:t>
      </w:r>
    </w:p>
    <w:p w14:paraId="016E75E0" w14:textId="77777777" w:rsidR="00F244E6" w:rsidRPr="00BF1CED" w:rsidRDefault="00F244E6" w:rsidP="00F244E6">
      <w:pPr>
        <w:tabs>
          <w:tab w:val="left" w:pos="709"/>
          <w:tab w:val="left" w:pos="851"/>
        </w:tabs>
        <w:spacing w:line="230" w:lineRule="auto"/>
        <w:ind w:right="-1"/>
        <w:jc w:val="both"/>
        <w:rPr>
          <w:rFonts w:eastAsia="Calibri"/>
          <w:b/>
          <w:bCs/>
          <w:color w:val="000000"/>
        </w:rPr>
      </w:pPr>
    </w:p>
    <w:p w14:paraId="05ACB84B" w14:textId="77777777" w:rsidR="00F244E6" w:rsidRPr="00F244E6" w:rsidRDefault="00F244E6" w:rsidP="00F244E6">
      <w:pPr>
        <w:tabs>
          <w:tab w:val="left" w:pos="709"/>
          <w:tab w:val="left" w:pos="851"/>
        </w:tabs>
        <w:spacing w:line="230" w:lineRule="auto"/>
        <w:ind w:right="-1"/>
        <w:jc w:val="both"/>
        <w:rPr>
          <w:rFonts w:eastAsia="Calibri"/>
          <w:bCs/>
          <w:color w:val="000000"/>
        </w:rPr>
      </w:pPr>
    </w:p>
    <w:p w14:paraId="4E26C547" w14:textId="36CDC56B" w:rsidR="00F244E6" w:rsidRPr="00F244E6" w:rsidRDefault="00F244E6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</w:rPr>
      </w:pPr>
      <w:r w:rsidRPr="00F244E6">
        <w:rPr>
          <w:rFonts w:eastAsia="Calibri"/>
          <w:bCs/>
          <w:color w:val="000000"/>
        </w:rPr>
        <w:t xml:space="preserve">С Програмата </w:t>
      </w:r>
      <w:r w:rsidR="00A56DBC">
        <w:rPr>
          <w:rFonts w:eastAsia="Calibri"/>
          <w:bCs/>
          <w:color w:val="000000"/>
          <w:lang w:val="bg-BG"/>
        </w:rPr>
        <w:t xml:space="preserve">за </w:t>
      </w:r>
      <w:r w:rsidR="00F612B4">
        <w:rPr>
          <w:rFonts w:eastAsia="Calibri"/>
          <w:bCs/>
          <w:color w:val="000000"/>
          <w:lang w:val="bg-BG"/>
        </w:rPr>
        <w:t xml:space="preserve">субсидиране </w:t>
      </w:r>
      <w:r w:rsidRPr="00F244E6">
        <w:rPr>
          <w:rFonts w:eastAsia="Calibri"/>
          <w:bCs/>
          <w:color w:val="000000"/>
        </w:rPr>
        <w:t xml:space="preserve">на превозвачи </w:t>
      </w:r>
      <w:r w:rsidR="002D3CC5" w:rsidRPr="002D3CC5">
        <w:rPr>
          <w:rFonts w:eastAsia="Calibri"/>
          <w:bCs/>
          <w:color w:val="000000"/>
        </w:rPr>
        <w:t xml:space="preserve">по автобусни линии от утвърдените транспортни </w:t>
      </w:r>
      <w:r w:rsidR="000A0FA8" w:rsidRPr="002D3CC5">
        <w:rPr>
          <w:rFonts w:eastAsia="Calibri"/>
          <w:bCs/>
          <w:color w:val="000000"/>
        </w:rPr>
        <w:t xml:space="preserve">схеми </w:t>
      </w:r>
      <w:r w:rsidR="000A0FA8">
        <w:rPr>
          <w:rFonts w:eastAsia="Calibri"/>
          <w:bCs/>
          <w:color w:val="000000"/>
          <w:lang w:val="bg-BG"/>
        </w:rPr>
        <w:t xml:space="preserve">– </w:t>
      </w:r>
      <w:r w:rsidR="002D3CC5" w:rsidRPr="002D3CC5">
        <w:rPr>
          <w:rFonts w:eastAsia="Calibri"/>
          <w:bCs/>
          <w:color w:val="000000"/>
        </w:rPr>
        <w:t>републиканска, междуобластна, областни и общински</w:t>
      </w:r>
      <w:r w:rsidR="000A0FA8">
        <w:rPr>
          <w:rFonts w:eastAsia="Calibri"/>
          <w:bCs/>
          <w:color w:val="000000"/>
          <w:lang w:val="bg-BG"/>
        </w:rPr>
        <w:t>,</w:t>
      </w:r>
      <w:r w:rsidR="002D3CC5" w:rsidRPr="002D3CC5">
        <w:rPr>
          <w:rFonts w:eastAsia="Calibri"/>
          <w:bCs/>
          <w:color w:val="000000"/>
        </w:rPr>
        <w:t xml:space="preserve"> </w:t>
      </w:r>
      <w:r w:rsidRPr="00F244E6">
        <w:rPr>
          <w:rFonts w:eastAsia="Calibri"/>
          <w:bCs/>
          <w:color w:val="000000"/>
        </w:rPr>
        <w:t xml:space="preserve">за увеличените цени на горивата след избухване на конфликта в </w:t>
      </w:r>
      <w:r w:rsidR="003E14CC">
        <w:rPr>
          <w:rFonts w:eastAsia="Calibri"/>
          <w:bCs/>
          <w:color w:val="000000"/>
          <w:lang w:val="bg-BG"/>
        </w:rPr>
        <w:t>Б</w:t>
      </w:r>
      <w:r w:rsidRPr="00F244E6">
        <w:rPr>
          <w:rFonts w:eastAsia="Calibri"/>
          <w:bCs/>
          <w:color w:val="000000"/>
        </w:rPr>
        <w:t xml:space="preserve">лизкия изток на </w:t>
      </w:r>
      <w:r w:rsidR="00EE0F0C">
        <w:rPr>
          <w:rFonts w:eastAsia="Calibri"/>
          <w:bCs/>
          <w:color w:val="000000"/>
        </w:rPr>
        <w:br/>
      </w:r>
      <w:r w:rsidRPr="00F244E6">
        <w:rPr>
          <w:rFonts w:eastAsia="Calibri"/>
          <w:bCs/>
          <w:color w:val="000000"/>
        </w:rPr>
        <w:t>28 февруари 2026 г. (Програмата) се уреждат условията и редът за компенсиране на превозвачи</w:t>
      </w:r>
      <w:r w:rsidR="00A56DBC">
        <w:rPr>
          <w:lang w:val="bg-BG"/>
        </w:rPr>
        <w:t>, изпълняващи пробег</w:t>
      </w:r>
      <w:r w:rsidR="00EE0F0C">
        <w:rPr>
          <w:lang w:val="en-US"/>
        </w:rPr>
        <w:t xml:space="preserve"> </w:t>
      </w:r>
      <w:r w:rsidR="002D3CC5" w:rsidRPr="002D3CC5">
        <w:rPr>
          <w:rFonts w:eastAsia="Calibri"/>
          <w:bCs/>
          <w:color w:val="000000"/>
        </w:rPr>
        <w:t>извън т</w:t>
      </w:r>
      <w:r w:rsidR="00A56DBC">
        <w:rPr>
          <w:rFonts w:eastAsia="Calibri"/>
          <w:bCs/>
          <w:color w:val="000000"/>
          <w:lang w:val="bg-BG"/>
        </w:rPr>
        <w:t>о</w:t>
      </w:r>
      <w:r w:rsidR="002D3CC5" w:rsidRPr="002D3CC5">
        <w:rPr>
          <w:rFonts w:eastAsia="Calibri"/>
          <w:bCs/>
          <w:color w:val="000000"/>
        </w:rPr>
        <w:t xml:space="preserve">зи по § 4, ал. 1, т. 1 от </w:t>
      </w:r>
      <w:r w:rsidR="00F612B4">
        <w:rPr>
          <w:rFonts w:eastAsia="Calibri"/>
          <w:bCs/>
          <w:color w:val="000000"/>
          <w:lang w:val="bg-BG"/>
        </w:rPr>
        <w:t>З</w:t>
      </w:r>
      <w:r w:rsidR="002D3CC5" w:rsidRPr="002D3CC5">
        <w:rPr>
          <w:rFonts w:eastAsia="Calibri"/>
          <w:bCs/>
          <w:color w:val="000000"/>
        </w:rPr>
        <w:t>аключителните разпоредби на Закона за автомобилните превози</w:t>
      </w:r>
      <w:r w:rsidRPr="002D3CC5">
        <w:rPr>
          <w:rFonts w:eastAsia="Calibri"/>
          <w:bCs/>
          <w:color w:val="000000"/>
        </w:rPr>
        <w:t>,</w:t>
      </w:r>
      <w:r w:rsidRPr="00F244E6">
        <w:rPr>
          <w:rFonts w:eastAsia="Calibri"/>
          <w:bCs/>
          <w:color w:val="000000"/>
        </w:rPr>
        <w:t xml:space="preserve"> на които са възлож</w:t>
      </w:r>
      <w:proofErr w:type="spellStart"/>
      <w:r w:rsidR="00091BC2">
        <w:rPr>
          <w:rFonts w:eastAsia="Calibri"/>
          <w:bCs/>
          <w:color w:val="000000"/>
          <w:lang w:val="bg-BG"/>
        </w:rPr>
        <w:t>ени</w:t>
      </w:r>
      <w:proofErr w:type="spellEnd"/>
      <w:r w:rsidRPr="00F244E6">
        <w:rPr>
          <w:rFonts w:eastAsia="Calibri"/>
          <w:bCs/>
          <w:color w:val="000000"/>
        </w:rPr>
        <w:t xml:space="preserve"> превози по автобусни линии от утвърдените транспортни схеми – републиканска, междуобластна, областни и общински, в съответствие с разпоредбите на Регламент (ЕО) № 1370/2007 на Европейския парламент и на Съвета от 23 октомври 2007 г. относно обществените услуги за пътнически превоз с железопътен и автомобилен транспорт и за отмяна на регламенти (ЕИО) № 1191/69 и (ЕИО) № 1107/70 на Съвета</w:t>
      </w:r>
      <w:r w:rsidR="002479F9">
        <w:rPr>
          <w:rFonts w:eastAsia="Calibri"/>
          <w:bCs/>
          <w:color w:val="000000"/>
          <w:lang w:val="bg-BG"/>
        </w:rPr>
        <w:t xml:space="preserve"> </w:t>
      </w:r>
      <w:r w:rsidR="002479F9" w:rsidRPr="009772F9">
        <w:rPr>
          <w:rFonts w:eastAsia="Calibri"/>
          <w:bCs/>
          <w:color w:val="000000"/>
          <w:lang w:val="bg-BG"/>
        </w:rPr>
        <w:t>(</w:t>
      </w:r>
      <w:r w:rsidR="002479F9" w:rsidRPr="009772F9">
        <w:rPr>
          <w:rFonts w:eastAsia="Calibri"/>
          <w:bCs/>
          <w:color w:val="000000"/>
          <w:lang w:val="en-US"/>
        </w:rPr>
        <w:t xml:space="preserve">OB, L 315/1 </w:t>
      </w:r>
      <w:r w:rsidR="002479F9" w:rsidRPr="009772F9">
        <w:rPr>
          <w:rFonts w:eastAsia="Calibri"/>
          <w:bCs/>
          <w:color w:val="000000"/>
          <w:lang w:val="bg-BG"/>
        </w:rPr>
        <w:t>от 3 декември 2007 г.)</w:t>
      </w:r>
      <w:r w:rsidRPr="00F244E6">
        <w:rPr>
          <w:rFonts w:eastAsia="Calibri"/>
          <w:bCs/>
          <w:color w:val="000000"/>
        </w:rPr>
        <w:t xml:space="preserve"> (Регламент (ЕО) № 1370/2007) и които спазват правилата за извършване на обществен превоз на пътници</w:t>
      </w:r>
      <w:r w:rsidR="002479F9">
        <w:rPr>
          <w:rFonts w:eastAsia="Calibri"/>
          <w:bCs/>
          <w:color w:val="000000"/>
          <w:lang w:val="bg-BG"/>
        </w:rPr>
        <w:t>,</w:t>
      </w:r>
      <w:r w:rsidR="002D3CC5" w:rsidRPr="002D3CC5">
        <w:t xml:space="preserve"> </w:t>
      </w:r>
      <w:r w:rsidR="002D3CC5" w:rsidRPr="002D3CC5">
        <w:rPr>
          <w:rFonts w:eastAsia="Calibri"/>
          <w:bCs/>
          <w:color w:val="000000"/>
        </w:rPr>
        <w:t>като не се допуска свръх</w:t>
      </w:r>
      <w:r w:rsidR="00A56DBC">
        <w:rPr>
          <w:rFonts w:eastAsia="Calibri"/>
          <w:bCs/>
          <w:color w:val="000000"/>
          <w:lang w:val="bg-BG"/>
        </w:rPr>
        <w:t>компенсиране</w:t>
      </w:r>
      <w:r w:rsidRPr="00F244E6">
        <w:rPr>
          <w:rFonts w:eastAsia="Calibri"/>
          <w:bCs/>
          <w:color w:val="000000"/>
        </w:rPr>
        <w:t>.</w:t>
      </w:r>
    </w:p>
    <w:p w14:paraId="406B0453" w14:textId="77777777" w:rsidR="00F244E6" w:rsidRPr="00F244E6" w:rsidRDefault="00F244E6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</w:rPr>
      </w:pPr>
    </w:p>
    <w:p w14:paraId="6491C256" w14:textId="77777777" w:rsidR="00F244E6" w:rsidRPr="00F244E6" w:rsidRDefault="00F244E6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</w:rPr>
      </w:pPr>
    </w:p>
    <w:p w14:paraId="46D94372" w14:textId="77777777" w:rsidR="00F244E6" w:rsidRPr="00BF1CED" w:rsidRDefault="00F244E6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/>
          <w:bCs/>
          <w:color w:val="000000"/>
        </w:rPr>
      </w:pPr>
      <w:r w:rsidRPr="00BF1CED">
        <w:rPr>
          <w:rFonts w:eastAsia="Calibri"/>
          <w:b/>
          <w:bCs/>
          <w:color w:val="000000"/>
        </w:rPr>
        <w:t>I. ОСНОВНА ЦЕЛ НА ПРОГРАМАТА</w:t>
      </w:r>
    </w:p>
    <w:p w14:paraId="17FD3CF7" w14:textId="77777777" w:rsidR="00F244E6" w:rsidRPr="00F244E6" w:rsidRDefault="00F244E6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</w:rPr>
      </w:pPr>
    </w:p>
    <w:p w14:paraId="69188D52" w14:textId="77777777" w:rsidR="00F244E6" w:rsidRPr="00F244E6" w:rsidRDefault="00F244E6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</w:rPr>
      </w:pPr>
      <w:r w:rsidRPr="00F244E6">
        <w:rPr>
          <w:rFonts w:eastAsia="Calibri"/>
          <w:bCs/>
          <w:color w:val="000000"/>
        </w:rPr>
        <w:t xml:space="preserve">Смекчаване на икономическите последици върху </w:t>
      </w:r>
      <w:r>
        <w:rPr>
          <w:rFonts w:eastAsia="Calibri"/>
          <w:bCs/>
          <w:color w:val="000000"/>
          <w:lang w:val="bg-BG"/>
        </w:rPr>
        <w:t>превозвачите,</w:t>
      </w:r>
      <w:r w:rsidRPr="00F244E6">
        <w:rPr>
          <w:rFonts w:eastAsia="Calibri"/>
          <w:bCs/>
          <w:color w:val="000000"/>
        </w:rPr>
        <w:t xml:space="preserve"> на които са възлож</w:t>
      </w:r>
      <w:proofErr w:type="spellStart"/>
      <w:r w:rsidR="00F612B4">
        <w:rPr>
          <w:rFonts w:eastAsia="Calibri"/>
          <w:bCs/>
          <w:color w:val="000000"/>
          <w:lang w:val="bg-BG"/>
        </w:rPr>
        <w:t>ени</w:t>
      </w:r>
      <w:proofErr w:type="spellEnd"/>
      <w:r w:rsidR="00F612B4">
        <w:rPr>
          <w:rFonts w:eastAsia="Calibri"/>
          <w:bCs/>
          <w:color w:val="000000"/>
          <w:lang w:val="bg-BG"/>
        </w:rPr>
        <w:t xml:space="preserve"> </w:t>
      </w:r>
      <w:r w:rsidRPr="00F244E6">
        <w:rPr>
          <w:rFonts w:eastAsia="Calibri"/>
          <w:bCs/>
          <w:color w:val="000000"/>
        </w:rPr>
        <w:t>превози по автобусни линии от утвърдените транспортни схеми – републиканска, междуобластна, областни и общински</w:t>
      </w:r>
      <w:r w:rsidR="000A712C">
        <w:rPr>
          <w:rFonts w:eastAsia="Calibri"/>
          <w:bCs/>
          <w:color w:val="000000"/>
          <w:lang w:val="bg-BG"/>
        </w:rPr>
        <w:t>,</w:t>
      </w:r>
      <w:r w:rsidRPr="00F244E6">
        <w:rPr>
          <w:rFonts w:eastAsia="Calibri"/>
          <w:bCs/>
          <w:color w:val="000000"/>
        </w:rPr>
        <w:t xml:space="preserve"> за компенсиране на разходите, възникнали в резултат на увеличените цени на горивата след избухване на конфликта в Близкия изток.</w:t>
      </w:r>
    </w:p>
    <w:p w14:paraId="6DF26877" w14:textId="77777777" w:rsidR="00F244E6" w:rsidRPr="00F244E6" w:rsidRDefault="00F244E6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</w:rPr>
      </w:pPr>
    </w:p>
    <w:p w14:paraId="079E89BB" w14:textId="77777777" w:rsidR="00F244E6" w:rsidRPr="00BF1CED" w:rsidRDefault="00F244E6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/>
          <w:bCs/>
          <w:color w:val="000000"/>
        </w:rPr>
      </w:pPr>
      <w:r w:rsidRPr="00BF1CED">
        <w:rPr>
          <w:rFonts w:eastAsia="Calibri"/>
          <w:b/>
          <w:bCs/>
          <w:color w:val="000000"/>
        </w:rPr>
        <w:t>II. ТЕРИТОРИАЛЕН ОБХВАТ</w:t>
      </w:r>
    </w:p>
    <w:p w14:paraId="68167F02" w14:textId="77777777" w:rsidR="00F244E6" w:rsidRPr="00F244E6" w:rsidRDefault="00F244E6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</w:rPr>
      </w:pPr>
    </w:p>
    <w:p w14:paraId="421352C8" w14:textId="47109C6E" w:rsidR="00F244E6" w:rsidRPr="00BF1CED" w:rsidRDefault="00F244E6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  <w:lang w:val="bg-BG"/>
        </w:rPr>
      </w:pPr>
      <w:r w:rsidRPr="00F244E6">
        <w:rPr>
          <w:rFonts w:eastAsia="Calibri"/>
          <w:bCs/>
          <w:color w:val="000000"/>
        </w:rPr>
        <w:t>Програмата се прилага на територията на всички общини на територията на Република България</w:t>
      </w:r>
      <w:r w:rsidR="00BF1CED" w:rsidRPr="00BF1CED">
        <w:rPr>
          <w:rFonts w:eastAsia="Calibri"/>
          <w:bCs/>
          <w:color w:val="000000"/>
        </w:rPr>
        <w:t>, които са заявили общ планиран годишен пробег за 202</w:t>
      </w:r>
      <w:r w:rsidR="00F612B4">
        <w:rPr>
          <w:rFonts w:eastAsia="Calibri"/>
          <w:bCs/>
          <w:color w:val="000000"/>
          <w:lang w:val="bg-BG"/>
        </w:rPr>
        <w:t>6</w:t>
      </w:r>
      <w:r w:rsidR="00BF1CED" w:rsidRPr="00BF1CED">
        <w:rPr>
          <w:rFonts w:eastAsia="Calibri"/>
          <w:bCs/>
          <w:color w:val="000000"/>
        </w:rPr>
        <w:t xml:space="preserve"> г. по автобусни линии от </w:t>
      </w:r>
      <w:r w:rsidR="000A0FA8">
        <w:rPr>
          <w:rFonts w:eastAsia="Calibri"/>
          <w:bCs/>
          <w:color w:val="000000"/>
          <w:lang w:val="bg-BG"/>
        </w:rPr>
        <w:t xml:space="preserve">утвърдените </w:t>
      </w:r>
      <w:r w:rsidR="000A0FA8" w:rsidRPr="00BF1CED">
        <w:rPr>
          <w:rFonts w:eastAsia="Calibri"/>
          <w:bCs/>
          <w:color w:val="000000"/>
        </w:rPr>
        <w:t xml:space="preserve">транспортни схеми </w:t>
      </w:r>
      <w:r w:rsidR="000A0FA8">
        <w:rPr>
          <w:rFonts w:eastAsia="Calibri"/>
          <w:bCs/>
          <w:color w:val="000000"/>
          <w:lang w:val="bg-BG"/>
        </w:rPr>
        <w:t xml:space="preserve">– </w:t>
      </w:r>
      <w:r w:rsidR="00BF1CED" w:rsidRPr="00BF1CED">
        <w:rPr>
          <w:rFonts w:eastAsia="Calibri"/>
          <w:bCs/>
          <w:color w:val="000000"/>
        </w:rPr>
        <w:t>републиканска, междуобластна, областни и общински, който не се субсидира със средства по § 4, ал. 1</w:t>
      </w:r>
      <w:r w:rsidR="0030627B">
        <w:rPr>
          <w:rFonts w:eastAsia="Calibri"/>
          <w:bCs/>
          <w:color w:val="000000"/>
          <w:lang w:val="bg-BG"/>
        </w:rPr>
        <w:t>, т. 1</w:t>
      </w:r>
      <w:r w:rsidR="00BF1CED" w:rsidRPr="00BF1CED">
        <w:rPr>
          <w:rFonts w:eastAsia="Calibri"/>
          <w:bCs/>
          <w:color w:val="000000"/>
        </w:rPr>
        <w:t xml:space="preserve"> от </w:t>
      </w:r>
      <w:r w:rsidR="00F612B4">
        <w:rPr>
          <w:rFonts w:eastAsia="Calibri"/>
          <w:bCs/>
          <w:color w:val="000000"/>
          <w:lang w:val="bg-BG"/>
        </w:rPr>
        <w:t>З</w:t>
      </w:r>
      <w:r w:rsidR="00BF1CED" w:rsidRPr="00BF1CED">
        <w:rPr>
          <w:rFonts w:eastAsia="Calibri"/>
          <w:bCs/>
          <w:color w:val="000000"/>
        </w:rPr>
        <w:t>аключителните разпоредби на Закона за автомобилните превози</w:t>
      </w:r>
      <w:r w:rsidR="00BF1CED">
        <w:rPr>
          <w:rFonts w:eastAsia="Calibri"/>
          <w:bCs/>
          <w:color w:val="000000"/>
          <w:lang w:val="bg-BG"/>
        </w:rPr>
        <w:t>.</w:t>
      </w:r>
    </w:p>
    <w:p w14:paraId="7A5BA170" w14:textId="77777777" w:rsidR="00F244E6" w:rsidRPr="00F244E6" w:rsidRDefault="00F244E6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</w:rPr>
      </w:pPr>
    </w:p>
    <w:p w14:paraId="284D3D46" w14:textId="77777777" w:rsidR="00F244E6" w:rsidRPr="00BF1CED" w:rsidRDefault="00F244E6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/>
          <w:bCs/>
          <w:color w:val="000000"/>
        </w:rPr>
      </w:pPr>
      <w:r w:rsidRPr="00BF1CED">
        <w:rPr>
          <w:rFonts w:eastAsia="Calibri"/>
          <w:b/>
          <w:bCs/>
          <w:color w:val="000000"/>
        </w:rPr>
        <w:t>I</w:t>
      </w:r>
      <w:r w:rsidR="00BF1CED" w:rsidRPr="00BF1CED">
        <w:rPr>
          <w:rFonts w:eastAsia="Calibri"/>
          <w:b/>
          <w:bCs/>
          <w:color w:val="000000"/>
          <w:lang w:val="en-US"/>
        </w:rPr>
        <w:t>II</w:t>
      </w:r>
      <w:r w:rsidRPr="00BF1CED">
        <w:rPr>
          <w:rFonts w:eastAsia="Calibri"/>
          <w:b/>
          <w:bCs/>
          <w:color w:val="000000"/>
        </w:rPr>
        <w:t>. ЦЕЛЕВА ГРУПА</w:t>
      </w:r>
    </w:p>
    <w:p w14:paraId="36347C60" w14:textId="5C6CCF7D" w:rsidR="00F244E6" w:rsidRPr="000A712C" w:rsidRDefault="000A712C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  <w:lang w:val="bg-BG"/>
        </w:rPr>
      </w:pPr>
      <w:r w:rsidRPr="000A712C">
        <w:rPr>
          <w:rFonts w:eastAsia="Calibri"/>
          <w:bCs/>
          <w:color w:val="000000"/>
        </w:rPr>
        <w:t>По Програмата може да бъд</w:t>
      </w:r>
      <w:r w:rsidR="00F612B4">
        <w:rPr>
          <w:rFonts w:eastAsia="Calibri"/>
          <w:bCs/>
          <w:color w:val="000000"/>
          <w:lang w:val="bg-BG"/>
        </w:rPr>
        <w:t>ат</w:t>
      </w:r>
      <w:r w:rsidRPr="000A712C">
        <w:rPr>
          <w:rFonts w:eastAsia="Calibri"/>
          <w:bCs/>
          <w:color w:val="000000"/>
        </w:rPr>
        <w:t xml:space="preserve"> </w:t>
      </w:r>
      <w:proofErr w:type="spellStart"/>
      <w:r w:rsidR="00F612B4">
        <w:rPr>
          <w:rFonts w:eastAsia="Calibri"/>
          <w:bCs/>
          <w:color w:val="000000"/>
          <w:lang w:val="bg-BG"/>
        </w:rPr>
        <w:t>субсид</w:t>
      </w:r>
      <w:proofErr w:type="spellEnd"/>
      <w:r w:rsidRPr="000A712C">
        <w:rPr>
          <w:rFonts w:eastAsia="Calibri"/>
          <w:bCs/>
          <w:color w:val="000000"/>
        </w:rPr>
        <w:t>иран</w:t>
      </w:r>
      <w:r>
        <w:rPr>
          <w:rFonts w:eastAsia="Calibri"/>
          <w:bCs/>
          <w:color w:val="000000"/>
          <w:lang w:val="bg-BG"/>
        </w:rPr>
        <w:t>и</w:t>
      </w:r>
      <w:r w:rsidRPr="000A712C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  <w:lang w:val="bg-BG"/>
        </w:rPr>
        <w:t>превозвачи</w:t>
      </w:r>
      <w:r w:rsidRPr="000A712C">
        <w:rPr>
          <w:rFonts w:eastAsia="Calibri"/>
          <w:bCs/>
          <w:color w:val="000000"/>
          <w:lang w:val="bg-BG"/>
        </w:rPr>
        <w:t>, на които са възлож</w:t>
      </w:r>
      <w:r w:rsidR="00E30148">
        <w:rPr>
          <w:rFonts w:eastAsia="Calibri"/>
          <w:bCs/>
          <w:color w:val="000000"/>
          <w:lang w:val="bg-BG"/>
        </w:rPr>
        <w:t>ени</w:t>
      </w:r>
      <w:r w:rsidRPr="000A712C">
        <w:rPr>
          <w:rFonts w:eastAsia="Calibri"/>
          <w:bCs/>
          <w:color w:val="000000"/>
          <w:lang w:val="bg-BG"/>
        </w:rPr>
        <w:t xml:space="preserve"> превози по автобусни линии от утвърдените транспортни</w:t>
      </w:r>
      <w:r w:rsidR="000A0FA8" w:rsidRPr="000A0FA8">
        <w:rPr>
          <w:rFonts w:eastAsia="Calibri"/>
          <w:bCs/>
          <w:color w:val="000000"/>
          <w:lang w:val="bg-BG"/>
        </w:rPr>
        <w:t xml:space="preserve"> </w:t>
      </w:r>
      <w:r w:rsidR="000A0FA8" w:rsidRPr="000A712C">
        <w:rPr>
          <w:rFonts w:eastAsia="Calibri"/>
          <w:bCs/>
          <w:color w:val="000000"/>
          <w:lang w:val="bg-BG"/>
        </w:rPr>
        <w:t>схеми</w:t>
      </w:r>
      <w:r w:rsidR="000A0FA8">
        <w:rPr>
          <w:rFonts w:eastAsia="Calibri"/>
          <w:bCs/>
          <w:color w:val="000000"/>
          <w:lang w:val="bg-BG"/>
        </w:rPr>
        <w:t xml:space="preserve"> –</w:t>
      </w:r>
      <w:r w:rsidRPr="000A712C">
        <w:rPr>
          <w:rFonts w:eastAsia="Calibri"/>
          <w:bCs/>
          <w:color w:val="000000"/>
          <w:lang w:val="bg-BG"/>
        </w:rPr>
        <w:t xml:space="preserve"> републиканска, междуобластна, областни и общински</w:t>
      </w:r>
      <w:r w:rsidR="000A0FA8">
        <w:rPr>
          <w:rFonts w:eastAsia="Calibri"/>
          <w:bCs/>
          <w:color w:val="000000"/>
          <w:lang w:val="bg-BG"/>
        </w:rPr>
        <w:t>.</w:t>
      </w:r>
      <w:r w:rsidRPr="000A712C">
        <w:rPr>
          <w:rFonts w:eastAsia="Calibri"/>
          <w:bCs/>
          <w:color w:val="000000"/>
          <w:lang w:val="bg-BG"/>
        </w:rPr>
        <w:t xml:space="preserve"> </w:t>
      </w:r>
    </w:p>
    <w:p w14:paraId="16942F77" w14:textId="77777777" w:rsidR="000A712C" w:rsidRDefault="000A712C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/>
          <w:bCs/>
          <w:color w:val="000000"/>
          <w:lang w:val="en-US"/>
        </w:rPr>
      </w:pPr>
    </w:p>
    <w:p w14:paraId="4DEDB1BC" w14:textId="77777777" w:rsidR="000A712C" w:rsidRDefault="000A712C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/>
          <w:bCs/>
          <w:color w:val="000000"/>
          <w:lang w:val="en-US"/>
        </w:rPr>
      </w:pPr>
    </w:p>
    <w:p w14:paraId="32C85A68" w14:textId="77777777" w:rsidR="00A5314F" w:rsidRPr="000A712C" w:rsidRDefault="000A712C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  <w:lang w:val="en-US"/>
        </w:rPr>
        <w:t>I</w:t>
      </w:r>
      <w:r w:rsidR="00BF1CED" w:rsidRPr="000A712C">
        <w:rPr>
          <w:rFonts w:eastAsia="Calibri"/>
          <w:b/>
          <w:bCs/>
          <w:color w:val="000000"/>
        </w:rPr>
        <w:t>V. РЕД И УСЛОВИЯ ЗА РЕАЛИЗАЦИЯ НА ПРОГРАМАТА</w:t>
      </w:r>
    </w:p>
    <w:p w14:paraId="4B410AD7" w14:textId="5560DF40" w:rsidR="000A712C" w:rsidRPr="000A712C" w:rsidRDefault="00BF2927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</w:rPr>
      </w:pPr>
      <w:r w:rsidRPr="00E30148">
        <w:rPr>
          <w:rFonts w:eastAsia="Calibri"/>
          <w:b/>
          <w:color w:val="000000"/>
          <w:lang w:val="bg-BG"/>
        </w:rPr>
        <w:t>1.</w:t>
      </w:r>
      <w:r w:rsidR="000A712C" w:rsidRPr="000A712C">
        <w:rPr>
          <w:rFonts w:eastAsia="Calibri"/>
          <w:bCs/>
          <w:color w:val="000000"/>
        </w:rPr>
        <w:t xml:space="preserve"> Администрирането на дейностите по Програмата се осъществява от </w:t>
      </w:r>
      <w:r w:rsidR="000A712C">
        <w:rPr>
          <w:rFonts w:eastAsia="Calibri"/>
          <w:bCs/>
          <w:color w:val="000000"/>
          <w:lang w:val="bg-BG"/>
        </w:rPr>
        <w:t>Изпълнителна агенция „Автомобилна администрация“</w:t>
      </w:r>
      <w:r w:rsidR="000A712C" w:rsidRPr="000A712C">
        <w:rPr>
          <w:rFonts w:eastAsia="Calibri"/>
          <w:bCs/>
          <w:color w:val="000000"/>
        </w:rPr>
        <w:t>.</w:t>
      </w:r>
    </w:p>
    <w:p w14:paraId="1949C9C0" w14:textId="77777777" w:rsidR="000A712C" w:rsidRPr="000A712C" w:rsidRDefault="000A712C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</w:rPr>
      </w:pPr>
    </w:p>
    <w:p w14:paraId="3ECD96F4" w14:textId="38DA038F" w:rsidR="00F07121" w:rsidRPr="00F07121" w:rsidRDefault="00BF2927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  <w:lang w:val="bg-BG"/>
        </w:rPr>
      </w:pPr>
      <w:r w:rsidRPr="00E30148">
        <w:rPr>
          <w:rFonts w:eastAsia="Calibri"/>
          <w:b/>
          <w:color w:val="000000"/>
          <w:lang w:val="bg-BG"/>
        </w:rPr>
        <w:t>2.</w:t>
      </w:r>
      <w:r w:rsidR="000A712C" w:rsidRPr="000A712C">
        <w:rPr>
          <w:rFonts w:eastAsia="Calibri"/>
          <w:bCs/>
          <w:color w:val="000000"/>
        </w:rPr>
        <w:t xml:space="preserve"> За получаване на </w:t>
      </w:r>
      <w:r w:rsidR="00F612B4">
        <w:rPr>
          <w:rFonts w:eastAsia="Calibri"/>
          <w:bCs/>
          <w:color w:val="000000"/>
          <w:lang w:val="bg-BG"/>
        </w:rPr>
        <w:t xml:space="preserve">субсидиите </w:t>
      </w:r>
      <w:r w:rsidR="000A712C">
        <w:rPr>
          <w:rFonts w:eastAsia="Calibri"/>
          <w:bCs/>
          <w:color w:val="000000"/>
          <w:lang w:val="bg-BG"/>
        </w:rPr>
        <w:t>общините, които имат сключени договори с превозвачи,</w:t>
      </w:r>
      <w:r w:rsidR="000A712C" w:rsidRPr="000A712C">
        <w:rPr>
          <w:rFonts w:eastAsia="Calibri"/>
          <w:bCs/>
          <w:color w:val="000000"/>
        </w:rPr>
        <w:t xml:space="preserve"> на които са възложили превози по автобусни линии от утвърдените транспортни схеми – републиканска, междуобластна, областни и общински, в </w:t>
      </w:r>
      <w:r w:rsidR="000A712C" w:rsidRPr="000A712C">
        <w:rPr>
          <w:rFonts w:eastAsia="Calibri"/>
          <w:bCs/>
          <w:color w:val="000000"/>
        </w:rPr>
        <w:lastRenderedPageBreak/>
        <w:t>съответствие с разпоредбите на Регламент (ЕО) № 1370/2007 на Европейския парламент и на Съвета от 23 октомври 2007 г. относно обществените услуги за пътнически превоз с железопътен и автомобилен транспорт и за отмяна на регламенти (ЕИО) № 1191/69 и (ЕИО) № 1107/70 на Съвета (Регламент (ЕО) № 1370/2007)</w:t>
      </w:r>
      <w:r w:rsidR="000A712C">
        <w:rPr>
          <w:rFonts w:eastAsia="Calibri"/>
          <w:bCs/>
          <w:color w:val="000000"/>
          <w:lang w:val="bg-BG"/>
        </w:rPr>
        <w:t xml:space="preserve">, </w:t>
      </w:r>
      <w:r w:rsidR="000A712C" w:rsidRPr="000A712C">
        <w:rPr>
          <w:rFonts w:eastAsia="Calibri"/>
          <w:bCs/>
          <w:color w:val="000000"/>
        </w:rPr>
        <w:t>подава</w:t>
      </w:r>
      <w:r w:rsidR="00F612B4">
        <w:rPr>
          <w:rFonts w:eastAsia="Calibri"/>
          <w:bCs/>
          <w:color w:val="000000"/>
          <w:lang w:val="bg-BG"/>
        </w:rPr>
        <w:t>т</w:t>
      </w:r>
      <w:r w:rsidR="000A712C" w:rsidRPr="000A712C">
        <w:rPr>
          <w:rFonts w:eastAsia="Calibri"/>
          <w:bCs/>
          <w:color w:val="000000"/>
        </w:rPr>
        <w:t xml:space="preserve"> в </w:t>
      </w:r>
      <w:r w:rsidR="00474F4B" w:rsidRPr="00474F4B">
        <w:rPr>
          <w:rFonts w:eastAsia="Calibri"/>
          <w:bCs/>
          <w:color w:val="000000"/>
        </w:rPr>
        <w:t>Изпълнителна агенция „Автомобилна администрация“</w:t>
      </w:r>
      <w:r w:rsidR="00E30148">
        <w:rPr>
          <w:rFonts w:eastAsia="Calibri"/>
          <w:bCs/>
          <w:color w:val="000000"/>
          <w:lang w:val="bg-BG"/>
        </w:rPr>
        <w:t xml:space="preserve"> </w:t>
      </w:r>
      <w:r w:rsidR="00F612B4">
        <w:rPr>
          <w:rFonts w:eastAsia="Calibri"/>
          <w:bCs/>
          <w:color w:val="000000"/>
          <w:lang w:val="bg-BG"/>
        </w:rPr>
        <w:t xml:space="preserve">информация за </w:t>
      </w:r>
      <w:r w:rsidR="00F612B4" w:rsidRPr="00F612B4">
        <w:rPr>
          <w:rFonts w:eastAsia="Calibri"/>
          <w:bCs/>
          <w:color w:val="000000"/>
          <w:lang w:val="bg-BG"/>
        </w:rPr>
        <w:t>общ</w:t>
      </w:r>
      <w:r w:rsidR="000A0FA8">
        <w:rPr>
          <w:rFonts w:eastAsia="Calibri"/>
          <w:bCs/>
          <w:color w:val="000000"/>
          <w:lang w:val="bg-BG"/>
        </w:rPr>
        <w:t xml:space="preserve"> планиран годишен пробег за 202</w:t>
      </w:r>
      <w:r w:rsidR="00F612B4" w:rsidRPr="00F612B4">
        <w:rPr>
          <w:rFonts w:eastAsia="Calibri"/>
          <w:bCs/>
          <w:color w:val="000000"/>
          <w:lang w:val="bg-BG"/>
        </w:rPr>
        <w:t xml:space="preserve">6 г. по автобусни линии от републиканската, междуобластната, областните и общинските транспортни схеми, който не се субсидира </w:t>
      </w:r>
      <w:r w:rsidR="004339B4">
        <w:rPr>
          <w:rFonts w:eastAsia="Calibri"/>
          <w:bCs/>
          <w:color w:val="000000"/>
          <w:lang w:val="bg-BG"/>
        </w:rPr>
        <w:t xml:space="preserve">със </w:t>
      </w:r>
      <w:r w:rsidR="00F6742E">
        <w:rPr>
          <w:rFonts w:eastAsia="Calibri"/>
          <w:bCs/>
          <w:color w:val="000000"/>
          <w:lang w:val="bg-BG"/>
        </w:rPr>
        <w:t>средства по §</w:t>
      </w:r>
      <w:r w:rsidR="00E30148">
        <w:rPr>
          <w:rFonts w:eastAsia="Calibri"/>
          <w:bCs/>
          <w:color w:val="000000"/>
          <w:lang w:val="bg-BG"/>
        </w:rPr>
        <w:t xml:space="preserve"> </w:t>
      </w:r>
      <w:r w:rsidR="004339B4">
        <w:rPr>
          <w:rFonts w:eastAsia="Calibri"/>
          <w:bCs/>
          <w:color w:val="000000"/>
          <w:lang w:val="bg-BG"/>
        </w:rPr>
        <w:t>4, ал. 1</w:t>
      </w:r>
      <w:r w:rsidR="0030627B">
        <w:rPr>
          <w:rFonts w:eastAsia="Calibri"/>
          <w:bCs/>
          <w:color w:val="000000"/>
          <w:lang w:val="bg-BG"/>
        </w:rPr>
        <w:t xml:space="preserve">, т. 1 </w:t>
      </w:r>
      <w:r w:rsidR="004339B4">
        <w:rPr>
          <w:rFonts w:eastAsia="Calibri"/>
          <w:bCs/>
          <w:color w:val="000000"/>
          <w:lang w:val="bg-BG"/>
        </w:rPr>
        <w:t>от З</w:t>
      </w:r>
      <w:r w:rsidR="00F612B4" w:rsidRPr="00F612B4">
        <w:rPr>
          <w:rFonts w:eastAsia="Calibri"/>
          <w:bCs/>
          <w:color w:val="000000"/>
          <w:lang w:val="bg-BG"/>
        </w:rPr>
        <w:t>аключителните разпоредби на Закона за автомобилните превози</w:t>
      </w:r>
      <w:r w:rsidR="00F612B4">
        <w:rPr>
          <w:rFonts w:eastAsia="Calibri"/>
          <w:bCs/>
          <w:color w:val="000000"/>
          <w:lang w:val="bg-BG"/>
        </w:rPr>
        <w:t>.</w:t>
      </w:r>
    </w:p>
    <w:p w14:paraId="7024DE10" w14:textId="77777777" w:rsidR="00474F4B" w:rsidRDefault="00474F4B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  <w:lang w:val="bg-BG"/>
        </w:rPr>
      </w:pPr>
    </w:p>
    <w:p w14:paraId="5167FA55" w14:textId="77777777" w:rsidR="00F612B4" w:rsidRDefault="00474F4B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  <w:lang w:val="bg-BG"/>
        </w:rPr>
      </w:pPr>
      <w:r w:rsidRPr="00E30148">
        <w:rPr>
          <w:rFonts w:eastAsia="Calibri"/>
          <w:b/>
          <w:color w:val="000000"/>
          <w:lang w:val="bg-BG"/>
        </w:rPr>
        <w:t>3.</w:t>
      </w:r>
      <w:r>
        <w:rPr>
          <w:rFonts w:eastAsia="Calibri"/>
          <w:bCs/>
          <w:color w:val="000000"/>
          <w:lang w:val="bg-BG"/>
        </w:rPr>
        <w:t xml:space="preserve"> </w:t>
      </w:r>
      <w:r w:rsidR="004339B4">
        <w:rPr>
          <w:rFonts w:eastAsia="Calibri"/>
          <w:bCs/>
          <w:color w:val="000000"/>
          <w:lang w:val="bg-BG"/>
        </w:rPr>
        <w:t>Общият размер на средствата за субсидии по програмата се разпределят по общини на база заявения по т. 2 пробег.</w:t>
      </w:r>
    </w:p>
    <w:p w14:paraId="1CFB65B9" w14:textId="77777777" w:rsidR="00F612B4" w:rsidRDefault="00F612B4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rFonts w:eastAsia="Calibri"/>
          <w:bCs/>
          <w:color w:val="000000"/>
          <w:lang w:val="bg-BG"/>
        </w:rPr>
      </w:pPr>
    </w:p>
    <w:p w14:paraId="737A31B0" w14:textId="77777777" w:rsidR="00140442" w:rsidRPr="003721E1" w:rsidRDefault="00304027" w:rsidP="00E30148">
      <w:pPr>
        <w:tabs>
          <w:tab w:val="left" w:pos="709"/>
          <w:tab w:val="left" w:pos="851"/>
        </w:tabs>
        <w:spacing w:line="230" w:lineRule="auto"/>
        <w:ind w:right="-1" w:firstLine="709"/>
        <w:jc w:val="both"/>
        <w:rPr>
          <w:bCs/>
          <w:color w:val="FF0000"/>
        </w:rPr>
      </w:pPr>
      <w:r w:rsidRPr="00E30148">
        <w:rPr>
          <w:rFonts w:eastAsia="Calibri"/>
          <w:b/>
          <w:color w:val="000000"/>
          <w:lang w:val="bg-BG"/>
        </w:rPr>
        <w:t>4.</w:t>
      </w:r>
      <w:r>
        <w:rPr>
          <w:rFonts w:eastAsia="Calibri"/>
          <w:bCs/>
          <w:color w:val="000000"/>
          <w:lang w:val="bg-BG"/>
        </w:rPr>
        <w:t xml:space="preserve"> Разпределените с</w:t>
      </w:r>
      <w:r w:rsidR="00140442" w:rsidRPr="003721E1">
        <w:rPr>
          <w:rFonts w:eastAsia="Calibri"/>
          <w:bCs/>
          <w:color w:val="000000"/>
        </w:rPr>
        <w:t xml:space="preserve">редства са целеви и не се допуска разходването им за други дейности от общините. </w:t>
      </w:r>
    </w:p>
    <w:p w14:paraId="31D111B8" w14:textId="77777777" w:rsidR="00474F4B" w:rsidRDefault="00474F4B" w:rsidP="00E30148">
      <w:pPr>
        <w:spacing w:line="230" w:lineRule="auto"/>
        <w:ind w:right="-2" w:firstLine="709"/>
        <w:jc w:val="both"/>
        <w:rPr>
          <w:rFonts w:eastAsia="Calibri"/>
          <w:bCs/>
          <w:color w:val="000000"/>
          <w:lang w:val="bg-BG"/>
        </w:rPr>
      </w:pPr>
    </w:p>
    <w:p w14:paraId="3CA17F29" w14:textId="5C86CDFC" w:rsidR="00140442" w:rsidRDefault="00304027" w:rsidP="00E30148">
      <w:pPr>
        <w:spacing w:line="230" w:lineRule="auto"/>
        <w:ind w:right="-2" w:firstLine="709"/>
        <w:jc w:val="both"/>
        <w:rPr>
          <w:rFonts w:eastAsia="Calibri"/>
          <w:color w:val="000000"/>
        </w:rPr>
      </w:pPr>
      <w:r w:rsidRPr="00E30148">
        <w:rPr>
          <w:rFonts w:eastAsia="Calibri"/>
          <w:b/>
          <w:color w:val="000000"/>
          <w:lang w:val="bg-BG"/>
        </w:rPr>
        <w:t>5</w:t>
      </w:r>
      <w:r w:rsidR="00474F4B" w:rsidRPr="00E30148">
        <w:rPr>
          <w:rFonts w:eastAsia="Calibri"/>
          <w:b/>
          <w:color w:val="000000"/>
          <w:lang w:val="bg-BG"/>
        </w:rPr>
        <w:t>.</w:t>
      </w:r>
      <w:r w:rsidR="00474F4B">
        <w:rPr>
          <w:rFonts w:eastAsia="Calibri"/>
          <w:bCs/>
          <w:color w:val="000000"/>
          <w:lang w:val="bg-BG"/>
        </w:rPr>
        <w:t xml:space="preserve"> О</w:t>
      </w:r>
      <w:r w:rsidR="00140442" w:rsidRPr="003721E1">
        <w:rPr>
          <w:rFonts w:eastAsia="Calibri"/>
          <w:bCs/>
          <w:color w:val="000000"/>
        </w:rPr>
        <w:t>бщините</w:t>
      </w:r>
      <w:r w:rsidR="00474F4B">
        <w:rPr>
          <w:rFonts w:eastAsia="Calibri"/>
          <w:bCs/>
          <w:color w:val="000000"/>
          <w:lang w:val="bg-BG"/>
        </w:rPr>
        <w:t xml:space="preserve"> разпределят получените средства</w:t>
      </w:r>
      <w:r w:rsidR="00E30148">
        <w:rPr>
          <w:rFonts w:eastAsia="Calibri"/>
          <w:bCs/>
          <w:color w:val="000000"/>
          <w:lang w:val="bg-BG"/>
        </w:rPr>
        <w:t>,</w:t>
      </w:r>
      <w:r w:rsidR="00474F4B">
        <w:rPr>
          <w:rFonts w:eastAsia="Calibri"/>
          <w:bCs/>
          <w:color w:val="000000"/>
          <w:lang w:val="bg-BG"/>
        </w:rPr>
        <w:t xml:space="preserve"> като </w:t>
      </w:r>
      <w:r w:rsidR="00140442" w:rsidRPr="003721E1">
        <w:rPr>
          <w:rFonts w:eastAsia="Calibri"/>
          <w:bCs/>
          <w:color w:val="000000"/>
        </w:rPr>
        <w:t>ползва</w:t>
      </w:r>
      <w:r w:rsidR="00474F4B">
        <w:rPr>
          <w:rFonts w:eastAsia="Calibri"/>
          <w:bCs/>
          <w:color w:val="000000"/>
          <w:lang w:val="bg-BG"/>
        </w:rPr>
        <w:t>т</w:t>
      </w:r>
      <w:r w:rsidR="00140442" w:rsidRPr="003721E1">
        <w:rPr>
          <w:rFonts w:eastAsia="Calibri"/>
          <w:bCs/>
          <w:color w:val="000000"/>
        </w:rPr>
        <w:t xml:space="preserve"> принципа от </w:t>
      </w:r>
      <w:r w:rsidR="009772F9" w:rsidRPr="003721E1">
        <w:rPr>
          <w:rFonts w:eastAsia="Calibri"/>
          <w:bCs/>
          <w:color w:val="000000"/>
        </w:rPr>
        <w:t>ч</w:t>
      </w:r>
      <w:r w:rsidR="00140442" w:rsidRPr="003721E1">
        <w:rPr>
          <w:rFonts w:eastAsia="Calibri"/>
          <w:bCs/>
          <w:color w:val="000000"/>
        </w:rPr>
        <w:t xml:space="preserve">аст четвърта, </w:t>
      </w:r>
      <w:r w:rsidR="009772F9" w:rsidRPr="003721E1">
        <w:rPr>
          <w:rFonts w:eastAsia="Calibri"/>
          <w:bCs/>
          <w:color w:val="000000"/>
        </w:rPr>
        <w:t xml:space="preserve">глава </w:t>
      </w:r>
      <w:r w:rsidR="00140442" w:rsidRPr="003721E1">
        <w:rPr>
          <w:rFonts w:eastAsia="Calibri"/>
          <w:bCs/>
          <w:color w:val="000000"/>
        </w:rPr>
        <w:t xml:space="preserve">трета от </w:t>
      </w:r>
      <w:r w:rsidR="00140442" w:rsidRPr="003721E1">
        <w:rPr>
          <w:rFonts w:eastAsia="Calibri"/>
          <w:color w:val="000000"/>
        </w:rPr>
        <w:t xml:space="preserve">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(Наредбата), приета с </w:t>
      </w:r>
      <w:r w:rsidR="00E30148" w:rsidRPr="00E30148">
        <w:rPr>
          <w:rFonts w:eastAsia="Calibri"/>
          <w:color w:val="000000"/>
        </w:rPr>
        <w:t xml:space="preserve">Постановление </w:t>
      </w:r>
      <w:r w:rsidR="00E30148" w:rsidRPr="003721E1">
        <w:rPr>
          <w:rFonts w:eastAsia="Calibri"/>
          <w:color w:val="000000"/>
        </w:rPr>
        <w:t xml:space="preserve">№ 163 </w:t>
      </w:r>
      <w:r w:rsidR="00E30148" w:rsidRPr="00E30148">
        <w:rPr>
          <w:rFonts w:eastAsia="Calibri"/>
          <w:color w:val="000000"/>
        </w:rPr>
        <w:t>на Министерския съвет</w:t>
      </w:r>
      <w:r w:rsidR="00140442" w:rsidRPr="003721E1">
        <w:rPr>
          <w:rFonts w:eastAsia="Calibri"/>
          <w:color w:val="000000"/>
        </w:rPr>
        <w:t xml:space="preserve"> от 2015 г. и Регламент (ЕО) </w:t>
      </w:r>
      <w:r w:rsidR="00E30148">
        <w:rPr>
          <w:rFonts w:eastAsia="Calibri"/>
          <w:color w:val="000000"/>
          <w:lang w:val="bg-BG"/>
        </w:rPr>
        <w:br/>
      </w:r>
      <w:r w:rsidR="00140442" w:rsidRPr="003721E1">
        <w:rPr>
          <w:rFonts w:eastAsia="Calibri"/>
          <w:color w:val="000000"/>
        </w:rPr>
        <w:t>№ 1370/2007.</w:t>
      </w:r>
    </w:p>
    <w:p w14:paraId="1A980E08" w14:textId="77777777" w:rsidR="00F07121" w:rsidRPr="003721E1" w:rsidRDefault="00F07121" w:rsidP="00E30148">
      <w:pPr>
        <w:spacing w:line="230" w:lineRule="auto"/>
        <w:ind w:right="-2" w:firstLine="709"/>
        <w:jc w:val="both"/>
        <w:rPr>
          <w:rFonts w:eastAsia="Calibri"/>
          <w:bCs/>
          <w:color w:val="000000"/>
        </w:rPr>
      </w:pPr>
    </w:p>
    <w:p w14:paraId="565EFCFB" w14:textId="13146DF8" w:rsidR="00140442" w:rsidRDefault="00304027" w:rsidP="00E30148">
      <w:pPr>
        <w:spacing w:line="230" w:lineRule="auto"/>
        <w:ind w:right="-2" w:firstLine="709"/>
        <w:jc w:val="both"/>
        <w:rPr>
          <w:rFonts w:eastAsia="Calibri"/>
          <w:bCs/>
          <w:color w:val="000000"/>
        </w:rPr>
      </w:pPr>
      <w:r w:rsidRPr="00E30148">
        <w:rPr>
          <w:rFonts w:eastAsia="Calibri"/>
          <w:b/>
          <w:color w:val="000000"/>
          <w:lang w:val="bg-BG"/>
        </w:rPr>
        <w:t>6</w:t>
      </w:r>
      <w:r w:rsidR="00F07121" w:rsidRPr="00E30148">
        <w:rPr>
          <w:rFonts w:eastAsia="Calibri"/>
          <w:b/>
          <w:color w:val="000000"/>
          <w:lang w:val="bg-BG"/>
        </w:rPr>
        <w:t>.</w:t>
      </w:r>
      <w:r>
        <w:rPr>
          <w:rFonts w:eastAsia="Calibri"/>
          <w:bCs/>
          <w:color w:val="000000"/>
          <w:lang w:val="bg-BG"/>
        </w:rPr>
        <w:t xml:space="preserve"> </w:t>
      </w:r>
      <w:r w:rsidR="00140442" w:rsidRPr="003721E1">
        <w:rPr>
          <w:rFonts w:eastAsia="Calibri"/>
          <w:bCs/>
          <w:color w:val="000000"/>
        </w:rPr>
        <w:t>Всяка община разпределя средствата по еднакъв начин за всички превозвачи, които кандидатстват за субсидиране на пътнически превози с пробег по автобусни линии</w:t>
      </w:r>
      <w:r w:rsidR="008B42CC">
        <w:rPr>
          <w:rFonts w:eastAsia="Calibri"/>
          <w:bCs/>
          <w:color w:val="000000"/>
          <w:lang w:val="bg-BG"/>
        </w:rPr>
        <w:t xml:space="preserve"> от </w:t>
      </w:r>
      <w:r w:rsidR="008B42CC" w:rsidRPr="008B42CC">
        <w:rPr>
          <w:rFonts w:eastAsia="Calibri"/>
          <w:bCs/>
          <w:color w:val="000000"/>
          <w:lang w:val="bg-BG"/>
        </w:rPr>
        <w:t>утвърдените транспортни схеми – републиканска, междуобластна, областни и общински</w:t>
      </w:r>
      <w:r w:rsidR="00140442" w:rsidRPr="003721E1">
        <w:rPr>
          <w:rFonts w:eastAsia="Calibri"/>
          <w:bCs/>
          <w:color w:val="000000"/>
        </w:rPr>
        <w:t>, който не се субсидира по Наредбата, в р</w:t>
      </w:r>
      <w:r w:rsidR="00F07121">
        <w:rPr>
          <w:rFonts w:eastAsia="Calibri"/>
          <w:bCs/>
          <w:color w:val="000000"/>
        </w:rPr>
        <w:t>амките на размера на средствата</w:t>
      </w:r>
      <w:r w:rsidR="00F07121">
        <w:rPr>
          <w:rFonts w:eastAsia="Calibri"/>
          <w:bCs/>
          <w:color w:val="000000"/>
          <w:lang w:val="bg-BG"/>
        </w:rPr>
        <w:t xml:space="preserve"> по </w:t>
      </w:r>
      <w:r w:rsidR="00E30148">
        <w:rPr>
          <w:rFonts w:eastAsia="Calibri"/>
          <w:bCs/>
          <w:color w:val="000000"/>
          <w:lang w:val="bg-BG"/>
        </w:rPr>
        <w:t>Програмата</w:t>
      </w:r>
      <w:r w:rsidR="00140442" w:rsidRPr="003721E1">
        <w:rPr>
          <w:rFonts w:eastAsia="Calibri"/>
          <w:bCs/>
          <w:color w:val="000000"/>
        </w:rPr>
        <w:t>.</w:t>
      </w:r>
    </w:p>
    <w:p w14:paraId="151C0C3E" w14:textId="77777777" w:rsidR="00F07121" w:rsidRPr="003721E1" w:rsidRDefault="00F07121" w:rsidP="00E30148">
      <w:pPr>
        <w:spacing w:line="230" w:lineRule="auto"/>
        <w:ind w:right="-2" w:firstLine="709"/>
        <w:jc w:val="both"/>
        <w:rPr>
          <w:rFonts w:eastAsia="Calibri"/>
          <w:bCs/>
          <w:color w:val="000000"/>
        </w:rPr>
      </w:pPr>
    </w:p>
    <w:p w14:paraId="700E5EF1" w14:textId="77777777" w:rsidR="00140442" w:rsidRPr="003721E1" w:rsidRDefault="00304027" w:rsidP="00E30148">
      <w:pPr>
        <w:spacing w:line="230" w:lineRule="auto"/>
        <w:ind w:right="-1" w:firstLine="709"/>
        <w:jc w:val="both"/>
      </w:pPr>
      <w:r w:rsidRPr="006F2DF1">
        <w:rPr>
          <w:b/>
          <w:bCs/>
          <w:szCs w:val="20"/>
          <w:lang w:val="bg-BG"/>
        </w:rPr>
        <w:t>7</w:t>
      </w:r>
      <w:r w:rsidR="00F07121" w:rsidRPr="006F2DF1">
        <w:rPr>
          <w:b/>
          <w:bCs/>
          <w:szCs w:val="20"/>
          <w:lang w:val="bg-BG"/>
        </w:rPr>
        <w:t>.</w:t>
      </w:r>
      <w:r>
        <w:rPr>
          <w:szCs w:val="20"/>
          <w:lang w:val="bg-BG"/>
        </w:rPr>
        <w:t xml:space="preserve"> </w:t>
      </w:r>
      <w:r w:rsidR="00140442" w:rsidRPr="003721E1">
        <w:rPr>
          <w:szCs w:val="20"/>
        </w:rPr>
        <w:t>Превозвачите кандидатстват з</w:t>
      </w:r>
      <w:r w:rsidR="00140442">
        <w:rPr>
          <w:szCs w:val="20"/>
        </w:rPr>
        <w:t xml:space="preserve">а субсидии по </w:t>
      </w:r>
      <w:r w:rsidR="00BF2927">
        <w:rPr>
          <w:szCs w:val="20"/>
          <w:lang w:val="bg-BG"/>
        </w:rPr>
        <w:t>Програмата</w:t>
      </w:r>
      <w:r w:rsidR="00140442">
        <w:rPr>
          <w:szCs w:val="20"/>
        </w:rPr>
        <w:t xml:space="preserve"> </w:t>
      </w:r>
      <w:r w:rsidR="00140442" w:rsidRPr="003721E1">
        <w:rPr>
          <w:szCs w:val="20"/>
        </w:rPr>
        <w:t>с пробег по автобусни линии</w:t>
      </w:r>
      <w:r w:rsidR="008B42CC">
        <w:rPr>
          <w:szCs w:val="20"/>
          <w:lang w:val="bg-BG"/>
        </w:rPr>
        <w:t xml:space="preserve"> </w:t>
      </w:r>
      <w:r w:rsidR="008B42CC" w:rsidRPr="008B42CC">
        <w:rPr>
          <w:szCs w:val="20"/>
          <w:lang w:val="bg-BG"/>
        </w:rPr>
        <w:t>от утвърдените транспортни схеми – републиканска, междуобластна, областни и общински</w:t>
      </w:r>
      <w:r w:rsidR="00140442" w:rsidRPr="003721E1">
        <w:rPr>
          <w:szCs w:val="20"/>
        </w:rPr>
        <w:t>, който не се субсидира по Наредбата</w:t>
      </w:r>
      <w:r w:rsidR="00140442" w:rsidRPr="003721E1">
        <w:t xml:space="preserve"> със следните попълнени справки по образци:</w:t>
      </w:r>
    </w:p>
    <w:p w14:paraId="725D3B22" w14:textId="0EC6FC49" w:rsidR="00140442" w:rsidRPr="00E30148" w:rsidRDefault="00F6742E" w:rsidP="00140442">
      <w:pPr>
        <w:spacing w:line="230" w:lineRule="auto"/>
        <w:ind w:right="-1" w:firstLine="709"/>
        <w:jc w:val="both"/>
        <w:rPr>
          <w:lang w:val="bg-BG"/>
        </w:rPr>
      </w:pPr>
      <w:r>
        <w:rPr>
          <w:lang w:val="bg-BG"/>
        </w:rPr>
        <w:t>7.</w:t>
      </w:r>
      <w:r w:rsidR="00140442" w:rsidRPr="003721E1">
        <w:t>1. приложение № 1 – пробег по автобусни линии</w:t>
      </w:r>
      <w:r w:rsidR="008B42CC">
        <w:rPr>
          <w:lang w:val="bg-BG"/>
        </w:rPr>
        <w:t xml:space="preserve"> </w:t>
      </w:r>
      <w:r w:rsidR="008B42CC" w:rsidRPr="008B42CC">
        <w:rPr>
          <w:lang w:val="bg-BG"/>
        </w:rPr>
        <w:t>от утвърдените транспортни схеми – републиканска, междуобластна, областни и общински</w:t>
      </w:r>
      <w:r w:rsidR="00140442" w:rsidRPr="003721E1">
        <w:t xml:space="preserve">, за който не са разпределени средства за субсидии от държавния бюджет по реда на Наредбата през </w:t>
      </w:r>
      <w:r w:rsidR="00591AE6">
        <w:rPr>
          <w:lang w:val="bg-BG"/>
        </w:rPr>
        <w:br/>
      </w:r>
      <w:r w:rsidR="00ED591A">
        <w:t>2026</w:t>
      </w:r>
      <w:r w:rsidR="00140442" w:rsidRPr="003721E1">
        <w:t xml:space="preserve"> г.</w:t>
      </w:r>
      <w:r w:rsidR="00E30148">
        <w:rPr>
          <w:lang w:val="bg-BG"/>
        </w:rPr>
        <w:t>;</w:t>
      </w:r>
    </w:p>
    <w:p w14:paraId="7DB283A7" w14:textId="77777777" w:rsidR="00140442" w:rsidRPr="003721E1" w:rsidRDefault="00F6742E" w:rsidP="00140442">
      <w:pPr>
        <w:spacing w:line="230" w:lineRule="auto"/>
        <w:ind w:right="-1" w:firstLine="709"/>
        <w:jc w:val="both"/>
      </w:pPr>
      <w:r>
        <w:rPr>
          <w:lang w:val="bg-BG"/>
        </w:rPr>
        <w:t>7.</w:t>
      </w:r>
      <w:r w:rsidR="00140442" w:rsidRPr="003721E1">
        <w:t>2. приложение № 2 – справка за финансовите резултати от извършените превози през</w:t>
      </w:r>
      <w:r w:rsidR="00140442">
        <w:rPr>
          <w:color w:val="FF0000"/>
        </w:rPr>
        <w:t xml:space="preserve"> </w:t>
      </w:r>
      <w:r w:rsidR="00ED591A">
        <w:t>2026</w:t>
      </w:r>
      <w:r w:rsidR="00140442" w:rsidRPr="003721E1">
        <w:t xml:space="preserve"> г., по несубсидиран пробег </w:t>
      </w:r>
      <w:r w:rsidR="00140442" w:rsidRPr="003721E1">
        <w:rPr>
          <w:rFonts w:hint="eastAsia"/>
        </w:rPr>
        <w:t>по</w:t>
      </w:r>
      <w:r w:rsidR="00140442" w:rsidRPr="003721E1">
        <w:t xml:space="preserve"> </w:t>
      </w:r>
      <w:r w:rsidR="00140442" w:rsidRPr="003721E1">
        <w:rPr>
          <w:rFonts w:hint="eastAsia"/>
        </w:rPr>
        <w:t>автобусни</w:t>
      </w:r>
      <w:r w:rsidR="00140442" w:rsidRPr="003721E1">
        <w:t xml:space="preserve"> </w:t>
      </w:r>
      <w:r w:rsidR="00140442" w:rsidRPr="003721E1">
        <w:rPr>
          <w:rFonts w:hint="eastAsia"/>
        </w:rPr>
        <w:t>линии</w:t>
      </w:r>
      <w:r w:rsidR="008B42CC">
        <w:rPr>
          <w:lang w:val="bg-BG"/>
        </w:rPr>
        <w:t xml:space="preserve"> </w:t>
      </w:r>
      <w:r w:rsidR="008B42CC" w:rsidRPr="008B42CC">
        <w:rPr>
          <w:lang w:val="bg-BG"/>
        </w:rPr>
        <w:t>от утвърдените транспортни схеми – републиканска, междуобластна, областни и общински</w:t>
      </w:r>
      <w:r w:rsidR="00140442" w:rsidRPr="003721E1">
        <w:t xml:space="preserve">, включен в приложение № 1 към тези указания, която се попълва </w:t>
      </w:r>
      <w:r w:rsidR="00140442">
        <w:rPr>
          <w:lang w:val="bg-BG"/>
        </w:rPr>
        <w:t>ежемесечно с натрупване от началото на годината</w:t>
      </w:r>
      <w:r w:rsidR="00140442" w:rsidRPr="003F4F98">
        <w:t xml:space="preserve">, </w:t>
      </w:r>
      <w:r w:rsidR="00140442" w:rsidRPr="003721E1">
        <w:t>както следва:</w:t>
      </w:r>
    </w:p>
    <w:p w14:paraId="4471AB0F" w14:textId="3A99114B" w:rsidR="00140442" w:rsidRPr="003721E1" w:rsidRDefault="00591AE6" w:rsidP="0014044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0" w:lineRule="auto"/>
        <w:ind w:left="0" w:right="-1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bg-BG"/>
        </w:rPr>
        <w:t>на</w:t>
      </w:r>
      <w:r w:rsidR="00140442" w:rsidRPr="003721E1">
        <w:rPr>
          <w:rFonts w:eastAsia="Calibri"/>
          <w:color w:val="000000"/>
        </w:rPr>
        <w:t xml:space="preserve"> ред 1 се попълва общия</w:t>
      </w:r>
      <w:r>
        <w:rPr>
          <w:rFonts w:eastAsia="Calibri"/>
          <w:color w:val="000000"/>
          <w:lang w:val="bg-BG"/>
        </w:rPr>
        <w:t>т</w:t>
      </w:r>
      <w:r w:rsidR="00140442" w:rsidRPr="003721E1">
        <w:rPr>
          <w:rFonts w:eastAsia="Calibri"/>
          <w:color w:val="000000"/>
        </w:rPr>
        <w:t xml:space="preserve"> пробег по автобусни линии</w:t>
      </w:r>
      <w:r w:rsidR="008B42CC">
        <w:rPr>
          <w:rFonts w:eastAsia="Calibri"/>
          <w:color w:val="000000"/>
          <w:lang w:val="bg-BG"/>
        </w:rPr>
        <w:t xml:space="preserve"> </w:t>
      </w:r>
      <w:r w:rsidR="008B42CC" w:rsidRPr="008B42CC">
        <w:rPr>
          <w:lang w:val="bg-BG"/>
        </w:rPr>
        <w:t>от утвърдените транспортни схеми – републиканска, междуобластна, областни и общински</w:t>
      </w:r>
      <w:r w:rsidR="00140442" w:rsidRPr="003721E1">
        <w:rPr>
          <w:rFonts w:eastAsia="Calibri"/>
          <w:color w:val="000000"/>
        </w:rPr>
        <w:t>, който не се субсидира по Наредбата, за 202</w:t>
      </w:r>
      <w:r w:rsidR="00ED591A">
        <w:rPr>
          <w:rFonts w:eastAsia="Calibri"/>
          <w:color w:val="000000"/>
        </w:rPr>
        <w:t>6</w:t>
      </w:r>
      <w:r w:rsidR="00140442" w:rsidRPr="003721E1">
        <w:rPr>
          <w:rFonts w:eastAsia="Calibri"/>
          <w:color w:val="000000"/>
        </w:rPr>
        <w:t xml:space="preserve"> г. в хиляди километри (сумата от пробезите, посочени в справка </w:t>
      </w:r>
      <w:r>
        <w:rPr>
          <w:rFonts w:eastAsia="Calibri"/>
          <w:color w:val="000000"/>
          <w:lang w:val="bg-BG"/>
        </w:rPr>
        <w:t xml:space="preserve">- </w:t>
      </w:r>
      <w:r w:rsidR="00140442" w:rsidRPr="003721E1">
        <w:rPr>
          <w:rFonts w:eastAsia="Calibri"/>
          <w:color w:val="000000"/>
        </w:rPr>
        <w:t xml:space="preserve">приложение № 1 към тези указания); </w:t>
      </w:r>
    </w:p>
    <w:p w14:paraId="57BC2EFF" w14:textId="1300A2CB" w:rsidR="00140442" w:rsidRPr="003721E1" w:rsidRDefault="00591AE6" w:rsidP="0014044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0" w:lineRule="auto"/>
        <w:ind w:left="0" w:right="-1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bg-BG"/>
        </w:rPr>
        <w:t>на</w:t>
      </w:r>
      <w:r w:rsidR="00140442" w:rsidRPr="003721E1">
        <w:rPr>
          <w:rFonts w:eastAsia="Calibri"/>
          <w:color w:val="000000"/>
        </w:rPr>
        <w:t xml:space="preserve"> ред 2 се отчита в хиляди броя</w:t>
      </w:r>
      <w:r>
        <w:rPr>
          <w:rFonts w:eastAsia="Calibri"/>
          <w:color w:val="000000"/>
          <w:lang w:val="bg-BG"/>
        </w:rPr>
        <w:t>т</w:t>
      </w:r>
      <w:r w:rsidR="00140442" w:rsidRPr="003721E1">
        <w:rPr>
          <w:rFonts w:eastAsia="Calibri"/>
          <w:color w:val="000000"/>
        </w:rPr>
        <w:t xml:space="preserve"> на превозените пътници за съответния период;</w:t>
      </w:r>
    </w:p>
    <w:p w14:paraId="6963D097" w14:textId="11D6C401" w:rsidR="00140442" w:rsidRPr="009772F9" w:rsidRDefault="00591AE6" w:rsidP="0014044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0" w:lineRule="auto"/>
        <w:ind w:left="0" w:right="-1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bg-BG"/>
        </w:rPr>
        <w:t>на</w:t>
      </w:r>
      <w:r w:rsidR="00140442" w:rsidRPr="003721E1">
        <w:rPr>
          <w:rFonts w:eastAsia="Calibri"/>
          <w:color w:val="000000"/>
        </w:rPr>
        <w:t xml:space="preserve"> ред 3 се отчитат в </w:t>
      </w:r>
      <w:r w:rsidR="002D3CC5">
        <w:rPr>
          <w:rFonts w:eastAsia="Calibri"/>
          <w:color w:val="000000"/>
          <w:lang w:val="bg-BG"/>
        </w:rPr>
        <w:t>евро</w:t>
      </w:r>
      <w:r w:rsidR="00140442" w:rsidRPr="003721E1">
        <w:rPr>
          <w:rFonts w:eastAsia="Calibri"/>
          <w:color w:val="000000"/>
        </w:rPr>
        <w:t xml:space="preserve"> общите приходи от дейността по предоставяне на превозни услуги, за които се кандидатства за субсидиране;</w:t>
      </w:r>
    </w:p>
    <w:p w14:paraId="03DDEF88" w14:textId="77777777" w:rsidR="009772F9" w:rsidRPr="003721E1" w:rsidRDefault="009772F9" w:rsidP="009772F9">
      <w:pPr>
        <w:tabs>
          <w:tab w:val="left" w:pos="993"/>
        </w:tabs>
        <w:autoSpaceDE w:val="0"/>
        <w:autoSpaceDN w:val="0"/>
        <w:adjustRightInd w:val="0"/>
        <w:spacing w:line="230" w:lineRule="auto"/>
        <w:ind w:left="709" w:right="-1"/>
        <w:jc w:val="both"/>
        <w:rPr>
          <w:rFonts w:eastAsia="Calibri"/>
          <w:color w:val="000000"/>
        </w:rPr>
      </w:pPr>
    </w:p>
    <w:p w14:paraId="35461689" w14:textId="06D48882" w:rsidR="00140442" w:rsidRPr="003721E1" w:rsidRDefault="00591AE6" w:rsidP="0014044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0" w:lineRule="auto"/>
        <w:ind w:left="0" w:right="-1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bg-BG"/>
        </w:rPr>
        <w:t>на</w:t>
      </w:r>
      <w:r w:rsidR="00140442" w:rsidRPr="003721E1">
        <w:rPr>
          <w:rFonts w:eastAsia="Calibri"/>
          <w:color w:val="000000"/>
        </w:rPr>
        <w:t xml:space="preserve"> ред 3.1 се отчитат в </w:t>
      </w:r>
      <w:r w:rsidR="002D3CC5" w:rsidRPr="002D3CC5">
        <w:rPr>
          <w:rFonts w:eastAsia="Calibri"/>
          <w:color w:val="000000"/>
          <w:lang w:val="bg-BG"/>
        </w:rPr>
        <w:t>евро</w:t>
      </w:r>
      <w:r w:rsidR="00140442" w:rsidRPr="003721E1">
        <w:rPr>
          <w:rFonts w:eastAsia="Calibri"/>
          <w:color w:val="000000"/>
        </w:rPr>
        <w:t xml:space="preserve"> нетните приходи от продажби от извършваната дейност (продажба на превозни документи);</w:t>
      </w:r>
    </w:p>
    <w:p w14:paraId="5CDB4BE7" w14:textId="1FFA6EED" w:rsidR="00140442" w:rsidRPr="003721E1" w:rsidRDefault="00591AE6" w:rsidP="0014044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0" w:lineRule="auto"/>
        <w:ind w:left="0" w:right="-1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bg-BG"/>
        </w:rPr>
        <w:t>на</w:t>
      </w:r>
      <w:r w:rsidR="00140442" w:rsidRPr="003721E1">
        <w:rPr>
          <w:rFonts w:eastAsia="Calibri"/>
          <w:color w:val="000000"/>
        </w:rPr>
        <w:t xml:space="preserve"> ред 3.2 се посочват в </w:t>
      </w:r>
      <w:r w:rsidR="002D3CC5">
        <w:rPr>
          <w:rFonts w:eastAsia="Calibri"/>
          <w:color w:val="000000"/>
          <w:lang w:val="bg-BG"/>
        </w:rPr>
        <w:t>евро</w:t>
      </w:r>
      <w:r w:rsidR="00140442" w:rsidRPr="003721E1">
        <w:rPr>
          <w:rFonts w:eastAsia="Calibri"/>
          <w:color w:val="000000"/>
        </w:rPr>
        <w:t xml:space="preserve"> всички получени компенсации за безплатните и по намалени цени превози от централния бюджет за конкретния отчетен период, които общината реално е изплатила на превозвача за посочения в приложение № 1 пробег по междуселищни автобусни линии;</w:t>
      </w:r>
    </w:p>
    <w:p w14:paraId="63FBB75B" w14:textId="1B516E04" w:rsidR="00ED591A" w:rsidRPr="00CF74A5" w:rsidRDefault="00591AE6" w:rsidP="00CF74A5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0" w:lineRule="auto"/>
        <w:ind w:left="0" w:right="-1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bg-BG"/>
        </w:rPr>
        <w:t>на</w:t>
      </w:r>
      <w:r w:rsidR="00140442" w:rsidRPr="00ED591A">
        <w:rPr>
          <w:rFonts w:eastAsia="Calibri"/>
          <w:color w:val="000000"/>
        </w:rPr>
        <w:t xml:space="preserve"> ред 3.3 се отчитат в </w:t>
      </w:r>
      <w:r w:rsidR="002D3CC5">
        <w:rPr>
          <w:rFonts w:eastAsia="Calibri"/>
          <w:color w:val="000000"/>
          <w:lang w:val="bg-BG"/>
        </w:rPr>
        <w:t>евро</w:t>
      </w:r>
      <w:r w:rsidR="00140442" w:rsidRPr="00ED591A">
        <w:rPr>
          <w:rFonts w:eastAsia="Calibri"/>
          <w:color w:val="000000"/>
        </w:rPr>
        <w:t xml:space="preserve"> други приходи от извършваната дейност</w:t>
      </w:r>
      <w:r>
        <w:rPr>
          <w:rFonts w:eastAsia="Calibri"/>
          <w:color w:val="000000"/>
          <w:lang w:val="bg-BG"/>
        </w:rPr>
        <w:t>.</w:t>
      </w:r>
    </w:p>
    <w:p w14:paraId="4AB6011D" w14:textId="509CDD16" w:rsidR="00140442" w:rsidRPr="00ED591A" w:rsidRDefault="00140442" w:rsidP="00ED591A">
      <w:pPr>
        <w:tabs>
          <w:tab w:val="left" w:pos="993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 w:rsidRPr="00ED591A">
        <w:rPr>
          <w:rFonts w:eastAsia="Calibri"/>
          <w:color w:val="000000"/>
        </w:rPr>
        <w:t xml:space="preserve">Във връзка с горното превозвачите биха могли да използват разпоредбите на </w:t>
      </w:r>
      <w:r w:rsidR="00591AE6">
        <w:rPr>
          <w:rFonts w:eastAsia="Calibri"/>
          <w:color w:val="000000"/>
          <w:lang w:val="bg-BG"/>
        </w:rPr>
        <w:br/>
      </w:r>
      <w:r w:rsidRPr="00ED591A">
        <w:rPr>
          <w:rFonts w:eastAsia="Calibri"/>
          <w:color w:val="000000"/>
        </w:rPr>
        <w:t>чл. 55, ал. 3 и чл. 58, ал. 1 и 2 от Наредбата, които са приложими по отношение на разпределението на разходите между отделни дейности, като същите принципи могат да се използват аналогично за разпределение и на други приходи</w:t>
      </w:r>
      <w:r w:rsidR="00ED591A">
        <w:rPr>
          <w:rFonts w:eastAsia="Calibri"/>
          <w:color w:val="000000"/>
        </w:rPr>
        <w:t xml:space="preserve"> от различни видове дейности</w:t>
      </w:r>
      <w:r w:rsidRPr="00ED591A">
        <w:rPr>
          <w:rFonts w:eastAsia="Calibri"/>
          <w:color w:val="000000"/>
        </w:rPr>
        <w:t>;</w:t>
      </w:r>
    </w:p>
    <w:p w14:paraId="43559452" w14:textId="580973A6" w:rsidR="00140442" w:rsidRPr="003721E1" w:rsidRDefault="00591AE6" w:rsidP="0014044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0" w:lineRule="auto"/>
        <w:ind w:left="0" w:right="-1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bg-BG"/>
        </w:rPr>
        <w:t>на</w:t>
      </w:r>
      <w:r w:rsidR="00140442" w:rsidRPr="003721E1">
        <w:rPr>
          <w:rFonts w:eastAsia="Calibri"/>
          <w:color w:val="000000"/>
        </w:rPr>
        <w:t xml:space="preserve"> ред 4 се отчитат в </w:t>
      </w:r>
      <w:r w:rsidR="002D3CC5">
        <w:rPr>
          <w:rFonts w:eastAsia="Calibri"/>
          <w:color w:val="000000"/>
          <w:lang w:val="bg-BG"/>
        </w:rPr>
        <w:t>евро</w:t>
      </w:r>
      <w:r w:rsidR="00140442" w:rsidRPr="003721E1">
        <w:rPr>
          <w:rFonts w:eastAsia="Calibri"/>
          <w:color w:val="000000"/>
        </w:rPr>
        <w:t xml:space="preserve"> общите разходи за дейността по предоставяне на превозни услуги, за които се кандидатства за субсидиране;</w:t>
      </w:r>
    </w:p>
    <w:p w14:paraId="4527DF03" w14:textId="610D2211" w:rsidR="00140442" w:rsidRPr="003721E1" w:rsidRDefault="003517EB" w:rsidP="0014044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0" w:lineRule="auto"/>
        <w:ind w:left="0" w:right="-1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bg-BG"/>
        </w:rPr>
        <w:t>на</w:t>
      </w:r>
      <w:r w:rsidR="00140442" w:rsidRPr="003721E1">
        <w:rPr>
          <w:rFonts w:eastAsia="Calibri"/>
          <w:color w:val="000000"/>
        </w:rPr>
        <w:t xml:space="preserve"> ред 4.1</w:t>
      </w:r>
      <w:r>
        <w:rPr>
          <w:rFonts w:eastAsia="Calibri"/>
          <w:color w:val="000000"/>
          <w:lang w:val="bg-BG"/>
        </w:rPr>
        <w:t>,</w:t>
      </w:r>
      <w:r w:rsidR="00140442" w:rsidRPr="003721E1">
        <w:rPr>
          <w:rFonts w:eastAsia="Calibri"/>
          <w:color w:val="000000"/>
        </w:rPr>
        <w:t xml:space="preserve"> в </w:t>
      </w:r>
      <w:r>
        <w:rPr>
          <w:rFonts w:eastAsia="Calibri"/>
          <w:color w:val="000000"/>
          <w:lang w:val="bg-BG"/>
        </w:rPr>
        <w:t>буква</w:t>
      </w:r>
      <w:r w:rsidR="00140442" w:rsidRPr="003721E1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lang w:val="bg-BG"/>
        </w:rPr>
        <w:t>„</w:t>
      </w:r>
      <w:r w:rsidR="00140442" w:rsidRPr="003721E1">
        <w:rPr>
          <w:rFonts w:eastAsia="Calibri"/>
          <w:color w:val="000000"/>
        </w:rPr>
        <w:t>а</w:t>
      </w:r>
      <w:r>
        <w:rPr>
          <w:rFonts w:eastAsia="Calibri"/>
          <w:color w:val="000000"/>
          <w:lang w:val="bg-BG"/>
        </w:rPr>
        <w:t>“</w:t>
      </w:r>
      <w:r w:rsidR="00140442" w:rsidRPr="003721E1">
        <w:rPr>
          <w:rFonts w:eastAsia="Calibri"/>
          <w:color w:val="000000"/>
        </w:rPr>
        <w:t xml:space="preserve"> се отчитат разходите за суровини и материали, в т.ч.</w:t>
      </w:r>
      <w:r>
        <w:rPr>
          <w:rFonts w:eastAsia="Calibri"/>
          <w:color w:val="000000"/>
          <w:lang w:val="bg-BG"/>
        </w:rPr>
        <w:t xml:space="preserve"> </w:t>
      </w:r>
      <w:r w:rsidR="00140442" w:rsidRPr="003721E1">
        <w:rPr>
          <w:rFonts w:eastAsia="Calibri"/>
          <w:color w:val="000000"/>
        </w:rPr>
        <w:t>гориво (ел. енергия);</w:t>
      </w:r>
    </w:p>
    <w:p w14:paraId="25A34C09" w14:textId="36857D53" w:rsidR="00140442" w:rsidRPr="003721E1" w:rsidRDefault="003517EB" w:rsidP="0014044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0" w:lineRule="auto"/>
        <w:ind w:left="0" w:right="-1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bg-BG"/>
        </w:rPr>
        <w:t>на</w:t>
      </w:r>
      <w:r w:rsidR="00140442" w:rsidRPr="003721E1">
        <w:rPr>
          <w:rFonts w:eastAsia="Calibri"/>
          <w:color w:val="000000"/>
        </w:rPr>
        <w:t xml:space="preserve"> ред 4.2</w:t>
      </w:r>
      <w:r>
        <w:rPr>
          <w:rFonts w:eastAsia="Calibri"/>
          <w:color w:val="000000"/>
          <w:lang w:val="bg-BG"/>
        </w:rPr>
        <w:t>,</w:t>
      </w:r>
      <w:r w:rsidR="00140442" w:rsidRPr="003721E1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lang w:val="bg-BG"/>
        </w:rPr>
        <w:t>в</w:t>
      </w:r>
      <w:r w:rsidR="00140442" w:rsidRPr="003721E1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lang w:val="bg-BG"/>
        </w:rPr>
        <w:t>букви</w:t>
      </w:r>
      <w:r w:rsidR="00140442" w:rsidRPr="003721E1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lang w:val="bg-BG"/>
        </w:rPr>
        <w:t>„</w:t>
      </w:r>
      <w:r w:rsidR="00140442" w:rsidRPr="003721E1">
        <w:rPr>
          <w:rFonts w:eastAsia="Calibri"/>
          <w:color w:val="000000"/>
        </w:rPr>
        <w:t>а</w:t>
      </w:r>
      <w:r>
        <w:rPr>
          <w:rFonts w:eastAsia="Calibri"/>
          <w:color w:val="000000"/>
          <w:lang w:val="bg-BG"/>
        </w:rPr>
        <w:t>“</w:t>
      </w:r>
      <w:r w:rsidR="00140442" w:rsidRPr="003721E1">
        <w:rPr>
          <w:rFonts w:eastAsia="Calibri"/>
          <w:color w:val="000000"/>
        </w:rPr>
        <w:t xml:space="preserve"> и </w:t>
      </w:r>
      <w:r>
        <w:rPr>
          <w:rFonts w:eastAsia="Calibri"/>
          <w:color w:val="000000"/>
          <w:lang w:val="bg-BG"/>
        </w:rPr>
        <w:t>„</w:t>
      </w:r>
      <w:r w:rsidR="00140442" w:rsidRPr="003721E1">
        <w:rPr>
          <w:rFonts w:eastAsia="Calibri"/>
          <w:color w:val="000000"/>
        </w:rPr>
        <w:t>б</w:t>
      </w:r>
      <w:r>
        <w:rPr>
          <w:rFonts w:eastAsia="Calibri"/>
          <w:color w:val="000000"/>
          <w:lang w:val="bg-BG"/>
        </w:rPr>
        <w:t>“</w:t>
      </w:r>
      <w:r w:rsidR="00140442" w:rsidRPr="003721E1">
        <w:rPr>
          <w:rFonts w:eastAsia="Calibri"/>
          <w:color w:val="000000"/>
        </w:rPr>
        <w:t xml:space="preserve"> се отчитат в </w:t>
      </w:r>
      <w:r w:rsidR="002D3CC5">
        <w:rPr>
          <w:rFonts w:eastAsia="Calibri"/>
          <w:color w:val="000000"/>
          <w:lang w:val="bg-BG"/>
        </w:rPr>
        <w:t>евро</w:t>
      </w:r>
      <w:r w:rsidR="00140442" w:rsidRPr="003721E1">
        <w:rPr>
          <w:rFonts w:eastAsia="Calibri"/>
          <w:color w:val="000000"/>
        </w:rPr>
        <w:t xml:space="preserve"> разходи за персонала, в т.ч. разходи за възнаграждения и разходи за осигуровки;</w:t>
      </w:r>
    </w:p>
    <w:p w14:paraId="04A8B5DD" w14:textId="0A468D67" w:rsidR="00140442" w:rsidRPr="003721E1" w:rsidRDefault="003517EB" w:rsidP="0014044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0" w:lineRule="auto"/>
        <w:ind w:left="0" w:right="-1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bg-BG"/>
        </w:rPr>
        <w:t>на</w:t>
      </w:r>
      <w:r w:rsidR="00140442" w:rsidRPr="003721E1">
        <w:rPr>
          <w:rFonts w:eastAsia="Calibri"/>
          <w:color w:val="000000"/>
        </w:rPr>
        <w:t xml:space="preserve"> ред 5 се отчита в </w:t>
      </w:r>
      <w:r w:rsidR="002D3CC5">
        <w:rPr>
          <w:rFonts w:eastAsia="Calibri"/>
          <w:color w:val="000000"/>
          <w:lang w:val="bg-BG"/>
        </w:rPr>
        <w:t>евро</w:t>
      </w:r>
      <w:r w:rsidR="00140442" w:rsidRPr="003721E1">
        <w:rPr>
          <w:rFonts w:eastAsia="Calibri"/>
          <w:color w:val="000000"/>
        </w:rPr>
        <w:t xml:space="preserve"> загубата, която се изчислява</w:t>
      </w:r>
      <w:r>
        <w:rPr>
          <w:rFonts w:eastAsia="Calibri"/>
          <w:color w:val="000000"/>
          <w:lang w:val="bg-BG"/>
        </w:rPr>
        <w:t>,</w:t>
      </w:r>
      <w:r w:rsidR="00140442" w:rsidRPr="003721E1">
        <w:rPr>
          <w:rFonts w:eastAsia="Calibri"/>
          <w:color w:val="000000"/>
        </w:rPr>
        <w:t xml:space="preserve"> като от общите разходи се извадят общите приходи (ред 4 – ред 3);</w:t>
      </w:r>
    </w:p>
    <w:p w14:paraId="5755826D" w14:textId="1B6175E0" w:rsidR="00140442" w:rsidRPr="003721E1" w:rsidRDefault="003517EB" w:rsidP="0014044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0" w:lineRule="auto"/>
        <w:ind w:left="0" w:right="-1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bg-BG"/>
        </w:rPr>
        <w:t>на</w:t>
      </w:r>
      <w:r w:rsidR="00140442" w:rsidRPr="003721E1">
        <w:rPr>
          <w:rFonts w:eastAsia="Calibri"/>
          <w:color w:val="000000"/>
        </w:rPr>
        <w:t xml:space="preserve"> ред 6 се отчита в </w:t>
      </w:r>
      <w:r w:rsidR="002D3CC5">
        <w:rPr>
          <w:rFonts w:eastAsia="Calibri"/>
          <w:color w:val="000000"/>
          <w:lang w:val="bg-BG"/>
        </w:rPr>
        <w:t>евро</w:t>
      </w:r>
      <w:r w:rsidR="00140442" w:rsidRPr="003721E1">
        <w:rPr>
          <w:rFonts w:eastAsia="Calibri"/>
          <w:color w:val="000000"/>
        </w:rPr>
        <w:t xml:space="preserve"> разумна печалба, ако такава е предвидена в акта за възлагане, в размер до 5 на сто от общия размер на преките и съответната част от непреките разходи за дейността по предоставяне на пътнически превозни услуги, по които се кандидатства за субсидиране</w:t>
      </w:r>
      <w:r>
        <w:rPr>
          <w:rFonts w:eastAsia="Calibri"/>
          <w:color w:val="000000"/>
          <w:lang w:val="bg-BG"/>
        </w:rPr>
        <w:t>;</w:t>
      </w:r>
      <w:r w:rsidR="00140442" w:rsidRPr="003721E1">
        <w:rPr>
          <w:rFonts w:eastAsia="Calibri"/>
          <w:color w:val="000000"/>
        </w:rPr>
        <w:t xml:space="preserve"> </w:t>
      </w:r>
      <w:r w:rsidRPr="003721E1">
        <w:rPr>
          <w:rFonts w:eastAsia="Calibri"/>
          <w:color w:val="000000"/>
        </w:rPr>
        <w:t>в</w:t>
      </w:r>
      <w:r w:rsidR="00140442" w:rsidRPr="003721E1">
        <w:rPr>
          <w:rFonts w:eastAsia="Calibri"/>
          <w:color w:val="000000"/>
        </w:rPr>
        <w:t xml:space="preserve"> случай че предвидената по договор разумна печалба е в по-голям размер, разликата е за сметка на съответната община;</w:t>
      </w:r>
    </w:p>
    <w:p w14:paraId="067970B5" w14:textId="702854AB" w:rsidR="00140442" w:rsidRPr="003721E1" w:rsidRDefault="003517EB" w:rsidP="00140442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30" w:lineRule="auto"/>
        <w:ind w:left="0" w:right="-1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bg-BG"/>
        </w:rPr>
        <w:t>на</w:t>
      </w:r>
      <w:r w:rsidR="00140442" w:rsidRPr="003721E1">
        <w:rPr>
          <w:rFonts w:eastAsia="Calibri"/>
          <w:color w:val="000000"/>
        </w:rPr>
        <w:t xml:space="preserve"> ред 7 се отчита в </w:t>
      </w:r>
      <w:r w:rsidR="002D3CC5">
        <w:rPr>
          <w:rFonts w:eastAsia="Calibri"/>
          <w:color w:val="000000"/>
          <w:lang w:val="bg-BG"/>
        </w:rPr>
        <w:t>евро</w:t>
      </w:r>
      <w:r w:rsidR="00140442" w:rsidRPr="003721E1">
        <w:rPr>
          <w:rFonts w:eastAsia="Calibri"/>
          <w:color w:val="000000"/>
        </w:rPr>
        <w:t xml:space="preserve"> нетен финансов ефект, който се изчислява като сбор от загубата и разумната печалба (ред 5 + ред 6).</w:t>
      </w:r>
    </w:p>
    <w:p w14:paraId="7BE592D0" w14:textId="4BFBB5BF" w:rsidR="00140442" w:rsidRPr="003721E1" w:rsidRDefault="00140442" w:rsidP="00140442">
      <w:pPr>
        <w:tabs>
          <w:tab w:val="left" w:pos="993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 w:rsidRPr="003721E1">
        <w:rPr>
          <w:rFonts w:eastAsia="Calibri"/>
          <w:color w:val="000000"/>
        </w:rPr>
        <w:t>Справките по приложени</w:t>
      </w:r>
      <w:r w:rsidR="009772F9">
        <w:rPr>
          <w:rFonts w:eastAsia="Calibri"/>
          <w:color w:val="000000"/>
          <w:lang w:val="bg-BG"/>
        </w:rPr>
        <w:t>я</w:t>
      </w:r>
      <w:r w:rsidRPr="003721E1">
        <w:rPr>
          <w:rFonts w:eastAsia="Calibri"/>
          <w:color w:val="000000"/>
        </w:rPr>
        <w:t xml:space="preserve"> № 1 и № 2 се подават</w:t>
      </w:r>
      <w:r>
        <w:rPr>
          <w:rFonts w:eastAsia="Calibri"/>
          <w:color w:val="000000"/>
          <w:lang w:val="bg-BG"/>
        </w:rPr>
        <w:t xml:space="preserve"> </w:t>
      </w:r>
      <w:r w:rsidRPr="00F6742E">
        <w:rPr>
          <w:rFonts w:eastAsia="Calibri"/>
          <w:color w:val="000000"/>
          <w:lang w:val="bg-BG"/>
        </w:rPr>
        <w:t>ежемесечно</w:t>
      </w:r>
      <w:r w:rsidRPr="003721E1">
        <w:rPr>
          <w:rFonts w:eastAsia="Calibri"/>
          <w:color w:val="000000"/>
        </w:rPr>
        <w:t xml:space="preserve"> от превозвачите към общините, с които имат сключени договори за изпълнение на превози по съответните  автобусни линии</w:t>
      </w:r>
      <w:r w:rsidR="00F27463">
        <w:rPr>
          <w:rFonts w:eastAsia="Calibri"/>
          <w:color w:val="000000"/>
          <w:lang w:val="bg-BG"/>
        </w:rPr>
        <w:t xml:space="preserve"> </w:t>
      </w:r>
      <w:r w:rsidR="00F27463" w:rsidRPr="00F27463">
        <w:rPr>
          <w:rFonts w:eastAsia="Calibri"/>
          <w:color w:val="000000"/>
          <w:lang w:val="bg-BG"/>
        </w:rPr>
        <w:t>от утвърдените транспортни схеми – републиканска, междуобластна, областни и общински</w:t>
      </w:r>
      <w:r w:rsidRPr="003721E1">
        <w:rPr>
          <w:rFonts w:eastAsia="Calibri"/>
          <w:color w:val="000000"/>
        </w:rPr>
        <w:t>,</w:t>
      </w:r>
      <w:r>
        <w:rPr>
          <w:rFonts w:eastAsia="Calibri"/>
          <w:color w:val="000000"/>
          <w:lang w:val="bg-BG"/>
        </w:rPr>
        <w:t xml:space="preserve"> до 7-мо число на месеца, следващ отчетния период,</w:t>
      </w:r>
      <w:r w:rsidRPr="003721E1">
        <w:rPr>
          <w:rFonts w:eastAsia="Calibri"/>
          <w:color w:val="000000"/>
        </w:rPr>
        <w:t xml:space="preserve"> като данните се изчисляват с натрупване </w:t>
      </w:r>
      <w:r>
        <w:rPr>
          <w:rFonts w:eastAsia="Calibri"/>
          <w:color w:val="000000"/>
          <w:lang w:val="bg-BG"/>
        </w:rPr>
        <w:t xml:space="preserve">от началото на годината до края на отчетния период. </w:t>
      </w:r>
    </w:p>
    <w:p w14:paraId="313E2535" w14:textId="77777777" w:rsidR="00140442" w:rsidRDefault="00140442" w:rsidP="00140442">
      <w:pPr>
        <w:tabs>
          <w:tab w:val="left" w:pos="993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 w:rsidRPr="003721E1">
        <w:rPr>
          <w:rFonts w:eastAsia="Calibri"/>
          <w:color w:val="000000"/>
        </w:rPr>
        <w:t xml:space="preserve">За посочените в приложение № 1 линии </w:t>
      </w:r>
      <w:r w:rsidR="00F27463" w:rsidRPr="00F27463">
        <w:rPr>
          <w:rFonts w:eastAsia="Calibri"/>
          <w:color w:val="000000"/>
        </w:rPr>
        <w:t>от утвърдените транспортни схеми – републиканска, междуобластна, областни и общински</w:t>
      </w:r>
      <w:r w:rsidR="00F27463">
        <w:rPr>
          <w:rFonts w:eastAsia="Calibri"/>
          <w:color w:val="000000"/>
          <w:lang w:val="bg-BG"/>
        </w:rPr>
        <w:t>,</w:t>
      </w:r>
      <w:r w:rsidR="00F27463" w:rsidRPr="00F27463">
        <w:rPr>
          <w:rFonts w:eastAsia="Calibri"/>
          <w:color w:val="000000"/>
        </w:rPr>
        <w:t xml:space="preserve"> </w:t>
      </w:r>
      <w:r w:rsidRPr="003721E1">
        <w:rPr>
          <w:rFonts w:eastAsia="Calibri"/>
          <w:color w:val="000000"/>
        </w:rPr>
        <w:t>се извършва проверка за съответствие по договор. За субсидиране се допускат само линии, които са включени в договорите за възлагане на превозите.</w:t>
      </w:r>
    </w:p>
    <w:p w14:paraId="38262E9B" w14:textId="77777777" w:rsidR="00BF2927" w:rsidRPr="003721E1" w:rsidRDefault="00BF2927" w:rsidP="00140442">
      <w:pPr>
        <w:tabs>
          <w:tab w:val="left" w:pos="993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</w:p>
    <w:p w14:paraId="2BD6CDAC" w14:textId="693D8D82" w:rsidR="00140442" w:rsidRDefault="00304027" w:rsidP="006F2DF1">
      <w:pPr>
        <w:tabs>
          <w:tab w:val="left" w:pos="993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 w:rsidRPr="006F2DF1">
        <w:rPr>
          <w:rFonts w:eastAsia="Calibri"/>
          <w:b/>
          <w:bCs/>
          <w:color w:val="000000"/>
          <w:lang w:val="bg-BG"/>
        </w:rPr>
        <w:t>8</w:t>
      </w:r>
      <w:r w:rsidR="00BF2927" w:rsidRPr="006F2DF1">
        <w:rPr>
          <w:rFonts w:eastAsia="Calibri"/>
          <w:b/>
          <w:bCs/>
          <w:color w:val="000000"/>
          <w:lang w:val="bg-BG"/>
        </w:rPr>
        <w:t>.</w:t>
      </w:r>
      <w:r w:rsidR="00BF2927">
        <w:rPr>
          <w:rFonts w:eastAsia="Calibri"/>
          <w:color w:val="000000"/>
          <w:lang w:val="bg-BG"/>
        </w:rPr>
        <w:t xml:space="preserve"> </w:t>
      </w:r>
      <w:r w:rsidR="00140442" w:rsidRPr="003721E1">
        <w:rPr>
          <w:rFonts w:eastAsia="Calibri"/>
          <w:color w:val="000000"/>
        </w:rPr>
        <w:t>За линии, които се поддържат главно поради историческия интерес към тях или туристическото им значение</w:t>
      </w:r>
      <w:r w:rsidR="006F2DF1">
        <w:rPr>
          <w:rFonts w:eastAsia="Calibri"/>
          <w:color w:val="000000"/>
          <w:lang w:val="bg-BG"/>
        </w:rPr>
        <w:t>,</w:t>
      </w:r>
      <w:r w:rsidR="00140442" w:rsidRPr="003721E1">
        <w:rPr>
          <w:rFonts w:eastAsia="Calibri"/>
          <w:color w:val="000000"/>
        </w:rPr>
        <w:t xml:space="preserve"> не се предоставят средства съгласно Регламент (ЕО) № 1370/2007.</w:t>
      </w:r>
    </w:p>
    <w:p w14:paraId="6A9CFF65" w14:textId="77777777" w:rsidR="00BF2927" w:rsidRPr="003721E1" w:rsidRDefault="00BF2927" w:rsidP="006F2DF1">
      <w:pPr>
        <w:tabs>
          <w:tab w:val="left" w:pos="993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</w:p>
    <w:p w14:paraId="23FEC393" w14:textId="796AAD3C" w:rsidR="00140442" w:rsidRDefault="00304027" w:rsidP="006F2DF1">
      <w:pPr>
        <w:tabs>
          <w:tab w:val="left" w:pos="993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  <w:lang w:val="bg-BG"/>
        </w:rPr>
      </w:pPr>
      <w:r w:rsidRPr="006F2DF1">
        <w:rPr>
          <w:rFonts w:eastAsia="Calibri"/>
          <w:b/>
          <w:bCs/>
          <w:color w:val="000000"/>
          <w:lang w:val="bg-BG"/>
        </w:rPr>
        <w:t>9</w:t>
      </w:r>
      <w:r w:rsidR="00BF2927" w:rsidRPr="006F2DF1">
        <w:rPr>
          <w:rFonts w:eastAsia="Calibri"/>
          <w:b/>
          <w:bCs/>
          <w:color w:val="000000"/>
          <w:lang w:val="bg-BG"/>
        </w:rPr>
        <w:t>.</w:t>
      </w:r>
      <w:r>
        <w:rPr>
          <w:rFonts w:eastAsia="Calibri"/>
          <w:color w:val="000000"/>
          <w:lang w:val="bg-BG"/>
        </w:rPr>
        <w:t xml:space="preserve"> </w:t>
      </w:r>
      <w:r w:rsidR="00140442" w:rsidRPr="003721E1">
        <w:rPr>
          <w:rFonts w:eastAsia="Calibri"/>
          <w:color w:val="000000"/>
        </w:rPr>
        <w:t>Ако автобусна линия</w:t>
      </w:r>
      <w:r w:rsidR="00F27463">
        <w:rPr>
          <w:rFonts w:eastAsia="Calibri"/>
          <w:color w:val="000000"/>
          <w:lang w:val="bg-BG"/>
        </w:rPr>
        <w:t xml:space="preserve"> </w:t>
      </w:r>
      <w:r w:rsidR="00F27463" w:rsidRPr="00F27463">
        <w:rPr>
          <w:rFonts w:eastAsia="Calibri"/>
          <w:color w:val="000000"/>
          <w:lang w:val="bg-BG"/>
        </w:rPr>
        <w:t>от утвърдените транспортни схеми – републиканска, междуобластна, областни и общински</w:t>
      </w:r>
      <w:r w:rsidR="00F27463">
        <w:rPr>
          <w:rFonts w:eastAsia="Calibri"/>
          <w:color w:val="000000"/>
          <w:lang w:val="bg-BG"/>
        </w:rPr>
        <w:t>,</w:t>
      </w:r>
      <w:r w:rsidR="00140442" w:rsidRPr="003721E1">
        <w:rPr>
          <w:rFonts w:eastAsia="Calibri"/>
          <w:color w:val="000000"/>
        </w:rPr>
        <w:t xml:space="preserve"> се субсидира изцяло по реда на Наредбата, то същата не се допуска за субсидиране със средства </w:t>
      </w:r>
      <w:r w:rsidR="00BF2927">
        <w:rPr>
          <w:rFonts w:eastAsia="Calibri"/>
          <w:color w:val="000000"/>
          <w:lang w:val="bg-BG"/>
        </w:rPr>
        <w:t>по Програмата</w:t>
      </w:r>
      <w:r w:rsidR="00140442" w:rsidRPr="003721E1">
        <w:rPr>
          <w:rFonts w:eastAsia="Calibri"/>
          <w:color w:val="000000"/>
        </w:rPr>
        <w:t>.</w:t>
      </w:r>
    </w:p>
    <w:p w14:paraId="7FA197DE" w14:textId="77777777" w:rsidR="0037333F" w:rsidRDefault="0037333F" w:rsidP="006F2DF1">
      <w:pPr>
        <w:tabs>
          <w:tab w:val="left" w:pos="993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  <w:lang w:val="bg-BG"/>
        </w:rPr>
      </w:pPr>
    </w:p>
    <w:p w14:paraId="754C2C10" w14:textId="48DE172B" w:rsidR="00140442" w:rsidRDefault="00304027" w:rsidP="006F2DF1">
      <w:pPr>
        <w:tabs>
          <w:tab w:val="left" w:pos="993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 w:rsidRPr="006F2DF1">
        <w:rPr>
          <w:rFonts w:eastAsia="Calibri"/>
          <w:b/>
          <w:bCs/>
          <w:color w:val="000000"/>
          <w:lang w:val="bg-BG"/>
        </w:rPr>
        <w:t>10</w:t>
      </w:r>
      <w:r w:rsidR="0037333F" w:rsidRPr="006F2DF1">
        <w:rPr>
          <w:rFonts w:eastAsia="Calibri"/>
          <w:b/>
          <w:bCs/>
          <w:color w:val="000000"/>
          <w:lang w:val="bg-BG"/>
        </w:rPr>
        <w:t>.</w:t>
      </w:r>
      <w:r w:rsidR="0037333F">
        <w:rPr>
          <w:rFonts w:eastAsia="Calibri"/>
          <w:color w:val="000000"/>
          <w:lang w:val="bg-BG"/>
        </w:rPr>
        <w:t xml:space="preserve"> </w:t>
      </w:r>
      <w:r w:rsidR="00140442" w:rsidRPr="003721E1">
        <w:rPr>
          <w:rFonts w:eastAsia="Calibri"/>
          <w:color w:val="000000"/>
        </w:rPr>
        <w:t>Средства по една автобусна линия се разпределят само и единствено от общината възложител на превозите по нея</w:t>
      </w:r>
      <w:r w:rsidR="006B609C">
        <w:rPr>
          <w:rFonts w:eastAsia="Calibri"/>
          <w:color w:val="000000"/>
          <w:lang w:val="bg-BG"/>
        </w:rPr>
        <w:t>,</w:t>
      </w:r>
      <w:r w:rsidR="00140442" w:rsidRPr="003721E1">
        <w:rPr>
          <w:rFonts w:eastAsia="Calibri"/>
          <w:color w:val="000000"/>
        </w:rPr>
        <w:t xml:space="preserve"> независимо че линията може да преминава през територията на няколко общини.</w:t>
      </w:r>
    </w:p>
    <w:p w14:paraId="06434AF1" w14:textId="77777777" w:rsidR="0037333F" w:rsidRPr="003721E1" w:rsidRDefault="0037333F" w:rsidP="006F2DF1">
      <w:pPr>
        <w:tabs>
          <w:tab w:val="left" w:pos="993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</w:p>
    <w:p w14:paraId="5E9EAD08" w14:textId="251C48DA" w:rsidR="00140442" w:rsidRDefault="0037333F" w:rsidP="006F2DF1">
      <w:pPr>
        <w:tabs>
          <w:tab w:val="left" w:pos="993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 w:rsidRPr="006F2DF1">
        <w:rPr>
          <w:rFonts w:eastAsia="Calibri"/>
          <w:b/>
          <w:bCs/>
          <w:color w:val="000000"/>
          <w:lang w:val="bg-BG"/>
        </w:rPr>
        <w:lastRenderedPageBreak/>
        <w:t>1</w:t>
      </w:r>
      <w:r w:rsidR="00304027" w:rsidRPr="006F2DF1">
        <w:rPr>
          <w:rFonts w:eastAsia="Calibri"/>
          <w:b/>
          <w:bCs/>
          <w:color w:val="000000"/>
          <w:lang w:val="bg-BG"/>
        </w:rPr>
        <w:t>1</w:t>
      </w:r>
      <w:r w:rsidRPr="006F2DF1">
        <w:rPr>
          <w:rFonts w:eastAsia="Calibri"/>
          <w:b/>
          <w:bCs/>
          <w:color w:val="000000"/>
          <w:lang w:val="bg-BG"/>
        </w:rPr>
        <w:t>.</w:t>
      </w:r>
      <w:r>
        <w:rPr>
          <w:rFonts w:eastAsia="Calibri"/>
          <w:color w:val="000000"/>
          <w:lang w:val="bg-BG"/>
        </w:rPr>
        <w:t xml:space="preserve"> </w:t>
      </w:r>
      <w:r w:rsidR="00140442" w:rsidRPr="003721E1">
        <w:rPr>
          <w:rFonts w:eastAsia="Calibri"/>
          <w:color w:val="000000"/>
        </w:rPr>
        <w:t>Разпределението на средствата между отделните превозвачи, с които една община има сключени договори</w:t>
      </w:r>
      <w:r w:rsidR="006B609C">
        <w:rPr>
          <w:rFonts w:eastAsia="Calibri"/>
          <w:color w:val="000000"/>
          <w:lang w:val="bg-BG"/>
        </w:rPr>
        <w:t>,</w:t>
      </w:r>
      <w:r w:rsidR="00140442" w:rsidRPr="003721E1">
        <w:rPr>
          <w:rFonts w:eastAsia="Calibri"/>
          <w:color w:val="000000"/>
        </w:rPr>
        <w:t xml:space="preserve"> се извършва в един и същ момент след получаване на всички заявки в определения от общината срок.</w:t>
      </w:r>
    </w:p>
    <w:p w14:paraId="0860EF91" w14:textId="77777777" w:rsidR="0037333F" w:rsidRPr="009772F9" w:rsidRDefault="0037333F" w:rsidP="006F2DF1">
      <w:pPr>
        <w:tabs>
          <w:tab w:val="left" w:pos="993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  <w:lang w:val="bg-BG"/>
        </w:rPr>
      </w:pPr>
    </w:p>
    <w:p w14:paraId="09D3311F" w14:textId="747374D3" w:rsidR="00140442" w:rsidRPr="0037333F" w:rsidDel="00C63BD1" w:rsidRDefault="0037333F" w:rsidP="006F2DF1">
      <w:pPr>
        <w:tabs>
          <w:tab w:val="left" w:pos="993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  <w:lang w:val="bg-BG"/>
        </w:rPr>
      </w:pPr>
      <w:r w:rsidRPr="006F2DF1">
        <w:rPr>
          <w:rFonts w:eastAsia="Calibri"/>
          <w:b/>
          <w:bCs/>
          <w:color w:val="000000"/>
          <w:lang w:val="bg-BG"/>
        </w:rPr>
        <w:t>1</w:t>
      </w:r>
      <w:r w:rsidR="00304027" w:rsidRPr="006F2DF1">
        <w:rPr>
          <w:rFonts w:eastAsia="Calibri"/>
          <w:b/>
          <w:bCs/>
          <w:color w:val="000000"/>
          <w:lang w:val="bg-BG"/>
        </w:rPr>
        <w:t>2</w:t>
      </w:r>
      <w:r w:rsidRPr="006F2DF1">
        <w:rPr>
          <w:rFonts w:eastAsia="Calibri"/>
          <w:b/>
          <w:bCs/>
          <w:color w:val="000000"/>
          <w:lang w:val="bg-BG"/>
        </w:rPr>
        <w:t>.</w:t>
      </w:r>
      <w:r w:rsidR="00304027">
        <w:rPr>
          <w:rFonts w:eastAsia="Calibri"/>
          <w:color w:val="000000"/>
          <w:lang w:val="bg-BG"/>
        </w:rPr>
        <w:t xml:space="preserve"> </w:t>
      </w:r>
      <w:r w:rsidR="00140442" w:rsidRPr="003721E1" w:rsidDel="00C63BD1">
        <w:rPr>
          <w:rFonts w:eastAsia="Calibri"/>
          <w:color w:val="000000"/>
        </w:rPr>
        <w:t xml:space="preserve">Кметовете на общини </w:t>
      </w:r>
      <w:r w:rsidR="00140442" w:rsidRPr="003721E1">
        <w:rPr>
          <w:rFonts w:eastAsia="Calibri"/>
          <w:color w:val="000000"/>
        </w:rPr>
        <w:t>извършват</w:t>
      </w:r>
      <w:r w:rsidR="00140442" w:rsidRPr="003721E1" w:rsidDel="00C63BD1">
        <w:rPr>
          <w:rFonts w:eastAsia="Calibri"/>
          <w:color w:val="000000"/>
        </w:rPr>
        <w:t xml:space="preserve"> проверка на данните, предоставени от превозвачите, като в случай на</w:t>
      </w:r>
      <w:r w:rsidR="00140442" w:rsidRPr="003721E1">
        <w:rPr>
          <w:rFonts w:eastAsia="Calibri"/>
          <w:color w:val="000000"/>
        </w:rPr>
        <w:t xml:space="preserve"> възникнала необходимост или</w:t>
      </w:r>
      <w:r w:rsidR="00140442" w:rsidRPr="003721E1" w:rsidDel="00C63BD1">
        <w:rPr>
          <w:rFonts w:eastAsia="Calibri"/>
          <w:color w:val="000000"/>
        </w:rPr>
        <w:t xml:space="preserve"> констатирана неред</w:t>
      </w:r>
      <w:r w:rsidR="00140442" w:rsidRPr="003721E1">
        <w:rPr>
          <w:rFonts w:eastAsia="Calibri"/>
          <w:color w:val="000000"/>
        </w:rPr>
        <w:t>ов</w:t>
      </w:r>
      <w:r w:rsidR="00140442" w:rsidRPr="003721E1" w:rsidDel="00C63BD1">
        <w:rPr>
          <w:rFonts w:eastAsia="Calibri"/>
          <w:color w:val="000000"/>
        </w:rPr>
        <w:t>ност</w:t>
      </w:r>
      <w:r w:rsidR="00140442" w:rsidRPr="003721E1">
        <w:rPr>
          <w:rFonts w:eastAsia="Calibri"/>
          <w:color w:val="000000"/>
        </w:rPr>
        <w:t xml:space="preserve"> изискват допълнителни документи, включително от трети лица.</w:t>
      </w:r>
    </w:p>
    <w:p w14:paraId="06102285" w14:textId="77777777" w:rsidR="0037333F" w:rsidRDefault="0037333F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</w:p>
    <w:p w14:paraId="3408FAE5" w14:textId="77777777" w:rsidR="00140442" w:rsidRPr="003721E1" w:rsidRDefault="0037333F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 w:rsidRPr="006F2DF1">
        <w:rPr>
          <w:rFonts w:eastAsia="Calibri"/>
          <w:b/>
          <w:bCs/>
          <w:color w:val="000000"/>
        </w:rPr>
        <w:t>1</w:t>
      </w:r>
      <w:r w:rsidR="00304027" w:rsidRPr="006F2DF1">
        <w:rPr>
          <w:rFonts w:eastAsia="Calibri"/>
          <w:b/>
          <w:bCs/>
          <w:color w:val="000000"/>
          <w:lang w:val="bg-BG"/>
        </w:rPr>
        <w:t>3</w:t>
      </w:r>
      <w:r w:rsidRPr="006F2DF1">
        <w:rPr>
          <w:rFonts w:eastAsia="Calibri"/>
          <w:b/>
          <w:bCs/>
          <w:color w:val="000000"/>
        </w:rPr>
        <w:t>.</w:t>
      </w:r>
      <w:r>
        <w:rPr>
          <w:rFonts w:eastAsia="Calibri"/>
          <w:color w:val="000000"/>
        </w:rPr>
        <w:t xml:space="preserve"> </w:t>
      </w:r>
      <w:r w:rsidR="00140442" w:rsidRPr="003721E1">
        <w:rPr>
          <w:rFonts w:eastAsia="Calibri"/>
          <w:color w:val="000000"/>
        </w:rPr>
        <w:t>Субсидии за пътнически превози се предоставят от общините на превозвачите до размер, който не превишава сумата, съответстваща на нетния финансов ефект.</w:t>
      </w:r>
    </w:p>
    <w:p w14:paraId="578DEDF8" w14:textId="09CBD2CB" w:rsidR="0037333F" w:rsidRDefault="0037333F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</w:p>
    <w:p w14:paraId="7AEF2792" w14:textId="77777777" w:rsidR="00140442" w:rsidRDefault="0037333F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 w:rsidRPr="006F2DF1">
        <w:rPr>
          <w:rFonts w:eastAsia="Calibri"/>
          <w:b/>
          <w:bCs/>
          <w:color w:val="000000"/>
          <w:lang w:val="bg-BG"/>
        </w:rPr>
        <w:t>1</w:t>
      </w:r>
      <w:r w:rsidR="00304027" w:rsidRPr="006F2DF1">
        <w:rPr>
          <w:rFonts w:eastAsia="Calibri"/>
          <w:b/>
          <w:bCs/>
          <w:color w:val="000000"/>
          <w:lang w:val="bg-BG"/>
        </w:rPr>
        <w:t>4</w:t>
      </w:r>
      <w:r w:rsidRPr="006F2DF1">
        <w:rPr>
          <w:rFonts w:eastAsia="Calibri"/>
          <w:b/>
          <w:bCs/>
          <w:color w:val="000000"/>
          <w:lang w:val="bg-BG"/>
        </w:rPr>
        <w:t>.</w:t>
      </w:r>
      <w:r>
        <w:rPr>
          <w:rFonts w:eastAsia="Calibri"/>
          <w:color w:val="000000"/>
          <w:lang w:val="bg-BG"/>
        </w:rPr>
        <w:t xml:space="preserve"> </w:t>
      </w:r>
      <w:r w:rsidR="00140442" w:rsidRPr="003721E1">
        <w:rPr>
          <w:rFonts w:eastAsia="Calibri"/>
          <w:color w:val="000000"/>
        </w:rPr>
        <w:t>В случаите, когато размерът на необходимите средства за субсидии на дадена община надвишава размера на определените ѝ сре</w:t>
      </w:r>
      <w:r w:rsidR="00140442">
        <w:rPr>
          <w:rFonts w:eastAsia="Calibri"/>
          <w:color w:val="000000"/>
        </w:rPr>
        <w:t xml:space="preserve">дства </w:t>
      </w:r>
      <w:r>
        <w:rPr>
          <w:rFonts w:eastAsia="Calibri"/>
          <w:color w:val="000000"/>
          <w:lang w:val="bg-BG"/>
        </w:rPr>
        <w:t>по Програмата</w:t>
      </w:r>
      <w:r w:rsidR="00140442" w:rsidRPr="003721E1">
        <w:rPr>
          <w:rFonts w:eastAsia="Calibri"/>
          <w:color w:val="000000"/>
        </w:rPr>
        <w:t>, полагащите се на превозвачите суми се намаляват съразмерно на недостига за всички превозвачи.</w:t>
      </w:r>
    </w:p>
    <w:p w14:paraId="43CDFC22" w14:textId="77777777" w:rsidR="0037333F" w:rsidRPr="003721E1" w:rsidRDefault="0037333F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</w:p>
    <w:p w14:paraId="504E7400" w14:textId="59D1F67C" w:rsidR="00140442" w:rsidRDefault="0037333F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 w:rsidRPr="006F2DF1">
        <w:rPr>
          <w:rFonts w:eastAsia="Calibri"/>
          <w:b/>
          <w:bCs/>
          <w:color w:val="000000"/>
        </w:rPr>
        <w:t>1</w:t>
      </w:r>
      <w:r w:rsidR="00304027" w:rsidRPr="006F2DF1">
        <w:rPr>
          <w:rFonts w:eastAsia="Calibri"/>
          <w:b/>
          <w:bCs/>
          <w:color w:val="000000"/>
          <w:lang w:val="bg-BG"/>
        </w:rPr>
        <w:t>5</w:t>
      </w:r>
      <w:r w:rsidRPr="006F2DF1">
        <w:rPr>
          <w:rFonts w:eastAsia="Calibri"/>
          <w:b/>
          <w:bCs/>
          <w:color w:val="000000"/>
        </w:rPr>
        <w:t>.</w:t>
      </w:r>
      <w:r>
        <w:rPr>
          <w:rFonts w:eastAsia="Calibri"/>
          <w:color w:val="000000"/>
        </w:rPr>
        <w:t xml:space="preserve"> </w:t>
      </w:r>
      <w:r w:rsidR="00140442" w:rsidRPr="003721E1">
        <w:rPr>
          <w:rFonts w:eastAsia="Calibri"/>
          <w:color w:val="000000"/>
        </w:rPr>
        <w:t xml:space="preserve">С оглед </w:t>
      </w:r>
      <w:r w:rsidR="006B609C">
        <w:rPr>
          <w:rFonts w:eastAsia="Calibri"/>
          <w:color w:val="000000"/>
          <w:lang w:val="bg-BG"/>
        </w:rPr>
        <w:t xml:space="preserve">на </w:t>
      </w:r>
      <w:r w:rsidR="00140442" w:rsidRPr="003721E1">
        <w:rPr>
          <w:rFonts w:eastAsia="Calibri"/>
          <w:color w:val="000000"/>
        </w:rPr>
        <w:t>избягването на свръхкомпенсиране след приключване на бюджетната година кметът на общината изчислява нетния финансов ефект за цялата предходна година поотделно за всички субсидирани превозвачи, с които има сключен договор, на база данните от справките по приложения №</w:t>
      </w:r>
      <w:r w:rsidR="006B609C">
        <w:rPr>
          <w:rFonts w:eastAsia="Calibri"/>
          <w:color w:val="000000"/>
          <w:lang w:val="bg-BG"/>
        </w:rPr>
        <w:t xml:space="preserve"> </w:t>
      </w:r>
      <w:r w:rsidR="00140442" w:rsidRPr="003721E1">
        <w:rPr>
          <w:rFonts w:eastAsia="Calibri"/>
          <w:color w:val="000000"/>
        </w:rPr>
        <w:t xml:space="preserve">1 и № 2 </w:t>
      </w:r>
      <w:r w:rsidR="00140442">
        <w:rPr>
          <w:rFonts w:eastAsia="Calibri"/>
          <w:color w:val="000000"/>
        </w:rPr>
        <w:t xml:space="preserve">към </w:t>
      </w:r>
      <w:r>
        <w:rPr>
          <w:rFonts w:eastAsia="Calibri"/>
          <w:color w:val="000000"/>
          <w:lang w:val="bg-BG"/>
        </w:rPr>
        <w:t>Програмата</w:t>
      </w:r>
      <w:r w:rsidR="00140442">
        <w:rPr>
          <w:rFonts w:eastAsia="Calibri"/>
          <w:color w:val="000000"/>
        </w:rPr>
        <w:t xml:space="preserve"> към </w:t>
      </w:r>
      <w:r w:rsidR="006B609C">
        <w:rPr>
          <w:rFonts w:eastAsia="Calibri"/>
          <w:color w:val="000000"/>
          <w:lang w:val="bg-BG"/>
        </w:rPr>
        <w:br/>
      </w:r>
      <w:r w:rsidR="00ED591A">
        <w:rPr>
          <w:rFonts w:eastAsia="Calibri"/>
        </w:rPr>
        <w:t>31</w:t>
      </w:r>
      <w:r w:rsidR="006B609C">
        <w:rPr>
          <w:rFonts w:eastAsia="Calibri"/>
          <w:lang w:val="bg-BG"/>
        </w:rPr>
        <w:t xml:space="preserve"> декември </w:t>
      </w:r>
      <w:r w:rsidR="00ED591A">
        <w:rPr>
          <w:rFonts w:eastAsia="Calibri"/>
        </w:rPr>
        <w:t>2026</w:t>
      </w:r>
      <w:r w:rsidR="006B609C">
        <w:rPr>
          <w:rFonts w:eastAsia="Calibri"/>
          <w:lang w:val="bg-BG"/>
        </w:rPr>
        <w:t xml:space="preserve"> </w:t>
      </w:r>
      <w:r w:rsidR="00140442" w:rsidRPr="003721E1">
        <w:rPr>
          <w:rFonts w:eastAsia="Calibri"/>
          <w:color w:val="000000"/>
        </w:rPr>
        <w:t xml:space="preserve">г. За осъществяване на контрол във връзка с предоставянето на средствата за субсидиите, както и в случаите, когато възприетият от съответната община механизъм за разпределяне на сумите налага това, кметовете на общините могат да изискват всяка допълнителна аналитична и/или друга информация от превозвачите, удостоверяваща отчетените в справките по приложения № 1 и № 2 към </w:t>
      </w:r>
      <w:r>
        <w:rPr>
          <w:rFonts w:eastAsia="Calibri"/>
          <w:color w:val="000000"/>
          <w:lang w:val="bg-BG"/>
        </w:rPr>
        <w:t>Програмата</w:t>
      </w:r>
      <w:r w:rsidR="00140442" w:rsidRPr="003721E1">
        <w:rPr>
          <w:rFonts w:eastAsia="Calibri"/>
          <w:color w:val="000000"/>
        </w:rPr>
        <w:t xml:space="preserve"> данни. В случай че се установи, че на превозвач е предоставена субсидия в размер, превишаващ необходимия, разликата в повече се възстановява от превозвача в общинския бюджет най-късно в едномесечен срок от установяване на превишението заедно с дължимата лихва. Когато превозвачите дължат суми за неустойки или обезщетения по сключените с кметовете на общините договори за обществен превоз на пътници, дължимите суми се превеждат в съответствие с предвиденото в договорите.</w:t>
      </w:r>
    </w:p>
    <w:p w14:paraId="6CC5010F" w14:textId="77777777" w:rsidR="0037333F" w:rsidRPr="003721E1" w:rsidRDefault="0037333F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</w:p>
    <w:p w14:paraId="5CC68D37" w14:textId="7D10394F" w:rsidR="00140442" w:rsidRPr="003721E1" w:rsidRDefault="0037333F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 w:rsidRPr="006F2DF1">
        <w:rPr>
          <w:rFonts w:eastAsia="Calibri"/>
          <w:b/>
          <w:bCs/>
          <w:color w:val="000000"/>
        </w:rPr>
        <w:t>1</w:t>
      </w:r>
      <w:r w:rsidR="00304027" w:rsidRPr="006F2DF1">
        <w:rPr>
          <w:rFonts w:eastAsia="Calibri"/>
          <w:b/>
          <w:bCs/>
          <w:color w:val="000000"/>
          <w:lang w:val="bg-BG"/>
        </w:rPr>
        <w:t>6</w:t>
      </w:r>
      <w:r w:rsidRPr="006F2DF1">
        <w:rPr>
          <w:rFonts w:eastAsia="Calibri"/>
          <w:b/>
          <w:bCs/>
          <w:color w:val="000000"/>
        </w:rPr>
        <w:t>.</w:t>
      </w:r>
      <w:r>
        <w:rPr>
          <w:rFonts w:eastAsia="Calibri"/>
          <w:color w:val="000000"/>
        </w:rPr>
        <w:t xml:space="preserve"> </w:t>
      </w:r>
      <w:r w:rsidR="00140442" w:rsidRPr="003721E1">
        <w:rPr>
          <w:rFonts w:eastAsia="Calibri"/>
          <w:color w:val="000000"/>
        </w:rPr>
        <w:t xml:space="preserve">При наличие на данни за нарушения или непълна, неточна и/или невярна информация, посочена в справките по приложения № 1 и № 2 </w:t>
      </w:r>
      <w:r w:rsidR="006B609C">
        <w:rPr>
          <w:rFonts w:eastAsia="Calibri"/>
          <w:color w:val="000000"/>
          <w:lang w:val="bg-BG"/>
        </w:rPr>
        <w:t>към</w:t>
      </w:r>
      <w:r w:rsidR="00140442" w:rsidRPr="003721E1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  <w:lang w:val="bg-BG"/>
        </w:rPr>
        <w:t>Програмата</w:t>
      </w:r>
      <w:r w:rsidR="00140442" w:rsidRPr="003721E1">
        <w:rPr>
          <w:rFonts w:eastAsia="Calibri"/>
          <w:color w:val="000000"/>
        </w:rPr>
        <w:t>, до изясняване на обстоятелствата и/или отстраняване на нарушенията кметът на общината не разпределя и не предоставя средства за субсидии на съответния превозвач.</w:t>
      </w:r>
    </w:p>
    <w:p w14:paraId="48245F0E" w14:textId="77777777" w:rsidR="0037333F" w:rsidRDefault="0037333F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</w:p>
    <w:p w14:paraId="365F8164" w14:textId="77777777" w:rsidR="00140442" w:rsidRPr="003721E1" w:rsidRDefault="0037333F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 w:rsidRPr="006F2DF1">
        <w:rPr>
          <w:rFonts w:eastAsia="Calibri"/>
          <w:b/>
          <w:bCs/>
          <w:color w:val="000000"/>
        </w:rPr>
        <w:t>1</w:t>
      </w:r>
      <w:r w:rsidR="00304027" w:rsidRPr="006F2DF1">
        <w:rPr>
          <w:rFonts w:eastAsia="Calibri"/>
          <w:b/>
          <w:bCs/>
          <w:color w:val="000000"/>
          <w:lang w:val="bg-BG"/>
        </w:rPr>
        <w:t>7</w:t>
      </w:r>
      <w:r w:rsidRPr="006F2DF1">
        <w:rPr>
          <w:rFonts w:eastAsia="Calibri"/>
          <w:b/>
          <w:bCs/>
          <w:color w:val="000000"/>
        </w:rPr>
        <w:t>.</w:t>
      </w:r>
      <w:r>
        <w:rPr>
          <w:rFonts w:eastAsia="Calibri"/>
          <w:color w:val="000000"/>
        </w:rPr>
        <w:t xml:space="preserve"> </w:t>
      </w:r>
      <w:r w:rsidR="00140442" w:rsidRPr="003721E1">
        <w:rPr>
          <w:rFonts w:eastAsia="Calibri"/>
          <w:color w:val="000000"/>
        </w:rPr>
        <w:t>Кметовете на общините носят отговорност за спазването на договорите, финансовата дисциплина и законосъобразното разходване на предоставените на съответната община средства.</w:t>
      </w:r>
    </w:p>
    <w:p w14:paraId="08F3A2FC" w14:textId="77777777" w:rsidR="0037333F" w:rsidRDefault="0037333F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</w:p>
    <w:p w14:paraId="05C0663B" w14:textId="406A4DF6" w:rsidR="00140442" w:rsidRPr="003721E1" w:rsidRDefault="0037333F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 w:rsidRPr="006F2DF1">
        <w:rPr>
          <w:rFonts w:eastAsia="Calibri"/>
          <w:b/>
          <w:bCs/>
          <w:color w:val="000000"/>
        </w:rPr>
        <w:t>1</w:t>
      </w:r>
      <w:r w:rsidR="00304027" w:rsidRPr="006F2DF1">
        <w:rPr>
          <w:rFonts w:eastAsia="Calibri"/>
          <w:b/>
          <w:bCs/>
          <w:color w:val="000000"/>
          <w:lang w:val="bg-BG"/>
        </w:rPr>
        <w:t>8</w:t>
      </w:r>
      <w:r w:rsidRPr="006F2DF1">
        <w:rPr>
          <w:rFonts w:eastAsia="Calibri"/>
          <w:b/>
          <w:bCs/>
          <w:color w:val="000000"/>
        </w:rPr>
        <w:t>.</w:t>
      </w:r>
      <w:r>
        <w:rPr>
          <w:rFonts w:eastAsia="Calibri"/>
          <w:color w:val="000000"/>
        </w:rPr>
        <w:t xml:space="preserve"> </w:t>
      </w:r>
      <w:r w:rsidR="00140442" w:rsidRPr="003721E1">
        <w:rPr>
          <w:rFonts w:eastAsia="Calibri"/>
          <w:color w:val="000000"/>
        </w:rPr>
        <w:t xml:space="preserve">След изтичане на </w:t>
      </w:r>
      <w:r>
        <w:rPr>
          <w:rFonts w:eastAsia="Calibri"/>
          <w:color w:val="000000"/>
          <w:lang w:val="bg-BG"/>
        </w:rPr>
        <w:t>бюджетната</w:t>
      </w:r>
      <w:r w:rsidR="00140442" w:rsidRPr="003721E1">
        <w:rPr>
          <w:rFonts w:eastAsia="Calibri"/>
          <w:color w:val="000000"/>
        </w:rPr>
        <w:t xml:space="preserve"> година, до 31 март на следващата година, кметовете на общините публикуват на своята интернет страница или ако нямат такава – на видно място </w:t>
      </w:r>
      <w:r w:rsidR="006B609C">
        <w:rPr>
          <w:rFonts w:eastAsia="Calibri"/>
          <w:color w:val="000000"/>
          <w:lang w:val="bg-BG"/>
        </w:rPr>
        <w:t>на</w:t>
      </w:r>
      <w:r w:rsidR="00140442" w:rsidRPr="003721E1">
        <w:rPr>
          <w:rFonts w:eastAsia="Calibri"/>
          <w:color w:val="000000"/>
        </w:rPr>
        <w:t xml:space="preserve"> своя административен адрес</w:t>
      </w:r>
      <w:r w:rsidR="006B609C">
        <w:rPr>
          <w:rFonts w:eastAsia="Calibri"/>
          <w:color w:val="000000"/>
          <w:lang w:val="bg-BG"/>
        </w:rPr>
        <w:t>,</w:t>
      </w:r>
      <w:r w:rsidR="00140442" w:rsidRPr="003721E1">
        <w:rPr>
          <w:rFonts w:eastAsia="Calibri"/>
          <w:color w:val="000000"/>
        </w:rPr>
        <w:t xml:space="preserve"> отчет за изтеклата година, който съдържа информация за:</w:t>
      </w:r>
    </w:p>
    <w:p w14:paraId="411EA041" w14:textId="6B626BEB" w:rsidR="00140442" w:rsidRPr="003721E1" w:rsidRDefault="00F6742E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bg-BG"/>
        </w:rPr>
        <w:t>18.</w:t>
      </w:r>
      <w:r w:rsidR="00140442" w:rsidRPr="003721E1">
        <w:rPr>
          <w:rFonts w:eastAsia="Calibri"/>
          <w:color w:val="000000"/>
        </w:rPr>
        <w:t>1. проведените от кмета на общината обществени поръчки или процедури за концесии, чрез които са възложени обществени услуги за обществен превоз на пътници;</w:t>
      </w:r>
    </w:p>
    <w:p w14:paraId="4EF6A7A4" w14:textId="39D2FCB9" w:rsidR="00140442" w:rsidRPr="003721E1" w:rsidRDefault="00F6742E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bg-BG"/>
        </w:rPr>
        <w:t>18.</w:t>
      </w:r>
      <w:r w:rsidR="00140442" w:rsidRPr="003721E1">
        <w:rPr>
          <w:rFonts w:eastAsia="Calibri"/>
          <w:color w:val="000000"/>
        </w:rPr>
        <w:t>2. всеки от сключените договори за извършване на обществени услуги;</w:t>
      </w:r>
    </w:p>
    <w:p w14:paraId="678A2A19" w14:textId="6E3623D7" w:rsidR="00140442" w:rsidRPr="003721E1" w:rsidRDefault="00F6742E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>
        <w:rPr>
          <w:rFonts w:eastAsia="Calibri"/>
          <w:color w:val="000000"/>
          <w:lang w:val="bg-BG"/>
        </w:rPr>
        <w:t>18.</w:t>
      </w:r>
      <w:r w:rsidR="00140442" w:rsidRPr="003721E1">
        <w:rPr>
          <w:rFonts w:eastAsia="Calibri"/>
          <w:color w:val="000000"/>
        </w:rPr>
        <w:t>3. общия размер на изплатените от кмета на общината компенсации и субсидии и съответния размер на изплатени на всеки от превозвачите суми, както и обема на предоставените им други права, ако има такива.</w:t>
      </w:r>
    </w:p>
    <w:p w14:paraId="3A7DF406" w14:textId="77777777" w:rsidR="0037333F" w:rsidRDefault="0037333F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</w:p>
    <w:p w14:paraId="12E45A85" w14:textId="77777777" w:rsidR="009772F9" w:rsidRDefault="009772F9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b/>
          <w:bCs/>
          <w:color w:val="000000"/>
          <w:lang w:val="bg-BG"/>
        </w:rPr>
      </w:pPr>
    </w:p>
    <w:p w14:paraId="5E5AF36B" w14:textId="77777777" w:rsidR="009772F9" w:rsidRDefault="009772F9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b/>
          <w:bCs/>
          <w:color w:val="000000"/>
          <w:lang w:val="bg-BG"/>
        </w:rPr>
      </w:pPr>
    </w:p>
    <w:p w14:paraId="0D075616" w14:textId="5D714B19" w:rsidR="00140442" w:rsidRPr="003721E1" w:rsidRDefault="0037333F" w:rsidP="006F2DF1">
      <w:pPr>
        <w:tabs>
          <w:tab w:val="left" w:pos="709"/>
        </w:tabs>
        <w:autoSpaceDE w:val="0"/>
        <w:autoSpaceDN w:val="0"/>
        <w:adjustRightInd w:val="0"/>
        <w:spacing w:line="230" w:lineRule="auto"/>
        <w:ind w:right="-1" w:firstLine="709"/>
        <w:jc w:val="both"/>
        <w:rPr>
          <w:rFonts w:eastAsia="Calibri"/>
          <w:color w:val="000000"/>
        </w:rPr>
      </w:pPr>
      <w:r w:rsidRPr="006F2DF1">
        <w:rPr>
          <w:rFonts w:eastAsia="Calibri"/>
          <w:b/>
          <w:bCs/>
          <w:color w:val="000000"/>
        </w:rPr>
        <w:t>1</w:t>
      </w:r>
      <w:r w:rsidR="00304027" w:rsidRPr="006F2DF1">
        <w:rPr>
          <w:rFonts w:eastAsia="Calibri"/>
          <w:b/>
          <w:bCs/>
          <w:color w:val="000000"/>
          <w:lang w:val="bg-BG"/>
        </w:rPr>
        <w:t>9</w:t>
      </w:r>
      <w:r w:rsidRPr="006F2DF1">
        <w:rPr>
          <w:rFonts w:eastAsia="Calibri"/>
          <w:b/>
          <w:bCs/>
          <w:color w:val="000000"/>
        </w:rPr>
        <w:t>.</w:t>
      </w:r>
      <w:r>
        <w:rPr>
          <w:rFonts w:eastAsia="Calibri"/>
          <w:color w:val="000000"/>
        </w:rPr>
        <w:t xml:space="preserve"> </w:t>
      </w:r>
      <w:r w:rsidR="00140442" w:rsidRPr="003721E1">
        <w:rPr>
          <w:rFonts w:eastAsia="Calibri"/>
          <w:color w:val="000000"/>
        </w:rPr>
        <w:t xml:space="preserve">Предоставените средства се вписват в справките, които ежегодно в срок до </w:t>
      </w:r>
      <w:r w:rsidR="006F2DF1">
        <w:rPr>
          <w:rFonts w:eastAsia="Calibri"/>
          <w:color w:val="000000"/>
          <w:lang w:val="bg-BG"/>
        </w:rPr>
        <w:br/>
      </w:r>
      <w:r w:rsidR="00140442" w:rsidRPr="003721E1">
        <w:rPr>
          <w:rFonts w:eastAsia="Calibri"/>
          <w:color w:val="000000"/>
        </w:rPr>
        <w:t xml:space="preserve">31 март кметовете на общините предоставят на Националната агенция за приходите в електронен вид </w:t>
      </w:r>
      <w:r w:rsidR="006B609C">
        <w:rPr>
          <w:rFonts w:eastAsia="Calibri"/>
          <w:color w:val="000000"/>
          <w:lang w:val="bg-BG"/>
        </w:rPr>
        <w:t xml:space="preserve">- </w:t>
      </w:r>
      <w:r w:rsidR="00140442" w:rsidRPr="003721E1">
        <w:rPr>
          <w:rFonts w:eastAsia="Calibri"/>
          <w:color w:val="000000"/>
        </w:rPr>
        <w:t xml:space="preserve">обобщена справка по образец – приложение № 9 </w:t>
      </w:r>
      <w:r w:rsidR="009772F9">
        <w:rPr>
          <w:rFonts w:eastAsia="Calibri"/>
          <w:color w:val="000000"/>
          <w:lang w:val="bg-BG"/>
        </w:rPr>
        <w:t>към</w:t>
      </w:r>
      <w:r w:rsidR="00140442" w:rsidRPr="003721E1">
        <w:rPr>
          <w:rFonts w:eastAsia="Calibri"/>
          <w:color w:val="000000"/>
        </w:rPr>
        <w:t xml:space="preserve"> Наредбата</w:t>
      </w:r>
      <w:r w:rsidR="009772F9">
        <w:rPr>
          <w:rFonts w:eastAsia="Calibri"/>
          <w:color w:val="000000"/>
          <w:lang w:val="bg-BG"/>
        </w:rPr>
        <w:t>,</w:t>
      </w:r>
      <w:r w:rsidR="00140442" w:rsidRPr="003721E1">
        <w:rPr>
          <w:rFonts w:eastAsia="Calibri"/>
          <w:color w:val="000000"/>
        </w:rPr>
        <w:t xml:space="preserve"> за предоставените средства на всеки един от превозвачите, осъществяващи превози на територията на съответната община.</w:t>
      </w:r>
    </w:p>
    <w:p w14:paraId="6D7E3D8A" w14:textId="77777777" w:rsidR="00140442" w:rsidRPr="003721E1" w:rsidRDefault="00140442" w:rsidP="006F2DF1">
      <w:pPr>
        <w:spacing w:line="230" w:lineRule="auto"/>
        <w:ind w:firstLine="709"/>
        <w:jc w:val="both"/>
      </w:pPr>
    </w:p>
    <w:p w14:paraId="1F0BD623" w14:textId="77777777" w:rsidR="00140442" w:rsidRPr="003721E1" w:rsidRDefault="00140442" w:rsidP="006F2DF1">
      <w:pPr>
        <w:spacing w:line="230" w:lineRule="auto"/>
        <w:ind w:firstLine="709"/>
        <w:jc w:val="both"/>
      </w:pPr>
    </w:p>
    <w:p w14:paraId="2422D20F" w14:textId="77777777" w:rsidR="0037333F" w:rsidRPr="0037333F" w:rsidRDefault="0037333F" w:rsidP="006F2DF1">
      <w:pPr>
        <w:pStyle w:val="ListParagraph"/>
        <w:numPr>
          <w:ilvl w:val="0"/>
          <w:numId w:val="3"/>
        </w:numPr>
        <w:tabs>
          <w:tab w:val="left" w:pos="1134"/>
        </w:tabs>
        <w:spacing w:after="160" w:line="276" w:lineRule="auto"/>
        <w:ind w:left="0" w:firstLine="709"/>
        <w:jc w:val="both"/>
        <w:rPr>
          <w:rFonts w:eastAsia="Calibri"/>
          <w:b/>
          <w:lang w:val="bg-BG" w:eastAsia="en-US"/>
        </w:rPr>
      </w:pPr>
      <w:r w:rsidRPr="0037333F">
        <w:rPr>
          <w:rFonts w:eastAsia="Calibri"/>
          <w:b/>
          <w:lang w:val="bg-BG" w:eastAsia="en-US"/>
        </w:rPr>
        <w:t>ФИНАНСИРАНЕ НА ПРОГРАМАТА</w:t>
      </w:r>
    </w:p>
    <w:p w14:paraId="66E15F04" w14:textId="77777777" w:rsidR="0037333F" w:rsidRDefault="0037333F" w:rsidP="006F2DF1">
      <w:pPr>
        <w:spacing w:line="276" w:lineRule="auto"/>
        <w:ind w:firstLine="709"/>
        <w:jc w:val="both"/>
        <w:rPr>
          <w:rFonts w:eastAsia="Calibri"/>
          <w:lang w:val="bg-BG" w:eastAsia="en-US"/>
        </w:rPr>
      </w:pPr>
      <w:r w:rsidRPr="0037333F">
        <w:rPr>
          <w:rFonts w:eastAsia="Calibri"/>
          <w:lang w:val="bg-BG" w:eastAsia="en-US"/>
        </w:rPr>
        <w:t xml:space="preserve">Програмата се финансира със средства от държавния бюджет чрез </w:t>
      </w:r>
      <w:r>
        <w:rPr>
          <w:rFonts w:eastAsia="Calibri"/>
          <w:lang w:val="bg-BG" w:eastAsia="en-US"/>
        </w:rPr>
        <w:t xml:space="preserve">общините под формата на </w:t>
      </w:r>
      <w:r w:rsidRPr="0037333F">
        <w:rPr>
          <w:rFonts w:eastAsia="Calibri"/>
          <w:lang w:val="bg-BG" w:eastAsia="en-US"/>
        </w:rPr>
        <w:t>трансфери за други целеви разходи.</w:t>
      </w:r>
    </w:p>
    <w:p w14:paraId="6F0706EC" w14:textId="77777777" w:rsidR="0037333F" w:rsidRPr="0037333F" w:rsidRDefault="0037333F" w:rsidP="006F2DF1">
      <w:pPr>
        <w:spacing w:line="276" w:lineRule="auto"/>
        <w:ind w:firstLine="709"/>
        <w:jc w:val="both"/>
        <w:rPr>
          <w:rFonts w:eastAsia="Calibri"/>
          <w:lang w:val="bg-BG" w:eastAsia="en-US"/>
        </w:rPr>
      </w:pPr>
      <w:r w:rsidRPr="0037333F">
        <w:rPr>
          <w:rFonts w:eastAsia="Calibri"/>
          <w:lang w:val="bg-BG" w:eastAsia="en-US"/>
        </w:rPr>
        <w:t>Средствата са целеви и не се допуска разходването им за други дейности от общините</w:t>
      </w:r>
      <w:r w:rsidR="00FA7019">
        <w:rPr>
          <w:rFonts w:eastAsia="Calibri"/>
          <w:lang w:val="bg-BG" w:eastAsia="en-US"/>
        </w:rPr>
        <w:t>.</w:t>
      </w:r>
    </w:p>
    <w:p w14:paraId="7BA19034" w14:textId="77777777" w:rsidR="0037333F" w:rsidRPr="0037333F" w:rsidRDefault="0037333F" w:rsidP="006F2DF1">
      <w:pPr>
        <w:spacing w:line="276" w:lineRule="auto"/>
        <w:ind w:firstLine="709"/>
        <w:jc w:val="both"/>
        <w:rPr>
          <w:rFonts w:eastAsia="Calibri"/>
          <w:lang w:val="bg-BG" w:eastAsia="en-US"/>
        </w:rPr>
      </w:pPr>
    </w:p>
    <w:p w14:paraId="0026207E" w14:textId="77777777" w:rsidR="0037333F" w:rsidRPr="0037333F" w:rsidRDefault="0037333F" w:rsidP="006F2DF1">
      <w:pPr>
        <w:pStyle w:val="ListParagraph"/>
        <w:numPr>
          <w:ilvl w:val="0"/>
          <w:numId w:val="3"/>
        </w:numPr>
        <w:tabs>
          <w:tab w:val="left" w:pos="1276"/>
        </w:tabs>
        <w:spacing w:after="160" w:line="259" w:lineRule="auto"/>
        <w:ind w:left="0" w:firstLine="709"/>
        <w:jc w:val="both"/>
        <w:rPr>
          <w:b/>
          <w:lang w:val="bg-BG"/>
        </w:rPr>
      </w:pPr>
      <w:r w:rsidRPr="0037333F">
        <w:rPr>
          <w:b/>
          <w:lang w:val="bg-BG"/>
        </w:rPr>
        <w:t>ПРОДЪЛЖИТЕЛНОСТ НА ПРОГРАМАТА</w:t>
      </w:r>
    </w:p>
    <w:p w14:paraId="51B93027" w14:textId="77777777" w:rsidR="0037333F" w:rsidRPr="0037333F" w:rsidRDefault="0037333F" w:rsidP="006F2DF1">
      <w:pPr>
        <w:spacing w:after="120" w:line="259" w:lineRule="auto"/>
        <w:ind w:firstLine="709"/>
        <w:jc w:val="both"/>
        <w:rPr>
          <w:rFonts w:eastAsia="Calibri"/>
          <w:lang w:val="bg-BG" w:eastAsia="en-US"/>
        </w:rPr>
      </w:pPr>
    </w:p>
    <w:p w14:paraId="487932B8" w14:textId="77777777" w:rsidR="0037333F" w:rsidRPr="0037333F" w:rsidRDefault="0037333F" w:rsidP="006F2DF1">
      <w:pPr>
        <w:spacing w:after="120" w:line="259" w:lineRule="auto"/>
        <w:ind w:firstLine="709"/>
        <w:jc w:val="both"/>
        <w:rPr>
          <w:rFonts w:eastAsia="Calibri"/>
          <w:lang w:val="bg-BG" w:eastAsia="en-US"/>
        </w:rPr>
      </w:pPr>
      <w:r w:rsidRPr="0037333F">
        <w:rPr>
          <w:rFonts w:eastAsia="Calibri"/>
          <w:lang w:val="bg-BG" w:eastAsia="en-US"/>
        </w:rPr>
        <w:t>Програмата е</w:t>
      </w:r>
      <w:r w:rsidR="00304027" w:rsidRPr="00F6742E">
        <w:rPr>
          <w:rFonts w:eastAsia="Calibri"/>
          <w:lang w:val="bg-BG" w:eastAsia="en-US"/>
        </w:rPr>
        <w:t xml:space="preserve"> еднократна</w:t>
      </w:r>
      <w:r w:rsidRPr="00F6742E">
        <w:rPr>
          <w:rFonts w:eastAsia="Calibri"/>
          <w:lang w:val="bg-BG" w:eastAsia="en-US"/>
        </w:rPr>
        <w:t>.</w:t>
      </w:r>
    </w:p>
    <w:p w14:paraId="6C9B89F1" w14:textId="77777777" w:rsidR="0037333F" w:rsidRPr="0037333F" w:rsidRDefault="0037333F" w:rsidP="006F2DF1">
      <w:pPr>
        <w:spacing w:after="120" w:line="259" w:lineRule="auto"/>
        <w:ind w:firstLine="709"/>
        <w:jc w:val="both"/>
        <w:rPr>
          <w:rFonts w:eastAsia="Calibri"/>
          <w:lang w:val="bg-BG" w:eastAsia="en-US"/>
        </w:rPr>
      </w:pPr>
    </w:p>
    <w:p w14:paraId="2607DF3C" w14:textId="62393AF1" w:rsidR="0037333F" w:rsidRPr="0037333F" w:rsidRDefault="009772F9" w:rsidP="006F2DF1">
      <w:pPr>
        <w:numPr>
          <w:ilvl w:val="0"/>
          <w:numId w:val="3"/>
        </w:numPr>
        <w:tabs>
          <w:tab w:val="num" w:pos="1134"/>
        </w:tabs>
        <w:spacing w:after="160" w:line="259" w:lineRule="auto"/>
        <w:ind w:left="0" w:firstLine="709"/>
        <w:jc w:val="both"/>
        <w:rPr>
          <w:b/>
          <w:lang w:val="bg-BG"/>
        </w:rPr>
      </w:pPr>
      <w:r>
        <w:rPr>
          <w:b/>
          <w:lang w:val="bg-BG"/>
        </w:rPr>
        <w:t xml:space="preserve"> </w:t>
      </w:r>
      <w:r w:rsidR="0037333F" w:rsidRPr="0037333F">
        <w:rPr>
          <w:b/>
          <w:lang w:val="bg-BG"/>
        </w:rPr>
        <w:t>ОЧАКВАНИ РЕЗУЛТАТИ ОТ ПРОГРАМАТА</w:t>
      </w:r>
    </w:p>
    <w:p w14:paraId="170BBDDE" w14:textId="77777777" w:rsidR="0037333F" w:rsidRPr="0037333F" w:rsidRDefault="0037333F" w:rsidP="006F2DF1">
      <w:pPr>
        <w:spacing w:after="120" w:line="259" w:lineRule="auto"/>
        <w:ind w:firstLine="709"/>
        <w:jc w:val="both"/>
        <w:rPr>
          <w:rFonts w:eastAsia="Calibri"/>
          <w:lang w:val="bg-BG" w:eastAsia="en-US"/>
        </w:rPr>
      </w:pPr>
    </w:p>
    <w:p w14:paraId="387FA28C" w14:textId="19F0336C" w:rsidR="0037333F" w:rsidRPr="0037333F" w:rsidRDefault="0037333F" w:rsidP="006F2DF1">
      <w:pPr>
        <w:spacing w:after="120" w:line="259" w:lineRule="auto"/>
        <w:ind w:firstLine="709"/>
        <w:jc w:val="both"/>
        <w:rPr>
          <w:rFonts w:eastAsia="Calibri"/>
          <w:lang w:val="bg-BG" w:eastAsia="en-US"/>
        </w:rPr>
      </w:pPr>
      <w:r w:rsidRPr="0037333F">
        <w:rPr>
          <w:rFonts w:eastAsia="Calibri"/>
          <w:lang w:val="bg-BG" w:eastAsia="en-US"/>
        </w:rPr>
        <w:t xml:space="preserve">В резултат на реализацията на Програмата се очаква да бъдат подпомогнати </w:t>
      </w:r>
      <w:r w:rsidR="00484427" w:rsidRPr="00484427">
        <w:rPr>
          <w:rFonts w:eastAsia="Calibri"/>
          <w:lang w:val="bg-BG" w:eastAsia="en-US"/>
        </w:rPr>
        <w:t>превозвачи</w:t>
      </w:r>
      <w:r w:rsidR="00444C7D" w:rsidRPr="00444C7D">
        <w:t xml:space="preserve"> </w:t>
      </w:r>
      <w:r w:rsidR="00444C7D" w:rsidRPr="00444C7D">
        <w:rPr>
          <w:rFonts w:eastAsia="Calibri"/>
          <w:lang w:val="bg-BG" w:eastAsia="en-US"/>
        </w:rPr>
        <w:t xml:space="preserve">по автобусни линии от утвърдените транспортни </w:t>
      </w:r>
      <w:r w:rsidR="00304027" w:rsidRPr="00444C7D">
        <w:rPr>
          <w:rFonts w:eastAsia="Calibri"/>
          <w:lang w:val="bg-BG" w:eastAsia="en-US"/>
        </w:rPr>
        <w:t>схеми</w:t>
      </w:r>
      <w:r w:rsidR="00304027">
        <w:rPr>
          <w:rFonts w:eastAsia="Calibri"/>
          <w:lang w:val="bg-BG" w:eastAsia="en-US"/>
        </w:rPr>
        <w:t xml:space="preserve"> – </w:t>
      </w:r>
      <w:r w:rsidR="00444C7D" w:rsidRPr="00444C7D">
        <w:rPr>
          <w:rFonts w:eastAsia="Calibri"/>
          <w:lang w:val="bg-BG" w:eastAsia="en-US"/>
        </w:rPr>
        <w:t>републиканска, междуобластна, областни и общински</w:t>
      </w:r>
      <w:r w:rsidR="00444C7D">
        <w:rPr>
          <w:rFonts w:eastAsia="Calibri"/>
          <w:lang w:val="bg-BG" w:eastAsia="en-US"/>
        </w:rPr>
        <w:t>,</w:t>
      </w:r>
      <w:r w:rsidR="00484427" w:rsidRPr="00484427">
        <w:rPr>
          <w:rFonts w:eastAsia="Calibri"/>
          <w:lang w:val="bg-BG" w:eastAsia="en-US"/>
        </w:rPr>
        <w:t xml:space="preserve"> извън тези по § 4, ал. 1, т. 1 от </w:t>
      </w:r>
      <w:r w:rsidR="006B609C" w:rsidRPr="00484427">
        <w:rPr>
          <w:rFonts w:eastAsia="Calibri"/>
          <w:lang w:val="bg-BG" w:eastAsia="en-US"/>
        </w:rPr>
        <w:t xml:space="preserve">Заключителните </w:t>
      </w:r>
      <w:r w:rsidR="00484427" w:rsidRPr="00484427">
        <w:rPr>
          <w:rFonts w:eastAsia="Calibri"/>
          <w:lang w:val="bg-BG" w:eastAsia="en-US"/>
        </w:rPr>
        <w:t>разпоредби на Закона за автомобилните превози</w:t>
      </w:r>
      <w:r w:rsidR="00444C7D">
        <w:rPr>
          <w:rFonts w:eastAsia="Calibri"/>
          <w:lang w:val="bg-BG" w:eastAsia="en-US"/>
        </w:rPr>
        <w:t>,</w:t>
      </w:r>
      <w:r w:rsidRPr="0037333F">
        <w:rPr>
          <w:rFonts w:eastAsia="Calibri"/>
          <w:lang w:val="bg-BG" w:eastAsia="en-US"/>
        </w:rPr>
        <w:t xml:space="preserve"> за компенсиране на разходите от увеличените цени на горивата след из</w:t>
      </w:r>
      <w:r w:rsidR="00F6742E">
        <w:rPr>
          <w:rFonts w:eastAsia="Calibri"/>
          <w:lang w:val="bg-BG" w:eastAsia="en-US"/>
        </w:rPr>
        <w:t>бухване на конфликта в Близкия и</w:t>
      </w:r>
      <w:r w:rsidRPr="0037333F">
        <w:rPr>
          <w:rFonts w:eastAsia="Calibri"/>
          <w:lang w:val="bg-BG" w:eastAsia="en-US"/>
        </w:rPr>
        <w:t xml:space="preserve">зток на </w:t>
      </w:r>
      <w:r w:rsidR="006F2DF1">
        <w:rPr>
          <w:rFonts w:eastAsia="Calibri"/>
          <w:lang w:val="bg-BG" w:eastAsia="en-US"/>
        </w:rPr>
        <w:br/>
      </w:r>
      <w:r w:rsidRPr="0037333F">
        <w:rPr>
          <w:rFonts w:eastAsia="Calibri"/>
          <w:lang w:val="bg-BG" w:eastAsia="en-US"/>
        </w:rPr>
        <w:t>28 февруари 2026 г.</w:t>
      </w:r>
    </w:p>
    <w:p w14:paraId="138BB7D8" w14:textId="77777777" w:rsidR="00140442" w:rsidRDefault="00140442" w:rsidP="00140442">
      <w:pPr>
        <w:spacing w:after="200" w:line="276" w:lineRule="auto"/>
        <w:rPr>
          <w:rFonts w:eastAsia="Calibri"/>
          <w:b/>
        </w:rPr>
      </w:pPr>
    </w:p>
    <w:p w14:paraId="72188AEB" w14:textId="77777777" w:rsidR="00140442" w:rsidRDefault="00140442" w:rsidP="00140442">
      <w:pPr>
        <w:spacing w:after="200" w:line="276" w:lineRule="auto"/>
        <w:rPr>
          <w:rFonts w:eastAsia="Calibri"/>
          <w:b/>
        </w:rPr>
      </w:pPr>
    </w:p>
    <w:p w14:paraId="32965514" w14:textId="77777777" w:rsidR="00F6742E" w:rsidRDefault="00F6742E" w:rsidP="00140442">
      <w:pPr>
        <w:spacing w:after="200" w:line="276" w:lineRule="auto"/>
        <w:rPr>
          <w:rFonts w:eastAsia="Calibri"/>
          <w:b/>
        </w:rPr>
      </w:pPr>
    </w:p>
    <w:p w14:paraId="4C4AB5E9" w14:textId="77777777" w:rsidR="00F6742E" w:rsidRDefault="00F6742E" w:rsidP="00140442">
      <w:pPr>
        <w:spacing w:after="200" w:line="276" w:lineRule="auto"/>
        <w:rPr>
          <w:rFonts w:eastAsia="Calibri"/>
          <w:b/>
        </w:rPr>
      </w:pPr>
    </w:p>
    <w:p w14:paraId="29A47133" w14:textId="77777777" w:rsidR="00F6742E" w:rsidRDefault="00F6742E" w:rsidP="00140442">
      <w:pPr>
        <w:spacing w:after="200" w:line="276" w:lineRule="auto"/>
        <w:rPr>
          <w:rFonts w:eastAsia="Calibri"/>
          <w:b/>
        </w:rPr>
      </w:pPr>
    </w:p>
    <w:p w14:paraId="13E05621" w14:textId="77777777" w:rsidR="00CD593C" w:rsidRDefault="00CD593C" w:rsidP="00140442">
      <w:pPr>
        <w:spacing w:after="200" w:line="276" w:lineRule="auto"/>
        <w:rPr>
          <w:rFonts w:eastAsia="Calibri"/>
          <w:b/>
        </w:rPr>
        <w:sectPr w:rsidR="00CD593C" w:rsidSect="00CD593C">
          <w:headerReference w:type="default" r:id="rId7"/>
          <w:footerReference w:type="defaul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B6F813D" w14:textId="77777777" w:rsidR="00F6742E" w:rsidRDefault="00F6742E" w:rsidP="00140442">
      <w:pPr>
        <w:spacing w:after="200" w:line="276" w:lineRule="auto"/>
        <w:rPr>
          <w:rFonts w:eastAsia="Calibri"/>
          <w:b/>
        </w:rPr>
      </w:pPr>
    </w:p>
    <w:p w14:paraId="4FBDC891" w14:textId="77777777" w:rsidR="00140442" w:rsidRPr="003721E1" w:rsidRDefault="00140442" w:rsidP="006B609C">
      <w:pPr>
        <w:spacing w:after="200" w:line="276" w:lineRule="auto"/>
        <w:jc w:val="right"/>
        <w:rPr>
          <w:rFonts w:eastAsia="Calibri"/>
          <w:b/>
        </w:rPr>
      </w:pPr>
      <w:r w:rsidRPr="003721E1">
        <w:rPr>
          <w:rFonts w:eastAsia="Calibri"/>
          <w:b/>
        </w:rPr>
        <w:t>Приложение № 1</w:t>
      </w:r>
    </w:p>
    <w:p w14:paraId="3EC4407D" w14:textId="77777777" w:rsidR="00140442" w:rsidRPr="003721E1" w:rsidRDefault="00140442" w:rsidP="00140442">
      <w:pPr>
        <w:spacing w:after="200" w:line="276" w:lineRule="auto"/>
        <w:rPr>
          <w:rFonts w:eastAsia="Calibri"/>
          <w:b/>
        </w:rPr>
      </w:pPr>
      <w:r w:rsidRPr="003721E1">
        <w:rPr>
          <w:rFonts w:eastAsia="Calibri"/>
          <w:b/>
        </w:rPr>
        <w:t>ДО ОБЩИНА …………………………..</w:t>
      </w:r>
    </w:p>
    <w:p w14:paraId="09EABEC6" w14:textId="77777777" w:rsidR="00140442" w:rsidRPr="003721E1" w:rsidRDefault="00140442" w:rsidP="00140442">
      <w:pPr>
        <w:spacing w:after="200" w:line="276" w:lineRule="auto"/>
        <w:rPr>
          <w:rFonts w:eastAsia="Calibri"/>
          <w:b/>
        </w:rPr>
      </w:pPr>
      <w:r w:rsidRPr="003721E1">
        <w:rPr>
          <w:rFonts w:eastAsia="Calibri"/>
          <w:b/>
        </w:rPr>
        <w:t>Превозвач:  ……………………………..</w:t>
      </w:r>
    </w:p>
    <w:p w14:paraId="0DA570B9" w14:textId="77777777" w:rsidR="00140442" w:rsidRPr="003721E1" w:rsidRDefault="00140442" w:rsidP="00140442">
      <w:pPr>
        <w:spacing w:after="200" w:line="276" w:lineRule="auto"/>
        <w:jc w:val="center"/>
        <w:rPr>
          <w:rFonts w:eastAsia="Calibri"/>
          <w:b/>
        </w:rPr>
      </w:pPr>
      <w:r w:rsidRPr="003721E1">
        <w:rPr>
          <w:rFonts w:eastAsia="Calibri"/>
          <w:b/>
        </w:rPr>
        <w:t xml:space="preserve">СПРАВКА </w:t>
      </w:r>
    </w:p>
    <w:p w14:paraId="1EE224ED" w14:textId="77777777" w:rsidR="00140442" w:rsidRPr="003721E1" w:rsidRDefault="00140442" w:rsidP="00140442">
      <w:pPr>
        <w:spacing w:after="200" w:line="276" w:lineRule="auto"/>
        <w:jc w:val="center"/>
        <w:rPr>
          <w:rFonts w:eastAsia="Calibri"/>
          <w:b/>
        </w:rPr>
      </w:pPr>
      <w:r w:rsidRPr="003721E1">
        <w:rPr>
          <w:rFonts w:eastAsia="Calibri"/>
          <w:b/>
        </w:rPr>
        <w:t>към …………..202</w:t>
      </w:r>
      <w:r w:rsidR="00ED591A">
        <w:rPr>
          <w:rFonts w:eastAsia="Calibri"/>
          <w:b/>
        </w:rPr>
        <w:t>6</w:t>
      </w:r>
      <w:r w:rsidRPr="003721E1">
        <w:rPr>
          <w:rFonts w:eastAsia="Calibri"/>
          <w:b/>
        </w:rPr>
        <w:t xml:space="preserve"> г. </w:t>
      </w:r>
    </w:p>
    <w:p w14:paraId="64AF6905" w14:textId="22E3FDBE" w:rsidR="00140442" w:rsidRPr="00FA7019" w:rsidRDefault="00140442" w:rsidP="00140442">
      <w:pPr>
        <w:spacing w:after="200" w:line="276" w:lineRule="auto"/>
        <w:jc w:val="both"/>
        <w:rPr>
          <w:rFonts w:eastAsia="Calibri"/>
          <w:lang w:val="bg-BG"/>
        </w:rPr>
      </w:pPr>
      <w:r w:rsidRPr="003721E1">
        <w:rPr>
          <w:rFonts w:eastAsia="Calibri"/>
        </w:rPr>
        <w:t xml:space="preserve">за автобусни линии </w:t>
      </w:r>
      <w:r w:rsidR="00F27463" w:rsidRPr="00F27463">
        <w:rPr>
          <w:rFonts w:eastAsia="Calibri"/>
        </w:rPr>
        <w:t>от утвърдените транспортни схеми – републиканска, междуобластна, областни и общински</w:t>
      </w:r>
      <w:r w:rsidR="00F27463">
        <w:rPr>
          <w:rFonts w:eastAsia="Calibri"/>
        </w:rPr>
        <w:t xml:space="preserve">, </w:t>
      </w:r>
      <w:r w:rsidRPr="003721E1">
        <w:rPr>
          <w:rFonts w:eastAsia="Calibri"/>
        </w:rPr>
        <w:t xml:space="preserve">с пробег по тях, който </w:t>
      </w:r>
      <w:r w:rsidRPr="003721E1">
        <w:rPr>
          <w:rFonts w:eastAsia="Calibri"/>
          <w:b/>
        </w:rPr>
        <w:t>не се субсидира</w:t>
      </w:r>
      <w:r w:rsidRPr="003721E1">
        <w:rPr>
          <w:rFonts w:eastAsia="Calibri"/>
        </w:rPr>
        <w:t xml:space="preserve"> със средства от държавния бюджет по Наредба</w:t>
      </w:r>
      <w:r w:rsidR="0000664A">
        <w:rPr>
          <w:rFonts w:eastAsia="Calibri"/>
          <w:lang w:val="bg-BG"/>
        </w:rPr>
        <w:t>та</w:t>
      </w:r>
      <w:r w:rsidRPr="003721E1">
        <w:rPr>
          <w:rFonts w:eastAsia="Calibri"/>
        </w:rPr>
        <w:t xml:space="preserve"> за условията и реда за предоставяне на средства за </w:t>
      </w:r>
      <w:r w:rsidR="001F33A3">
        <w:rPr>
          <w:rFonts w:eastAsia="Calibri"/>
          <w:lang w:val="bg-BG"/>
        </w:rPr>
        <w:t>субсидиране</w:t>
      </w:r>
      <w:r w:rsidRPr="003721E1">
        <w:rPr>
          <w:rFonts w:eastAsia="Calibri"/>
        </w:rPr>
        <w:t xml:space="preserve">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превозите, приета с </w:t>
      </w:r>
      <w:r w:rsidR="0000664A" w:rsidRPr="0000664A">
        <w:rPr>
          <w:rFonts w:eastAsia="Calibri"/>
        </w:rPr>
        <w:t>Постановление</w:t>
      </w:r>
      <w:r w:rsidR="0000664A">
        <w:rPr>
          <w:rFonts w:eastAsia="Calibri"/>
          <w:lang w:val="bg-BG"/>
        </w:rPr>
        <w:t xml:space="preserve"> </w:t>
      </w:r>
      <w:r w:rsidR="0000664A">
        <w:rPr>
          <w:rFonts w:eastAsia="Calibri"/>
          <w:lang w:val="bg-BG"/>
        </w:rPr>
        <w:br/>
      </w:r>
      <w:r w:rsidR="0000664A" w:rsidRPr="003721E1">
        <w:rPr>
          <w:rFonts w:eastAsia="Calibri"/>
        </w:rPr>
        <w:t xml:space="preserve">№ 163 </w:t>
      </w:r>
      <w:r w:rsidR="0000664A" w:rsidRPr="0000664A">
        <w:rPr>
          <w:rFonts w:eastAsia="Calibri"/>
        </w:rPr>
        <w:t>на Министерския съвет</w:t>
      </w:r>
      <w:r w:rsidRPr="003721E1">
        <w:rPr>
          <w:rFonts w:eastAsia="Calibri"/>
        </w:rPr>
        <w:t xml:space="preserve"> от 2015 г. (Наредбата) и с който се кандидатства за субсидии </w:t>
      </w:r>
      <w:r w:rsidR="00ED591A">
        <w:rPr>
          <w:rFonts w:eastAsia="Calibri"/>
        </w:rPr>
        <w:t>за 2026</w:t>
      </w:r>
      <w:r w:rsidR="0000664A">
        <w:rPr>
          <w:rFonts w:eastAsia="Calibri"/>
          <w:lang w:val="bg-BG"/>
        </w:rPr>
        <w:t xml:space="preserve"> </w:t>
      </w:r>
      <w:r>
        <w:rPr>
          <w:rFonts w:eastAsia="Calibri"/>
        </w:rPr>
        <w:t xml:space="preserve">г. по </w:t>
      </w:r>
      <w:r w:rsidR="00FA7019">
        <w:rPr>
          <w:rFonts w:eastAsia="Calibri"/>
          <w:lang w:val="bg-BG"/>
        </w:rPr>
        <w:t>Програмата</w:t>
      </w:r>
    </w:p>
    <w:p w14:paraId="385CC540" w14:textId="77777777" w:rsidR="00140442" w:rsidRPr="003721E1" w:rsidRDefault="00140442" w:rsidP="00140442">
      <w:pPr>
        <w:spacing w:after="200" w:line="276" w:lineRule="auto"/>
        <w:jc w:val="center"/>
        <w:rPr>
          <w:rFonts w:eastAsia="Calibri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1242"/>
        <w:gridCol w:w="4899"/>
        <w:gridCol w:w="3352"/>
      </w:tblGrid>
      <w:tr w:rsidR="00140442" w:rsidRPr="003721E1" w14:paraId="250B9654" w14:textId="77777777" w:rsidTr="009C549F">
        <w:tc>
          <w:tcPr>
            <w:tcW w:w="1242" w:type="dxa"/>
          </w:tcPr>
          <w:p w14:paraId="5A07F952" w14:textId="77777777" w:rsidR="00140442" w:rsidRPr="003721E1" w:rsidRDefault="00140442" w:rsidP="009C549F">
            <w:pPr>
              <w:jc w:val="center"/>
              <w:rPr>
                <w:rFonts w:eastAsia="Calibri"/>
                <w:b/>
              </w:rPr>
            </w:pPr>
            <w:r w:rsidRPr="003721E1">
              <w:rPr>
                <w:rFonts w:eastAsia="Calibri"/>
                <w:b/>
              </w:rPr>
              <w:t>№ по ред</w:t>
            </w:r>
          </w:p>
        </w:tc>
        <w:tc>
          <w:tcPr>
            <w:tcW w:w="4899" w:type="dxa"/>
          </w:tcPr>
          <w:p w14:paraId="7EF4AD28" w14:textId="77777777" w:rsidR="00140442" w:rsidRPr="003721E1" w:rsidRDefault="00140442" w:rsidP="009C549F">
            <w:pPr>
              <w:jc w:val="center"/>
              <w:rPr>
                <w:rFonts w:eastAsia="Calibri"/>
                <w:b/>
              </w:rPr>
            </w:pPr>
            <w:r w:rsidRPr="003721E1">
              <w:rPr>
                <w:rFonts w:eastAsia="Calibri"/>
                <w:b/>
              </w:rPr>
              <w:t>Автобусна линия</w:t>
            </w:r>
          </w:p>
        </w:tc>
        <w:tc>
          <w:tcPr>
            <w:tcW w:w="3352" w:type="dxa"/>
          </w:tcPr>
          <w:p w14:paraId="0BA3C6BA" w14:textId="77777777" w:rsidR="00140442" w:rsidRPr="003721E1" w:rsidRDefault="00140442" w:rsidP="009C549F">
            <w:pPr>
              <w:jc w:val="center"/>
              <w:rPr>
                <w:rFonts w:eastAsia="Calibri"/>
                <w:b/>
              </w:rPr>
            </w:pPr>
            <w:r w:rsidRPr="003721E1">
              <w:rPr>
                <w:rFonts w:eastAsia="Calibri"/>
                <w:b/>
              </w:rPr>
              <w:t>Пробег, несубсидиран по реда на Наредбата, км</w:t>
            </w:r>
          </w:p>
        </w:tc>
      </w:tr>
      <w:tr w:rsidR="00140442" w:rsidRPr="003721E1" w14:paraId="21936A4B" w14:textId="77777777" w:rsidTr="009C549F">
        <w:tc>
          <w:tcPr>
            <w:tcW w:w="1242" w:type="dxa"/>
          </w:tcPr>
          <w:p w14:paraId="4892D64D" w14:textId="77777777" w:rsidR="00140442" w:rsidRPr="003721E1" w:rsidRDefault="00140442" w:rsidP="009C549F">
            <w:pPr>
              <w:jc w:val="center"/>
              <w:rPr>
                <w:rFonts w:eastAsia="Calibri"/>
              </w:rPr>
            </w:pPr>
          </w:p>
        </w:tc>
        <w:tc>
          <w:tcPr>
            <w:tcW w:w="4899" w:type="dxa"/>
          </w:tcPr>
          <w:p w14:paraId="4434343E" w14:textId="77777777" w:rsidR="00140442" w:rsidRPr="003721E1" w:rsidRDefault="00140442" w:rsidP="009C549F">
            <w:pPr>
              <w:jc w:val="center"/>
              <w:rPr>
                <w:rFonts w:eastAsia="Calibri"/>
              </w:rPr>
            </w:pPr>
          </w:p>
        </w:tc>
        <w:tc>
          <w:tcPr>
            <w:tcW w:w="3352" w:type="dxa"/>
          </w:tcPr>
          <w:p w14:paraId="21C51A6C" w14:textId="77777777" w:rsidR="00140442" w:rsidRPr="003721E1" w:rsidRDefault="00140442" w:rsidP="009C549F">
            <w:pPr>
              <w:jc w:val="center"/>
              <w:rPr>
                <w:rFonts w:eastAsia="Calibri"/>
              </w:rPr>
            </w:pPr>
          </w:p>
        </w:tc>
      </w:tr>
      <w:tr w:rsidR="00140442" w:rsidRPr="003721E1" w14:paraId="4763FB8E" w14:textId="77777777" w:rsidTr="009C549F">
        <w:tc>
          <w:tcPr>
            <w:tcW w:w="1242" w:type="dxa"/>
          </w:tcPr>
          <w:p w14:paraId="2F61768B" w14:textId="77777777" w:rsidR="00140442" w:rsidRPr="003721E1" w:rsidRDefault="00140442" w:rsidP="009C549F">
            <w:pPr>
              <w:jc w:val="center"/>
              <w:rPr>
                <w:rFonts w:eastAsia="Calibri"/>
              </w:rPr>
            </w:pPr>
          </w:p>
        </w:tc>
        <w:tc>
          <w:tcPr>
            <w:tcW w:w="4899" w:type="dxa"/>
          </w:tcPr>
          <w:p w14:paraId="490D8E48" w14:textId="77777777" w:rsidR="00140442" w:rsidRPr="003721E1" w:rsidRDefault="00140442" w:rsidP="009C549F">
            <w:pPr>
              <w:jc w:val="center"/>
              <w:rPr>
                <w:rFonts w:eastAsia="Calibri"/>
              </w:rPr>
            </w:pPr>
          </w:p>
        </w:tc>
        <w:tc>
          <w:tcPr>
            <w:tcW w:w="3352" w:type="dxa"/>
          </w:tcPr>
          <w:p w14:paraId="28184D8E" w14:textId="77777777" w:rsidR="00140442" w:rsidRPr="003721E1" w:rsidRDefault="00140442" w:rsidP="009C549F">
            <w:pPr>
              <w:jc w:val="center"/>
              <w:rPr>
                <w:rFonts w:eastAsia="Calibri"/>
              </w:rPr>
            </w:pPr>
          </w:p>
        </w:tc>
      </w:tr>
      <w:tr w:rsidR="00140442" w:rsidRPr="003721E1" w14:paraId="40F520A9" w14:textId="77777777" w:rsidTr="009C549F">
        <w:tc>
          <w:tcPr>
            <w:tcW w:w="1242" w:type="dxa"/>
          </w:tcPr>
          <w:p w14:paraId="61B64E8D" w14:textId="77777777" w:rsidR="00140442" w:rsidRPr="003721E1" w:rsidRDefault="00140442" w:rsidP="009C549F">
            <w:pPr>
              <w:jc w:val="center"/>
              <w:rPr>
                <w:rFonts w:eastAsia="Calibri"/>
              </w:rPr>
            </w:pPr>
          </w:p>
        </w:tc>
        <w:tc>
          <w:tcPr>
            <w:tcW w:w="4899" w:type="dxa"/>
          </w:tcPr>
          <w:p w14:paraId="29F05A81" w14:textId="77777777" w:rsidR="00140442" w:rsidRPr="003721E1" w:rsidRDefault="00140442" w:rsidP="009C549F">
            <w:pPr>
              <w:jc w:val="center"/>
              <w:rPr>
                <w:rFonts w:eastAsia="Calibri"/>
              </w:rPr>
            </w:pPr>
          </w:p>
        </w:tc>
        <w:tc>
          <w:tcPr>
            <w:tcW w:w="3352" w:type="dxa"/>
          </w:tcPr>
          <w:p w14:paraId="04CCD431" w14:textId="77777777" w:rsidR="00140442" w:rsidRPr="003721E1" w:rsidRDefault="00140442" w:rsidP="009C549F">
            <w:pPr>
              <w:jc w:val="center"/>
              <w:rPr>
                <w:rFonts w:eastAsia="Calibri"/>
              </w:rPr>
            </w:pPr>
          </w:p>
        </w:tc>
      </w:tr>
      <w:tr w:rsidR="00140442" w:rsidRPr="003721E1" w14:paraId="77AE8644" w14:textId="77777777" w:rsidTr="009C549F">
        <w:tc>
          <w:tcPr>
            <w:tcW w:w="1242" w:type="dxa"/>
          </w:tcPr>
          <w:p w14:paraId="16F2CA77" w14:textId="77777777" w:rsidR="00140442" w:rsidRPr="003721E1" w:rsidRDefault="00140442" w:rsidP="009C549F">
            <w:pPr>
              <w:jc w:val="center"/>
              <w:rPr>
                <w:rFonts w:eastAsia="Calibri"/>
              </w:rPr>
            </w:pPr>
          </w:p>
        </w:tc>
        <w:tc>
          <w:tcPr>
            <w:tcW w:w="4899" w:type="dxa"/>
          </w:tcPr>
          <w:p w14:paraId="7B4DED40" w14:textId="77777777" w:rsidR="00140442" w:rsidRPr="003721E1" w:rsidRDefault="00140442" w:rsidP="009C549F">
            <w:pPr>
              <w:jc w:val="center"/>
              <w:rPr>
                <w:rFonts w:eastAsia="Calibri"/>
              </w:rPr>
            </w:pPr>
          </w:p>
        </w:tc>
        <w:tc>
          <w:tcPr>
            <w:tcW w:w="3352" w:type="dxa"/>
          </w:tcPr>
          <w:p w14:paraId="7793AF07" w14:textId="77777777" w:rsidR="00140442" w:rsidRPr="003721E1" w:rsidRDefault="00140442" w:rsidP="009C549F">
            <w:pPr>
              <w:jc w:val="center"/>
              <w:rPr>
                <w:rFonts w:eastAsia="Calibri"/>
              </w:rPr>
            </w:pPr>
          </w:p>
        </w:tc>
      </w:tr>
    </w:tbl>
    <w:p w14:paraId="7D61E01A" w14:textId="77777777" w:rsidR="00140442" w:rsidRPr="003721E1" w:rsidRDefault="00140442" w:rsidP="00140442">
      <w:pPr>
        <w:spacing w:after="200" w:line="276" w:lineRule="auto"/>
        <w:jc w:val="center"/>
        <w:rPr>
          <w:rFonts w:eastAsia="Calibri"/>
        </w:rPr>
      </w:pPr>
    </w:p>
    <w:p w14:paraId="2EDF39F6" w14:textId="77777777" w:rsidR="00140442" w:rsidRPr="003721E1" w:rsidRDefault="00140442" w:rsidP="00140442">
      <w:pPr>
        <w:spacing w:after="200" w:line="276" w:lineRule="auto"/>
        <w:jc w:val="center"/>
        <w:rPr>
          <w:rFonts w:eastAsia="Calibri"/>
        </w:rPr>
      </w:pPr>
    </w:p>
    <w:p w14:paraId="44BF573A" w14:textId="77777777" w:rsidR="00140442" w:rsidRPr="003721E1" w:rsidRDefault="00140442" w:rsidP="00140442">
      <w:pPr>
        <w:spacing w:after="200" w:line="276" w:lineRule="auto"/>
        <w:jc w:val="center"/>
        <w:rPr>
          <w:rFonts w:eastAsia="Calibri"/>
        </w:rPr>
      </w:pPr>
    </w:p>
    <w:p w14:paraId="7B822322" w14:textId="77777777" w:rsidR="00140442" w:rsidRPr="003721E1" w:rsidRDefault="00140442" w:rsidP="00140442">
      <w:pPr>
        <w:spacing w:after="200" w:line="276" w:lineRule="auto"/>
        <w:rPr>
          <w:rFonts w:eastAsia="Calibri"/>
        </w:rPr>
      </w:pPr>
      <w:r w:rsidRPr="003721E1">
        <w:rPr>
          <w:rFonts w:eastAsia="Calibri"/>
        </w:rPr>
        <w:t>Дата: ……………..…г.                                                             Управител: ...............................</w:t>
      </w:r>
    </w:p>
    <w:p w14:paraId="4A8AD21A" w14:textId="77777777" w:rsidR="00140442" w:rsidRPr="003721E1" w:rsidRDefault="00140442" w:rsidP="00140442">
      <w:pPr>
        <w:spacing w:after="200" w:line="276" w:lineRule="auto"/>
        <w:rPr>
          <w:rFonts w:eastAsia="Calibri"/>
        </w:rPr>
      </w:pPr>
    </w:p>
    <w:p w14:paraId="4AAB07EF" w14:textId="77777777" w:rsidR="00140442" w:rsidRPr="003721E1" w:rsidRDefault="00140442" w:rsidP="00140442">
      <w:pPr>
        <w:spacing w:after="200" w:line="276" w:lineRule="auto"/>
        <w:jc w:val="center"/>
        <w:rPr>
          <w:rFonts w:eastAsia="Calibri"/>
        </w:rPr>
      </w:pPr>
    </w:p>
    <w:p w14:paraId="374B2B14" w14:textId="77777777" w:rsidR="00CD593C" w:rsidRDefault="00CD593C" w:rsidP="00140442">
      <w:pPr>
        <w:spacing w:after="200" w:line="276" w:lineRule="auto"/>
        <w:jc w:val="center"/>
        <w:rPr>
          <w:rFonts w:eastAsia="Calibri"/>
        </w:rPr>
        <w:sectPr w:rsidR="00CD593C" w:rsidSect="00CD593C"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4D6DEE4" w14:textId="77777777" w:rsidR="0000664A" w:rsidRDefault="0000664A" w:rsidP="0000664A">
      <w:pPr>
        <w:jc w:val="right"/>
        <w:rPr>
          <w:lang w:val="bg-BG"/>
        </w:rPr>
      </w:pPr>
      <w:r w:rsidRPr="003721E1">
        <w:rPr>
          <w:b/>
          <w:bCs/>
        </w:rPr>
        <w:lastRenderedPageBreak/>
        <w:t>Приложение № 2</w:t>
      </w:r>
      <w:r w:rsidRPr="003721E1">
        <w:t xml:space="preserve"> </w:t>
      </w:r>
    </w:p>
    <w:p w14:paraId="5988DBFE" w14:textId="77777777" w:rsidR="0000664A" w:rsidRPr="0000664A" w:rsidRDefault="0000664A" w:rsidP="0000664A">
      <w:pPr>
        <w:jc w:val="right"/>
        <w:rPr>
          <w:lang w:val="bg-BG"/>
        </w:rPr>
      </w:pPr>
    </w:p>
    <w:p w14:paraId="59F27545" w14:textId="77777777" w:rsidR="00140442" w:rsidRPr="003721E1" w:rsidRDefault="00140442" w:rsidP="00140442">
      <w:pPr>
        <w:rPr>
          <w:rFonts w:ascii="Arial" w:hAnsi="Arial" w:cs="Arial"/>
          <w:sz w:val="16"/>
          <w:szCs w:val="16"/>
        </w:rPr>
      </w:pPr>
    </w:p>
    <w:tbl>
      <w:tblPr>
        <w:tblW w:w="103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14"/>
      </w:tblGrid>
      <w:tr w:rsidR="00140442" w:rsidRPr="003721E1" w14:paraId="541AD01F" w14:textId="77777777" w:rsidTr="009C549F">
        <w:trPr>
          <w:tblCellSpacing w:w="15" w:type="dxa"/>
        </w:trPr>
        <w:tc>
          <w:tcPr>
            <w:tcW w:w="10254" w:type="dxa"/>
            <w:vAlign w:val="center"/>
          </w:tcPr>
          <w:tbl>
            <w:tblPr>
              <w:tblW w:w="1020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78"/>
              <w:gridCol w:w="326"/>
            </w:tblGrid>
            <w:tr w:rsidR="00140442" w:rsidRPr="003721E1" w14:paraId="503B4EC7" w14:textId="77777777" w:rsidTr="009C549F">
              <w:tc>
                <w:tcPr>
                  <w:tcW w:w="1020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89BD98" w14:textId="77777777" w:rsidR="00140442" w:rsidRPr="003721E1" w:rsidRDefault="00140442" w:rsidP="009C549F">
                  <w:pPr>
                    <w:ind w:hanging="150"/>
                    <w:rPr>
                      <w:b/>
                    </w:rPr>
                  </w:pPr>
                  <w:bookmarkStart w:id="0" w:name="to_paragraph_id27125893"/>
                  <w:bookmarkEnd w:id="0"/>
                  <w:r>
                    <w:rPr>
                      <w:b/>
                      <w:lang w:val="bg-BG"/>
                    </w:rPr>
                    <w:t xml:space="preserve"> </w:t>
                  </w:r>
                  <w:r w:rsidRPr="003721E1">
                    <w:rPr>
                      <w:b/>
                    </w:rPr>
                    <w:t>ОБЩИНА …………………………..</w:t>
                  </w:r>
                </w:p>
              </w:tc>
            </w:tr>
            <w:tr w:rsidR="00140442" w:rsidRPr="003721E1" w14:paraId="475622AB" w14:textId="77777777" w:rsidTr="009C549F">
              <w:tc>
                <w:tcPr>
                  <w:tcW w:w="1020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4A0AFA" w14:textId="77777777" w:rsidR="00140442" w:rsidRPr="003721E1" w:rsidRDefault="00140442" w:rsidP="009C549F">
                  <w:pPr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  <w:p w14:paraId="4993D4C3" w14:textId="77777777" w:rsidR="00140442" w:rsidRPr="003721E1" w:rsidRDefault="00140442" w:rsidP="009C549F">
                  <w:pPr>
                    <w:ind w:hanging="150"/>
                    <w:rPr>
                      <w:b/>
                    </w:rPr>
                  </w:pPr>
                  <w:r>
                    <w:rPr>
                      <w:b/>
                      <w:lang w:val="bg-BG"/>
                    </w:rPr>
                    <w:t xml:space="preserve"> </w:t>
                  </w:r>
                  <w:r w:rsidRPr="003721E1">
                    <w:rPr>
                      <w:b/>
                    </w:rPr>
                    <w:t>Превозвач:  …………………………</w:t>
                  </w:r>
                </w:p>
              </w:tc>
            </w:tr>
            <w:tr w:rsidR="00140442" w:rsidRPr="003721E1" w14:paraId="24FF0000" w14:textId="77777777" w:rsidTr="009C549F">
              <w:tc>
                <w:tcPr>
                  <w:tcW w:w="10204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7CCE31" w14:textId="77777777" w:rsidR="00140442" w:rsidRPr="003721E1" w:rsidRDefault="00140442" w:rsidP="009C549F"/>
              </w:tc>
            </w:tr>
            <w:tr w:rsidR="00140442" w:rsidRPr="003721E1" w14:paraId="78E48D1E" w14:textId="77777777" w:rsidTr="009C549F">
              <w:trPr>
                <w:gridAfter w:val="1"/>
                <w:wAfter w:w="326" w:type="dxa"/>
              </w:trPr>
              <w:tc>
                <w:tcPr>
                  <w:tcW w:w="98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AFBD70" w14:textId="77777777" w:rsidR="00140442" w:rsidRPr="003721E1" w:rsidRDefault="00140442" w:rsidP="009C549F">
                  <w:pPr>
                    <w:jc w:val="center"/>
                    <w:rPr>
                      <w:b/>
                      <w:bCs/>
                      <w:lang w:val="en-US"/>
                    </w:rPr>
                  </w:pPr>
                  <w:r w:rsidRPr="003721E1">
                    <w:rPr>
                      <w:b/>
                      <w:bCs/>
                    </w:rPr>
                    <w:t>СПРАВКА</w:t>
                  </w:r>
                </w:p>
                <w:p w14:paraId="22036FCB" w14:textId="77777777" w:rsidR="00140442" w:rsidRPr="003721E1" w:rsidRDefault="00140442" w:rsidP="009C549F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00140442" w:rsidRPr="003721E1" w14:paraId="63CBCF73" w14:textId="77777777" w:rsidTr="009C549F">
              <w:trPr>
                <w:gridAfter w:val="1"/>
                <w:wAfter w:w="326" w:type="dxa"/>
              </w:trPr>
              <w:tc>
                <w:tcPr>
                  <w:tcW w:w="98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06B7F3" w14:textId="78BDB8AD" w:rsidR="00140442" w:rsidRPr="0000664A" w:rsidRDefault="00140442" w:rsidP="009C549F">
                  <w:pPr>
                    <w:jc w:val="both"/>
                    <w:rPr>
                      <w:lang w:val="bg-BG"/>
                    </w:rPr>
                  </w:pPr>
                  <w:r w:rsidRPr="007E2114">
                    <w:rPr>
                      <w:bCs/>
                    </w:rPr>
                    <w:t>за финансови резултати от пътнически превози по</w:t>
                  </w:r>
                  <w:r w:rsidR="00FF4E11">
                    <w:rPr>
                      <w:bCs/>
                      <w:lang w:val="bg-BG"/>
                    </w:rPr>
                    <w:t xml:space="preserve"> </w:t>
                  </w:r>
                  <w:r w:rsidRPr="007E2114">
                    <w:rPr>
                      <w:bCs/>
                    </w:rPr>
                    <w:t xml:space="preserve"> автобусни линии </w:t>
                  </w:r>
                  <w:r w:rsidR="00FF4E11" w:rsidRPr="00FF4E11">
                    <w:rPr>
                      <w:bCs/>
                    </w:rPr>
                    <w:t>от утвърдените транспортни схеми – републиканска, междуобластна, областни и общински,</w:t>
                  </w:r>
                  <w:r w:rsidR="00FF4E11">
                    <w:rPr>
                      <w:bCs/>
                      <w:lang w:val="bg-BG"/>
                    </w:rPr>
                    <w:t xml:space="preserve"> </w:t>
                  </w:r>
                  <w:r w:rsidRPr="007E2114">
                    <w:rPr>
                      <w:bCs/>
                    </w:rPr>
                    <w:t xml:space="preserve">с пробег, който </w:t>
                  </w:r>
                  <w:r w:rsidRPr="007E2114">
                    <w:rPr>
                      <w:b/>
                      <w:bCs/>
                    </w:rPr>
                    <w:t>не се субсидира</w:t>
                  </w:r>
                  <w:r w:rsidRPr="007E2114">
                    <w:rPr>
                      <w:bCs/>
                    </w:rPr>
                    <w:t xml:space="preserve"> със средства от държавния бюджет по Наредба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превозите, приета с </w:t>
                  </w:r>
                  <w:r w:rsidR="0000664A" w:rsidRPr="0000664A">
                    <w:rPr>
                      <w:bCs/>
                    </w:rPr>
                    <w:t xml:space="preserve">Постановление </w:t>
                  </w:r>
                  <w:r w:rsidR="0000664A" w:rsidRPr="007E2114">
                    <w:rPr>
                      <w:bCs/>
                    </w:rPr>
                    <w:t xml:space="preserve">№ 163 </w:t>
                  </w:r>
                  <w:r w:rsidR="0000664A" w:rsidRPr="0000664A">
                    <w:rPr>
                      <w:bCs/>
                    </w:rPr>
                    <w:t>на Министерския съвет</w:t>
                  </w:r>
                  <w:r w:rsidRPr="007E2114">
                    <w:rPr>
                      <w:bCs/>
                    </w:rPr>
                    <w:t xml:space="preserve"> от </w:t>
                  </w:r>
                  <w:r w:rsidR="00ED591A">
                    <w:rPr>
                      <w:bCs/>
                    </w:rPr>
                    <w:t>2015 г. (Наредбата) за 2026 г. към …………….. 2026</w:t>
                  </w:r>
                  <w:r w:rsidRPr="007E2114">
                    <w:rPr>
                      <w:bCs/>
                    </w:rPr>
                    <w:t xml:space="preserve"> г.</w:t>
                  </w:r>
                  <w:r w:rsidRPr="0050315D">
                    <w:rPr>
                      <w:vertAlign w:val="superscript"/>
                    </w:rPr>
                    <w:t xml:space="preserve"> </w:t>
                  </w:r>
                  <w:r w:rsidRPr="0050315D">
                    <w:rPr>
                      <w:vertAlign w:val="superscript"/>
                    </w:rPr>
                    <w:footnoteReference w:id="1"/>
                  </w:r>
                  <w:r w:rsidRPr="007E2114">
                    <w:rPr>
                      <w:bCs/>
                    </w:rPr>
                    <w:t xml:space="preserve"> за линиите от </w:t>
                  </w:r>
                  <w:r w:rsidR="0000664A" w:rsidRPr="007E2114">
                    <w:rPr>
                      <w:bCs/>
                    </w:rPr>
                    <w:t>П</w:t>
                  </w:r>
                  <w:r w:rsidRPr="007E2114">
                    <w:rPr>
                      <w:bCs/>
                    </w:rPr>
                    <w:t xml:space="preserve">риложение </w:t>
                  </w:r>
                  <w:r w:rsidR="0000664A">
                    <w:rPr>
                      <w:bCs/>
                      <w:lang w:val="bg-BG"/>
                    </w:rPr>
                    <w:t xml:space="preserve">№ </w:t>
                  </w:r>
                  <w:r w:rsidRPr="007E2114">
                    <w:rPr>
                      <w:bCs/>
                    </w:rPr>
                    <w:t>1</w:t>
                  </w:r>
                </w:p>
              </w:tc>
            </w:tr>
          </w:tbl>
          <w:p w14:paraId="1CE25774" w14:textId="77777777" w:rsidR="00140442" w:rsidRPr="003721E1" w:rsidRDefault="00140442" w:rsidP="009C549F">
            <w:pPr>
              <w:rPr>
                <w:vanish/>
              </w:rPr>
            </w:pPr>
          </w:p>
          <w:tbl>
            <w:tblPr>
              <w:tblW w:w="1007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"/>
              <w:gridCol w:w="560"/>
              <w:gridCol w:w="4762"/>
              <w:gridCol w:w="889"/>
              <w:gridCol w:w="3845"/>
              <w:gridCol w:w="7"/>
            </w:tblGrid>
            <w:tr w:rsidR="00140442" w:rsidRPr="003721E1" w14:paraId="264F0D09" w14:textId="77777777" w:rsidTr="009C549F">
              <w:trPr>
                <w:gridBefore w:val="1"/>
                <w:gridAfter w:val="1"/>
                <w:wBefore w:w="10" w:type="dxa"/>
                <w:wAfter w:w="7" w:type="dxa"/>
                <w:trHeight w:val="60"/>
              </w:trPr>
              <w:tc>
                <w:tcPr>
                  <w:tcW w:w="5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241CD77" w14:textId="77777777" w:rsidR="00140442" w:rsidRPr="003721E1" w:rsidRDefault="00140442" w:rsidP="009C549F">
                  <w:pPr>
                    <w:jc w:val="center"/>
                  </w:pPr>
                  <w:r w:rsidRPr="003721E1">
                    <w:t>№</w:t>
                  </w:r>
                </w:p>
                <w:p w14:paraId="21741D48" w14:textId="77777777" w:rsidR="00140442" w:rsidRPr="003721E1" w:rsidRDefault="00140442" w:rsidP="009C549F">
                  <w:pPr>
                    <w:jc w:val="center"/>
                  </w:pPr>
                  <w:r w:rsidRPr="003721E1">
                    <w:t>по</w:t>
                  </w:r>
                </w:p>
                <w:p w14:paraId="7E941ED5" w14:textId="77777777" w:rsidR="00140442" w:rsidRPr="003721E1" w:rsidRDefault="00140442" w:rsidP="009C549F">
                  <w:pPr>
                    <w:jc w:val="center"/>
                  </w:pPr>
                  <w:r w:rsidRPr="003721E1">
                    <w:t>ред</w:t>
                  </w:r>
                </w:p>
              </w:tc>
              <w:tc>
                <w:tcPr>
                  <w:tcW w:w="4762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36FBCC1" w14:textId="77777777" w:rsidR="00140442" w:rsidRPr="003721E1" w:rsidRDefault="00140442" w:rsidP="009C549F">
                  <w:pPr>
                    <w:jc w:val="center"/>
                  </w:pPr>
                  <w:r w:rsidRPr="003721E1">
                    <w:t>Показатели</w:t>
                  </w:r>
                </w:p>
              </w:tc>
              <w:tc>
                <w:tcPr>
                  <w:tcW w:w="889" w:type="dxa"/>
                  <w:vMerge w:val="restar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0A8F6D4" w14:textId="77777777" w:rsidR="00140442" w:rsidRPr="003721E1" w:rsidRDefault="00140442" w:rsidP="009C549F">
                  <w:pPr>
                    <w:jc w:val="center"/>
                  </w:pPr>
                  <w:r w:rsidRPr="003721E1">
                    <w:t>Мярка*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D11FE21" w14:textId="77777777" w:rsidR="00140442" w:rsidRPr="003721E1" w:rsidRDefault="00140442" w:rsidP="00FF4E11">
                  <w:pPr>
                    <w:jc w:val="center"/>
                  </w:pPr>
                  <w:r w:rsidRPr="003721E1">
                    <w:t xml:space="preserve">Пътнически превози по </w:t>
                  </w:r>
                </w:p>
              </w:tc>
            </w:tr>
            <w:tr w:rsidR="00140442" w:rsidRPr="003721E1" w14:paraId="3E2E6C42" w14:textId="77777777" w:rsidTr="009C549F">
              <w:trPr>
                <w:gridBefore w:val="1"/>
                <w:gridAfter w:val="1"/>
                <w:wBefore w:w="10" w:type="dxa"/>
                <w:wAfter w:w="7" w:type="dxa"/>
                <w:trHeight w:val="276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1B3CBF7" w14:textId="77777777" w:rsidR="00140442" w:rsidRPr="003721E1" w:rsidRDefault="00140442" w:rsidP="009C549F"/>
              </w:tc>
              <w:tc>
                <w:tcPr>
                  <w:tcW w:w="4762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9A49754" w14:textId="77777777" w:rsidR="00140442" w:rsidRPr="003721E1" w:rsidRDefault="00140442" w:rsidP="009C549F">
                  <w:pPr>
                    <w:jc w:val="center"/>
                  </w:pPr>
                </w:p>
              </w:tc>
              <w:tc>
                <w:tcPr>
                  <w:tcW w:w="889" w:type="dxa"/>
                  <w:vMerge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A4E27C4" w14:textId="77777777" w:rsidR="00140442" w:rsidRPr="003721E1" w:rsidRDefault="00140442" w:rsidP="009C549F">
                  <w:pPr>
                    <w:jc w:val="center"/>
                  </w:pPr>
                </w:p>
              </w:tc>
              <w:tc>
                <w:tcPr>
                  <w:tcW w:w="3845" w:type="dxa"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358512A" w14:textId="77777777" w:rsidR="00140442" w:rsidRPr="003721E1" w:rsidRDefault="00140442" w:rsidP="009C549F">
                  <w:pPr>
                    <w:jc w:val="center"/>
                  </w:pPr>
                  <w:r w:rsidRPr="003721E1">
                    <w:t>автобусни линии с пробег, който не се субсидира със средства от държавния бюджет по Наредбата</w:t>
                  </w:r>
                </w:p>
              </w:tc>
            </w:tr>
            <w:tr w:rsidR="00140442" w:rsidRPr="003721E1" w14:paraId="760A7644" w14:textId="77777777" w:rsidTr="009C549F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5FBFC11" w14:textId="77777777" w:rsidR="00140442" w:rsidRPr="003721E1" w:rsidRDefault="00140442" w:rsidP="009C549F">
                  <w:pPr>
                    <w:jc w:val="center"/>
                  </w:pPr>
                  <w:r w:rsidRPr="003721E1">
                    <w:t>1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F01D4B7" w14:textId="77777777" w:rsidR="00140442" w:rsidRPr="003721E1" w:rsidRDefault="00140442" w:rsidP="009C549F">
                  <w:pPr>
                    <w:jc w:val="center"/>
                  </w:pPr>
                  <w:r w:rsidRPr="003721E1">
                    <w:t>2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44A67B2" w14:textId="77777777" w:rsidR="00140442" w:rsidRPr="003721E1" w:rsidRDefault="00140442" w:rsidP="009C549F">
                  <w:pPr>
                    <w:jc w:val="center"/>
                  </w:pPr>
                  <w:r w:rsidRPr="003721E1">
                    <w:t>3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578CAD7" w14:textId="77777777" w:rsidR="00140442" w:rsidRPr="003721E1" w:rsidRDefault="00140442" w:rsidP="009C549F">
                  <w:pPr>
                    <w:jc w:val="center"/>
                  </w:pPr>
                  <w:r w:rsidRPr="003721E1">
                    <w:t>4</w:t>
                  </w:r>
                </w:p>
              </w:tc>
            </w:tr>
            <w:tr w:rsidR="00140442" w:rsidRPr="003721E1" w14:paraId="5A596E58" w14:textId="77777777" w:rsidTr="009C549F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A67F895" w14:textId="77777777" w:rsidR="00140442" w:rsidRPr="003721E1" w:rsidRDefault="00140442" w:rsidP="009C549F">
                  <w:r w:rsidRPr="003721E1">
                    <w:t>1.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B81291" w14:textId="77777777" w:rsidR="00140442" w:rsidRPr="003721E1" w:rsidRDefault="00140442" w:rsidP="009C549F">
                  <w:r w:rsidRPr="003721E1">
                    <w:t xml:space="preserve">Общ пробег 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DAD257C" w14:textId="77777777" w:rsidR="00140442" w:rsidRPr="003721E1" w:rsidRDefault="00140442" w:rsidP="009C549F">
                  <w:r w:rsidRPr="003721E1">
                    <w:t>хил. км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683D39A" w14:textId="77777777" w:rsidR="00140442" w:rsidRPr="003721E1" w:rsidRDefault="00140442" w:rsidP="009C549F"/>
              </w:tc>
            </w:tr>
            <w:tr w:rsidR="00140442" w:rsidRPr="003721E1" w14:paraId="60403C15" w14:textId="77777777" w:rsidTr="009C549F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3EB1709" w14:textId="77777777" w:rsidR="00140442" w:rsidRPr="003721E1" w:rsidRDefault="00140442" w:rsidP="009C549F">
                  <w:r w:rsidRPr="003721E1">
                    <w:t xml:space="preserve">2. 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CDF91C7" w14:textId="77777777" w:rsidR="00140442" w:rsidRPr="003721E1" w:rsidRDefault="00140442" w:rsidP="009C549F">
                  <w:r w:rsidRPr="003721E1">
                    <w:t xml:space="preserve">Превозени пътници 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7E87383" w14:textId="77777777" w:rsidR="00140442" w:rsidRPr="003721E1" w:rsidRDefault="00140442" w:rsidP="009C549F">
                  <w:r w:rsidRPr="003721E1">
                    <w:t>хил. бр.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BA4117F" w14:textId="77777777" w:rsidR="00140442" w:rsidRPr="003721E1" w:rsidRDefault="00140442" w:rsidP="009C549F"/>
              </w:tc>
            </w:tr>
            <w:tr w:rsidR="00140442" w:rsidRPr="003721E1" w14:paraId="72AF977F" w14:textId="77777777" w:rsidTr="00AB3C37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B4DD0B7" w14:textId="77777777" w:rsidR="00140442" w:rsidRPr="003721E1" w:rsidRDefault="00140442" w:rsidP="009C549F">
                  <w:r w:rsidRPr="003721E1">
                    <w:t xml:space="preserve">3. 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34CC337" w14:textId="77777777" w:rsidR="00140442" w:rsidRPr="00484427" w:rsidRDefault="00140442" w:rsidP="00484427">
                  <w:pPr>
                    <w:rPr>
                      <w:lang w:val="bg-BG"/>
                    </w:rPr>
                  </w:pPr>
                  <w:r w:rsidRPr="00BF6F49">
                    <w:t xml:space="preserve">Общо приходи от дейност по предоставяне на превозни услуги, по които се кандидатства за субсидиране  по </w:t>
                  </w:r>
                  <w:r w:rsidR="00484427">
                    <w:rPr>
                      <w:lang w:val="bg-BG"/>
                    </w:rPr>
                    <w:t>Програмата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E9DA71" w14:textId="77777777" w:rsidR="00140442" w:rsidRPr="00484427" w:rsidRDefault="00484427" w:rsidP="00AB3C37">
                  <w:pPr>
                    <w:jc w:val="center"/>
                    <w:rPr>
                      <w:lang w:val="bg-BG"/>
                    </w:rPr>
                  </w:pPr>
                  <w:r>
                    <w:rPr>
                      <w:lang w:val="bg-BG"/>
                    </w:rPr>
                    <w:t>евро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06DE323" w14:textId="77777777" w:rsidR="00140442" w:rsidRPr="003721E1" w:rsidRDefault="00140442" w:rsidP="009C549F"/>
              </w:tc>
            </w:tr>
            <w:tr w:rsidR="00484427" w:rsidRPr="003721E1" w14:paraId="085A6E09" w14:textId="77777777" w:rsidTr="00AB3C37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553D58D" w14:textId="77777777" w:rsidR="00484427" w:rsidRPr="003721E1" w:rsidRDefault="00484427" w:rsidP="00484427">
                  <w:r w:rsidRPr="003721E1">
                    <w:t xml:space="preserve">3.1. 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C346A27" w14:textId="77777777" w:rsidR="00484427" w:rsidRPr="003721E1" w:rsidRDefault="00484427" w:rsidP="00484427">
                  <w:r w:rsidRPr="003721E1">
                    <w:t xml:space="preserve">Нетни приходи от продажби от извършваната дейност 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1D90B2C" w14:textId="77777777" w:rsidR="00484427" w:rsidRPr="003721E1" w:rsidRDefault="00484427" w:rsidP="00AB3C37">
                  <w:pPr>
                    <w:jc w:val="center"/>
                  </w:pPr>
                  <w:r w:rsidRPr="00E963C0">
                    <w:rPr>
                      <w:lang w:val="bg-BG"/>
                    </w:rPr>
                    <w:t>евро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0E8E68E2" w14:textId="77777777" w:rsidR="00484427" w:rsidRPr="003721E1" w:rsidRDefault="00484427" w:rsidP="00484427"/>
              </w:tc>
            </w:tr>
            <w:tr w:rsidR="00484427" w:rsidRPr="003721E1" w14:paraId="1E71CC5A" w14:textId="77777777" w:rsidTr="00AB3C37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3C1122" w14:textId="77777777" w:rsidR="00484427" w:rsidRPr="003721E1" w:rsidRDefault="00484427" w:rsidP="00484427">
                  <w:r w:rsidRPr="003721E1">
                    <w:t xml:space="preserve">3.2. 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B6A123A" w14:textId="77777777" w:rsidR="00484427" w:rsidRPr="003721E1" w:rsidRDefault="00484427" w:rsidP="00484427">
                  <w:r w:rsidRPr="003721E1">
                    <w:t xml:space="preserve">Получени компенсации за безплатни и по намалени цени превози от централния бюджет за отчетния период 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5F4A22D8" w14:textId="77777777" w:rsidR="00484427" w:rsidRPr="003721E1" w:rsidRDefault="00484427" w:rsidP="00AB3C37">
                  <w:pPr>
                    <w:jc w:val="center"/>
                  </w:pPr>
                  <w:r w:rsidRPr="00E963C0">
                    <w:rPr>
                      <w:lang w:val="bg-BG"/>
                    </w:rPr>
                    <w:t>евро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A27A856" w14:textId="77777777" w:rsidR="00484427" w:rsidRPr="003721E1" w:rsidRDefault="00484427" w:rsidP="00484427"/>
              </w:tc>
            </w:tr>
            <w:tr w:rsidR="00484427" w:rsidRPr="003721E1" w14:paraId="51730F51" w14:textId="77777777" w:rsidTr="00AB3C37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0EB95BC2" w14:textId="77777777" w:rsidR="00484427" w:rsidRPr="003721E1" w:rsidRDefault="00484427" w:rsidP="00484427">
                  <w:r w:rsidRPr="003721E1">
                    <w:t xml:space="preserve">3.3. 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801EAC1" w14:textId="77777777" w:rsidR="00484427" w:rsidRPr="003721E1" w:rsidRDefault="00484427" w:rsidP="00484427">
                  <w:r w:rsidRPr="003721E1">
                    <w:t xml:space="preserve">Други приходи от извършваната дейност 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C97E0AD" w14:textId="77777777" w:rsidR="00484427" w:rsidRPr="003721E1" w:rsidRDefault="00484427" w:rsidP="00AB3C37">
                  <w:pPr>
                    <w:jc w:val="center"/>
                  </w:pPr>
                  <w:r w:rsidRPr="00E963C0">
                    <w:rPr>
                      <w:lang w:val="bg-BG"/>
                    </w:rPr>
                    <w:t>евро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99342B5" w14:textId="77777777" w:rsidR="00484427" w:rsidRPr="003721E1" w:rsidRDefault="00484427" w:rsidP="00484427"/>
              </w:tc>
            </w:tr>
            <w:tr w:rsidR="00484427" w:rsidRPr="003721E1" w14:paraId="7CC7CC1A" w14:textId="77777777" w:rsidTr="00AB3C37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61F700A" w14:textId="77777777" w:rsidR="00484427" w:rsidRPr="003721E1" w:rsidRDefault="00484427" w:rsidP="00484427">
                  <w:r w:rsidRPr="003721E1">
                    <w:t xml:space="preserve">4. 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F1A12C3" w14:textId="77777777" w:rsidR="00484427" w:rsidRPr="003721E1" w:rsidRDefault="00484427" w:rsidP="00484427">
                  <w:r w:rsidRPr="003721E1">
                    <w:t>Общо разходи за дейността по предоставяне на превозни услуги, по които се кандидатст</w:t>
                  </w:r>
                  <w:r>
                    <w:t xml:space="preserve">ва за субсидиране по </w:t>
                  </w:r>
                  <w:r>
                    <w:rPr>
                      <w:lang w:val="bg-BG"/>
                    </w:rPr>
                    <w:t>Програмата</w:t>
                  </w:r>
                  <w:r w:rsidRPr="003721E1">
                    <w:t xml:space="preserve">**: 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64EA897" w14:textId="77777777" w:rsidR="00484427" w:rsidRPr="003721E1" w:rsidRDefault="00484427" w:rsidP="00AB3C37">
                  <w:pPr>
                    <w:jc w:val="center"/>
                  </w:pPr>
                  <w:r w:rsidRPr="00E963C0">
                    <w:rPr>
                      <w:lang w:val="bg-BG"/>
                    </w:rPr>
                    <w:t>евро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2A69C51" w14:textId="77777777" w:rsidR="00484427" w:rsidRPr="003721E1" w:rsidRDefault="00484427" w:rsidP="00484427"/>
              </w:tc>
            </w:tr>
            <w:tr w:rsidR="00484427" w:rsidRPr="003721E1" w14:paraId="57C570BB" w14:textId="77777777" w:rsidTr="00AB3C37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7EE0B3E" w14:textId="77777777" w:rsidR="00484427" w:rsidRPr="003721E1" w:rsidRDefault="00484427" w:rsidP="00484427">
                  <w:r w:rsidRPr="003721E1">
                    <w:t xml:space="preserve">4.1. 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231FE80" w14:textId="77777777" w:rsidR="00484427" w:rsidRPr="003721E1" w:rsidRDefault="00484427" w:rsidP="00484427">
                  <w:r w:rsidRPr="003721E1">
                    <w:t xml:space="preserve">Разходи за суровини и материали, в т.ч.: 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FD3815" w14:textId="77777777" w:rsidR="00484427" w:rsidRPr="003721E1" w:rsidRDefault="00484427" w:rsidP="00AB3C37">
                  <w:pPr>
                    <w:jc w:val="center"/>
                  </w:pPr>
                  <w:r w:rsidRPr="00E963C0">
                    <w:rPr>
                      <w:lang w:val="bg-BG"/>
                    </w:rPr>
                    <w:t>евро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75D77AF" w14:textId="77777777" w:rsidR="00484427" w:rsidRPr="003721E1" w:rsidRDefault="00484427" w:rsidP="00484427"/>
              </w:tc>
            </w:tr>
            <w:tr w:rsidR="00484427" w:rsidRPr="003721E1" w14:paraId="483BEFA8" w14:textId="77777777" w:rsidTr="00AB3C37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C828F06" w14:textId="77777777" w:rsidR="00484427" w:rsidRPr="003721E1" w:rsidRDefault="00484427" w:rsidP="00484427">
                  <w:r w:rsidRPr="003721E1">
                    <w:t xml:space="preserve">а) 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7B5B1E5" w14:textId="77777777" w:rsidR="00484427" w:rsidRPr="003721E1" w:rsidRDefault="00484427" w:rsidP="00484427">
                  <w:r w:rsidRPr="003721E1">
                    <w:t xml:space="preserve">Гориво (ел. енергия) 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0767A6E" w14:textId="77777777" w:rsidR="00484427" w:rsidRPr="003721E1" w:rsidRDefault="00484427" w:rsidP="00AB3C37">
                  <w:pPr>
                    <w:jc w:val="center"/>
                  </w:pPr>
                  <w:r w:rsidRPr="00E963C0">
                    <w:rPr>
                      <w:lang w:val="bg-BG"/>
                    </w:rPr>
                    <w:t>евро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C439870" w14:textId="77777777" w:rsidR="00484427" w:rsidRPr="003721E1" w:rsidRDefault="00484427" w:rsidP="00484427"/>
              </w:tc>
            </w:tr>
            <w:tr w:rsidR="00484427" w:rsidRPr="003721E1" w14:paraId="4748F2F8" w14:textId="77777777" w:rsidTr="00AB3C37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E65DA52" w14:textId="77777777" w:rsidR="00484427" w:rsidRPr="003721E1" w:rsidRDefault="00484427" w:rsidP="00484427">
                  <w:r w:rsidRPr="003721E1">
                    <w:t xml:space="preserve">4.2. 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647550E8" w14:textId="429355E4" w:rsidR="00484427" w:rsidRPr="003721E1" w:rsidRDefault="00484427" w:rsidP="00484427">
                  <w:r w:rsidRPr="003721E1">
                    <w:t xml:space="preserve">Разходи за персонал, в т.ч.: 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3ADBB50" w14:textId="77777777" w:rsidR="00484427" w:rsidRPr="003721E1" w:rsidRDefault="00484427" w:rsidP="00AB3C37">
                  <w:pPr>
                    <w:jc w:val="center"/>
                  </w:pPr>
                  <w:r w:rsidRPr="00E963C0">
                    <w:rPr>
                      <w:lang w:val="bg-BG"/>
                    </w:rPr>
                    <w:t>евро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3AF7962C" w14:textId="77777777" w:rsidR="00484427" w:rsidRPr="003721E1" w:rsidRDefault="00484427" w:rsidP="00484427"/>
              </w:tc>
            </w:tr>
            <w:tr w:rsidR="00484427" w:rsidRPr="003721E1" w14:paraId="6131E96A" w14:textId="77777777" w:rsidTr="00AB3C37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49DFDE4" w14:textId="77777777" w:rsidR="00484427" w:rsidRPr="003721E1" w:rsidRDefault="00484427" w:rsidP="00484427">
                  <w:r w:rsidRPr="003721E1">
                    <w:t xml:space="preserve">а) 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C21FFF3" w14:textId="77777777" w:rsidR="00484427" w:rsidRPr="003721E1" w:rsidRDefault="00484427" w:rsidP="00484427">
                  <w:r w:rsidRPr="003721E1">
                    <w:t xml:space="preserve">Разходи за възнаграждения 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F64EB3D" w14:textId="77777777" w:rsidR="00484427" w:rsidRPr="003721E1" w:rsidRDefault="00484427" w:rsidP="00AB3C37">
                  <w:pPr>
                    <w:jc w:val="center"/>
                  </w:pPr>
                  <w:r w:rsidRPr="00E963C0">
                    <w:rPr>
                      <w:lang w:val="bg-BG"/>
                    </w:rPr>
                    <w:t>евро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DA15474" w14:textId="77777777" w:rsidR="00484427" w:rsidRPr="003721E1" w:rsidRDefault="00484427" w:rsidP="00484427"/>
              </w:tc>
            </w:tr>
            <w:tr w:rsidR="00484427" w:rsidRPr="003721E1" w14:paraId="7DE78BA2" w14:textId="77777777" w:rsidTr="00AB3C37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2D46A56" w14:textId="77777777" w:rsidR="00484427" w:rsidRPr="003721E1" w:rsidRDefault="00484427" w:rsidP="00484427">
                  <w:r w:rsidRPr="003721E1">
                    <w:t xml:space="preserve">б) 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A00557C" w14:textId="77777777" w:rsidR="00484427" w:rsidRPr="003721E1" w:rsidRDefault="00484427" w:rsidP="00484427">
                  <w:r w:rsidRPr="003721E1">
                    <w:t xml:space="preserve">Разходи за осигуровки 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9DC53A2" w14:textId="77777777" w:rsidR="00484427" w:rsidRPr="003721E1" w:rsidRDefault="00484427" w:rsidP="00AB3C37">
                  <w:pPr>
                    <w:jc w:val="center"/>
                  </w:pPr>
                  <w:r w:rsidRPr="00E963C0">
                    <w:rPr>
                      <w:lang w:val="bg-BG"/>
                    </w:rPr>
                    <w:t>евро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48142AB" w14:textId="77777777" w:rsidR="00484427" w:rsidRPr="003721E1" w:rsidRDefault="00484427" w:rsidP="00484427"/>
              </w:tc>
            </w:tr>
            <w:tr w:rsidR="00484427" w:rsidRPr="003721E1" w14:paraId="11D24598" w14:textId="77777777" w:rsidTr="00AB3C37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6E4CD2C" w14:textId="77777777" w:rsidR="00484427" w:rsidRPr="003721E1" w:rsidRDefault="00484427" w:rsidP="00484427">
                  <w:r w:rsidRPr="003721E1">
                    <w:t xml:space="preserve">5. 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29FECA0" w14:textId="631D5A5D" w:rsidR="00484427" w:rsidRPr="003721E1" w:rsidRDefault="00484427" w:rsidP="00484427">
                  <w:r w:rsidRPr="003721E1">
                    <w:t>Загуба (р</w:t>
                  </w:r>
                  <w:proofErr w:type="spellStart"/>
                  <w:r w:rsidR="00AB3C37">
                    <w:rPr>
                      <w:lang w:val="bg-BG"/>
                    </w:rPr>
                    <w:t>ед</w:t>
                  </w:r>
                  <w:proofErr w:type="spellEnd"/>
                  <w:r w:rsidRPr="003721E1">
                    <w:t xml:space="preserve"> 4 – р</w:t>
                  </w:r>
                  <w:proofErr w:type="spellStart"/>
                  <w:r w:rsidR="00AB3C37">
                    <w:rPr>
                      <w:lang w:val="bg-BG"/>
                    </w:rPr>
                    <w:t>ед</w:t>
                  </w:r>
                  <w:proofErr w:type="spellEnd"/>
                  <w:r w:rsidRPr="003721E1">
                    <w:t xml:space="preserve"> 3) 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4C456F38" w14:textId="77777777" w:rsidR="00484427" w:rsidRPr="003721E1" w:rsidRDefault="00484427" w:rsidP="00AB3C37">
                  <w:pPr>
                    <w:jc w:val="center"/>
                  </w:pPr>
                  <w:r w:rsidRPr="00E963C0">
                    <w:rPr>
                      <w:lang w:val="bg-BG"/>
                    </w:rPr>
                    <w:t>евро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EC8A0EC" w14:textId="77777777" w:rsidR="00484427" w:rsidRPr="003721E1" w:rsidRDefault="00484427" w:rsidP="00484427"/>
              </w:tc>
            </w:tr>
            <w:tr w:rsidR="00484427" w:rsidRPr="003721E1" w14:paraId="4E7242A0" w14:textId="77777777" w:rsidTr="00AB3C37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AC4931D" w14:textId="77777777" w:rsidR="00484427" w:rsidRPr="003721E1" w:rsidRDefault="00484427" w:rsidP="00484427">
                  <w:r w:rsidRPr="003721E1">
                    <w:t xml:space="preserve">6. 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24C9088" w14:textId="77777777" w:rsidR="00484427" w:rsidRPr="003721E1" w:rsidRDefault="00484427" w:rsidP="00484427">
                  <w:pPr>
                    <w:rPr>
                      <w:lang w:val="en-US"/>
                    </w:rPr>
                  </w:pPr>
                  <w:r w:rsidRPr="003721E1">
                    <w:t>Разумна печалба</w:t>
                  </w:r>
                  <w:r w:rsidRPr="003721E1">
                    <w:rPr>
                      <w:lang w:val="en-US"/>
                    </w:rPr>
                    <w:t>***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E5198CE" w14:textId="77777777" w:rsidR="00484427" w:rsidRPr="003721E1" w:rsidRDefault="00484427" w:rsidP="00AB3C37">
                  <w:pPr>
                    <w:jc w:val="center"/>
                  </w:pPr>
                  <w:r w:rsidRPr="00E963C0">
                    <w:rPr>
                      <w:lang w:val="bg-BG"/>
                    </w:rPr>
                    <w:t>евро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B600A27" w14:textId="77777777" w:rsidR="00484427" w:rsidRPr="003721E1" w:rsidRDefault="00484427" w:rsidP="00484427"/>
              </w:tc>
            </w:tr>
            <w:tr w:rsidR="00484427" w:rsidRPr="003721E1" w14:paraId="7194908F" w14:textId="77777777" w:rsidTr="00AB3C37">
              <w:trPr>
                <w:gridBefore w:val="1"/>
                <w:gridAfter w:val="1"/>
                <w:wBefore w:w="10" w:type="dxa"/>
                <w:wAfter w:w="7" w:type="dxa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072C068" w14:textId="77777777" w:rsidR="00484427" w:rsidRPr="003721E1" w:rsidRDefault="00484427" w:rsidP="00484427">
                  <w:r w:rsidRPr="003721E1">
                    <w:t xml:space="preserve">7. </w:t>
                  </w:r>
                </w:p>
              </w:tc>
              <w:tc>
                <w:tcPr>
                  <w:tcW w:w="476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D4C05D0" w14:textId="6DBC5053" w:rsidR="00484427" w:rsidRPr="003721E1" w:rsidRDefault="00484427" w:rsidP="00484427">
                  <w:r w:rsidRPr="003721E1">
                    <w:t>Нетен финансов ефект (р</w:t>
                  </w:r>
                  <w:proofErr w:type="spellStart"/>
                  <w:r w:rsidR="00AB3C37">
                    <w:rPr>
                      <w:lang w:val="bg-BG"/>
                    </w:rPr>
                    <w:t>ед</w:t>
                  </w:r>
                  <w:proofErr w:type="spellEnd"/>
                  <w:r w:rsidRPr="003721E1">
                    <w:t xml:space="preserve"> 5 + р</w:t>
                  </w:r>
                  <w:proofErr w:type="spellStart"/>
                  <w:r w:rsidR="00AB3C37">
                    <w:rPr>
                      <w:lang w:val="bg-BG"/>
                    </w:rPr>
                    <w:t>ед</w:t>
                  </w:r>
                  <w:proofErr w:type="spellEnd"/>
                  <w:r w:rsidRPr="003721E1">
                    <w:t xml:space="preserve"> 6)**</w:t>
                  </w:r>
                </w:p>
              </w:tc>
              <w:tc>
                <w:tcPr>
                  <w:tcW w:w="88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0887C09A" w14:textId="77777777" w:rsidR="00484427" w:rsidRPr="003721E1" w:rsidRDefault="00484427" w:rsidP="00AB3C37">
                  <w:pPr>
                    <w:jc w:val="center"/>
                  </w:pPr>
                  <w:r w:rsidRPr="00E963C0">
                    <w:rPr>
                      <w:lang w:val="bg-BG"/>
                    </w:rPr>
                    <w:t>евро</w:t>
                  </w:r>
                </w:p>
              </w:tc>
              <w:tc>
                <w:tcPr>
                  <w:tcW w:w="3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5AF484B9" w14:textId="77777777" w:rsidR="00484427" w:rsidRPr="003721E1" w:rsidRDefault="00484427" w:rsidP="00484427"/>
              </w:tc>
            </w:tr>
            <w:tr w:rsidR="00140442" w:rsidRPr="003721E1" w14:paraId="6F22D65B" w14:textId="77777777" w:rsidTr="009C549F">
              <w:tc>
                <w:tcPr>
                  <w:tcW w:w="10073" w:type="dxa"/>
                  <w:gridSpan w:val="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7AB89B" w14:textId="77777777" w:rsidR="00140442" w:rsidRDefault="00140442" w:rsidP="009C549F"/>
                <w:p w14:paraId="5E08F97C" w14:textId="77777777" w:rsidR="00140442" w:rsidRPr="003721E1" w:rsidRDefault="00140442" w:rsidP="009C549F">
                  <w:r w:rsidRPr="003721E1">
                    <w:t>Дата: ……………..…г.</w:t>
                  </w:r>
                  <w:r w:rsidRPr="000A6182">
                    <w:t>     </w:t>
                  </w:r>
                  <w:r w:rsidRPr="003721E1">
                    <w:t xml:space="preserve"> </w:t>
                  </w:r>
                </w:p>
                <w:p w14:paraId="1957E889" w14:textId="77777777" w:rsidR="00140442" w:rsidRPr="003721E1" w:rsidRDefault="00140442" w:rsidP="009C549F"/>
                <w:p w14:paraId="5C80851E" w14:textId="77777777" w:rsidR="00140442" w:rsidRPr="003721E1" w:rsidRDefault="00140442" w:rsidP="009C549F"/>
                <w:p w14:paraId="497FB653" w14:textId="6C627E67" w:rsidR="00140442" w:rsidRPr="003721E1" w:rsidRDefault="00140442" w:rsidP="009C549F">
                  <w:r w:rsidRPr="003721E1">
                    <w:t>Гл.</w:t>
                  </w:r>
                  <w:r w:rsidR="00AB3C37">
                    <w:rPr>
                      <w:lang w:val="bg-BG"/>
                    </w:rPr>
                    <w:t xml:space="preserve"> </w:t>
                  </w:r>
                  <w:r w:rsidRPr="003721E1">
                    <w:t xml:space="preserve">счетоводител: ........................ </w:t>
                  </w:r>
                  <w:r w:rsidRPr="000A6182">
                    <w:t>   </w:t>
                  </w:r>
                  <w:r w:rsidRPr="003721E1">
                    <w:t xml:space="preserve">            Управител: ...............................</w:t>
                  </w:r>
                </w:p>
                <w:p w14:paraId="4382739B" w14:textId="77777777" w:rsidR="00140442" w:rsidRPr="003721E1" w:rsidRDefault="00140442" w:rsidP="009C549F"/>
                <w:p w14:paraId="7E99D8E5" w14:textId="77777777" w:rsidR="00140442" w:rsidRPr="003721E1" w:rsidRDefault="00140442" w:rsidP="009C549F"/>
              </w:tc>
            </w:tr>
          </w:tbl>
          <w:p w14:paraId="07D0362F" w14:textId="77777777" w:rsidR="00AB3C37" w:rsidRPr="00960264" w:rsidRDefault="00AB3C37" w:rsidP="00960264">
            <w:pPr>
              <w:spacing w:after="120"/>
              <w:jc w:val="both"/>
              <w:rPr>
                <w:lang w:val="bg-BG"/>
              </w:rPr>
            </w:pPr>
            <w:r w:rsidRPr="003721E1">
              <w:rPr>
                <w:i/>
              </w:rPr>
              <w:t>Забележки:</w:t>
            </w:r>
            <w:r w:rsidRPr="003721E1">
              <w:t xml:space="preserve"> </w:t>
            </w:r>
          </w:p>
          <w:p w14:paraId="76832D1E" w14:textId="7A9A2D7E" w:rsidR="00AB3C37" w:rsidRPr="003721E1" w:rsidRDefault="00AB3C37" w:rsidP="00960264">
            <w:pPr>
              <w:tabs>
                <w:tab w:val="left" w:pos="1547"/>
              </w:tabs>
              <w:spacing w:before="120" w:after="120"/>
              <w:ind w:left="119" w:hanging="45"/>
            </w:pPr>
            <w:r w:rsidRPr="003721E1">
              <w:t>* Данните се изписват с цели числа в абсолютна стойност.</w:t>
            </w:r>
          </w:p>
          <w:p w14:paraId="2166CFF0" w14:textId="03453769" w:rsidR="00AB3C37" w:rsidRPr="003721E1" w:rsidRDefault="00AB3C37" w:rsidP="00960264">
            <w:pPr>
              <w:tabs>
                <w:tab w:val="left" w:pos="1547"/>
              </w:tabs>
              <w:spacing w:before="120" w:after="120"/>
              <w:ind w:left="119" w:hanging="45"/>
              <w:jc w:val="both"/>
            </w:pPr>
            <w:r w:rsidRPr="003721E1">
              <w:t>** Нетният финансов ефект се компенсира само когато общо приходите от дейността по предоставян</w:t>
            </w:r>
            <w:r>
              <w:t xml:space="preserve">е на субсидирани по </w:t>
            </w:r>
            <w:r>
              <w:rPr>
                <w:lang w:val="bg-BG"/>
              </w:rPr>
              <w:t>Програмата</w:t>
            </w:r>
            <w:r w:rsidRPr="003721E1">
              <w:t xml:space="preserve"> превозни услуги не надвишава</w:t>
            </w:r>
            <w:r w:rsidR="00960264">
              <w:rPr>
                <w:lang w:val="bg-BG"/>
              </w:rPr>
              <w:t>т</w:t>
            </w:r>
            <w:r w:rsidRPr="003721E1">
              <w:t xml:space="preserve"> общо разходите за дейността по предоставяне на пътнически превозни услуги, по които се кандидатства за субсидиране. При определянето на нетния финансов ефект не се включват разходите за санкции и неустойки.</w:t>
            </w:r>
          </w:p>
          <w:p w14:paraId="0043DD5E" w14:textId="116B7543" w:rsidR="00AB3C37" w:rsidRPr="00AB3C37" w:rsidRDefault="00AB3C37" w:rsidP="00960264">
            <w:pPr>
              <w:tabs>
                <w:tab w:val="left" w:pos="1547"/>
              </w:tabs>
              <w:spacing w:before="120" w:after="120"/>
              <w:ind w:left="119" w:hanging="45"/>
              <w:jc w:val="both"/>
              <w:rPr>
                <w:lang w:val="bg-BG"/>
              </w:rPr>
            </w:pPr>
            <w:r w:rsidRPr="003721E1">
              <w:t>*** Разумната печалба се определя в размер до 5 на сто от общия размер на преките и съответната част от непреките разходи за дейността по предоставяне на пътнически превозни услуги, по които се кандидатств</w:t>
            </w:r>
            <w:r>
              <w:t xml:space="preserve">а за субсидиране по </w:t>
            </w:r>
            <w:r>
              <w:rPr>
                <w:lang w:val="bg-BG"/>
              </w:rPr>
              <w:t>Програмата.</w:t>
            </w:r>
          </w:p>
          <w:p w14:paraId="469014F2" w14:textId="77777777" w:rsidR="00AB3C37" w:rsidRPr="003721E1" w:rsidRDefault="00AB3C37" w:rsidP="009C549F">
            <w:pPr>
              <w:tabs>
                <w:tab w:val="left" w:pos="1547"/>
              </w:tabs>
              <w:ind w:left="118"/>
            </w:pPr>
          </w:p>
          <w:p w14:paraId="505E7E29" w14:textId="77777777" w:rsidR="00140442" w:rsidRPr="003721E1" w:rsidRDefault="00140442" w:rsidP="009C54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AF1E50" w14:textId="77777777" w:rsidR="00140442" w:rsidRDefault="00140442" w:rsidP="00140442"/>
    <w:p w14:paraId="102AAFDE" w14:textId="77777777" w:rsidR="00FA36DA" w:rsidRDefault="00FA36DA"/>
    <w:sectPr w:rsidR="00FA36DA" w:rsidSect="00CD593C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03CF" w14:textId="77777777" w:rsidR="0021490B" w:rsidRDefault="0021490B" w:rsidP="00FA36DA">
      <w:r>
        <w:separator/>
      </w:r>
    </w:p>
  </w:endnote>
  <w:endnote w:type="continuationSeparator" w:id="0">
    <w:p w14:paraId="62F1A52A" w14:textId="77777777" w:rsidR="0021490B" w:rsidRDefault="0021490B" w:rsidP="00FA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8C170A" w:rsidRPr="00B973B7" w14:paraId="7F55C1B5" w14:textId="77777777" w:rsidTr="00E25273">
      <w:trPr>
        <w:jc w:val="center"/>
      </w:trPr>
      <w:tc>
        <w:tcPr>
          <w:tcW w:w="4564" w:type="dxa"/>
        </w:tcPr>
        <w:p w14:paraId="06AD379D" w14:textId="77777777" w:rsidR="008C170A" w:rsidRPr="00147EDD" w:rsidRDefault="008C170A" w:rsidP="008C170A">
          <w:pPr>
            <w:pStyle w:val="Footer"/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3E3B2DB8" w14:textId="229E7A20" w:rsidR="008C170A" w:rsidRPr="00B973B7" w:rsidRDefault="008C170A" w:rsidP="008C170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1D495F">
            <w:rPr>
              <w:rFonts w:ascii="NewSaturionCyr" w:hAnsi="NewSaturionCyr"/>
              <w:noProof/>
              <w:sz w:val="16"/>
            </w:rPr>
            <w:t>ПРОГРАМА_СУБСИДИИ.docx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14069EE4" w14:textId="77777777" w:rsidR="00CD593C" w:rsidRDefault="00CD593C" w:rsidP="008C170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CD593C" w:rsidRPr="00B973B7" w14:paraId="2D0A549F" w14:textId="77777777" w:rsidTr="00E25273">
      <w:trPr>
        <w:jc w:val="center"/>
      </w:trPr>
      <w:tc>
        <w:tcPr>
          <w:tcW w:w="4564" w:type="dxa"/>
        </w:tcPr>
        <w:p w14:paraId="2120335A" w14:textId="77777777" w:rsidR="00CD593C" w:rsidRPr="00147EDD" w:rsidRDefault="00CD593C" w:rsidP="00CD593C">
          <w:pPr>
            <w:pStyle w:val="Footer"/>
            <w:rPr>
              <w:sz w:val="16"/>
            </w:rPr>
          </w:pPr>
          <w:proofErr w:type="spellStart"/>
          <w:r w:rsidRPr="00147EDD">
            <w:rPr>
              <w:rFonts w:ascii="NewSaturionCyr" w:hAnsi="NewSaturionCyr"/>
              <w:sz w:val="16"/>
              <w:lang w:val="bg-BG"/>
            </w:rPr>
            <w:t>мб</w:t>
          </w:r>
          <w:proofErr w:type="spellEnd"/>
          <w:r w:rsidRPr="00147EDD">
            <w:rPr>
              <w:rFonts w:ascii="NewSaturionCyr" w:hAnsi="NewSaturionCyr"/>
              <w:sz w:val="16"/>
              <w:lang w:val="bg-BG"/>
            </w:rPr>
            <w:t>-ЕТ</w:t>
          </w:r>
        </w:p>
      </w:tc>
      <w:tc>
        <w:tcPr>
          <w:tcW w:w="4395" w:type="dxa"/>
        </w:tcPr>
        <w:p w14:paraId="6B5EC076" w14:textId="42578F7B" w:rsidR="00CD593C" w:rsidRPr="00B973B7" w:rsidRDefault="00CD593C" w:rsidP="00CD593C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  <w:r w:rsidRPr="00147EDD">
            <w:rPr>
              <w:rFonts w:ascii="NewSaturionCyr" w:hAnsi="NewSaturionCyr"/>
              <w:sz w:val="16"/>
            </w:rPr>
            <w:fldChar w:fldCharType="begin"/>
          </w:r>
          <w:r w:rsidRPr="00147EDD">
            <w:rPr>
              <w:rFonts w:ascii="NewSaturionCyr" w:hAnsi="NewSaturionCyr"/>
              <w:sz w:val="16"/>
            </w:rPr>
            <w:instrText xml:space="preserve"> FILENAME   \* MERGEFORMAT </w:instrText>
          </w:r>
          <w:r w:rsidRPr="00147EDD">
            <w:rPr>
              <w:rFonts w:ascii="NewSaturionCyr" w:hAnsi="NewSaturionCyr"/>
              <w:sz w:val="16"/>
            </w:rPr>
            <w:fldChar w:fldCharType="separate"/>
          </w:r>
          <w:r w:rsidR="001D495F">
            <w:rPr>
              <w:rFonts w:ascii="NewSaturionCyr" w:hAnsi="NewSaturionCyr"/>
              <w:noProof/>
              <w:sz w:val="16"/>
            </w:rPr>
            <w:t>ПРОГРАМА_СУБСИДИИ.docx</w:t>
          </w:r>
          <w:r w:rsidRPr="00147EDD">
            <w:rPr>
              <w:rFonts w:ascii="NewSaturionCyr" w:hAnsi="NewSaturionCyr"/>
              <w:sz w:val="16"/>
            </w:rPr>
            <w:fldChar w:fldCharType="end"/>
          </w:r>
        </w:p>
      </w:tc>
    </w:tr>
  </w:tbl>
  <w:p w14:paraId="57382CEC" w14:textId="77777777" w:rsidR="00CD593C" w:rsidRDefault="00CD5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6D78C" w14:textId="77777777" w:rsidR="0021490B" w:rsidRDefault="0021490B" w:rsidP="00FA36DA">
      <w:r>
        <w:separator/>
      </w:r>
    </w:p>
  </w:footnote>
  <w:footnote w:type="continuationSeparator" w:id="0">
    <w:p w14:paraId="2D99E395" w14:textId="77777777" w:rsidR="0021490B" w:rsidRDefault="0021490B" w:rsidP="00FA36DA">
      <w:r>
        <w:continuationSeparator/>
      </w:r>
    </w:p>
  </w:footnote>
  <w:footnote w:id="1">
    <w:p w14:paraId="0AED68FD" w14:textId="77777777" w:rsidR="006110AD" w:rsidRPr="00377302" w:rsidRDefault="006110AD" w:rsidP="00140442">
      <w:pPr>
        <w:pStyle w:val="FootnoteText"/>
      </w:pPr>
      <w:r w:rsidRPr="00377302">
        <w:rPr>
          <w:rStyle w:val="FootnoteReference"/>
        </w:rPr>
        <w:footnoteRef/>
      </w:r>
      <w:r w:rsidRPr="00377302">
        <w:t xml:space="preserve"> Справката задължително се попълва и представя в съответн</w:t>
      </w:r>
      <w:r>
        <w:t>ата община по отчетни данни ежемесечно.</w:t>
      </w:r>
      <w:r w:rsidRPr="00377302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3954370"/>
      <w:docPartObj>
        <w:docPartGallery w:val="Page Numbers (Top of Page)"/>
        <w:docPartUnique/>
      </w:docPartObj>
    </w:sdtPr>
    <w:sdtEndPr/>
    <w:sdtContent>
      <w:p w14:paraId="7BDCDF17" w14:textId="35A7114B" w:rsidR="00CD593C" w:rsidRDefault="00CD593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183DD85C" w14:textId="77777777" w:rsidR="00CD593C" w:rsidRDefault="00CD5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0CF3"/>
    <w:multiLevelType w:val="hybridMultilevel"/>
    <w:tmpl w:val="CB924EF2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C9D4121"/>
    <w:multiLevelType w:val="hybridMultilevel"/>
    <w:tmpl w:val="7CDA3E8A"/>
    <w:lvl w:ilvl="0" w:tplc="B96C0074">
      <w:start w:val="1"/>
      <w:numFmt w:val="upperRoman"/>
      <w:lvlText w:val="%1."/>
      <w:lvlJc w:val="left"/>
      <w:pPr>
        <w:tabs>
          <w:tab w:val="num" w:pos="2592"/>
        </w:tabs>
        <w:ind w:left="2592" w:hanging="1125"/>
      </w:pPr>
      <w:rPr>
        <w:rFonts w:hint="default"/>
        <w:b/>
      </w:rPr>
    </w:lvl>
    <w:lvl w:ilvl="1" w:tplc="CED0B4EA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eastAsia="Times New Roman" w:hAnsi="Times New Roman"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 w15:restartNumberingAfterBreak="0">
    <w:nsid w:val="5FF502D2"/>
    <w:multiLevelType w:val="hybridMultilevel"/>
    <w:tmpl w:val="C5641C48"/>
    <w:lvl w:ilvl="0" w:tplc="F6B6679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4615808">
    <w:abstractNumId w:val="0"/>
  </w:num>
  <w:num w:numId="2" w16cid:durableId="1495216426">
    <w:abstractNumId w:val="1"/>
  </w:num>
  <w:num w:numId="3" w16cid:durableId="21285743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03"/>
    <w:rsid w:val="0000664A"/>
    <w:rsid w:val="00015E15"/>
    <w:rsid w:val="00091BC2"/>
    <w:rsid w:val="00093E54"/>
    <w:rsid w:val="000A0FA8"/>
    <w:rsid w:val="000A712C"/>
    <w:rsid w:val="001114EA"/>
    <w:rsid w:val="00140442"/>
    <w:rsid w:val="00143B96"/>
    <w:rsid w:val="0014699C"/>
    <w:rsid w:val="00176183"/>
    <w:rsid w:val="0017736E"/>
    <w:rsid w:val="001D495F"/>
    <w:rsid w:val="001E23BA"/>
    <w:rsid w:val="001F33A3"/>
    <w:rsid w:val="0021490B"/>
    <w:rsid w:val="002479F9"/>
    <w:rsid w:val="002677EF"/>
    <w:rsid w:val="002D3CC5"/>
    <w:rsid w:val="00300664"/>
    <w:rsid w:val="00304027"/>
    <w:rsid w:val="0030627B"/>
    <w:rsid w:val="00340894"/>
    <w:rsid w:val="00343944"/>
    <w:rsid w:val="003517EB"/>
    <w:rsid w:val="0037333F"/>
    <w:rsid w:val="00374745"/>
    <w:rsid w:val="003C645D"/>
    <w:rsid w:val="003E14CC"/>
    <w:rsid w:val="003F72DC"/>
    <w:rsid w:val="004339B4"/>
    <w:rsid w:val="00434408"/>
    <w:rsid w:val="00444C7D"/>
    <w:rsid w:val="00474F4B"/>
    <w:rsid w:val="0047652A"/>
    <w:rsid w:val="00484427"/>
    <w:rsid w:val="004A728F"/>
    <w:rsid w:val="00591AE6"/>
    <w:rsid w:val="005B40CD"/>
    <w:rsid w:val="006110AD"/>
    <w:rsid w:val="00660811"/>
    <w:rsid w:val="006B29CF"/>
    <w:rsid w:val="006B609C"/>
    <w:rsid w:val="006F2DF1"/>
    <w:rsid w:val="006F5EA8"/>
    <w:rsid w:val="00743C15"/>
    <w:rsid w:val="007A1AB9"/>
    <w:rsid w:val="007D51D1"/>
    <w:rsid w:val="00811C5B"/>
    <w:rsid w:val="00837440"/>
    <w:rsid w:val="008B42CC"/>
    <w:rsid w:val="008C170A"/>
    <w:rsid w:val="008D0639"/>
    <w:rsid w:val="00923658"/>
    <w:rsid w:val="00940DAD"/>
    <w:rsid w:val="00960264"/>
    <w:rsid w:val="00977009"/>
    <w:rsid w:val="009772F9"/>
    <w:rsid w:val="009C549F"/>
    <w:rsid w:val="009D3958"/>
    <w:rsid w:val="00A5314F"/>
    <w:rsid w:val="00A56DBC"/>
    <w:rsid w:val="00AB3C37"/>
    <w:rsid w:val="00AF389D"/>
    <w:rsid w:val="00B233E5"/>
    <w:rsid w:val="00B40CAF"/>
    <w:rsid w:val="00BF1CED"/>
    <w:rsid w:val="00BF2927"/>
    <w:rsid w:val="00C31903"/>
    <w:rsid w:val="00C37305"/>
    <w:rsid w:val="00C37471"/>
    <w:rsid w:val="00CC2963"/>
    <w:rsid w:val="00CD593C"/>
    <w:rsid w:val="00CE26BE"/>
    <w:rsid w:val="00CF74A5"/>
    <w:rsid w:val="00D44799"/>
    <w:rsid w:val="00D67942"/>
    <w:rsid w:val="00D70099"/>
    <w:rsid w:val="00D77650"/>
    <w:rsid w:val="00D97723"/>
    <w:rsid w:val="00E30148"/>
    <w:rsid w:val="00E92B49"/>
    <w:rsid w:val="00EB07C4"/>
    <w:rsid w:val="00ED591A"/>
    <w:rsid w:val="00EE0F0C"/>
    <w:rsid w:val="00F07121"/>
    <w:rsid w:val="00F071E4"/>
    <w:rsid w:val="00F244E6"/>
    <w:rsid w:val="00F27463"/>
    <w:rsid w:val="00F612B4"/>
    <w:rsid w:val="00F6742E"/>
    <w:rsid w:val="00F838CB"/>
    <w:rsid w:val="00FA36DA"/>
    <w:rsid w:val="00FA7019"/>
    <w:rsid w:val="00FC7B34"/>
    <w:rsid w:val="00FD43D5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EAE3D"/>
  <w15:chartTrackingRefBased/>
  <w15:docId w15:val="{83C51F39-6F2E-4B63-AAED-1D352E25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" w:eastAsia="bg-BG"/>
    </w:rPr>
  </w:style>
  <w:style w:type="paragraph" w:styleId="Heading3">
    <w:name w:val="heading 3"/>
    <w:basedOn w:val="Normal"/>
    <w:link w:val="Heading3Char"/>
    <w:uiPriority w:val="9"/>
    <w:qFormat/>
    <w:rsid w:val="00C31903"/>
    <w:pPr>
      <w:spacing w:before="450" w:after="100" w:afterAutospacing="1" w:line="300" w:lineRule="atLeast"/>
      <w:jc w:val="center"/>
      <w:outlineLvl w:val="2"/>
    </w:pPr>
    <w:rPr>
      <w:b/>
      <w:bCs/>
      <w:color w:val="000000"/>
      <w:sz w:val="32"/>
      <w:szCs w:val="3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31903"/>
    <w:rPr>
      <w:rFonts w:ascii="Times New Roman" w:eastAsia="Times New Roman" w:hAnsi="Times New Roman" w:cs="Times New Roman"/>
      <w:b/>
      <w:bCs/>
      <w:color w:val="000000"/>
      <w:sz w:val="32"/>
      <w:szCs w:val="32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31903"/>
    <w:rPr>
      <w:rFonts w:ascii="Times New Roman" w:hAnsi="Times New Roman" w:cs="Times New Roman" w:hint="default"/>
      <w:strike w:val="0"/>
      <w:dstrike w:val="0"/>
      <w:color w:val="000000"/>
      <w:sz w:val="24"/>
      <w:szCs w:val="24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19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20" w:lineRule="atLeast"/>
    </w:pPr>
    <w:rPr>
      <w:rFonts w:ascii="Courier New" w:hAnsi="Courier New" w:cs="Courier New"/>
      <w:color w:val="00000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1903"/>
    <w:rPr>
      <w:rFonts w:ascii="Courier New" w:eastAsia="Times New Roman" w:hAnsi="Courier New" w:cs="Courier New"/>
      <w:color w:val="000000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C31903"/>
    <w:pPr>
      <w:spacing w:line="240" w:lineRule="atLeast"/>
      <w:ind w:firstLine="990"/>
      <w:jc w:val="both"/>
    </w:pPr>
    <w:rPr>
      <w:color w:val="000000"/>
    </w:rPr>
  </w:style>
  <w:style w:type="paragraph" w:customStyle="1" w:styleId="m">
    <w:name w:val="m"/>
    <w:basedOn w:val="Normal"/>
    <w:rsid w:val="00C31903"/>
    <w:pPr>
      <w:pBdr>
        <w:left w:val="single" w:sz="6" w:space="0" w:color="FFFFFF"/>
      </w:pBdr>
      <w:spacing w:line="240" w:lineRule="atLeast"/>
      <w:jc w:val="both"/>
    </w:pPr>
    <w:rPr>
      <w:color w:val="000000"/>
      <w:lang w:val="bg-BG"/>
    </w:rPr>
  </w:style>
  <w:style w:type="character" w:customStyle="1" w:styleId="blue2">
    <w:name w:val="blue2"/>
    <w:basedOn w:val="DefaultParagraphFont"/>
    <w:rsid w:val="00C31903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blue3">
    <w:name w:val="blue3"/>
    <w:basedOn w:val="DefaultParagraphFont"/>
    <w:rsid w:val="00C31903"/>
    <w:rPr>
      <w:rFonts w:ascii="Courier New" w:hAnsi="Courier New" w:cs="Courier New" w:hint="default"/>
      <w:color w:val="0000FF"/>
      <w:sz w:val="22"/>
      <w:szCs w:val="22"/>
    </w:rPr>
  </w:style>
  <w:style w:type="paragraph" w:styleId="NoSpacing">
    <w:name w:val="No Spacing"/>
    <w:qFormat/>
    <w:rsid w:val="00C3190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EA8"/>
    <w:rPr>
      <w:rFonts w:ascii="Segoe UI" w:eastAsiaTheme="minorHAnsi" w:hAnsi="Segoe UI" w:cs="Segoe UI"/>
      <w:sz w:val="18"/>
      <w:szCs w:val="18"/>
      <w:lang w:val="bg-BG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E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5E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EA8"/>
    <w:pPr>
      <w:spacing w:after="160"/>
    </w:pPr>
    <w:rPr>
      <w:rFonts w:asciiTheme="minorHAnsi" w:eastAsiaTheme="minorHAnsi" w:hAnsiTheme="minorHAnsi" w:cstheme="minorBidi"/>
      <w:sz w:val="20"/>
      <w:szCs w:val="20"/>
      <w:lang w:val="bg-BG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E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E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EA8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rsid w:val="00FA36DA"/>
    <w:rPr>
      <w:sz w:val="20"/>
      <w:szCs w:val="20"/>
      <w:lang w:val="bg-BG"/>
    </w:rPr>
  </w:style>
  <w:style w:type="character" w:customStyle="1" w:styleId="FootnoteTextChar">
    <w:name w:val="Footnote Text Char"/>
    <w:basedOn w:val="DefaultParagraphFont"/>
    <w:link w:val="FootnoteText"/>
    <w:rsid w:val="00FA36DA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rsid w:val="00FA36DA"/>
    <w:rPr>
      <w:vertAlign w:val="superscript"/>
    </w:rPr>
  </w:style>
  <w:style w:type="table" w:styleId="TableGrid">
    <w:name w:val="Table Grid"/>
    <w:basedOn w:val="TableNormal"/>
    <w:rsid w:val="00FA3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3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59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93C"/>
    <w:rPr>
      <w:rFonts w:ascii="Times New Roman" w:eastAsia="Times New Roman" w:hAnsi="Times New Roman" w:cs="Times New Roman"/>
      <w:sz w:val="24"/>
      <w:szCs w:val="24"/>
      <w:lang w:val="" w:eastAsia="bg-BG"/>
    </w:rPr>
  </w:style>
  <w:style w:type="paragraph" w:styleId="Footer">
    <w:name w:val="footer"/>
    <w:basedOn w:val="Normal"/>
    <w:link w:val="FooterChar"/>
    <w:unhideWhenUsed/>
    <w:rsid w:val="00CD59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93C"/>
    <w:rPr>
      <w:rFonts w:ascii="Times New Roman" w:eastAsia="Times New Roman" w:hAnsi="Times New Roman" w:cs="Times New Roman"/>
      <w:sz w:val="24"/>
      <w:szCs w:val="24"/>
      <w:lang w:val="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96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01239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1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9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35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34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38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7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66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9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50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2526</Words>
  <Characters>14401</Characters>
  <Application>Microsoft Office Word</Application>
  <DocSecurity>0</DocSecurity>
  <Lines>120</Lines>
  <Paragraphs>33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MTITC</Company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Stoyanova</dc:creator>
  <cp:keywords/>
  <dc:description/>
  <cp:lastModifiedBy>Мария Любомирова Карагьозова</cp:lastModifiedBy>
  <cp:revision>2</cp:revision>
  <cp:lastPrinted>2026-04-08T14:35:00Z</cp:lastPrinted>
  <dcterms:created xsi:type="dcterms:W3CDTF">2026-04-14T05:49:00Z</dcterms:created>
  <dcterms:modified xsi:type="dcterms:W3CDTF">2026-04-14T05:49:00Z</dcterms:modified>
</cp:coreProperties>
</file>