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9F86" w14:textId="51655DCC" w:rsidR="00E53184" w:rsidRDefault="00E53184" w:rsidP="00E53184">
      <w:pPr>
        <w:spacing w:after="20"/>
        <w:jc w:val="center"/>
        <w:rPr>
          <w:noProof/>
          <w:lang w:val="bg-BG"/>
        </w:rPr>
      </w:pPr>
    </w:p>
    <w:p w14:paraId="670EA9DA" w14:textId="77777777" w:rsidR="00E91676" w:rsidRDefault="00E91676" w:rsidP="00E53184">
      <w:pPr>
        <w:spacing w:after="20"/>
        <w:jc w:val="center"/>
        <w:rPr>
          <w:noProof/>
          <w:lang w:val="bg-BG"/>
        </w:rPr>
      </w:pPr>
    </w:p>
    <w:p w14:paraId="573ABB2F" w14:textId="77777777" w:rsidR="00E91676" w:rsidRPr="009A3B42" w:rsidRDefault="00E91676" w:rsidP="00E53184">
      <w:pPr>
        <w:spacing w:after="20"/>
        <w:jc w:val="center"/>
        <w:rPr>
          <w:rFonts w:ascii="TimokU" w:hAnsi="TimokU"/>
          <w:b/>
          <w:caps/>
          <w:sz w:val="22"/>
          <w:lang w:val="bg-BG"/>
        </w:rPr>
      </w:pPr>
    </w:p>
    <w:p w14:paraId="2B16C347" w14:textId="77777777" w:rsidR="0069784B" w:rsidRPr="009A3B42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A3B4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A3B4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A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3B42">
        <w:rPr>
          <w:rFonts w:ascii="Times New Roman" w:hAnsi="Times New Roman"/>
          <w:sz w:val="24"/>
          <w:szCs w:val="24"/>
          <w:lang w:val="bg-BG"/>
        </w:rPr>
        <w:t>Я</w:t>
      </w:r>
    </w:p>
    <w:p w14:paraId="234E4E57" w14:textId="77777777" w:rsidR="0069784B" w:rsidRPr="009A3B42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A3B42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0E202764" w14:textId="45132A49" w:rsidR="0069784B" w:rsidRPr="009A3B42" w:rsidRDefault="009A3B42" w:rsidP="00A60773">
      <w:pPr>
        <w:jc w:val="right"/>
        <w:rPr>
          <w:rFonts w:ascii="Arial" w:hAnsi="Arial" w:cs="Arial"/>
          <w:b/>
          <w:szCs w:val="24"/>
          <w:lang w:val="bg-BG"/>
        </w:rPr>
      </w:pPr>
      <w:r w:rsidRPr="009A3B42">
        <w:rPr>
          <w:rFonts w:ascii="Arial" w:hAnsi="Arial" w:cs="Arial"/>
          <w:b/>
          <w:szCs w:val="24"/>
          <w:lang w:val="bg-BG"/>
        </w:rPr>
        <w:t>Препис</w:t>
      </w:r>
    </w:p>
    <w:p w14:paraId="42987BFF" w14:textId="77777777" w:rsidR="00CC6D72" w:rsidRPr="009A3B42" w:rsidRDefault="00CC6D72">
      <w:pPr>
        <w:jc w:val="center"/>
        <w:rPr>
          <w:rFonts w:ascii="NewSaturionModernCyr" w:hAnsi="NewSaturionModernCyr"/>
          <w:sz w:val="22"/>
          <w:lang w:val="bg-BG"/>
        </w:rPr>
      </w:pPr>
    </w:p>
    <w:p w14:paraId="6F627C6A" w14:textId="77777777" w:rsidR="00BB717B" w:rsidRPr="009A3B42" w:rsidRDefault="00BB717B">
      <w:pPr>
        <w:jc w:val="center"/>
        <w:rPr>
          <w:rFonts w:ascii="NewSaturionModernCyr" w:hAnsi="NewSaturionModernCyr"/>
          <w:sz w:val="22"/>
          <w:lang w:val="bg-BG"/>
        </w:rPr>
      </w:pPr>
    </w:p>
    <w:p w14:paraId="7D4F21BA" w14:textId="77777777" w:rsidR="00BF1A70" w:rsidRPr="009A3B42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5FCDE9F6" w14:textId="0BA5CB4F" w:rsidR="0069784B" w:rsidRPr="009A3B42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A3B42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A3B4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A3B42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A3B42" w:rsidRPr="009A3B4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33</w:t>
      </w:r>
    </w:p>
    <w:p w14:paraId="799569D7" w14:textId="77777777" w:rsidR="009B1F27" w:rsidRPr="009A3B42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740A5763" w14:textId="56A5478C" w:rsidR="0069784B" w:rsidRPr="009A3B42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A3B4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A3B42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A3B42" w:rsidRPr="009A3B42">
        <w:rPr>
          <w:rFonts w:ascii="Times New Roman" w:hAnsi="Times New Roman"/>
          <w:b/>
          <w:sz w:val="30"/>
          <w:szCs w:val="30"/>
          <w:lang w:val="bg-BG"/>
        </w:rPr>
        <w:t>13</w:t>
      </w:r>
      <w:r w:rsidR="0069784B" w:rsidRPr="009A3B4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A3B42" w:rsidRPr="009A3B42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69784B" w:rsidRPr="009A3B42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975CAB" w:rsidRPr="009A3B42">
        <w:rPr>
          <w:rFonts w:ascii="Times New Roman" w:hAnsi="Times New Roman"/>
          <w:b/>
          <w:sz w:val="30"/>
          <w:szCs w:val="30"/>
          <w:lang w:val="bg-BG"/>
        </w:rPr>
        <w:t>2</w:t>
      </w:r>
      <w:r w:rsidR="00AF25D6" w:rsidRPr="009A3B42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A3B4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A3B4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FADF0B" w14:textId="77777777" w:rsidR="00CC6D72" w:rsidRPr="009A3B42" w:rsidRDefault="00CC6D72">
      <w:pPr>
        <w:rPr>
          <w:rFonts w:ascii="Times New Roman" w:hAnsi="Times New Roman"/>
          <w:b/>
          <w:szCs w:val="24"/>
          <w:lang w:val="bg-BG"/>
        </w:rPr>
      </w:pPr>
    </w:p>
    <w:p w14:paraId="0903286F" w14:textId="77777777" w:rsidR="00466BD8" w:rsidRPr="009A3B42" w:rsidRDefault="00466BD8">
      <w:pPr>
        <w:rPr>
          <w:rFonts w:ascii="Times New Roman" w:hAnsi="Times New Roman"/>
          <w:b/>
          <w:szCs w:val="24"/>
          <w:lang w:val="bg-BG"/>
        </w:rPr>
      </w:pPr>
    </w:p>
    <w:p w14:paraId="3A11759D" w14:textId="77777777" w:rsidR="00162DB2" w:rsidRPr="009A3B42" w:rsidRDefault="00162DB2">
      <w:pPr>
        <w:rPr>
          <w:rFonts w:ascii="Times New Roman" w:hAnsi="Times New Roman"/>
          <w:b/>
          <w:szCs w:val="24"/>
          <w:lang w:val="bg-BG"/>
        </w:rPr>
      </w:pPr>
    </w:p>
    <w:p w14:paraId="4AD9E5FF" w14:textId="52BC4A82" w:rsidR="0069784B" w:rsidRPr="009A3B42" w:rsidRDefault="0069784B" w:rsidP="00BB717B">
      <w:pPr>
        <w:spacing w:before="120" w:line="360" w:lineRule="auto"/>
        <w:ind w:left="1559" w:right="760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9A3B42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C14C8" w:rsidRPr="009A3B42">
        <w:rPr>
          <w:rFonts w:ascii="Arial" w:hAnsi="Arial" w:cs="Arial"/>
          <w:b/>
          <w:smallCaps/>
          <w:sz w:val="26"/>
          <w:szCs w:val="26"/>
          <w:lang w:val="bg-BG"/>
        </w:rPr>
        <w:t>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атмосферата, приета с Постановление № 261 на Министерския съвет от 2014 г. (обн., ДВ, бр. 74 от 2014 г.; изм.</w:t>
      </w:r>
      <w:r w:rsidR="00A47261" w:rsidRPr="009A3B42">
        <w:rPr>
          <w:rFonts w:ascii="Arial" w:hAnsi="Arial" w:cs="Arial"/>
          <w:b/>
          <w:smallCaps/>
          <w:sz w:val="26"/>
          <w:szCs w:val="26"/>
          <w:lang w:val="bg-BG"/>
        </w:rPr>
        <w:t xml:space="preserve"> и доп.</w:t>
      </w:r>
      <w:r w:rsidR="008C14C8" w:rsidRPr="009A3B42">
        <w:rPr>
          <w:rFonts w:ascii="Arial" w:hAnsi="Arial" w:cs="Arial"/>
          <w:b/>
          <w:smallCaps/>
          <w:sz w:val="26"/>
          <w:szCs w:val="26"/>
          <w:lang w:val="bg-BG"/>
        </w:rPr>
        <w:t xml:space="preserve">, бр. 55 </w:t>
      </w:r>
      <w:r w:rsidR="00A47261" w:rsidRPr="009A3B42">
        <w:rPr>
          <w:rFonts w:ascii="Arial" w:hAnsi="Arial" w:cs="Arial"/>
          <w:b/>
          <w:smallCaps/>
          <w:sz w:val="26"/>
          <w:szCs w:val="26"/>
          <w:lang w:val="bg-BG"/>
        </w:rPr>
        <w:t>и</w:t>
      </w:r>
      <w:r w:rsidR="008C14C8" w:rsidRPr="009A3B42">
        <w:rPr>
          <w:rFonts w:ascii="Arial" w:hAnsi="Arial" w:cs="Arial"/>
          <w:b/>
          <w:smallCaps/>
          <w:sz w:val="26"/>
          <w:szCs w:val="26"/>
          <w:lang w:val="bg-BG"/>
        </w:rPr>
        <w:t xml:space="preserve"> 84 от 2017 г., бр. 47 от 2019 г., бр. 36 </w:t>
      </w:r>
      <w:r w:rsidR="00A47261" w:rsidRPr="009A3B42">
        <w:rPr>
          <w:rFonts w:ascii="Arial" w:hAnsi="Arial" w:cs="Arial"/>
          <w:b/>
          <w:smallCaps/>
          <w:sz w:val="26"/>
          <w:szCs w:val="26"/>
          <w:lang w:val="bg-BG"/>
        </w:rPr>
        <w:t>и</w:t>
      </w:r>
      <w:r w:rsidR="008C14C8" w:rsidRPr="009A3B42">
        <w:rPr>
          <w:rFonts w:ascii="Arial" w:hAnsi="Arial" w:cs="Arial"/>
          <w:b/>
          <w:smallCaps/>
          <w:sz w:val="26"/>
          <w:szCs w:val="26"/>
          <w:lang w:val="bg-BG"/>
        </w:rPr>
        <w:t xml:space="preserve"> 53 от 2022 г.</w:t>
      </w:r>
      <w:r w:rsidR="00A47261" w:rsidRPr="009A3B42">
        <w:rPr>
          <w:rFonts w:ascii="Arial" w:hAnsi="Arial" w:cs="Arial"/>
          <w:b/>
          <w:smallCaps/>
          <w:sz w:val="26"/>
          <w:szCs w:val="26"/>
          <w:lang w:val="bg-BG"/>
        </w:rPr>
        <w:t xml:space="preserve"> и</w:t>
      </w:r>
      <w:r w:rsidR="008C14C8" w:rsidRPr="009A3B42">
        <w:rPr>
          <w:rFonts w:ascii="Arial" w:hAnsi="Arial" w:cs="Arial"/>
          <w:b/>
          <w:smallCaps/>
          <w:sz w:val="26"/>
          <w:szCs w:val="26"/>
          <w:lang w:val="bg-BG"/>
        </w:rPr>
        <w:t xml:space="preserve"> бр. 9 от 2024 г.)</w:t>
      </w:r>
    </w:p>
    <w:p w14:paraId="0DEA05BD" w14:textId="77777777" w:rsidR="004D1544" w:rsidRPr="009A3B42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5EAE020" w14:textId="77777777" w:rsidR="00162DB2" w:rsidRPr="009A3B42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EA51BDD" w14:textId="77777777" w:rsidR="0069784B" w:rsidRPr="009A3B42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A3B4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1F2AF13C" w14:textId="77777777" w:rsidR="0069784B" w:rsidRPr="009A3B42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A3B4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D755FB1" w14:textId="77777777" w:rsidR="0069784B" w:rsidRPr="009A3B42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2AE4DB6C" w14:textId="77777777" w:rsidR="0072300B" w:rsidRPr="009A3B42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39B56CC" w14:textId="20F3A531" w:rsidR="008C14C8" w:rsidRPr="009A3B42" w:rsidRDefault="008C14C8" w:rsidP="00BB717B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чл. 4 т. 4 се отменя.</w:t>
      </w:r>
    </w:p>
    <w:p w14:paraId="56D53D66" w14:textId="77777777" w:rsidR="008C14C8" w:rsidRPr="009A3B42" w:rsidRDefault="008C14C8" w:rsidP="00BB717B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чл. 5 се правят следните изменения и допълнения:</w:t>
      </w:r>
    </w:p>
    <w:p w14:paraId="4DA163B8" w14:textId="77777777" w:rsidR="008C14C8" w:rsidRPr="009A3B42" w:rsidRDefault="008C14C8" w:rsidP="00BB717B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1.</w:t>
      </w:r>
      <w:r w:rsidRPr="009A3B42">
        <w:rPr>
          <w:rFonts w:ascii="Arial" w:hAnsi="Arial" w:cs="Arial"/>
          <w:sz w:val="26"/>
          <w:szCs w:val="26"/>
          <w:lang w:val="bg-BG"/>
        </w:rPr>
        <w:tab/>
        <w:t>В основния текст думата „септември“ се заменя с „ноември“.</w:t>
      </w:r>
    </w:p>
    <w:p w14:paraId="437B78BD" w14:textId="77777777" w:rsidR="008C14C8" w:rsidRPr="009A3B42" w:rsidRDefault="008C14C8" w:rsidP="00BB717B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2.</w:t>
      </w:r>
      <w:r w:rsidRPr="009A3B42">
        <w:rPr>
          <w:rFonts w:ascii="Arial" w:hAnsi="Arial" w:cs="Arial"/>
          <w:sz w:val="26"/>
          <w:szCs w:val="26"/>
          <w:lang w:val="bg-BG"/>
        </w:rPr>
        <w:tab/>
        <w:t>В т. 1:</w:t>
      </w:r>
    </w:p>
    <w:p w14:paraId="72D3BDE7" w14:textId="475B333D" w:rsidR="008C14C8" w:rsidRPr="009A3B42" w:rsidRDefault="008C14C8" w:rsidP="00BB717B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а) буква „д“ се отменя</w:t>
      </w:r>
      <w:r w:rsidR="00490C86" w:rsidRPr="009A3B42">
        <w:rPr>
          <w:rFonts w:ascii="Arial" w:hAnsi="Arial" w:cs="Arial"/>
          <w:sz w:val="26"/>
          <w:szCs w:val="26"/>
          <w:lang w:val="bg-BG"/>
        </w:rPr>
        <w:t>;</w:t>
      </w:r>
    </w:p>
    <w:p w14:paraId="40293F8E" w14:textId="77777777" w:rsidR="008C14C8" w:rsidRPr="009A3B42" w:rsidRDefault="008C14C8" w:rsidP="00BB717B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б) създават се букви „и – т“:</w:t>
      </w:r>
    </w:p>
    <w:p w14:paraId="0977EF26" w14:textId="77777777" w:rsidR="008C14C8" w:rsidRPr="009A3B42" w:rsidRDefault="008C14C8" w:rsidP="00BB717B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lastRenderedPageBreak/>
        <w:t xml:space="preserve">„и) информация за употребата на синтетични азотни торове в тонове активно вещество годишно (t/y) и количество вложени торове с бавно и контролирано освобождаване, в т.ч. с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уреазни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 и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нитрификационни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 инхибитори, в тонове активно вещество годишно (t/y);</w:t>
      </w:r>
    </w:p>
    <w:p w14:paraId="591E3FFF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 xml:space="preserve">к) количества активно вещество в използвани и/или пуснати на пазара продукти за растителна защита (в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kg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>);</w:t>
      </w:r>
    </w:p>
    <w:p w14:paraId="788A0681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 xml:space="preserve">л) данни за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азотфиксиращи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 култури – засети площи (в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ha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>) и производство (в t);</w:t>
      </w:r>
    </w:p>
    <w:p w14:paraId="62288024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м) информация за модела (вида) и метода, използван за влагане на органични торове върху земеделските площи, и количеството (в t) вложени торове;</w:t>
      </w:r>
    </w:p>
    <w:p w14:paraId="46C8D9E4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н) информация за прилагани практики за хранене на животните, включваща съдържанието (в проценти) на суров протеин във фуража по категории селскостопански животни (говеда, овце, кози, коне, свине, птици);</w:t>
      </w:r>
    </w:p>
    <w:p w14:paraId="225BE07D" w14:textId="1EFD174B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 xml:space="preserve">о) информация за прилагани методи за отглеждане на животни (вързано, свободно отглеждане и др.) и за видове подове и повърхности в помещенията за отглеждане на животни, включително при налични данни </w:t>
      </w:r>
      <w:r w:rsidR="00490C86" w:rsidRPr="009A3B42">
        <w:rPr>
          <w:rFonts w:ascii="Arial" w:hAnsi="Arial" w:cs="Arial"/>
          <w:sz w:val="26"/>
          <w:szCs w:val="26"/>
          <w:lang w:val="bg-BG"/>
        </w:rPr>
        <w:t xml:space="preserve">- </w:t>
      </w:r>
      <w:r w:rsidRPr="009A3B42">
        <w:rPr>
          <w:rFonts w:ascii="Arial" w:hAnsi="Arial" w:cs="Arial"/>
          <w:sz w:val="26"/>
          <w:szCs w:val="26"/>
          <w:lang w:val="bg-BG"/>
        </w:rPr>
        <w:t>и за използвания материал за постеля;</w:t>
      </w:r>
    </w:p>
    <w:p w14:paraId="39BFDB06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 xml:space="preserve">п) информация за видове системи за улавяне на емисиите, използвани в помещенията (биофилтри,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скрубери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 и др.);</w:t>
      </w:r>
    </w:p>
    <w:p w14:paraId="10425730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р) информация за прилагани практики за съхранение на оборски тор;</w:t>
      </w:r>
    </w:p>
    <w:p w14:paraId="5C179664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с) брой дни, които пасищните животни (по категории животни) прекарват на пасищата;</w:t>
      </w:r>
    </w:p>
    <w:p w14:paraId="0FF15EE3" w14:textId="51363229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 xml:space="preserve">т) информация за площи в система на контрол съгласно Регламент (ЕС) 2018/848 на Европейския парламент и на Съвета от </w:t>
      </w:r>
      <w:r w:rsidR="00490C86" w:rsidRPr="009A3B42">
        <w:rPr>
          <w:rFonts w:ascii="Arial" w:hAnsi="Arial" w:cs="Arial"/>
          <w:sz w:val="26"/>
          <w:szCs w:val="26"/>
          <w:lang w:val="bg-BG"/>
        </w:rPr>
        <w:br/>
      </w:r>
      <w:r w:rsidRPr="009A3B42">
        <w:rPr>
          <w:rFonts w:ascii="Arial" w:hAnsi="Arial" w:cs="Arial"/>
          <w:sz w:val="26"/>
          <w:szCs w:val="26"/>
          <w:lang w:val="bg-BG"/>
        </w:rPr>
        <w:lastRenderedPageBreak/>
        <w:t>30 май 2018 година относно биологичното производство и етикетирането на биологични продукти и за отмяна на Регламент (ЕО) № 834/2007 на Съвета (ОВ</w:t>
      </w:r>
      <w:r w:rsidR="005216A4" w:rsidRPr="009A3B42">
        <w:rPr>
          <w:rFonts w:ascii="Arial" w:hAnsi="Arial" w:cs="Arial"/>
          <w:sz w:val="26"/>
          <w:szCs w:val="26"/>
          <w:lang w:val="bg-BG"/>
        </w:rPr>
        <w:t>,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L 150, 14.06.2018 г.), по култури (в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ha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>).“</w:t>
      </w:r>
    </w:p>
    <w:p w14:paraId="39D1D4CD" w14:textId="7B6CF41B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3.</w:t>
      </w:r>
      <w:r w:rsidRPr="009A3B42">
        <w:rPr>
          <w:rFonts w:ascii="Arial" w:hAnsi="Arial" w:cs="Arial"/>
          <w:sz w:val="26"/>
          <w:szCs w:val="26"/>
          <w:lang w:val="bg-BG"/>
        </w:rPr>
        <w:tab/>
        <w:t xml:space="preserve">Създава се </w:t>
      </w:r>
      <w:r w:rsidR="00751D10" w:rsidRPr="009A3B42">
        <w:rPr>
          <w:rFonts w:ascii="Arial" w:hAnsi="Arial" w:cs="Arial"/>
          <w:sz w:val="26"/>
          <w:szCs w:val="26"/>
          <w:lang w:val="bg-BG"/>
        </w:rPr>
        <w:t xml:space="preserve">нова </w:t>
      </w:r>
      <w:r w:rsidRPr="009A3B42">
        <w:rPr>
          <w:rFonts w:ascii="Arial" w:hAnsi="Arial" w:cs="Arial"/>
          <w:sz w:val="26"/>
          <w:szCs w:val="26"/>
          <w:lang w:val="bg-BG"/>
        </w:rPr>
        <w:t>т. 2:</w:t>
      </w:r>
    </w:p>
    <w:p w14:paraId="41DD8800" w14:textId="750133DC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„2. допълнителни показатели за мониторинг, разработени съвместно с МОСВ и ИАОС, за основни интервенции за намаляване на емисиите на амоняк, включени в Общата селскостопанска политика</w:t>
      </w:r>
      <w:r w:rsidR="005216A4" w:rsidRPr="009A3B42">
        <w:rPr>
          <w:rFonts w:ascii="Arial" w:hAnsi="Arial" w:cs="Arial"/>
          <w:sz w:val="26"/>
          <w:szCs w:val="26"/>
          <w:lang w:val="bg-BG"/>
        </w:rPr>
        <w:t>;</w:t>
      </w:r>
      <w:r w:rsidRPr="009A3B42">
        <w:rPr>
          <w:rFonts w:ascii="Arial" w:hAnsi="Arial" w:cs="Arial"/>
          <w:sz w:val="26"/>
          <w:szCs w:val="26"/>
          <w:lang w:val="bg-BG"/>
        </w:rPr>
        <w:t>“</w:t>
      </w:r>
      <w:r w:rsidR="005216A4" w:rsidRPr="009A3B42">
        <w:rPr>
          <w:rFonts w:ascii="Arial" w:hAnsi="Arial" w:cs="Arial"/>
          <w:sz w:val="26"/>
          <w:szCs w:val="26"/>
          <w:lang w:val="bg-BG"/>
        </w:rPr>
        <w:t>.</w:t>
      </w:r>
    </w:p>
    <w:p w14:paraId="6AB7456F" w14:textId="7577A45C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4.</w:t>
      </w:r>
      <w:r w:rsidRPr="009A3B42">
        <w:rPr>
          <w:rFonts w:ascii="Arial" w:hAnsi="Arial" w:cs="Arial"/>
          <w:sz w:val="26"/>
          <w:szCs w:val="26"/>
          <w:lang w:val="bg-BG"/>
        </w:rPr>
        <w:tab/>
        <w:t xml:space="preserve">Досегашната т. 2 става </w:t>
      </w:r>
      <w:r w:rsidR="00751D10" w:rsidRPr="009A3B42">
        <w:rPr>
          <w:rFonts w:ascii="Arial" w:hAnsi="Arial" w:cs="Arial"/>
          <w:sz w:val="26"/>
          <w:szCs w:val="26"/>
          <w:lang w:val="bg-BG"/>
        </w:rPr>
        <w:t xml:space="preserve">т. </w:t>
      </w:r>
      <w:r w:rsidRPr="009A3B42">
        <w:rPr>
          <w:rFonts w:ascii="Arial" w:hAnsi="Arial" w:cs="Arial"/>
          <w:sz w:val="26"/>
          <w:szCs w:val="26"/>
          <w:lang w:val="bg-BG"/>
        </w:rPr>
        <w:t>3 и се изменя така:</w:t>
      </w:r>
    </w:p>
    <w:p w14:paraId="13EFA093" w14:textId="09E94BB8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„3. чрез Българската агенция по безопасност на храните – информация за годишната популация на коне, мулета и магарета.“</w:t>
      </w:r>
    </w:p>
    <w:p w14:paraId="0DB58689" w14:textId="560A93B4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3.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чл. 7 думите „чл. 3, ал. 1, т. 10 - 13“ се заменят с „чл. 3, </w:t>
      </w:r>
      <w:r w:rsidR="00751D10" w:rsidRPr="009A3B42">
        <w:rPr>
          <w:rFonts w:ascii="Arial" w:hAnsi="Arial" w:cs="Arial"/>
          <w:sz w:val="26"/>
          <w:szCs w:val="26"/>
          <w:lang w:val="bg-BG"/>
        </w:rPr>
        <w:br/>
      </w:r>
      <w:r w:rsidRPr="009A3B42">
        <w:rPr>
          <w:rFonts w:ascii="Arial" w:hAnsi="Arial" w:cs="Arial"/>
          <w:sz w:val="26"/>
          <w:szCs w:val="26"/>
          <w:lang w:val="bg-BG"/>
        </w:rPr>
        <w:t>ал. 1, т. 11 - 14“.</w:t>
      </w:r>
    </w:p>
    <w:p w14:paraId="27AC588F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4.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чл. 9 се правят следните изменения и допълнения:</w:t>
      </w:r>
    </w:p>
    <w:p w14:paraId="19CE2DA9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1.</w:t>
      </w:r>
      <w:r w:rsidRPr="009A3B42">
        <w:rPr>
          <w:rFonts w:ascii="Arial" w:hAnsi="Arial" w:cs="Arial"/>
          <w:sz w:val="26"/>
          <w:szCs w:val="26"/>
          <w:lang w:val="bg-BG"/>
        </w:rPr>
        <w:tab/>
        <w:t>Точка 2 се изменя така:</w:t>
      </w:r>
    </w:p>
    <w:p w14:paraId="15BA595B" w14:textId="2D4B34B9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„2. ежегодно до 20 януари изпраща в ИАОС данните за годината за докладване минус 2 (X-2) за натуралните показатели и изчислените емисии на вредни вещества във формат и обем по номенклатурата за докладване (NFR) за следните сектори: горивни процеси в енергетиката и трансформация на енергия; непромишлени горивни инсталации; горивни процеси в промишлеността; производствени процеси; добив и дистрибуция на изкопаеми горива</w:t>
      </w:r>
      <w:r w:rsidR="00823E0B" w:rsidRPr="009A3B42">
        <w:rPr>
          <w:rFonts w:ascii="Arial" w:hAnsi="Arial" w:cs="Arial"/>
          <w:sz w:val="26"/>
          <w:szCs w:val="26"/>
          <w:lang w:val="bg-BG"/>
        </w:rPr>
        <w:t>;</w:t>
      </w:r>
      <w:r w:rsidRPr="009A3B42">
        <w:rPr>
          <w:rFonts w:ascii="Arial" w:hAnsi="Arial" w:cs="Arial"/>
          <w:sz w:val="26"/>
          <w:szCs w:val="26"/>
          <w:lang w:val="bg-BG"/>
        </w:rPr>
        <w:t>“</w:t>
      </w:r>
      <w:r w:rsidR="00823E0B" w:rsidRPr="009A3B42">
        <w:rPr>
          <w:rFonts w:ascii="Arial" w:hAnsi="Arial" w:cs="Arial"/>
          <w:sz w:val="26"/>
          <w:szCs w:val="26"/>
          <w:lang w:val="bg-BG"/>
        </w:rPr>
        <w:t>.</w:t>
      </w:r>
    </w:p>
    <w:p w14:paraId="2902AAF0" w14:textId="7D36AC7C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2.</w:t>
      </w:r>
      <w:r w:rsidRPr="009A3B42">
        <w:rPr>
          <w:rFonts w:ascii="Arial" w:hAnsi="Arial" w:cs="Arial"/>
          <w:sz w:val="26"/>
          <w:szCs w:val="26"/>
          <w:lang w:val="bg-BG"/>
        </w:rPr>
        <w:tab/>
        <w:t>Създава се</w:t>
      </w:r>
      <w:r w:rsidR="00823E0B" w:rsidRPr="009A3B42">
        <w:rPr>
          <w:rFonts w:ascii="Arial" w:hAnsi="Arial" w:cs="Arial"/>
          <w:sz w:val="26"/>
          <w:szCs w:val="26"/>
          <w:lang w:val="bg-BG"/>
        </w:rPr>
        <w:t xml:space="preserve"> нова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т. 3:</w:t>
      </w:r>
    </w:p>
    <w:p w14:paraId="66647979" w14:textId="4A2F8618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„3. ежегодно до 25 февруари предоставя на ИАОС за нуждите на доклада по чл.</w:t>
      </w:r>
      <w:r w:rsidR="005216A4" w:rsidRPr="009A3B42">
        <w:rPr>
          <w:rFonts w:ascii="Arial" w:hAnsi="Arial" w:cs="Arial"/>
          <w:sz w:val="26"/>
          <w:szCs w:val="26"/>
          <w:lang w:val="bg-BG"/>
        </w:rPr>
        <w:t xml:space="preserve"> 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14а, ал. 3 информация за изчисленията на емисиите в съответствие с Приложение II „Препоръчителна структура за информационния доклад за инвентаризацията“ от Насоките за докладване на данни за емисии и прогнози съгласно Конвенцията за </w:t>
      </w:r>
      <w:r w:rsidRPr="009A3B42">
        <w:rPr>
          <w:rFonts w:ascii="Arial" w:hAnsi="Arial" w:cs="Arial"/>
          <w:sz w:val="26"/>
          <w:szCs w:val="26"/>
          <w:lang w:val="bg-BG"/>
        </w:rPr>
        <w:lastRenderedPageBreak/>
        <w:t xml:space="preserve">трансгранично замърсяване на въздуха на далечни разстояния и </w:t>
      </w:r>
      <w:r w:rsidR="00823E0B" w:rsidRPr="009A3B42">
        <w:rPr>
          <w:rFonts w:ascii="Arial" w:hAnsi="Arial" w:cs="Arial"/>
          <w:sz w:val="26"/>
          <w:szCs w:val="26"/>
          <w:lang w:val="bg-BG"/>
        </w:rPr>
        <w:t>ч</w:t>
      </w:r>
      <w:r w:rsidRPr="009A3B42">
        <w:rPr>
          <w:rFonts w:ascii="Arial" w:hAnsi="Arial" w:cs="Arial"/>
          <w:sz w:val="26"/>
          <w:szCs w:val="26"/>
          <w:lang w:val="bg-BG"/>
        </w:rPr>
        <w:t>аст 3 от Приложение № 4</w:t>
      </w:r>
      <w:r w:rsidR="00823E0B" w:rsidRPr="009A3B42">
        <w:rPr>
          <w:rFonts w:ascii="Arial" w:hAnsi="Arial" w:cs="Arial"/>
          <w:sz w:val="26"/>
          <w:szCs w:val="26"/>
          <w:lang w:val="bg-BG"/>
        </w:rPr>
        <w:t>;</w:t>
      </w:r>
      <w:r w:rsidRPr="009A3B42">
        <w:rPr>
          <w:rFonts w:ascii="Arial" w:hAnsi="Arial" w:cs="Arial"/>
          <w:sz w:val="26"/>
          <w:szCs w:val="26"/>
          <w:lang w:val="bg-BG"/>
        </w:rPr>
        <w:t>“</w:t>
      </w:r>
    </w:p>
    <w:p w14:paraId="37951151" w14:textId="217252B1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3.</w:t>
      </w:r>
      <w:r w:rsidRPr="009A3B42">
        <w:rPr>
          <w:rFonts w:ascii="Arial" w:hAnsi="Arial" w:cs="Arial"/>
          <w:sz w:val="26"/>
          <w:szCs w:val="26"/>
          <w:lang w:val="bg-BG"/>
        </w:rPr>
        <w:tab/>
        <w:t>Досегашните т. 3, 4 и 5 стават</w:t>
      </w:r>
      <w:r w:rsidR="00823E0B" w:rsidRPr="009A3B42">
        <w:rPr>
          <w:rFonts w:ascii="Arial" w:hAnsi="Arial" w:cs="Arial"/>
          <w:sz w:val="26"/>
          <w:szCs w:val="26"/>
          <w:lang w:val="bg-BG"/>
        </w:rPr>
        <w:t xml:space="preserve"> съответно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т. 4, 5 и 6.</w:t>
      </w:r>
    </w:p>
    <w:p w14:paraId="071FBD99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5.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чл. 10 се правят следните изменения и допълнения:</w:t>
      </w:r>
    </w:p>
    <w:p w14:paraId="67B947A8" w14:textId="26966824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1.</w:t>
      </w:r>
      <w:r w:rsidRPr="009A3B42">
        <w:rPr>
          <w:rFonts w:ascii="Arial" w:hAnsi="Arial" w:cs="Arial"/>
          <w:sz w:val="26"/>
          <w:szCs w:val="26"/>
          <w:lang w:val="bg-BG"/>
        </w:rPr>
        <w:tab/>
        <w:t>В т. 1 след думите „Междуправителствения комитет по изменение на климата (IPCC) от 2006 г.“ се добавя „Ръководство</w:t>
      </w:r>
      <w:r w:rsidR="00823E0B" w:rsidRPr="009A3B42">
        <w:rPr>
          <w:rFonts w:ascii="Arial" w:hAnsi="Arial" w:cs="Arial"/>
          <w:sz w:val="26"/>
          <w:szCs w:val="26"/>
          <w:lang w:val="bg-BG"/>
        </w:rPr>
        <w:t>то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за инвентаризации на емисиите на замърсители на въздуха (EMEP/EEA)“.</w:t>
      </w:r>
    </w:p>
    <w:p w14:paraId="49FEF742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2.</w:t>
      </w:r>
      <w:r w:rsidRPr="009A3B42">
        <w:rPr>
          <w:rFonts w:ascii="Arial" w:hAnsi="Arial" w:cs="Arial"/>
          <w:sz w:val="26"/>
          <w:szCs w:val="26"/>
          <w:lang w:val="bg-BG"/>
        </w:rPr>
        <w:tab/>
        <w:t>Точка 4 се изменя така:</w:t>
      </w:r>
    </w:p>
    <w:p w14:paraId="55608926" w14:textId="7264B5FE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 xml:space="preserve">„4. ежегодно до 30 юни  предоставя на НСИ предварителни необработени данни за отпадъци за предходната година, а в срок до </w:t>
      </w:r>
      <w:r w:rsidR="00823E0B" w:rsidRPr="009A3B42">
        <w:rPr>
          <w:rFonts w:ascii="Arial" w:hAnsi="Arial" w:cs="Arial"/>
          <w:sz w:val="26"/>
          <w:szCs w:val="26"/>
          <w:lang w:val="bg-BG"/>
        </w:rPr>
        <w:br/>
      </w:r>
      <w:r w:rsidRPr="009A3B42">
        <w:rPr>
          <w:rFonts w:ascii="Arial" w:hAnsi="Arial" w:cs="Arial"/>
          <w:sz w:val="26"/>
          <w:szCs w:val="26"/>
          <w:lang w:val="bg-BG"/>
        </w:rPr>
        <w:t xml:space="preserve">31 декември предоставя и окончателните </w:t>
      </w:r>
      <w:r w:rsidR="00823E0B" w:rsidRPr="009A3B42">
        <w:rPr>
          <w:rFonts w:ascii="Arial" w:hAnsi="Arial" w:cs="Arial"/>
          <w:sz w:val="26"/>
          <w:szCs w:val="26"/>
          <w:lang w:val="bg-BG"/>
        </w:rPr>
        <w:t>данни</w:t>
      </w:r>
      <w:r w:rsidRPr="009A3B42">
        <w:rPr>
          <w:rFonts w:ascii="Arial" w:hAnsi="Arial" w:cs="Arial"/>
          <w:sz w:val="26"/>
          <w:szCs w:val="26"/>
          <w:lang w:val="bg-BG"/>
        </w:rPr>
        <w:t>;“.</w:t>
      </w:r>
    </w:p>
    <w:p w14:paraId="38AAE223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6.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чл. 13 се правят следните изменения и допълнения:</w:t>
      </w:r>
    </w:p>
    <w:p w14:paraId="0EB22BF7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1.</w:t>
      </w:r>
      <w:r w:rsidRPr="009A3B42">
        <w:rPr>
          <w:rFonts w:ascii="Arial" w:hAnsi="Arial" w:cs="Arial"/>
          <w:sz w:val="26"/>
          <w:szCs w:val="26"/>
          <w:lang w:val="bg-BG"/>
        </w:rPr>
        <w:tab/>
        <w:t>В ал. 1:</w:t>
      </w:r>
    </w:p>
    <w:p w14:paraId="644D4EA3" w14:textId="6AE89EBF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а) създава се</w:t>
      </w:r>
      <w:r w:rsidR="00D71241" w:rsidRPr="009A3B42">
        <w:rPr>
          <w:rFonts w:ascii="Arial" w:hAnsi="Arial" w:cs="Arial"/>
          <w:sz w:val="26"/>
          <w:szCs w:val="26"/>
          <w:lang w:val="bg-BG"/>
        </w:rPr>
        <w:t xml:space="preserve"> нова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т. 2:</w:t>
      </w:r>
    </w:p>
    <w:p w14:paraId="04CEADFE" w14:textId="0C71463C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„2. след съгласуване с компетентните дирекции на МОСВ планът за действие по т. 1 се утвърждава от изпълнителния директор на ИАОС и се изпраща до всички органи по чл. 3 за сведение и изпълнение;“</w:t>
      </w:r>
    </w:p>
    <w:p w14:paraId="07F59689" w14:textId="787E05E5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б) досегашните т. 2, 3, 4 стават</w:t>
      </w:r>
      <w:r w:rsidR="00E12D13" w:rsidRPr="009A3B42">
        <w:rPr>
          <w:rFonts w:ascii="Arial" w:hAnsi="Arial" w:cs="Arial"/>
          <w:sz w:val="26"/>
          <w:szCs w:val="26"/>
          <w:lang w:val="bg-BG"/>
        </w:rPr>
        <w:t xml:space="preserve"> съответно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т. 3, 4 и 5;</w:t>
      </w:r>
    </w:p>
    <w:p w14:paraId="739CAE27" w14:textId="5E84DA15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в) досегашната т. 5 става т. 6 и в нея след думите „приложение №</w:t>
      </w:r>
      <w:r w:rsidR="005216A4" w:rsidRPr="009A3B42">
        <w:rPr>
          <w:rFonts w:ascii="Arial" w:hAnsi="Arial" w:cs="Arial"/>
          <w:sz w:val="26"/>
          <w:szCs w:val="26"/>
          <w:lang w:val="bg-BG"/>
        </w:rPr>
        <w:t xml:space="preserve"> </w:t>
      </w:r>
      <w:r w:rsidRPr="009A3B42">
        <w:rPr>
          <w:rFonts w:ascii="Arial" w:hAnsi="Arial" w:cs="Arial"/>
          <w:sz w:val="26"/>
          <w:szCs w:val="26"/>
          <w:lang w:val="bg-BG"/>
        </w:rPr>
        <w:t>2“ се поставя запетая и се добавя „както и предварителна инвентаризация на емисиите на вредни вещества в атмосферата, в сроковете съгласно приложение № 3“</w:t>
      </w:r>
      <w:r w:rsidR="005216A4" w:rsidRPr="009A3B42">
        <w:rPr>
          <w:rFonts w:ascii="Arial" w:hAnsi="Arial" w:cs="Arial"/>
          <w:sz w:val="26"/>
          <w:szCs w:val="26"/>
          <w:lang w:val="bg-BG"/>
        </w:rPr>
        <w:t>;</w:t>
      </w:r>
    </w:p>
    <w:p w14:paraId="5CD20AB3" w14:textId="5348A4F6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г) досегашната т. 6 става т. 7 и в нея след думите „приложение № 2“ се поставя запетая и се добавя „както и предварителен доклад за извършената инвентаризация на емисиите на вредни вещества в атмосферата, съгласно определения формат и в сроковете съгласно приложение № 3“</w:t>
      </w:r>
      <w:r w:rsidR="00CC41DC" w:rsidRPr="009A3B42">
        <w:rPr>
          <w:rFonts w:ascii="Arial" w:hAnsi="Arial" w:cs="Arial"/>
          <w:sz w:val="26"/>
          <w:szCs w:val="26"/>
          <w:lang w:val="bg-BG"/>
        </w:rPr>
        <w:t>;</w:t>
      </w:r>
    </w:p>
    <w:p w14:paraId="00F14AAD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lastRenderedPageBreak/>
        <w:t>д) досегашната т. 7 става т. 8 и в нея навсякъде думите „предварителната инвентаризация по т. 5 и предварителния национален доклад по т. 6“ се заменят с „предварителната инвентаризация по т. 6 и предварителния национален доклад по т. 7“;</w:t>
      </w:r>
    </w:p>
    <w:p w14:paraId="43CA7390" w14:textId="6A973945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е) досегашната т. 8 става т. 9 и в нея</w:t>
      </w:r>
      <w:r w:rsidR="00E12D13" w:rsidRPr="009A3B42">
        <w:rPr>
          <w:rFonts w:ascii="Arial" w:hAnsi="Arial" w:cs="Arial"/>
          <w:sz w:val="26"/>
          <w:szCs w:val="26"/>
          <w:lang w:val="bg-BG"/>
        </w:rPr>
        <w:t>,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</w:t>
      </w:r>
      <w:r w:rsidR="00E12D13" w:rsidRPr="009A3B42">
        <w:rPr>
          <w:rFonts w:ascii="Arial" w:hAnsi="Arial" w:cs="Arial"/>
          <w:sz w:val="26"/>
          <w:szCs w:val="26"/>
          <w:lang w:val="bg-BG"/>
        </w:rPr>
        <w:t>на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края </w:t>
      </w:r>
      <w:r w:rsidR="00E12D13" w:rsidRPr="009A3B42">
        <w:rPr>
          <w:rFonts w:ascii="Arial" w:hAnsi="Arial" w:cs="Arial"/>
          <w:sz w:val="26"/>
          <w:szCs w:val="26"/>
          <w:lang w:val="bg-BG"/>
        </w:rPr>
        <w:t>думите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„</w:t>
      </w:r>
      <w:r w:rsidR="00E12D13" w:rsidRPr="009A3B42">
        <w:rPr>
          <w:rFonts w:ascii="Arial" w:hAnsi="Arial" w:cs="Arial"/>
          <w:sz w:val="26"/>
          <w:szCs w:val="26"/>
          <w:lang w:val="bg-BG"/>
        </w:rPr>
        <w:t xml:space="preserve">т. </w:t>
      </w:r>
      <w:r w:rsidRPr="009A3B42">
        <w:rPr>
          <w:rFonts w:ascii="Arial" w:hAnsi="Arial" w:cs="Arial"/>
          <w:sz w:val="26"/>
          <w:szCs w:val="26"/>
          <w:lang w:val="bg-BG"/>
        </w:rPr>
        <w:t>7“ се заменя</w:t>
      </w:r>
      <w:r w:rsidR="00E12D13" w:rsidRPr="009A3B42">
        <w:rPr>
          <w:rFonts w:ascii="Arial" w:hAnsi="Arial" w:cs="Arial"/>
          <w:sz w:val="26"/>
          <w:szCs w:val="26"/>
          <w:lang w:val="bg-BG"/>
        </w:rPr>
        <w:t>т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с „</w:t>
      </w:r>
      <w:r w:rsidR="00E12D13" w:rsidRPr="009A3B42">
        <w:rPr>
          <w:rFonts w:ascii="Arial" w:hAnsi="Arial" w:cs="Arial"/>
          <w:sz w:val="26"/>
          <w:szCs w:val="26"/>
          <w:lang w:val="bg-BG"/>
        </w:rPr>
        <w:t xml:space="preserve">т. </w:t>
      </w:r>
      <w:r w:rsidRPr="009A3B42">
        <w:rPr>
          <w:rFonts w:ascii="Arial" w:hAnsi="Arial" w:cs="Arial"/>
          <w:sz w:val="26"/>
          <w:szCs w:val="26"/>
          <w:lang w:val="bg-BG"/>
        </w:rPr>
        <w:t>8“;</w:t>
      </w:r>
    </w:p>
    <w:p w14:paraId="48C0354D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ж) досегашната т. 9 става т. 10 и се изменя така:</w:t>
      </w:r>
    </w:p>
    <w:p w14:paraId="10C9B60C" w14:textId="467D034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„10. изпраща в МОСВ подготвените за докладване пред секретариатите на РКОНИК и КТЗВДР окончателни инвентаризации и националните доклади по т. 9 в срок до 10 работни дни преди сроковете по приложения № 2 и 3.“</w:t>
      </w:r>
    </w:p>
    <w:p w14:paraId="2559B37E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2.</w:t>
      </w:r>
      <w:r w:rsidRPr="009A3B42">
        <w:rPr>
          <w:rFonts w:ascii="Arial" w:hAnsi="Arial" w:cs="Arial"/>
          <w:sz w:val="26"/>
          <w:szCs w:val="26"/>
          <w:lang w:val="bg-BG"/>
        </w:rPr>
        <w:tab/>
        <w:t>Алинея 2 се отменя.</w:t>
      </w:r>
    </w:p>
    <w:p w14:paraId="40E0024D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7.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чл. 14, ал. 1, т. 2 думата „CORINAIR“ се заменя с „EEA“.</w:t>
      </w:r>
    </w:p>
    <w:p w14:paraId="5E5825CA" w14:textId="49145272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8.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чл. 15 ал. 4 се изменя така:</w:t>
      </w:r>
    </w:p>
    <w:p w14:paraId="76AE9803" w14:textId="44F39442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„(4) Органите по чл. 3 определят експертите, отговорни за прилагането на процедурите за управлението/контрола на качеството на данните и писмено уведомяват за това ИАОС, включително при тяхната промяна.“</w:t>
      </w:r>
    </w:p>
    <w:p w14:paraId="697FE368" w14:textId="77653C8F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9.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</w:t>
      </w:r>
      <w:r w:rsidR="000A4263" w:rsidRPr="009A3B42">
        <w:rPr>
          <w:rFonts w:ascii="Arial" w:hAnsi="Arial" w:cs="Arial"/>
          <w:sz w:val="26"/>
          <w:szCs w:val="26"/>
          <w:lang w:val="bg-BG"/>
        </w:rPr>
        <w:t>Д</w:t>
      </w:r>
      <w:r w:rsidRPr="009A3B42">
        <w:rPr>
          <w:rFonts w:ascii="Arial" w:hAnsi="Arial" w:cs="Arial"/>
          <w:sz w:val="26"/>
          <w:szCs w:val="26"/>
          <w:lang w:val="bg-BG"/>
        </w:rPr>
        <w:t>опълнителните разпоредби се правят следните изменения и допълнения:</w:t>
      </w:r>
    </w:p>
    <w:p w14:paraId="6A43E98A" w14:textId="7C71BA52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1.</w:t>
      </w:r>
      <w:r w:rsidRPr="009A3B42">
        <w:rPr>
          <w:rFonts w:ascii="Arial" w:hAnsi="Arial" w:cs="Arial"/>
          <w:sz w:val="26"/>
          <w:szCs w:val="26"/>
          <w:lang w:val="bg-BG"/>
        </w:rPr>
        <w:tab/>
        <w:t>В параграф 1 се създава т</w:t>
      </w:r>
      <w:r w:rsidR="000A4263" w:rsidRPr="009A3B42">
        <w:rPr>
          <w:rFonts w:ascii="Arial" w:hAnsi="Arial" w:cs="Arial"/>
          <w:sz w:val="26"/>
          <w:szCs w:val="26"/>
          <w:lang w:val="bg-BG"/>
        </w:rPr>
        <w:t xml:space="preserve">. </w:t>
      </w:r>
      <w:r w:rsidRPr="009A3B42">
        <w:rPr>
          <w:rFonts w:ascii="Arial" w:hAnsi="Arial" w:cs="Arial"/>
          <w:sz w:val="26"/>
          <w:szCs w:val="26"/>
          <w:lang w:val="bg-BG"/>
        </w:rPr>
        <w:t>12:</w:t>
      </w:r>
    </w:p>
    <w:p w14:paraId="4A634E64" w14:textId="2BABBE6D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„12. „Пускане на пазара“ означава пускане на пазара съгласно определението в чл. 3, т. 9 от Регламент (ЕО) № 1107/2009 на Европейския парламент и на Съвета относно пускането на пазара на продукти за растителна защита (ОВ, L 93 от 3 април 2013 г.).“</w:t>
      </w:r>
    </w:p>
    <w:p w14:paraId="5EC32473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2. Параграф 1а се изменя така:</w:t>
      </w:r>
    </w:p>
    <w:p w14:paraId="7F5A2C9C" w14:textId="76B51B5C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„§ 1а. Наредбата въвежда:</w:t>
      </w:r>
    </w:p>
    <w:p w14:paraId="416E5EE6" w14:textId="60391278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lastRenderedPageBreak/>
        <w:t xml:space="preserve">1. </w:t>
      </w:r>
      <w:r w:rsidR="000A4263" w:rsidRPr="009A3B42">
        <w:rPr>
          <w:rFonts w:ascii="Arial" w:hAnsi="Arial" w:cs="Arial"/>
          <w:sz w:val="26"/>
          <w:szCs w:val="26"/>
          <w:lang w:val="bg-BG"/>
        </w:rPr>
        <w:t>И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зискванията на чл. 5, чл. 8, чл. 10, § 2, чл. 21, § 2, </w:t>
      </w:r>
      <w:r w:rsidR="000A4263" w:rsidRPr="009A3B42">
        <w:rPr>
          <w:rFonts w:ascii="Arial" w:hAnsi="Arial" w:cs="Arial"/>
          <w:sz w:val="26"/>
          <w:szCs w:val="26"/>
          <w:lang w:val="bg-BG"/>
        </w:rPr>
        <w:br/>
      </w:r>
      <w:r w:rsidRPr="009A3B42">
        <w:rPr>
          <w:rFonts w:ascii="Arial" w:hAnsi="Arial" w:cs="Arial"/>
          <w:sz w:val="26"/>
          <w:szCs w:val="26"/>
          <w:lang w:val="bg-BG"/>
        </w:rPr>
        <w:t>приложение I, приложение II и приложение IV от Директива (ЕС) 2016/2284 на Европейския парламент и на Съвета от 14 декември 2016 г. за намаляване на националните емисии на някои атмосферни замърсители, за изменение на Директива 2003/35/ЕО и за отмяна на Директива 2001/81/ЕО (ОВ, L 344/1 от 17.12.2016 г.)</w:t>
      </w:r>
      <w:r w:rsidR="000A4263" w:rsidRPr="009A3B42">
        <w:rPr>
          <w:rFonts w:ascii="Arial" w:hAnsi="Arial" w:cs="Arial"/>
          <w:sz w:val="26"/>
          <w:szCs w:val="26"/>
          <w:lang w:val="bg-BG"/>
        </w:rPr>
        <w:t>, наричана по-нататък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</w:t>
      </w:r>
      <w:r w:rsidR="000A4263" w:rsidRPr="009A3B42">
        <w:rPr>
          <w:rFonts w:ascii="Arial" w:hAnsi="Arial" w:cs="Arial"/>
          <w:sz w:val="26"/>
          <w:szCs w:val="26"/>
          <w:lang w:val="bg-BG"/>
        </w:rPr>
        <w:t>„</w:t>
      </w:r>
      <w:r w:rsidRPr="009A3B42">
        <w:rPr>
          <w:rFonts w:ascii="Arial" w:hAnsi="Arial" w:cs="Arial"/>
          <w:sz w:val="26"/>
          <w:szCs w:val="26"/>
          <w:lang w:val="bg-BG"/>
        </w:rPr>
        <w:t>Директива (ЕС) 2016/2284</w:t>
      </w:r>
      <w:r w:rsidR="000A4263" w:rsidRPr="009A3B42">
        <w:rPr>
          <w:rFonts w:ascii="Arial" w:hAnsi="Arial" w:cs="Arial"/>
          <w:sz w:val="26"/>
          <w:szCs w:val="26"/>
          <w:lang w:val="bg-BG"/>
        </w:rPr>
        <w:t>“</w:t>
      </w:r>
      <w:r w:rsidRPr="009A3B42">
        <w:rPr>
          <w:rFonts w:ascii="Arial" w:hAnsi="Arial" w:cs="Arial"/>
          <w:sz w:val="26"/>
          <w:szCs w:val="26"/>
          <w:lang w:val="bg-BG"/>
        </w:rPr>
        <w:t>, като:</w:t>
      </w:r>
    </w:p>
    <w:p w14:paraId="423B6BB5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а) информацията, която се докладва съгласно Директива (ЕС) 2016/2284, съответства на информацията, която се докладва на Секретариата на КТЗВДР;</w:t>
      </w:r>
    </w:p>
    <w:p w14:paraId="7C9FC389" w14:textId="2A9DCE4C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б) срокове за изпълнение на ангажиментите на Република България за докладване до ЕК и ЕАОС по Директива (ЕС) 2016/2284 относно националните инвентаризации и прогнози за емисиите, национални инвентаризации за териториално разпределение на емисиите, инвентаризации за емисиите от ГТИ и информационни доклади за инвентаризацията съответстват на сроковете за докладване до Секретариата на КТЗВДР и ЕАОС съгласно приложение № 3</w:t>
      </w:r>
      <w:r w:rsidR="00994001" w:rsidRPr="009A3B42">
        <w:rPr>
          <w:rFonts w:ascii="Arial" w:hAnsi="Arial" w:cs="Arial"/>
          <w:sz w:val="26"/>
          <w:szCs w:val="26"/>
          <w:lang w:val="bg-BG"/>
        </w:rPr>
        <w:t>.</w:t>
      </w:r>
    </w:p>
    <w:p w14:paraId="181D553C" w14:textId="62101844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 xml:space="preserve">2. </w:t>
      </w:r>
      <w:r w:rsidR="00994001" w:rsidRPr="009A3B42">
        <w:rPr>
          <w:rFonts w:ascii="Arial" w:hAnsi="Arial" w:cs="Arial"/>
          <w:sz w:val="26"/>
          <w:szCs w:val="26"/>
          <w:lang w:val="bg-BG"/>
        </w:rPr>
        <w:t>И</w:t>
      </w:r>
      <w:r w:rsidRPr="009A3B42">
        <w:rPr>
          <w:rFonts w:ascii="Arial" w:hAnsi="Arial" w:cs="Arial"/>
          <w:sz w:val="26"/>
          <w:szCs w:val="26"/>
          <w:lang w:val="bg-BG"/>
        </w:rPr>
        <w:t>зискванията на Делегирана директива (ЕС) 2024/299 на Комисията от 27 октомври 2023 година за изменение на Директива (ЕС) 2016/2284 на Европейския парламент и на Съвета относно методиката за докладване на прогнозните емисии на някои атмосферни замърсители (ОВ</w:t>
      </w:r>
      <w:r w:rsidR="00994001" w:rsidRPr="009A3B42">
        <w:rPr>
          <w:rFonts w:ascii="Arial" w:hAnsi="Arial" w:cs="Arial"/>
          <w:sz w:val="26"/>
          <w:szCs w:val="26"/>
          <w:lang w:val="bg-BG"/>
        </w:rPr>
        <w:t>,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L 2024/299 от 17.01.2024г.).“</w:t>
      </w:r>
    </w:p>
    <w:p w14:paraId="2D0A0D77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10.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Приложение № 2 към чл. 13, ал. 1, т. 5 и 6 се правят следните изменения:</w:t>
      </w:r>
    </w:p>
    <w:p w14:paraId="75B34DFE" w14:textId="09F671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1.</w:t>
      </w:r>
      <w:r w:rsidRPr="009A3B42">
        <w:rPr>
          <w:rFonts w:ascii="Arial" w:hAnsi="Arial" w:cs="Arial"/>
          <w:sz w:val="26"/>
          <w:szCs w:val="26"/>
          <w:lang w:val="bg-BG"/>
        </w:rPr>
        <w:tab/>
        <w:t xml:space="preserve">В заглавието </w:t>
      </w:r>
      <w:r w:rsidR="00994001" w:rsidRPr="009A3B42">
        <w:rPr>
          <w:rFonts w:ascii="Arial" w:hAnsi="Arial" w:cs="Arial"/>
          <w:sz w:val="26"/>
          <w:szCs w:val="26"/>
          <w:lang w:val="bg-BG"/>
        </w:rPr>
        <w:t>думите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„</w:t>
      </w:r>
      <w:r w:rsidR="00994001" w:rsidRPr="009A3B42">
        <w:rPr>
          <w:rFonts w:ascii="Arial" w:hAnsi="Arial" w:cs="Arial"/>
          <w:sz w:val="26"/>
          <w:szCs w:val="26"/>
          <w:lang w:val="bg-BG"/>
        </w:rPr>
        <w:t xml:space="preserve">т. </w:t>
      </w:r>
      <w:r w:rsidRPr="009A3B42">
        <w:rPr>
          <w:rFonts w:ascii="Arial" w:hAnsi="Arial" w:cs="Arial"/>
          <w:sz w:val="26"/>
          <w:szCs w:val="26"/>
          <w:lang w:val="bg-BG"/>
        </w:rPr>
        <w:t>5 и 6“ се заменят с „</w:t>
      </w:r>
      <w:r w:rsidR="00994001" w:rsidRPr="009A3B42">
        <w:rPr>
          <w:rFonts w:ascii="Arial" w:hAnsi="Arial" w:cs="Arial"/>
          <w:sz w:val="26"/>
          <w:szCs w:val="26"/>
          <w:lang w:val="bg-BG"/>
        </w:rPr>
        <w:t xml:space="preserve">т. </w:t>
      </w:r>
      <w:r w:rsidRPr="009A3B42">
        <w:rPr>
          <w:rFonts w:ascii="Arial" w:hAnsi="Arial" w:cs="Arial"/>
          <w:sz w:val="26"/>
          <w:szCs w:val="26"/>
          <w:lang w:val="bg-BG"/>
        </w:rPr>
        <w:t>6 и 7“.</w:t>
      </w:r>
    </w:p>
    <w:p w14:paraId="7AC3F937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2.</w:t>
      </w:r>
      <w:r w:rsidRPr="009A3B42">
        <w:rPr>
          <w:rFonts w:ascii="Arial" w:hAnsi="Arial" w:cs="Arial"/>
          <w:sz w:val="26"/>
          <w:szCs w:val="26"/>
          <w:lang w:val="bg-BG"/>
        </w:rPr>
        <w:tab/>
        <w:t>Навсякъде в таблицата абревиатурата „CRF“ се заменя с „CRT“.</w:t>
      </w:r>
    </w:p>
    <w:p w14:paraId="3AFE23A4" w14:textId="305815E4" w:rsidR="006F7E41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lastRenderedPageBreak/>
        <w:t>3.</w:t>
      </w:r>
      <w:r w:rsidRPr="009A3B42">
        <w:rPr>
          <w:rFonts w:ascii="Arial" w:hAnsi="Arial" w:cs="Arial"/>
          <w:sz w:val="26"/>
          <w:szCs w:val="26"/>
          <w:lang w:val="bg-BG"/>
        </w:rPr>
        <w:tab/>
        <w:t xml:space="preserve">Втората бележка под таблицата „** CRF –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common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report</w:t>
      </w:r>
      <w:r w:rsidR="006F7E41" w:rsidRPr="009A3B42">
        <w:rPr>
          <w:rFonts w:ascii="Arial" w:hAnsi="Arial" w:cs="Arial"/>
          <w:sz w:val="26"/>
          <w:szCs w:val="26"/>
          <w:lang w:val="bg-BG"/>
        </w:rPr>
        <w:t>ing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format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“ се </w:t>
      </w:r>
      <w:r w:rsidR="00994001" w:rsidRPr="009A3B42">
        <w:rPr>
          <w:rFonts w:ascii="Arial" w:hAnsi="Arial" w:cs="Arial"/>
          <w:sz w:val="26"/>
          <w:szCs w:val="26"/>
          <w:lang w:val="bg-BG"/>
        </w:rPr>
        <w:t>и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зменя </w:t>
      </w:r>
      <w:r w:rsidR="00994001" w:rsidRPr="009A3B42">
        <w:rPr>
          <w:rFonts w:ascii="Arial" w:hAnsi="Arial" w:cs="Arial"/>
          <w:sz w:val="26"/>
          <w:szCs w:val="26"/>
          <w:lang w:val="bg-BG"/>
        </w:rPr>
        <w:t>така:</w:t>
      </w:r>
    </w:p>
    <w:p w14:paraId="4B3C9B35" w14:textId="40A2A76F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 xml:space="preserve">„** CRT –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common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report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9A3B42">
        <w:rPr>
          <w:rFonts w:ascii="Arial" w:hAnsi="Arial" w:cs="Arial"/>
          <w:sz w:val="26"/>
          <w:szCs w:val="26"/>
          <w:lang w:val="bg-BG"/>
        </w:rPr>
        <w:t>table</w:t>
      </w:r>
      <w:proofErr w:type="spellEnd"/>
      <w:r w:rsidRPr="009A3B42">
        <w:rPr>
          <w:rFonts w:ascii="Arial" w:hAnsi="Arial" w:cs="Arial"/>
          <w:sz w:val="26"/>
          <w:szCs w:val="26"/>
          <w:lang w:val="bg-BG"/>
        </w:rPr>
        <w:t xml:space="preserve"> (обща таблица за отчитане)“.</w:t>
      </w:r>
    </w:p>
    <w:p w14:paraId="7BD672A2" w14:textId="77777777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11.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В Приложение № 3 към чл. 13, ал. 1, т. 9 се правят следните изменения:</w:t>
      </w:r>
    </w:p>
    <w:p w14:paraId="6CF89CAC" w14:textId="227BAB49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1.</w:t>
      </w:r>
      <w:r w:rsidRPr="009A3B42">
        <w:rPr>
          <w:rFonts w:ascii="Arial" w:hAnsi="Arial" w:cs="Arial"/>
          <w:sz w:val="26"/>
          <w:szCs w:val="26"/>
          <w:lang w:val="bg-BG"/>
        </w:rPr>
        <w:tab/>
        <w:t xml:space="preserve">В заглавието </w:t>
      </w:r>
      <w:r w:rsidR="00994001" w:rsidRPr="009A3B42">
        <w:rPr>
          <w:rFonts w:ascii="Arial" w:hAnsi="Arial" w:cs="Arial"/>
          <w:sz w:val="26"/>
          <w:szCs w:val="26"/>
          <w:lang w:val="bg-BG"/>
        </w:rPr>
        <w:t>думите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„</w:t>
      </w:r>
      <w:r w:rsidR="00994001" w:rsidRPr="009A3B42">
        <w:rPr>
          <w:rFonts w:ascii="Arial" w:hAnsi="Arial" w:cs="Arial"/>
          <w:sz w:val="26"/>
          <w:szCs w:val="26"/>
          <w:lang w:val="bg-BG"/>
        </w:rPr>
        <w:t xml:space="preserve">т. </w:t>
      </w:r>
      <w:r w:rsidRPr="009A3B42">
        <w:rPr>
          <w:rFonts w:ascii="Arial" w:hAnsi="Arial" w:cs="Arial"/>
          <w:sz w:val="26"/>
          <w:szCs w:val="26"/>
          <w:lang w:val="bg-BG"/>
        </w:rPr>
        <w:t>9“ се заменя</w:t>
      </w:r>
      <w:r w:rsidR="00994001" w:rsidRPr="009A3B42">
        <w:rPr>
          <w:rFonts w:ascii="Arial" w:hAnsi="Arial" w:cs="Arial"/>
          <w:sz w:val="26"/>
          <w:szCs w:val="26"/>
          <w:lang w:val="bg-BG"/>
        </w:rPr>
        <w:t>т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с „</w:t>
      </w:r>
      <w:r w:rsidR="00994001" w:rsidRPr="009A3B42">
        <w:rPr>
          <w:rFonts w:ascii="Arial" w:hAnsi="Arial" w:cs="Arial"/>
          <w:sz w:val="26"/>
          <w:szCs w:val="26"/>
          <w:lang w:val="bg-BG"/>
        </w:rPr>
        <w:t xml:space="preserve">т. </w:t>
      </w:r>
      <w:r w:rsidRPr="009A3B42">
        <w:rPr>
          <w:rFonts w:ascii="Arial" w:hAnsi="Arial" w:cs="Arial"/>
          <w:sz w:val="26"/>
          <w:szCs w:val="26"/>
          <w:lang w:val="bg-BG"/>
        </w:rPr>
        <w:t>10“.</w:t>
      </w:r>
    </w:p>
    <w:p w14:paraId="189F5B03" w14:textId="1E31817E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 xml:space="preserve">2. В таблица „В“, </w:t>
      </w:r>
      <w:r w:rsidR="00E15106" w:rsidRPr="009A3B42">
        <w:rPr>
          <w:rFonts w:ascii="Arial" w:hAnsi="Arial" w:cs="Arial"/>
          <w:sz w:val="26"/>
          <w:szCs w:val="26"/>
          <w:lang w:val="bg-BG"/>
        </w:rPr>
        <w:t xml:space="preserve">в </w:t>
      </w:r>
      <w:r w:rsidRPr="009A3B42">
        <w:rPr>
          <w:rFonts w:ascii="Arial" w:hAnsi="Arial" w:cs="Arial"/>
          <w:sz w:val="26"/>
          <w:szCs w:val="26"/>
          <w:lang w:val="bg-BG"/>
        </w:rPr>
        <w:t>колона „Елемент“, на ред трети думата „обобщени“ се заменя с „по категории източници“.</w:t>
      </w:r>
    </w:p>
    <w:p w14:paraId="4519B37C" w14:textId="206AC125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bookmarkStart w:id="0" w:name="_Hlk221791618"/>
      <w:r w:rsidRPr="009A3B42">
        <w:rPr>
          <w:rFonts w:ascii="Arial" w:hAnsi="Arial" w:cs="Arial"/>
          <w:b/>
          <w:bCs/>
          <w:sz w:val="26"/>
          <w:szCs w:val="26"/>
          <w:lang w:val="bg-BG"/>
        </w:rPr>
        <w:t>§ 12.</w:t>
      </w:r>
      <w:bookmarkEnd w:id="0"/>
      <w:r w:rsidRPr="009A3B42">
        <w:rPr>
          <w:rFonts w:ascii="Arial" w:hAnsi="Arial" w:cs="Arial"/>
          <w:sz w:val="26"/>
          <w:szCs w:val="26"/>
          <w:lang w:val="bg-BG"/>
        </w:rPr>
        <w:t xml:space="preserve"> В Приложение № 4 към чл. 14а, ал. 5,</w:t>
      </w:r>
      <w:r w:rsidR="00994001" w:rsidRPr="009A3B42">
        <w:rPr>
          <w:rFonts w:ascii="Arial" w:hAnsi="Arial" w:cs="Arial"/>
          <w:sz w:val="26"/>
          <w:szCs w:val="26"/>
          <w:lang w:val="bg-BG"/>
        </w:rPr>
        <w:t xml:space="preserve"> в</w:t>
      </w:r>
      <w:r w:rsidR="00E15106" w:rsidRPr="009A3B42">
        <w:rPr>
          <w:rFonts w:ascii="Arial" w:hAnsi="Arial" w:cs="Arial"/>
          <w:sz w:val="26"/>
          <w:szCs w:val="26"/>
          <w:lang w:val="bg-BG"/>
        </w:rPr>
        <w:t xml:space="preserve"> част 2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т</w:t>
      </w:r>
      <w:r w:rsidR="00994001" w:rsidRPr="009A3B42">
        <w:rPr>
          <w:rFonts w:ascii="Arial" w:hAnsi="Arial" w:cs="Arial"/>
          <w:sz w:val="26"/>
          <w:szCs w:val="26"/>
          <w:lang w:val="bg-BG"/>
        </w:rPr>
        <w:t>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2 и 3 се изменят така:</w:t>
      </w:r>
    </w:p>
    <w:p w14:paraId="060762DC" w14:textId="3A80723F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„2. Прогнозите за емисиите се оценяват и докладват по категории източници по NFR. Когато това не е възможно поради липса на достатъчно подробни данни, в информационния доклад за инвентаризацията се включва обосновка за докладването в по-обобщена степен. Държавите членки предоставят за всеки замърсител прогноза "при взети мерки" (т.е. приети мерки) и когато е приложимо, прогноза "при взети допълнителни мерки" (т.е. планирани мерки) в съответствие с насоките, установени в Ръководство EMEP/EEA.</w:t>
      </w:r>
    </w:p>
    <w:p w14:paraId="646837FC" w14:textId="202FEDC4" w:rsidR="008C14C8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3. Националните прогнози за емисиите са в съответствие с националните годишни инвентаризации на емисиите за година X-3 и с прогнозите, докладвани съгласно Регламент (ЕС) 2018/1999 на Европейския парламент и на Съвета от 11 декември 2018 г. относно управлението на Енергийния съюз и на действията в областта на климата.“</w:t>
      </w:r>
    </w:p>
    <w:p w14:paraId="1078B320" w14:textId="77777777" w:rsidR="00BB717B" w:rsidRPr="009A3B42" w:rsidRDefault="00BB717B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AE59135" w14:textId="77777777" w:rsidR="00BB717B" w:rsidRPr="009A3B42" w:rsidRDefault="00BB717B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18D5AF7" w14:textId="77777777" w:rsidR="00466BD8" w:rsidRPr="009A3B42" w:rsidRDefault="00466BD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0CD4D88" w14:textId="67F5EC1A" w:rsidR="008C14C8" w:rsidRPr="009A3B42" w:rsidRDefault="005D3A6D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§ 13.</w:t>
      </w:r>
      <w:r w:rsidRPr="009A3B42">
        <w:rPr>
          <w:rFonts w:ascii="Arial" w:hAnsi="Arial" w:cs="Arial"/>
          <w:sz w:val="26"/>
          <w:szCs w:val="26"/>
          <w:lang w:val="bg-BG"/>
        </w:rPr>
        <w:t xml:space="preserve"> </w:t>
      </w:r>
      <w:r w:rsidR="008C14C8" w:rsidRPr="009A3B42">
        <w:rPr>
          <w:rFonts w:ascii="Arial" w:hAnsi="Arial" w:cs="Arial"/>
          <w:sz w:val="26"/>
          <w:szCs w:val="26"/>
          <w:lang w:val="bg-BG"/>
        </w:rPr>
        <w:t>Заключителна разпоредба</w:t>
      </w:r>
    </w:p>
    <w:p w14:paraId="28C29B13" w14:textId="6F24324B" w:rsidR="004D1266" w:rsidRPr="009A3B42" w:rsidRDefault="008C14C8" w:rsidP="00BB717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B42">
        <w:rPr>
          <w:rFonts w:ascii="Arial" w:hAnsi="Arial" w:cs="Arial"/>
          <w:sz w:val="26"/>
          <w:szCs w:val="26"/>
          <w:lang w:val="bg-BG"/>
        </w:rPr>
        <w:t>Постановлението влиза в сила от деня на обнародването му в "Държавен вестник".</w:t>
      </w:r>
    </w:p>
    <w:p w14:paraId="4CC3DD67" w14:textId="77777777" w:rsidR="008C3367" w:rsidRPr="009A3B42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1111866C" w14:textId="77777777" w:rsidR="008C3367" w:rsidRPr="009A3B42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685E9414" w14:textId="77777777" w:rsidR="004D1544" w:rsidRPr="009A3B42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F63C1F9" w14:textId="77777777" w:rsidR="00131F19" w:rsidRPr="009A3B42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0F3D048" w14:textId="77777777" w:rsidR="009A3B42" w:rsidRPr="009A3B42" w:rsidRDefault="009A3B42" w:rsidP="009A43C4">
      <w:pPr>
        <w:ind w:firstLine="1134"/>
        <w:rPr>
          <w:rFonts w:ascii="Arial" w:hAnsi="Arial" w:cs="Arial"/>
          <w:b/>
          <w:lang w:val="bg-BG"/>
        </w:rPr>
      </w:pPr>
      <w:r w:rsidRPr="009A3B42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048A5724" w14:textId="77777777" w:rsidR="009A3B42" w:rsidRPr="009A3B42" w:rsidRDefault="009A3B42" w:rsidP="009A43C4">
      <w:pPr>
        <w:ind w:firstLine="1134"/>
        <w:rPr>
          <w:rFonts w:ascii="Arial" w:hAnsi="Arial" w:cs="Arial"/>
          <w:b/>
          <w:lang w:val="bg-BG"/>
        </w:rPr>
      </w:pPr>
    </w:p>
    <w:p w14:paraId="4A3DB2A8" w14:textId="77777777" w:rsidR="009A3B42" w:rsidRPr="009A3B42" w:rsidRDefault="009A3B42" w:rsidP="009A43C4">
      <w:pPr>
        <w:ind w:firstLine="1134"/>
        <w:rPr>
          <w:rFonts w:ascii="Arial" w:hAnsi="Arial" w:cs="Arial"/>
          <w:b/>
          <w:lang w:val="bg-BG"/>
        </w:rPr>
      </w:pPr>
      <w:r w:rsidRPr="009A3B42">
        <w:rPr>
          <w:rFonts w:ascii="Arial" w:hAnsi="Arial" w:cs="Arial"/>
          <w:b/>
          <w:lang w:val="bg-BG"/>
        </w:rPr>
        <w:t>ГЛАВЕН СЕКРЕТАР НА</w:t>
      </w:r>
    </w:p>
    <w:p w14:paraId="3BFBA1CF" w14:textId="77777777" w:rsidR="009A3B42" w:rsidRPr="009A3B42" w:rsidRDefault="009A3B42" w:rsidP="009A43C4">
      <w:pPr>
        <w:ind w:firstLine="1134"/>
        <w:rPr>
          <w:rFonts w:ascii="Arial" w:hAnsi="Arial" w:cs="Arial"/>
          <w:b/>
          <w:lang w:val="bg-BG"/>
        </w:rPr>
      </w:pPr>
      <w:r w:rsidRPr="009A3B4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F7B66AE" w14:textId="77777777" w:rsidR="009A3B42" w:rsidRPr="009A3B42" w:rsidRDefault="009A3B42" w:rsidP="009A43C4">
      <w:pPr>
        <w:ind w:firstLine="1134"/>
        <w:rPr>
          <w:rFonts w:ascii="Arial" w:hAnsi="Arial" w:cs="Arial"/>
          <w:b/>
          <w:lang w:val="bg-BG"/>
        </w:rPr>
      </w:pPr>
    </w:p>
    <w:sectPr w:rsidR="009A3B42" w:rsidRPr="009A3B42" w:rsidSect="000F1E64">
      <w:headerReference w:type="even" r:id="rId8"/>
      <w:headerReference w:type="default" r:id="rId9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220D" w14:textId="77777777" w:rsidR="001050D4" w:rsidRDefault="001050D4">
      <w:r>
        <w:separator/>
      </w:r>
    </w:p>
  </w:endnote>
  <w:endnote w:type="continuationSeparator" w:id="0">
    <w:p w14:paraId="1FBC7D80" w14:textId="77777777" w:rsidR="001050D4" w:rsidRDefault="001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0CA9" w14:textId="77777777" w:rsidR="001050D4" w:rsidRDefault="001050D4">
      <w:r>
        <w:separator/>
      </w:r>
    </w:p>
  </w:footnote>
  <w:footnote w:type="continuationSeparator" w:id="0">
    <w:p w14:paraId="3FFB439A" w14:textId="77777777" w:rsidR="001050D4" w:rsidRDefault="0010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587A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3C3AD4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9444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20D3C8B3" w14:textId="77777777" w:rsidR="00BC6AE1" w:rsidRDefault="00BC6AE1">
    <w:pPr>
      <w:pStyle w:val="Header"/>
      <w:rPr>
        <w:lang w:val="bg-BG"/>
      </w:rPr>
    </w:pPr>
  </w:p>
  <w:p w14:paraId="77C74641" w14:textId="77777777" w:rsidR="00BC6AE1" w:rsidRDefault="00BC6AE1">
    <w:pPr>
      <w:pStyle w:val="Header"/>
      <w:rPr>
        <w:lang w:val="bg-BG"/>
      </w:rPr>
    </w:pPr>
  </w:p>
  <w:p w14:paraId="32DF138A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15693">
    <w:abstractNumId w:val="15"/>
  </w:num>
  <w:num w:numId="2" w16cid:durableId="670596879">
    <w:abstractNumId w:val="0"/>
  </w:num>
  <w:num w:numId="3" w16cid:durableId="1202011840">
    <w:abstractNumId w:val="22"/>
  </w:num>
  <w:num w:numId="4" w16cid:durableId="2118669368">
    <w:abstractNumId w:val="4"/>
  </w:num>
  <w:num w:numId="5" w16cid:durableId="980304489">
    <w:abstractNumId w:val="7"/>
  </w:num>
  <w:num w:numId="6" w16cid:durableId="2116510015">
    <w:abstractNumId w:val="6"/>
  </w:num>
  <w:num w:numId="7" w16cid:durableId="2080712391">
    <w:abstractNumId w:val="20"/>
  </w:num>
  <w:num w:numId="8" w16cid:durableId="1250890512">
    <w:abstractNumId w:val="12"/>
  </w:num>
  <w:num w:numId="9" w16cid:durableId="276331973">
    <w:abstractNumId w:val="8"/>
  </w:num>
  <w:num w:numId="10" w16cid:durableId="1191650742">
    <w:abstractNumId w:val="13"/>
  </w:num>
  <w:num w:numId="11" w16cid:durableId="1662274043">
    <w:abstractNumId w:val="5"/>
  </w:num>
  <w:num w:numId="12" w16cid:durableId="1577326559">
    <w:abstractNumId w:val="16"/>
  </w:num>
  <w:num w:numId="13" w16cid:durableId="2062245984">
    <w:abstractNumId w:val="24"/>
  </w:num>
  <w:num w:numId="14" w16cid:durableId="507864872">
    <w:abstractNumId w:val="17"/>
  </w:num>
  <w:num w:numId="15" w16cid:durableId="779183954">
    <w:abstractNumId w:val="1"/>
  </w:num>
  <w:num w:numId="16" w16cid:durableId="210390035">
    <w:abstractNumId w:val="2"/>
  </w:num>
  <w:num w:numId="17" w16cid:durableId="828715033">
    <w:abstractNumId w:val="14"/>
  </w:num>
  <w:num w:numId="18" w16cid:durableId="1685325152">
    <w:abstractNumId w:val="10"/>
  </w:num>
  <w:num w:numId="19" w16cid:durableId="1490556603">
    <w:abstractNumId w:val="23"/>
  </w:num>
  <w:num w:numId="20" w16cid:durableId="1251233553">
    <w:abstractNumId w:val="21"/>
  </w:num>
  <w:num w:numId="21" w16cid:durableId="89738834">
    <w:abstractNumId w:val="11"/>
  </w:num>
  <w:num w:numId="22" w16cid:durableId="1510636139">
    <w:abstractNumId w:val="3"/>
  </w:num>
  <w:num w:numId="23" w16cid:durableId="976762442">
    <w:abstractNumId w:val="18"/>
  </w:num>
  <w:num w:numId="24" w16cid:durableId="2081753621">
    <w:abstractNumId w:val="19"/>
  </w:num>
  <w:num w:numId="25" w16cid:durableId="1833326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A4263"/>
    <w:rsid w:val="000B68A3"/>
    <w:rsid w:val="000C5DE3"/>
    <w:rsid w:val="000D216B"/>
    <w:rsid w:val="000E03AC"/>
    <w:rsid w:val="000F1E64"/>
    <w:rsid w:val="000F6530"/>
    <w:rsid w:val="001050D4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919C0"/>
    <w:rsid w:val="001A057E"/>
    <w:rsid w:val="001C1FE1"/>
    <w:rsid w:val="001C7DE5"/>
    <w:rsid w:val="001D1AE7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66BD8"/>
    <w:rsid w:val="004816A8"/>
    <w:rsid w:val="00487B3C"/>
    <w:rsid w:val="00490C86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216A4"/>
    <w:rsid w:val="00541EE1"/>
    <w:rsid w:val="005558B2"/>
    <w:rsid w:val="00555C1D"/>
    <w:rsid w:val="005866D4"/>
    <w:rsid w:val="005B0F27"/>
    <w:rsid w:val="005B65BD"/>
    <w:rsid w:val="005D3A6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6F7E41"/>
    <w:rsid w:val="007063B5"/>
    <w:rsid w:val="00707AB1"/>
    <w:rsid w:val="0072300B"/>
    <w:rsid w:val="00737C68"/>
    <w:rsid w:val="00741A23"/>
    <w:rsid w:val="00745C91"/>
    <w:rsid w:val="00746DAC"/>
    <w:rsid w:val="007473EB"/>
    <w:rsid w:val="00751D10"/>
    <w:rsid w:val="007645CB"/>
    <w:rsid w:val="00771936"/>
    <w:rsid w:val="00775FE6"/>
    <w:rsid w:val="007B24E5"/>
    <w:rsid w:val="007D015C"/>
    <w:rsid w:val="007F3668"/>
    <w:rsid w:val="00811DD0"/>
    <w:rsid w:val="008201B5"/>
    <w:rsid w:val="00823E0B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4C8"/>
    <w:rsid w:val="008C1887"/>
    <w:rsid w:val="008C3184"/>
    <w:rsid w:val="008C3367"/>
    <w:rsid w:val="008D7D91"/>
    <w:rsid w:val="008E2EA1"/>
    <w:rsid w:val="009002BA"/>
    <w:rsid w:val="009114D8"/>
    <w:rsid w:val="0091391B"/>
    <w:rsid w:val="009208F7"/>
    <w:rsid w:val="00945334"/>
    <w:rsid w:val="009523AB"/>
    <w:rsid w:val="00952CED"/>
    <w:rsid w:val="00955E39"/>
    <w:rsid w:val="009568C2"/>
    <w:rsid w:val="00957400"/>
    <w:rsid w:val="0096567B"/>
    <w:rsid w:val="0097141D"/>
    <w:rsid w:val="00975CAB"/>
    <w:rsid w:val="00977788"/>
    <w:rsid w:val="00994001"/>
    <w:rsid w:val="009A3B42"/>
    <w:rsid w:val="009A50F0"/>
    <w:rsid w:val="009B1F27"/>
    <w:rsid w:val="009C285B"/>
    <w:rsid w:val="009C6529"/>
    <w:rsid w:val="009E496F"/>
    <w:rsid w:val="009E5A76"/>
    <w:rsid w:val="00A03741"/>
    <w:rsid w:val="00A244F3"/>
    <w:rsid w:val="00A47261"/>
    <w:rsid w:val="00A60773"/>
    <w:rsid w:val="00A65E0D"/>
    <w:rsid w:val="00A83436"/>
    <w:rsid w:val="00AC34AE"/>
    <w:rsid w:val="00AC5682"/>
    <w:rsid w:val="00AE2DAB"/>
    <w:rsid w:val="00AF25D6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B717B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3DA6"/>
    <w:rsid w:val="00C96A45"/>
    <w:rsid w:val="00CA2099"/>
    <w:rsid w:val="00CA3017"/>
    <w:rsid w:val="00CC41DC"/>
    <w:rsid w:val="00CC5571"/>
    <w:rsid w:val="00CC6D72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620FC"/>
    <w:rsid w:val="00D71241"/>
    <w:rsid w:val="00D724A1"/>
    <w:rsid w:val="00D8459A"/>
    <w:rsid w:val="00D967A6"/>
    <w:rsid w:val="00DA151E"/>
    <w:rsid w:val="00DB01E4"/>
    <w:rsid w:val="00DB2C17"/>
    <w:rsid w:val="00DC4EC7"/>
    <w:rsid w:val="00DD47F8"/>
    <w:rsid w:val="00DF1454"/>
    <w:rsid w:val="00DF1486"/>
    <w:rsid w:val="00E06D04"/>
    <w:rsid w:val="00E12972"/>
    <w:rsid w:val="00E12D13"/>
    <w:rsid w:val="00E15106"/>
    <w:rsid w:val="00E262A0"/>
    <w:rsid w:val="00E262E9"/>
    <w:rsid w:val="00E3030E"/>
    <w:rsid w:val="00E53184"/>
    <w:rsid w:val="00E5445E"/>
    <w:rsid w:val="00E57E1F"/>
    <w:rsid w:val="00E71C14"/>
    <w:rsid w:val="00E91676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0997"/>
    <w:rsid w:val="00FA3A10"/>
    <w:rsid w:val="00FA42C3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3814B"/>
  <w15:chartTrackingRefBased/>
  <w15:docId w15:val="{9D39F6CF-534F-4290-8979-76F35117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767F3-AACF-438E-8959-BDA8391B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1591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2026-02-13T08:50:00Z</dcterms:created>
  <dcterms:modified xsi:type="dcterms:W3CDTF">2026-02-13T08:50:00Z</dcterms:modified>
</cp:coreProperties>
</file>