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3831" w14:textId="77777777" w:rsidR="00F04F59" w:rsidRDefault="00F04F59" w:rsidP="00BF2639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0DB369F3" w14:textId="77777777" w:rsidR="00F04F59" w:rsidRDefault="00F04F59" w:rsidP="00BF2639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36F440F5" w14:textId="77777777" w:rsidR="00F04F59" w:rsidRDefault="00F04F59" w:rsidP="00BF2639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536CBAE3" w14:textId="77777777" w:rsidR="00F04F59" w:rsidRDefault="00F04F59" w:rsidP="00BF2639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0D4A8609" w14:textId="77777777" w:rsidR="00F04F59" w:rsidRDefault="00F04F59" w:rsidP="00BF2639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7F04CC80" w14:textId="77777777" w:rsidR="00F04F59" w:rsidRDefault="00F04F59" w:rsidP="00BF2639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76264468" w14:textId="77777777" w:rsidR="00F04F59" w:rsidRDefault="00F04F59" w:rsidP="00BF2639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351B3800" w14:textId="2B7ABCB6" w:rsidR="00891CF4" w:rsidRPr="00E22E7F" w:rsidRDefault="00891CF4" w:rsidP="00BF2639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</w:p>
    <w:p w14:paraId="70403954" w14:textId="77777777" w:rsidR="00BF2639" w:rsidRDefault="00BF2639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E449D8" w14:textId="77777777" w:rsidR="00BF2639" w:rsidRPr="00BF2639" w:rsidRDefault="00BF2639" w:rsidP="00BF26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F263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НАЦИОНАЛНА ПРОГРАМА </w:t>
      </w:r>
    </w:p>
    <w:p w14:paraId="52F1C6E6" w14:textId="77777777" w:rsidR="00BF2639" w:rsidRPr="00BF2639" w:rsidRDefault="00BF2639" w:rsidP="00BF26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F2639">
        <w:rPr>
          <w:rFonts w:ascii="Times New Roman" w:eastAsia="Times New Roman" w:hAnsi="Times New Roman" w:cs="Times New Roman"/>
          <w:b/>
          <w:bCs/>
          <w:sz w:val="32"/>
          <w:szCs w:val="32"/>
        </w:rPr>
        <w:t>ЗА ПРОФИЛАКТИКА НА ОРАЛНИТЕ ЗАБОЛЯВАНИЯ</w:t>
      </w:r>
      <w:r w:rsidRPr="00BF2639">
        <w:rPr>
          <w:rFonts w:ascii="Times New Roman" w:eastAsia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BF2639">
        <w:rPr>
          <w:rFonts w:ascii="Times New Roman" w:eastAsia="Times New Roman" w:hAnsi="Times New Roman" w:cs="Times New Roman"/>
          <w:b/>
          <w:bCs/>
          <w:sz w:val="32"/>
          <w:szCs w:val="32"/>
        </w:rPr>
        <w:t>ПРИ ДЕЦА ОТ 0 ДО 18 ГОДИНИ В РЕПУБЛИКА БЪЛГАРИЯ</w:t>
      </w:r>
    </w:p>
    <w:p w14:paraId="206840E5" w14:textId="77777777" w:rsidR="00891CF4" w:rsidRPr="00BF2639" w:rsidRDefault="00BF2639" w:rsidP="00BF26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bg-BG"/>
        </w:rPr>
      </w:pPr>
      <w:r w:rsidRPr="00BF2639">
        <w:rPr>
          <w:rFonts w:ascii="Times New Roman" w:eastAsia="Times New Roman" w:hAnsi="Times New Roman" w:cs="Times New Roman"/>
          <w:b/>
          <w:bCs/>
          <w:sz w:val="32"/>
          <w:szCs w:val="32"/>
        </w:rPr>
        <w:t>2026</w:t>
      </w:r>
      <w:r w:rsidR="00267A6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F2639">
        <w:rPr>
          <w:rFonts w:ascii="Times New Roman" w:eastAsia="Times New Roman" w:hAnsi="Times New Roman" w:cs="Times New Roman"/>
          <w:b/>
          <w:bCs/>
          <w:sz w:val="32"/>
          <w:szCs w:val="32"/>
        </w:rPr>
        <w:t>–</w:t>
      </w:r>
      <w:r w:rsidR="00267A6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F2639">
        <w:rPr>
          <w:rFonts w:ascii="Times New Roman" w:eastAsia="Times New Roman" w:hAnsi="Times New Roman" w:cs="Times New Roman"/>
          <w:b/>
          <w:bCs/>
          <w:sz w:val="32"/>
          <w:szCs w:val="32"/>
          <w:lang w:val="bg-BG"/>
        </w:rPr>
        <w:t>2030 г.</w:t>
      </w:r>
    </w:p>
    <w:p w14:paraId="5A8E54C7" w14:textId="77777777" w:rsidR="00891CF4" w:rsidRDefault="00891CF4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215729FD" w14:textId="77777777" w:rsidR="00891CF4" w:rsidRDefault="00891CF4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27F2A4A1" w14:textId="77777777" w:rsidR="00891CF4" w:rsidRDefault="00891CF4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22A28689" w14:textId="77777777" w:rsidR="00230924" w:rsidRDefault="00230924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50100BA3" w14:textId="77777777" w:rsidR="00230924" w:rsidRDefault="00230924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129B4C33" w14:textId="77777777" w:rsidR="00230924" w:rsidRDefault="00230924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6AC70E27" w14:textId="77777777" w:rsidR="00230924" w:rsidRDefault="00230924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7176CEE6" w14:textId="77777777" w:rsidR="00230924" w:rsidRDefault="00230924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75EC3A93" w14:textId="77777777" w:rsidR="00230924" w:rsidRDefault="00230924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028FFE56" w14:textId="77777777" w:rsidR="00230924" w:rsidRDefault="00230924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691CD021" w14:textId="77777777" w:rsidR="00230924" w:rsidRDefault="00230924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1169663F" w14:textId="77777777" w:rsidR="00230924" w:rsidRDefault="00230924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13844AB8" w14:textId="77777777" w:rsidR="00891CF4" w:rsidRPr="00D93C37" w:rsidRDefault="007450B6" w:rsidP="00D93C37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bg-BG"/>
        </w:rPr>
      </w:pPr>
      <w:r w:rsidRPr="00D93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I. </w:t>
      </w:r>
      <w:r w:rsidR="00F04F59" w:rsidRPr="00D93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bg-BG"/>
        </w:rPr>
        <w:t>Въведение и обосновка</w:t>
      </w:r>
    </w:p>
    <w:p w14:paraId="5533216D" w14:textId="77777777" w:rsidR="00F04F59" w:rsidRPr="00F04F59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04F59">
        <w:rPr>
          <w:rFonts w:ascii="Times New Roman" w:eastAsia="Times New Roman" w:hAnsi="Times New Roman" w:cs="Times New Roman"/>
        </w:rPr>
        <w:t>Национална</w:t>
      </w:r>
      <w:r w:rsidR="00AC7143">
        <w:rPr>
          <w:rFonts w:ascii="Times New Roman" w:eastAsia="Times New Roman" w:hAnsi="Times New Roman" w:cs="Times New Roman"/>
          <w:lang w:val="bg-BG"/>
        </w:rPr>
        <w:t>та</w:t>
      </w:r>
      <w:r w:rsidRPr="00F04F59">
        <w:rPr>
          <w:rFonts w:ascii="Times New Roman" w:eastAsia="Times New Roman" w:hAnsi="Times New Roman" w:cs="Times New Roman"/>
        </w:rPr>
        <w:t xml:space="preserve"> програма за профилактика на оралните заболявания при деца от 0 до 18 </w:t>
      </w:r>
      <w:r w:rsidRPr="003E1087">
        <w:rPr>
          <w:rFonts w:ascii="Times New Roman" w:eastAsia="Times New Roman" w:hAnsi="Times New Roman" w:cs="Times New Roman"/>
          <w:lang w:val="bg-BG"/>
        </w:rPr>
        <w:t>години</w:t>
      </w:r>
      <w:r w:rsidRPr="00F04F59">
        <w:rPr>
          <w:rFonts w:ascii="Times New Roman" w:eastAsia="Times New Roman" w:hAnsi="Times New Roman" w:cs="Times New Roman"/>
        </w:rPr>
        <w:t xml:space="preserve"> (2026–</w:t>
      </w:r>
      <w:r w:rsidRPr="00F04F59">
        <w:rPr>
          <w:rFonts w:ascii="Times New Roman" w:eastAsia="Times New Roman" w:hAnsi="Times New Roman" w:cs="Times New Roman"/>
          <w:lang w:val="bg-BG"/>
        </w:rPr>
        <w:t>2030</w:t>
      </w:r>
      <w:r w:rsidR="00F04F59" w:rsidRPr="00F04F59">
        <w:rPr>
          <w:rFonts w:ascii="Times New Roman" w:eastAsia="Times New Roman" w:hAnsi="Times New Roman" w:cs="Times New Roman"/>
          <w:lang w:val="bg-BG"/>
        </w:rPr>
        <w:t xml:space="preserve"> </w:t>
      </w:r>
      <w:r w:rsidRPr="00F04F59">
        <w:rPr>
          <w:rFonts w:ascii="Times New Roman" w:eastAsia="Times New Roman" w:hAnsi="Times New Roman" w:cs="Times New Roman"/>
          <w:lang w:val="bg-BG"/>
        </w:rPr>
        <w:t>г.</w:t>
      </w:r>
      <w:r w:rsidRPr="00F04F59">
        <w:rPr>
          <w:rFonts w:ascii="Times New Roman" w:eastAsia="Times New Roman" w:hAnsi="Times New Roman" w:cs="Times New Roman"/>
        </w:rPr>
        <w:t xml:space="preserve">) представлява обосновано продължение на предходните етапи на програмата (2009–2014, 2015–2020, 2021–2025 г.), с цел надграждане на постигнатите резултати и преодоляване на оставащите предизвикателства. </w:t>
      </w:r>
    </w:p>
    <w:p w14:paraId="25962F5C" w14:textId="77777777" w:rsidR="00891CF4" w:rsidRPr="00F04F59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val="bg-BG"/>
        </w:rPr>
      </w:pPr>
      <w:r w:rsidRPr="00F04F59">
        <w:rPr>
          <w:rFonts w:ascii="Times New Roman" w:eastAsia="Times New Roman" w:hAnsi="Times New Roman" w:cs="Times New Roman"/>
        </w:rPr>
        <w:t>Оралните заболявания остават значим здравен проблем в детската възраст</w:t>
      </w:r>
      <w:r w:rsidR="00F04F59">
        <w:rPr>
          <w:rFonts w:ascii="Times New Roman" w:eastAsia="Times New Roman" w:hAnsi="Times New Roman" w:cs="Times New Roman"/>
          <w:lang w:val="bg-BG"/>
        </w:rPr>
        <w:t>. П</w:t>
      </w:r>
      <w:r w:rsidRPr="00F04F59">
        <w:rPr>
          <w:rFonts w:ascii="Times New Roman" w:eastAsia="Times New Roman" w:hAnsi="Times New Roman" w:cs="Times New Roman"/>
        </w:rPr>
        <w:t>о данни на Световната з</w:t>
      </w:r>
      <w:r w:rsidR="00F04F59">
        <w:rPr>
          <w:rFonts w:ascii="Times New Roman" w:eastAsia="Times New Roman" w:hAnsi="Times New Roman" w:cs="Times New Roman"/>
        </w:rPr>
        <w:t>дравна организация (СЗО) над 3</w:t>
      </w:r>
      <w:r w:rsidR="00F04F59">
        <w:rPr>
          <w:rFonts w:ascii="Times New Roman" w:eastAsia="Times New Roman" w:hAnsi="Times New Roman" w:cs="Times New Roman"/>
          <w:lang w:val="bg-BG"/>
        </w:rPr>
        <w:t xml:space="preserve">,5 </w:t>
      </w:r>
      <w:r w:rsidRPr="00F04F59">
        <w:rPr>
          <w:rFonts w:ascii="Times New Roman" w:eastAsia="Times New Roman" w:hAnsi="Times New Roman" w:cs="Times New Roman"/>
        </w:rPr>
        <w:t>милиарда души в света страдат от заболявания на устната кухина, като нелекуваният зъбен кариес е най-разпространеното състояние. Повече от 530 милиона деца по света са засегнати от кариес на временните зъби. Тези заболявания имат сериозни последствия върху качеството на живот, растежа, храненето и общото здраве на децата, а също така са свързани и с други незаразни заболявания (напр. диабет, сърдечно-съдови заболявания) чрез общи рискови фактори като високата консумация на захар</w:t>
      </w:r>
      <w:hyperlink r:id="rId8" w:anchor=":~:text=The%20World%20Health%20Assembly%20approved,care%20system.%20During%20the%20discussion" w:history="1"/>
      <w:r w:rsidRPr="00F04F59">
        <w:rPr>
          <w:rFonts w:ascii="Times New Roman" w:hAnsi="Times New Roman" w:cs="Times New Roman"/>
        </w:rPr>
        <w:t xml:space="preserve"> </w:t>
      </w:r>
      <w:r w:rsidRPr="00F04F59">
        <w:rPr>
          <w:rFonts w:ascii="Times New Roman" w:hAnsi="Times New Roman" w:cs="Times New Roman"/>
          <w:lang w:val="bg-BG"/>
        </w:rPr>
        <w:t>например</w:t>
      </w:r>
      <w:r w:rsidRPr="00F04F59">
        <w:rPr>
          <w:rFonts w:ascii="Times New Roman" w:eastAsia="Times New Roman" w:hAnsi="Times New Roman" w:cs="Times New Roman"/>
        </w:rPr>
        <w:t>.</w:t>
      </w:r>
    </w:p>
    <w:p w14:paraId="0DA3B152" w14:textId="77777777" w:rsidR="00F04F59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04F59">
        <w:rPr>
          <w:rFonts w:ascii="Times New Roman" w:eastAsia="Times New Roman" w:hAnsi="Times New Roman" w:cs="Times New Roman"/>
        </w:rPr>
        <w:t>В отговор</w:t>
      </w:r>
      <w:r>
        <w:rPr>
          <w:rFonts w:ascii="Times New Roman" w:eastAsia="Times New Roman" w:hAnsi="Times New Roman" w:cs="Times New Roman"/>
        </w:rPr>
        <w:t xml:space="preserve"> на тази глобална тежест, през 2021 г. 74-тата Световна здравна асамблея </w:t>
      </w:r>
      <w:r>
        <w:rPr>
          <w:rFonts w:ascii="Times New Roman" w:eastAsia="Times New Roman" w:hAnsi="Times New Roman" w:cs="Times New Roman"/>
          <w:lang w:val="bg-BG"/>
        </w:rPr>
        <w:t xml:space="preserve">(Световна здравна организация – СЗО) </w:t>
      </w:r>
      <w:r>
        <w:rPr>
          <w:rFonts w:ascii="Times New Roman" w:eastAsia="Times New Roman" w:hAnsi="Times New Roman" w:cs="Times New Roman"/>
        </w:rPr>
        <w:t xml:space="preserve">прие историческа Резолюция по оралното здраве, която призова държавите да интегрират оралното здраве в националните си политики, да насочат усилията от лечебен към превантивен подход и да адресират ключовите рискови фактори (особено високия прием на свободни захари, тютюнопушене и вредна употреба на алкохол). Резолюцията подчерта нуждата от насърчаване на оралното здраве в семейството, училищата и работното място и включване на денталната помощ в обхвата на универсалното здравно покритие. В изпълнение на тази резолюция СЗО разработи Глобална стратегия за оралното здраве (2022) и Глобален план за действие (2023–2030 г.) с конкретни цели – например 25% относително намаление на разпространението на нелекувания зъбен кариес до 2030 г. </w:t>
      </w:r>
    </w:p>
    <w:p w14:paraId="5BD6428C" w14:textId="77777777" w:rsidR="00891CF4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Визия 2030 на Световната дентална федерация (FDI) също апелира за приоритизиране на профилактиката, интегриране на денталните услуги в първичната медицинска помощ и сътрудничество между различни сектори за подобряване на оралното здраве в глобален мащаб.</w:t>
      </w:r>
    </w:p>
    <w:p w14:paraId="45C3D1B2" w14:textId="77777777" w:rsidR="007450B6" w:rsidRDefault="009F42E3" w:rsidP="00D93C3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</w:rPr>
        <w:t xml:space="preserve">Националната здравна </w:t>
      </w:r>
      <w:r>
        <w:rPr>
          <w:rFonts w:ascii="Times New Roman" w:eastAsia="Times New Roman" w:hAnsi="Times New Roman" w:cs="Times New Roman"/>
          <w:lang w:val="bg-BG"/>
        </w:rPr>
        <w:t>стратегия</w:t>
      </w:r>
      <w:r>
        <w:rPr>
          <w:rFonts w:ascii="Times New Roman" w:eastAsia="Times New Roman" w:hAnsi="Times New Roman" w:cs="Times New Roman"/>
        </w:rPr>
        <w:t xml:space="preserve"> на България </w:t>
      </w:r>
      <w:r>
        <w:rPr>
          <w:rFonts w:ascii="Times New Roman" w:eastAsia="Times New Roman" w:hAnsi="Times New Roman" w:cs="Times New Roman"/>
          <w:lang w:val="bg-BG"/>
        </w:rPr>
        <w:t xml:space="preserve">2030 </w:t>
      </w:r>
      <w:r w:rsidR="007450B6">
        <w:rPr>
          <w:rFonts w:ascii="Times New Roman" w:eastAsia="Times New Roman" w:hAnsi="Times New Roman" w:cs="Times New Roman"/>
          <w:lang w:val="bg-BG"/>
        </w:rPr>
        <w:t xml:space="preserve">(НЗС) </w:t>
      </w:r>
      <w:r>
        <w:rPr>
          <w:rFonts w:ascii="Times New Roman" w:eastAsia="Times New Roman" w:hAnsi="Times New Roman" w:cs="Times New Roman"/>
        </w:rPr>
        <w:t xml:space="preserve">съответства на тези международни насоки </w:t>
      </w:r>
      <w:r>
        <w:rPr>
          <w:rFonts w:ascii="Times New Roman" w:eastAsia="Times New Roman" w:hAnsi="Times New Roman" w:cs="Times New Roman"/>
          <w:lang w:val="bg-BG"/>
        </w:rPr>
        <w:t xml:space="preserve">и включва изрично изпълнение на </w:t>
      </w:r>
      <w:r>
        <w:rPr>
          <w:rFonts w:ascii="Times New Roman" w:eastAsia="Times New Roman" w:hAnsi="Times New Roman" w:cs="Times New Roman"/>
          <w:b/>
          <w:bCs/>
        </w:rPr>
        <w:t xml:space="preserve">Националната програма за профилактика на оралните заболявания при </w:t>
      </w:r>
      <w:r>
        <w:rPr>
          <w:rFonts w:ascii="Times New Roman" w:eastAsia="Times New Roman" w:hAnsi="Times New Roman" w:cs="Times New Roman"/>
          <w:b/>
          <w:bCs/>
          <w:lang w:val="bg-BG"/>
        </w:rPr>
        <w:t>деца от 0 до 18 години в Република българия</w:t>
      </w:r>
      <w:r>
        <w:rPr>
          <w:rFonts w:ascii="Times New Roman" w:eastAsia="Times New Roman" w:hAnsi="Times New Roman" w:cs="Times New Roman"/>
          <w:b/>
          <w:bCs/>
        </w:rPr>
        <w:t xml:space="preserve"> 2026</w:t>
      </w:r>
      <w:r w:rsidR="007450B6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Pr="007450B6">
        <w:rPr>
          <w:rFonts w:ascii="Times New Roman" w:eastAsia="Times New Roman" w:hAnsi="Times New Roman" w:cs="Times New Roman"/>
          <w:b/>
          <w:bCs/>
        </w:rPr>
        <w:t>–</w:t>
      </w:r>
      <w:r w:rsidRPr="007450B6">
        <w:rPr>
          <w:rFonts w:ascii="Times New Roman" w:eastAsia="Times New Roman" w:hAnsi="Times New Roman" w:cs="Times New Roman"/>
          <w:b/>
        </w:rPr>
        <w:t xml:space="preserve"> </w:t>
      </w:r>
      <w:r w:rsidRPr="007450B6">
        <w:rPr>
          <w:rFonts w:ascii="Times New Roman" w:eastAsia="Times New Roman" w:hAnsi="Times New Roman" w:cs="Times New Roman"/>
          <w:b/>
          <w:lang w:val="bg-BG"/>
        </w:rPr>
        <w:t>2030г.</w:t>
      </w:r>
    </w:p>
    <w:p w14:paraId="04507588" w14:textId="77777777" w:rsidR="000B2B0D" w:rsidRDefault="000B2B0D" w:rsidP="000B2B0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Заложените в </w:t>
      </w:r>
      <w:r>
        <w:rPr>
          <w:rFonts w:ascii="Times New Roman" w:eastAsia="Times New Roman" w:hAnsi="Times New Roman" w:cs="Times New Roman"/>
        </w:rPr>
        <w:t xml:space="preserve">Националната здравна </w:t>
      </w:r>
      <w:r>
        <w:rPr>
          <w:rFonts w:ascii="Times New Roman" w:eastAsia="Times New Roman" w:hAnsi="Times New Roman" w:cs="Times New Roman"/>
          <w:lang w:val="bg-BG"/>
        </w:rPr>
        <w:t>стратегия</w:t>
      </w:r>
      <w:r>
        <w:rPr>
          <w:rFonts w:ascii="Times New Roman" w:eastAsia="Times New Roman" w:hAnsi="Times New Roman" w:cs="Times New Roman"/>
        </w:rPr>
        <w:t xml:space="preserve"> на България </w:t>
      </w:r>
      <w:r>
        <w:rPr>
          <w:rFonts w:ascii="Times New Roman" w:eastAsia="Times New Roman" w:hAnsi="Times New Roman" w:cs="Times New Roman"/>
          <w:lang w:val="bg-BG"/>
        </w:rPr>
        <w:t xml:space="preserve">2030 цели и дейности по </w:t>
      </w:r>
      <w:r>
        <w:rPr>
          <w:rFonts w:ascii="Times New Roman" w:hAnsi="Times New Roman" w:cs="Times New Roman"/>
        </w:rPr>
        <w:t xml:space="preserve">Политика 1.1. </w:t>
      </w:r>
      <w:r>
        <w:rPr>
          <w:rFonts w:ascii="Times New Roman" w:hAnsi="Times New Roman" w:cs="Times New Roman"/>
          <w:lang w:val="bg-BG"/>
        </w:rPr>
        <w:t>„</w:t>
      </w:r>
      <w:r w:rsidRPr="00407698">
        <w:rPr>
          <w:rFonts w:ascii="Times New Roman" w:hAnsi="Times New Roman" w:cs="Times New Roman"/>
        </w:rPr>
        <w:t>Насърчаване на здравословния начин на живот”</w:t>
      </w:r>
      <w:r>
        <w:rPr>
          <w:rFonts w:ascii="Times New Roman" w:hAnsi="Times New Roman" w:cs="Times New Roman"/>
          <w:lang w:val="bg-BG"/>
        </w:rPr>
        <w:t>,</w:t>
      </w:r>
      <w:r w:rsidRPr="004076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Политика 1.3. </w:t>
      </w:r>
      <w:r>
        <w:rPr>
          <w:rFonts w:ascii="Times New Roman" w:hAnsi="Times New Roman" w:cs="Times New Roman"/>
          <w:lang w:val="bg-BG"/>
        </w:rPr>
        <w:t>„</w:t>
      </w:r>
      <w:r w:rsidRPr="00407698">
        <w:rPr>
          <w:rFonts w:ascii="Times New Roman" w:hAnsi="Times New Roman" w:cs="Times New Roman"/>
        </w:rPr>
        <w:t>Ефективен скрининг и превенция н</w:t>
      </w:r>
      <w:r>
        <w:rPr>
          <w:rFonts w:ascii="Times New Roman" w:hAnsi="Times New Roman" w:cs="Times New Roman"/>
        </w:rPr>
        <w:t>а хроничните незаразни болести”</w:t>
      </w:r>
      <w:r w:rsidRPr="00407698">
        <w:rPr>
          <w:rFonts w:ascii="Times New Roman" w:hAnsi="Times New Roman" w:cs="Times New Roman"/>
        </w:rPr>
        <w:t xml:space="preserve"> </w:t>
      </w:r>
      <w:r w:rsidRPr="00407698">
        <w:rPr>
          <w:rFonts w:ascii="Times New Roman" w:hAnsi="Times New Roman" w:cs="Times New Roman"/>
          <w:lang w:val="bg-BG"/>
        </w:rPr>
        <w:t>и</w:t>
      </w:r>
      <w:r w:rsidRPr="00407698">
        <w:rPr>
          <w:rFonts w:ascii="Times New Roman" w:hAnsi="Times New Roman" w:cs="Times New Roman"/>
        </w:rPr>
        <w:t xml:space="preserve"> Политика 3.1. </w:t>
      </w:r>
      <w:r>
        <w:rPr>
          <w:rFonts w:ascii="Times New Roman" w:hAnsi="Times New Roman" w:cs="Times New Roman"/>
          <w:lang w:val="bg-BG"/>
        </w:rPr>
        <w:t>„</w:t>
      </w:r>
      <w:r w:rsidRPr="00407698">
        <w:rPr>
          <w:rFonts w:ascii="Times New Roman" w:hAnsi="Times New Roman" w:cs="Times New Roman"/>
        </w:rPr>
        <w:t xml:space="preserve">Детско и юношеско </w:t>
      </w:r>
      <w:r w:rsidRPr="00407698">
        <w:rPr>
          <w:rFonts w:ascii="Times New Roman" w:hAnsi="Times New Roman" w:cs="Times New Roman"/>
        </w:rPr>
        <w:lastRenderedPageBreak/>
        <w:t>здраве и педиатрична грижа”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</w:rPr>
        <w:t>съответства</w:t>
      </w:r>
      <w:r>
        <w:rPr>
          <w:rFonts w:ascii="Times New Roman" w:eastAsia="Times New Roman" w:hAnsi="Times New Roman" w:cs="Times New Roman"/>
          <w:lang w:val="bg-BG"/>
        </w:rPr>
        <w:t>т</w:t>
      </w:r>
      <w:r>
        <w:rPr>
          <w:rFonts w:ascii="Times New Roman" w:eastAsia="Times New Roman" w:hAnsi="Times New Roman" w:cs="Times New Roman"/>
        </w:rPr>
        <w:t xml:space="preserve"> на тези международни насоки </w:t>
      </w:r>
      <w:r>
        <w:rPr>
          <w:rFonts w:ascii="Times New Roman" w:eastAsia="Times New Roman" w:hAnsi="Times New Roman" w:cs="Times New Roman"/>
          <w:lang w:val="bg-BG"/>
        </w:rPr>
        <w:t xml:space="preserve">и включва изрично изпълнение на </w:t>
      </w:r>
      <w:r>
        <w:rPr>
          <w:rFonts w:ascii="Times New Roman" w:eastAsia="Times New Roman" w:hAnsi="Times New Roman" w:cs="Times New Roman"/>
          <w:b/>
          <w:bCs/>
        </w:rPr>
        <w:t xml:space="preserve">Националната програма за профилактика на оралните заболявания при </w:t>
      </w:r>
      <w:r>
        <w:rPr>
          <w:rFonts w:ascii="Times New Roman" w:eastAsia="Times New Roman" w:hAnsi="Times New Roman" w:cs="Times New Roman"/>
          <w:b/>
          <w:bCs/>
          <w:lang w:val="bg-BG"/>
        </w:rPr>
        <w:t>деца от 0 до 18 години в Република българия</w:t>
      </w:r>
      <w:r>
        <w:rPr>
          <w:rFonts w:ascii="Times New Roman" w:eastAsia="Times New Roman" w:hAnsi="Times New Roman" w:cs="Times New Roman"/>
          <w:b/>
          <w:bCs/>
        </w:rPr>
        <w:t xml:space="preserve"> 2026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Pr="007450B6">
        <w:rPr>
          <w:rFonts w:ascii="Times New Roman" w:eastAsia="Times New Roman" w:hAnsi="Times New Roman" w:cs="Times New Roman"/>
          <w:b/>
          <w:bCs/>
        </w:rPr>
        <w:t>–</w:t>
      </w:r>
      <w:r w:rsidRPr="007450B6">
        <w:rPr>
          <w:rFonts w:ascii="Times New Roman" w:eastAsia="Times New Roman" w:hAnsi="Times New Roman" w:cs="Times New Roman"/>
          <w:b/>
        </w:rPr>
        <w:t xml:space="preserve"> </w:t>
      </w:r>
      <w:r w:rsidRPr="007450B6">
        <w:rPr>
          <w:rFonts w:ascii="Times New Roman" w:eastAsia="Times New Roman" w:hAnsi="Times New Roman" w:cs="Times New Roman"/>
          <w:b/>
          <w:lang w:val="bg-BG"/>
        </w:rPr>
        <w:t>2030</w:t>
      </w:r>
      <w:r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7450B6">
        <w:rPr>
          <w:rFonts w:ascii="Times New Roman" w:eastAsia="Times New Roman" w:hAnsi="Times New Roman" w:cs="Times New Roman"/>
          <w:b/>
          <w:lang w:val="bg-BG"/>
        </w:rPr>
        <w:t>г.</w:t>
      </w:r>
    </w:p>
    <w:p w14:paraId="1DB98A0C" w14:textId="77777777" w:rsidR="00891CF4" w:rsidRPr="007450B6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Настоящата програма отчита резултатите и изводите от изпълнението на предходната програма (2021–2025 г.), както и актуалните научни препоръки на СЗО, Европейския център за профилактика и контрол на заболяванията (ECDC), FDI и други авторитетни източници след 2021 г. Програмата въвежда и нова интерсекторна мярка в съответствие с принципа за намаляване на общия рисков фактор – ограничаване на добавената захар в храните за деца – като допълнение към досегашните профилактични дейност</w:t>
      </w:r>
      <w:r>
        <w:rPr>
          <w:rFonts w:ascii="Times New Roman" w:eastAsia="Times New Roman" w:hAnsi="Times New Roman" w:cs="Times New Roman"/>
          <w:lang w:val="bg-BG"/>
        </w:rPr>
        <w:t>и.</w:t>
      </w:r>
    </w:p>
    <w:p w14:paraId="71F1A534" w14:textId="77777777" w:rsidR="00891CF4" w:rsidRPr="007450B6" w:rsidRDefault="00891CF4" w:rsidP="007450B6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5E5BBA98" w14:textId="77777777" w:rsidR="00891CF4" w:rsidRPr="00D93C37" w:rsidRDefault="007450B6" w:rsidP="00D93C37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93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II. </w:t>
      </w:r>
      <w:r w:rsidR="009F42E3" w:rsidRPr="00D93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bg-BG"/>
        </w:rPr>
        <w:t>Обосновка и анализ на състоянието</w:t>
      </w:r>
    </w:p>
    <w:p w14:paraId="0012390E" w14:textId="77777777" w:rsidR="007450B6" w:rsidRDefault="007450B6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2.1. </w:t>
      </w:r>
      <w:r w:rsidR="009F42E3">
        <w:rPr>
          <w:rFonts w:ascii="Times New Roman" w:eastAsia="Times New Roman" w:hAnsi="Times New Roman" w:cs="Times New Roman"/>
          <w:b/>
          <w:bCs/>
        </w:rPr>
        <w:t>Състояние на оралното здраве при децата в България.</w:t>
      </w:r>
      <w:r w:rsidR="009F42E3">
        <w:rPr>
          <w:rFonts w:ascii="Times New Roman" w:eastAsia="Times New Roman" w:hAnsi="Times New Roman" w:cs="Times New Roman"/>
        </w:rPr>
        <w:t xml:space="preserve"> </w:t>
      </w:r>
    </w:p>
    <w:p w14:paraId="56238DC6" w14:textId="77777777" w:rsidR="00891CF4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Епидемиологичните проучвания в България разкриват тревожно високото разпространение на зъбния кариес сред децата. Според представително национално изследване на оралното здраве (</w:t>
      </w:r>
      <w:r>
        <w:rPr>
          <w:rFonts w:ascii="Times New Roman" w:eastAsia="Times New Roman" w:hAnsi="Times New Roman" w:cs="Times New Roman"/>
          <w:lang w:val="bg-BG"/>
        </w:rPr>
        <w:t xml:space="preserve">проведено през </w:t>
      </w:r>
      <w:r>
        <w:rPr>
          <w:rFonts w:ascii="Times New Roman" w:eastAsia="Times New Roman" w:hAnsi="Times New Roman" w:cs="Times New Roman"/>
        </w:rPr>
        <w:t xml:space="preserve">2011 г., </w:t>
      </w:r>
      <w:r>
        <w:rPr>
          <w:rFonts w:ascii="Times New Roman" w:eastAsia="Times New Roman" w:hAnsi="Times New Roman" w:cs="Times New Roman"/>
          <w:lang w:val="bg-BG"/>
        </w:rPr>
        <w:t>и допълнително проучване през</w:t>
      </w:r>
      <w:r>
        <w:rPr>
          <w:rFonts w:ascii="Times New Roman" w:eastAsia="Times New Roman" w:hAnsi="Times New Roman" w:cs="Times New Roman"/>
        </w:rPr>
        <w:t xml:space="preserve"> 2020 г.) едва </w:t>
      </w:r>
      <w:r>
        <w:rPr>
          <w:rFonts w:ascii="Times New Roman" w:eastAsia="Times New Roman" w:hAnsi="Times New Roman" w:cs="Times New Roman"/>
          <w:b/>
          <w:bCs/>
        </w:rPr>
        <w:t>28,87% от децата на 5–6 години са без кариес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 на временните зъби</w:t>
      </w:r>
      <w:r>
        <w:rPr>
          <w:rFonts w:ascii="Times New Roman" w:eastAsia="Times New Roman" w:hAnsi="Times New Roman" w:cs="Times New Roman"/>
        </w:rPr>
        <w:t xml:space="preserve">, т.е. над 70% от децата в предучилищна възраст имат поне един кариес. С възрастта ситуацията се влошава – само </w:t>
      </w:r>
      <w:r>
        <w:rPr>
          <w:rFonts w:ascii="Times New Roman" w:eastAsia="Times New Roman" w:hAnsi="Times New Roman" w:cs="Times New Roman"/>
          <w:b/>
          <w:bCs/>
        </w:rPr>
        <w:t>21,31% от 12-годишните</w:t>
      </w:r>
      <w:r>
        <w:rPr>
          <w:rFonts w:ascii="Times New Roman" w:eastAsia="Times New Roman" w:hAnsi="Times New Roman" w:cs="Times New Roman"/>
        </w:rPr>
        <w:t xml:space="preserve"> са без кариес</w:t>
      </w:r>
      <w:r>
        <w:rPr>
          <w:rFonts w:ascii="Times New Roman" w:eastAsia="Times New Roman" w:hAnsi="Times New Roman" w:cs="Times New Roman"/>
          <w:lang w:val="bg-BG"/>
        </w:rPr>
        <w:t xml:space="preserve"> на постоянните зъби</w:t>
      </w:r>
      <w:r>
        <w:rPr>
          <w:rFonts w:ascii="Times New Roman" w:eastAsia="Times New Roman" w:hAnsi="Times New Roman" w:cs="Times New Roman"/>
        </w:rPr>
        <w:t xml:space="preserve">, а при </w:t>
      </w:r>
      <w:r>
        <w:rPr>
          <w:rFonts w:ascii="Times New Roman" w:eastAsia="Times New Roman" w:hAnsi="Times New Roman" w:cs="Times New Roman"/>
          <w:b/>
          <w:bCs/>
        </w:rPr>
        <w:t>18-годишните</w:t>
      </w:r>
      <w:r>
        <w:rPr>
          <w:rFonts w:ascii="Times New Roman" w:eastAsia="Times New Roman" w:hAnsi="Times New Roman" w:cs="Times New Roman"/>
        </w:rPr>
        <w:t xml:space="preserve"> делът на незасегнатите от кариес </w:t>
      </w:r>
      <w:r>
        <w:rPr>
          <w:rFonts w:ascii="Times New Roman" w:eastAsia="Times New Roman" w:hAnsi="Times New Roman" w:cs="Times New Roman"/>
          <w:lang w:val="bg-BG"/>
        </w:rPr>
        <w:t xml:space="preserve">постоянни зъби </w:t>
      </w:r>
      <w:r>
        <w:rPr>
          <w:rFonts w:ascii="Times New Roman" w:eastAsia="Times New Roman" w:hAnsi="Times New Roman" w:cs="Times New Roman"/>
        </w:rPr>
        <w:t xml:space="preserve">спада до </w:t>
      </w:r>
      <w:r>
        <w:rPr>
          <w:rFonts w:ascii="Times New Roman" w:eastAsia="Times New Roman" w:hAnsi="Times New Roman" w:cs="Times New Roman"/>
          <w:b/>
          <w:bCs/>
        </w:rPr>
        <w:t>8,31%</w:t>
      </w:r>
      <w:r>
        <w:rPr>
          <w:rFonts w:ascii="Times New Roman" w:eastAsia="Times New Roman" w:hAnsi="Times New Roman" w:cs="Times New Roman"/>
        </w:rPr>
        <w:t xml:space="preserve">. Общо над 90% от подрастващите до 18 г. имат кариозни зъби, което значително надхвърля глобалните цели на СЗО за орално здраве. Средните стойности на кариес-индикаторите dmft/DMFT в страната са високи – например при 12-годишните средният DMFT достига около 3–4 (в някои области над 5) при целева стойност под 3 според международните стандарти. Данните показват и отчетливи </w:t>
      </w:r>
      <w:r>
        <w:rPr>
          <w:rFonts w:ascii="Times New Roman" w:eastAsia="Times New Roman" w:hAnsi="Times New Roman" w:cs="Times New Roman"/>
          <w:b/>
          <w:bCs/>
        </w:rPr>
        <w:t>регионални и социални неравенства</w:t>
      </w:r>
      <w:r>
        <w:rPr>
          <w:rFonts w:ascii="Times New Roman" w:eastAsia="Times New Roman" w:hAnsi="Times New Roman" w:cs="Times New Roman"/>
        </w:rPr>
        <w:t xml:space="preserve"> – децата в големите градове имат по-добри показатели от тези в селските райони, а в някои области разпространението на кариес на 12-годишна възраст надхвърля 90%. Освен зъбния кариес, широко разпространени са и заболяванията на венците – приблизително </w:t>
      </w:r>
      <w:r>
        <w:rPr>
          <w:rFonts w:ascii="Times New Roman" w:eastAsia="Times New Roman" w:hAnsi="Times New Roman" w:cs="Times New Roman"/>
          <w:b/>
          <w:bCs/>
        </w:rPr>
        <w:t>2/3 от 18-годишните</w:t>
      </w:r>
      <w:r>
        <w:rPr>
          <w:rFonts w:ascii="Times New Roman" w:eastAsia="Times New Roman" w:hAnsi="Times New Roman" w:cs="Times New Roman"/>
        </w:rPr>
        <w:t xml:space="preserve"> имат гингивит или начален пародонтит, признак за незадоволителна орална хигиена. Тревожен е и фактът, че </w:t>
      </w:r>
      <w:r>
        <w:rPr>
          <w:rFonts w:ascii="Times New Roman" w:eastAsia="Times New Roman" w:hAnsi="Times New Roman" w:cs="Times New Roman"/>
          <w:b/>
          <w:bCs/>
        </w:rPr>
        <w:t>всеки четвърти 18-годишен има най-малко един изваден постоянен зъб</w:t>
      </w:r>
      <w:r>
        <w:rPr>
          <w:rFonts w:ascii="Times New Roman" w:eastAsia="Times New Roman" w:hAnsi="Times New Roman" w:cs="Times New Roman"/>
        </w:rPr>
        <w:t xml:space="preserve"> в резултат на усложнения от кариес. Тези показатели потвърждават, че оралното здраве на българските деца изостава от желаното и налага продължаване и разширяване на профилактичните мерки.</w:t>
      </w:r>
    </w:p>
    <w:p w14:paraId="2D02CDE8" w14:textId="77777777" w:rsidR="00915023" w:rsidRDefault="0091502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2.2. </w:t>
      </w:r>
      <w:r w:rsidR="009F42E3">
        <w:rPr>
          <w:rFonts w:ascii="Times New Roman" w:eastAsia="Times New Roman" w:hAnsi="Times New Roman" w:cs="Times New Roman"/>
          <w:b/>
          <w:bCs/>
        </w:rPr>
        <w:t>Фактори и причини.</w:t>
      </w:r>
      <w:r w:rsidR="009F42E3">
        <w:rPr>
          <w:rFonts w:ascii="Times New Roman" w:eastAsia="Times New Roman" w:hAnsi="Times New Roman" w:cs="Times New Roman"/>
        </w:rPr>
        <w:t xml:space="preserve"> </w:t>
      </w:r>
    </w:p>
    <w:p w14:paraId="5FA210C0" w14:textId="77777777" w:rsidR="00915023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Основните причини за високата честота на оралните заболявания сред децата са добре известни и предотвратими. </w:t>
      </w:r>
    </w:p>
    <w:p w14:paraId="67697CED" w14:textId="77777777" w:rsidR="00915023" w:rsidRPr="00915023" w:rsidRDefault="009F42E3" w:rsidP="00D93C37">
      <w:pPr>
        <w:pStyle w:val="ListParagraph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val="bg-BG"/>
        </w:rPr>
      </w:pPr>
      <w:r w:rsidRPr="00915023">
        <w:rPr>
          <w:rFonts w:ascii="Times New Roman" w:eastAsia="Times New Roman" w:hAnsi="Times New Roman" w:cs="Times New Roman"/>
        </w:rPr>
        <w:t>На първо място стои неадекватната устна хигиена – макар и повечето деца да притежават четки за зъби, практическите умения и навици за ефективно двукратно ежедневно четкане с флуорна паста често липсват. Средната стойност на индекса за орална хигиена (OHI-S</w:t>
      </w:r>
      <w:r w:rsidR="00915023">
        <w:rPr>
          <w:rFonts w:ascii="Times New Roman" w:eastAsia="Times New Roman" w:hAnsi="Times New Roman" w:cs="Times New Roman"/>
        </w:rPr>
        <w:t>) при децата у нас надхвърля 1</w:t>
      </w:r>
      <w:r w:rsidRPr="00915023">
        <w:rPr>
          <w:rFonts w:ascii="Times New Roman" w:eastAsia="Times New Roman" w:hAnsi="Times New Roman" w:cs="Times New Roman"/>
        </w:rPr>
        <w:t xml:space="preserve">, което означава </w:t>
      </w:r>
      <w:r w:rsidRPr="00915023">
        <w:rPr>
          <w:rFonts w:ascii="Times New Roman" w:eastAsia="Times New Roman" w:hAnsi="Times New Roman" w:cs="Times New Roman"/>
          <w:i/>
          <w:iCs/>
        </w:rPr>
        <w:t>незадоволителна хигиена</w:t>
      </w:r>
      <w:r w:rsidRPr="00915023">
        <w:rPr>
          <w:rFonts w:ascii="Times New Roman" w:eastAsia="Times New Roman" w:hAnsi="Times New Roman" w:cs="Times New Roman"/>
        </w:rPr>
        <w:t xml:space="preserve"> в национален мащаб. Много малка част </w:t>
      </w:r>
      <w:r w:rsidRPr="00915023">
        <w:rPr>
          <w:rFonts w:ascii="Times New Roman" w:eastAsia="Times New Roman" w:hAnsi="Times New Roman" w:cs="Times New Roman"/>
          <w:lang w:val="bg-BG"/>
        </w:rPr>
        <w:t xml:space="preserve">от децата </w:t>
      </w:r>
      <w:r w:rsidRPr="00915023">
        <w:rPr>
          <w:rFonts w:ascii="Times New Roman" w:eastAsia="Times New Roman" w:hAnsi="Times New Roman" w:cs="Times New Roman"/>
        </w:rPr>
        <w:t>посещават редовно зъболекар само за профилактични прегледи</w:t>
      </w:r>
      <w:r w:rsidRPr="00915023">
        <w:rPr>
          <w:lang w:val="bg-BG"/>
        </w:rPr>
        <w:t xml:space="preserve">, а </w:t>
      </w:r>
      <w:r w:rsidRPr="00915023">
        <w:rPr>
          <w:rFonts w:ascii="Times New Roman" w:hAnsi="Times New Roman" w:cs="Times New Roman"/>
          <w:lang w:val="bg-BG"/>
        </w:rPr>
        <w:t>по скоро от необходимост от лечение на кариеса и неговите усложнения</w:t>
      </w:r>
      <w:r w:rsidRPr="00915023">
        <w:rPr>
          <w:rFonts w:ascii="Times New Roman" w:eastAsia="Times New Roman" w:hAnsi="Times New Roman" w:cs="Times New Roman"/>
        </w:rPr>
        <w:t xml:space="preserve">. От друга страна, проучванията показват, че </w:t>
      </w:r>
      <w:r w:rsidRPr="00915023">
        <w:rPr>
          <w:rFonts w:ascii="Times New Roman" w:eastAsia="Times New Roman" w:hAnsi="Times New Roman" w:cs="Times New Roman"/>
          <w:b/>
          <w:bCs/>
        </w:rPr>
        <w:t>редовната употреба на флуорирана паста за зъби води до осезаемо по-добро дентално здраве</w:t>
      </w:r>
      <w:r w:rsidRPr="00915023">
        <w:rPr>
          <w:rFonts w:ascii="Times New Roman" w:eastAsia="Times New Roman" w:hAnsi="Times New Roman" w:cs="Times New Roman"/>
        </w:rPr>
        <w:t xml:space="preserve"> – децата, които мият зъбите си с флуорна паста, имат средно с един зъб по-малко засегнат от кариес в сравнение с </w:t>
      </w:r>
      <w:r w:rsidRPr="00915023">
        <w:rPr>
          <w:rFonts w:ascii="Times New Roman" w:eastAsia="Times New Roman" w:hAnsi="Times New Roman" w:cs="Times New Roman"/>
          <w:lang w:val="bg-BG"/>
        </w:rPr>
        <w:t>останалит</w:t>
      </w:r>
      <w:r w:rsidRPr="00915023">
        <w:rPr>
          <w:rFonts w:ascii="Times New Roman" w:eastAsia="Times New Roman" w:hAnsi="Times New Roman" w:cs="Times New Roman"/>
        </w:rPr>
        <w:t>е. Това подчертава необходимостта от засилено обучение на децата и родителите относно правилната орална хигиена и ползите от флуора.</w:t>
      </w:r>
    </w:p>
    <w:p w14:paraId="54EA6E82" w14:textId="77777777" w:rsidR="00891CF4" w:rsidRPr="00915023" w:rsidRDefault="009F42E3" w:rsidP="00D93C37">
      <w:pPr>
        <w:pStyle w:val="ListParagraph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val="bg-BG"/>
        </w:rPr>
      </w:pPr>
      <w:r w:rsidRPr="00915023">
        <w:rPr>
          <w:rFonts w:ascii="Times New Roman" w:eastAsia="Times New Roman" w:hAnsi="Times New Roman" w:cs="Times New Roman"/>
          <w:lang w:val="bg-BG"/>
        </w:rPr>
        <w:t xml:space="preserve">На </w:t>
      </w:r>
      <w:r w:rsidRPr="00915023">
        <w:rPr>
          <w:rFonts w:ascii="Times New Roman" w:eastAsia="Times New Roman" w:hAnsi="Times New Roman" w:cs="Times New Roman"/>
        </w:rPr>
        <w:t xml:space="preserve">второ място, </w:t>
      </w:r>
      <w:r w:rsidRPr="00915023">
        <w:rPr>
          <w:rFonts w:ascii="Times New Roman" w:eastAsia="Times New Roman" w:hAnsi="Times New Roman" w:cs="Times New Roman"/>
          <w:b/>
          <w:bCs/>
          <w:lang w:val="bg-BG"/>
        </w:rPr>
        <w:t>лошият</w:t>
      </w:r>
      <w:r w:rsidRPr="00915023">
        <w:rPr>
          <w:rFonts w:ascii="Times New Roman" w:eastAsia="Times New Roman" w:hAnsi="Times New Roman" w:cs="Times New Roman"/>
          <w:b/>
          <w:bCs/>
        </w:rPr>
        <w:t xml:space="preserve"> хранителен режим с високо съдържание на </w:t>
      </w:r>
      <w:r w:rsidRPr="00915023">
        <w:rPr>
          <w:rFonts w:ascii="Times New Roman" w:eastAsia="Times New Roman" w:hAnsi="Times New Roman" w:cs="Times New Roman"/>
          <w:b/>
          <w:bCs/>
          <w:lang w:val="bg-BG"/>
        </w:rPr>
        <w:t xml:space="preserve">дизахариди (бяла захар) </w:t>
      </w:r>
      <w:r w:rsidRPr="00915023">
        <w:rPr>
          <w:rFonts w:ascii="Times New Roman" w:eastAsia="Times New Roman" w:hAnsi="Times New Roman" w:cs="Times New Roman"/>
        </w:rPr>
        <w:t xml:space="preserve">е ключов рисков фактор за кариес при децата. Високата консумация на сладки храни и </w:t>
      </w:r>
      <w:r w:rsidRPr="00915023">
        <w:rPr>
          <w:rFonts w:ascii="Times New Roman" w:eastAsia="Times New Roman" w:hAnsi="Times New Roman" w:cs="Times New Roman"/>
          <w:lang w:val="bg-BG"/>
        </w:rPr>
        <w:t xml:space="preserve">подсладени със захар </w:t>
      </w:r>
      <w:r w:rsidRPr="00915023">
        <w:rPr>
          <w:rFonts w:ascii="Times New Roman" w:eastAsia="Times New Roman" w:hAnsi="Times New Roman" w:cs="Times New Roman"/>
        </w:rPr>
        <w:t xml:space="preserve">напитки започва от </w:t>
      </w:r>
      <w:r w:rsidRPr="00915023">
        <w:rPr>
          <w:rFonts w:ascii="Times New Roman" w:eastAsia="Times New Roman" w:hAnsi="Times New Roman" w:cs="Times New Roman"/>
          <w:lang w:val="bg-BG"/>
        </w:rPr>
        <w:t xml:space="preserve">много </w:t>
      </w:r>
      <w:r w:rsidRPr="00915023">
        <w:rPr>
          <w:rFonts w:ascii="Times New Roman" w:eastAsia="Times New Roman" w:hAnsi="Times New Roman" w:cs="Times New Roman"/>
        </w:rPr>
        <w:t>ранна детска възраст и допринася за бързото разваляне на зъбите.</w:t>
      </w:r>
    </w:p>
    <w:p w14:paraId="409E45F9" w14:textId="77777777" w:rsidR="00891CF4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>Храненето на децата и хранителната профилактика са важен аспект на Националната програма.</w:t>
      </w:r>
    </w:p>
    <w:p w14:paraId="12EF25A5" w14:textId="77777777" w:rsidR="00683586" w:rsidRPr="009955FE" w:rsidRDefault="00683586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9955FE">
        <w:rPr>
          <w:rFonts w:ascii="Times New Roman" w:eastAsia="Times New Roman" w:hAnsi="Times New Roman" w:cs="Times New Roman"/>
          <w:i/>
          <w:lang w:val="bg-BG"/>
        </w:rPr>
        <w:t>Правилната устна хигиена с използване на зъбни четки, зъбни пасти с флуор и зъбни конци е основен профилактичен метод, на който трябва да бъдат обучени и възпитани всички деца и техните родители (настойници) в България и те да придобият адекватни знания и умения, които да станат част от тяхната ценностна система.</w:t>
      </w:r>
    </w:p>
    <w:p w14:paraId="7B83E9A7" w14:textId="77777777" w:rsidR="00891CF4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СЗО препоръчва приемът на свободни захари (в това число добавената захар в промишлено произведените храни) да бъде под 10% от дневния калориен прием, а за допълнителни здравни ползи – под 5% от калориите. В много държави вече се прилагат политики за понижаване съдържанието на захар в детските храни</w:t>
      </w:r>
      <w:r>
        <w:rPr>
          <w:rFonts w:ascii="Times New Roman" w:eastAsia="Times New Roman" w:hAnsi="Times New Roman" w:cs="Times New Roman"/>
          <w:lang w:val="bg-BG"/>
        </w:rPr>
        <w:t xml:space="preserve"> и въвеждане на данък захар на напитките, съдържащи добавена захар</w:t>
      </w:r>
      <w:r>
        <w:rPr>
          <w:rFonts w:ascii="Times New Roman" w:eastAsia="Times New Roman" w:hAnsi="Times New Roman" w:cs="Times New Roman"/>
        </w:rPr>
        <w:t xml:space="preserve">. Например във Великобритания доброволната програма за реформулиране на храни доведе до намаляване с 13% на средното съдържание на захар в зърнени закуски и кисели млека за периода 2015–2018 г. Научните изследвания категорично потвърждават връзката между приема на захар и кариеса: </w:t>
      </w:r>
      <w:r>
        <w:rPr>
          <w:rFonts w:ascii="Times New Roman" w:eastAsia="Times New Roman" w:hAnsi="Times New Roman" w:cs="Times New Roman"/>
          <w:b/>
          <w:bCs/>
        </w:rPr>
        <w:t>при децата по-високата консумация на свободни захари статистически значимо повишава риска от зъбен кариес</w:t>
      </w:r>
      <w:r>
        <w:rPr>
          <w:rFonts w:ascii="Times New Roman" w:eastAsia="Times New Roman" w:hAnsi="Times New Roman" w:cs="Times New Roman"/>
        </w:rPr>
        <w:t>, а ограничаването на захарта, съчетано с правилна диета, е ефективна мярка за превенция</w:t>
      </w:r>
      <w:r>
        <w:rPr>
          <w:rFonts w:ascii="Times New Roman" w:eastAsia="Times New Roman" w:hAnsi="Times New Roman" w:cs="Times New Roman"/>
          <w:lang w:val="bg-BG"/>
        </w:rPr>
        <w:t xml:space="preserve"> не </w:t>
      </w:r>
      <w:r>
        <w:rPr>
          <w:rFonts w:ascii="Times New Roman" w:eastAsia="Times New Roman" w:hAnsi="Times New Roman" w:cs="Times New Roman"/>
          <w:lang w:val="bg-BG"/>
        </w:rPr>
        <w:lastRenderedPageBreak/>
        <w:t>само на кариеса, а и на редица други не</w:t>
      </w:r>
      <w:r w:rsidR="009955FE">
        <w:rPr>
          <w:rFonts w:ascii="Times New Roman" w:eastAsia="Times New Roman" w:hAnsi="Times New Roman" w:cs="Times New Roman"/>
          <w:lang w:val="bg-BG"/>
        </w:rPr>
        <w:t>заразни системни заболявания, ка</w:t>
      </w:r>
      <w:r>
        <w:rPr>
          <w:rFonts w:ascii="Times New Roman" w:eastAsia="Times New Roman" w:hAnsi="Times New Roman" w:cs="Times New Roman"/>
          <w:lang w:val="bg-BG"/>
        </w:rPr>
        <w:t>то диабет, сърдечно- съдови и др</w:t>
      </w:r>
      <w:r>
        <w:rPr>
          <w:rFonts w:ascii="Times New Roman" w:eastAsia="Times New Roman" w:hAnsi="Times New Roman" w:cs="Times New Roman"/>
        </w:rPr>
        <w:t>. У нас традиционната диета включва много тестени и сладки изделия, като липсват специфични нормативи за максимално съдържание на захар в храните, предназначени за деца. Това налага въвеждането на интердисциплинарни мерки за намаляване на захарната консумация сред подрастващите.</w:t>
      </w:r>
    </w:p>
    <w:p w14:paraId="0EA7AD26" w14:textId="77777777" w:rsidR="009955FE" w:rsidRDefault="009955FE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2.</w:t>
      </w:r>
      <w:r w:rsidR="00EF4D7B">
        <w:rPr>
          <w:rFonts w:ascii="Times New Roman" w:eastAsia="Times New Roman" w:hAnsi="Times New Roman" w:cs="Times New Roman"/>
          <w:b/>
          <w:bCs/>
          <w:lang w:val="bg-BG"/>
        </w:rPr>
        <w:t>3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. </w:t>
      </w:r>
      <w:r w:rsidR="009F42E3">
        <w:rPr>
          <w:rFonts w:ascii="Times New Roman" w:eastAsia="Times New Roman" w:hAnsi="Times New Roman" w:cs="Times New Roman"/>
          <w:b/>
          <w:bCs/>
        </w:rPr>
        <w:t xml:space="preserve">Резултати от предходните програми </w:t>
      </w:r>
      <w:r w:rsidR="009F42E3">
        <w:rPr>
          <w:rFonts w:ascii="Times New Roman" w:eastAsia="Times New Roman" w:hAnsi="Times New Roman" w:cs="Times New Roman"/>
          <w:b/>
          <w:bCs/>
          <w:lang w:val="bg-BG"/>
        </w:rPr>
        <w:t>за профилактика на оралните заболявания при деца от 0 до 18 г.</w:t>
      </w:r>
      <w:r w:rsidR="009F42E3">
        <w:rPr>
          <w:rFonts w:ascii="Times New Roman" w:eastAsia="Times New Roman" w:hAnsi="Times New Roman" w:cs="Times New Roman"/>
        </w:rPr>
        <w:t xml:space="preserve"> </w:t>
      </w:r>
    </w:p>
    <w:p w14:paraId="51AA397C" w14:textId="77777777" w:rsidR="009955FE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Досегашните фази на Националната програма (стартирала през 2009 г.) постигнаха важни положителни ефекти, които следва да бъдат запазени и умножени. </w:t>
      </w:r>
    </w:p>
    <w:p w14:paraId="0A6C2A1C" w14:textId="77777777" w:rsidR="009955FE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През изминалия период 2015–2020 г. и 2021–2025 г. бяха реализирани редица дейности: организирани са стотици обучителни семинари</w:t>
      </w:r>
      <w:r>
        <w:rPr>
          <w:rFonts w:ascii="Times New Roman" w:eastAsia="Times New Roman" w:hAnsi="Times New Roman" w:cs="Times New Roman"/>
          <w:lang w:val="bg-BG"/>
        </w:rPr>
        <w:t>/лекции</w:t>
      </w:r>
      <w:r w:rsidR="009955FE">
        <w:rPr>
          <w:rFonts w:ascii="Times New Roman" w:eastAsia="Times New Roman" w:hAnsi="Times New Roman" w:cs="Times New Roman"/>
          <w:lang w:val="bg-BG"/>
        </w:rPr>
        <w:t xml:space="preserve"> в детските градини и училищата;</w:t>
      </w:r>
      <w:r>
        <w:rPr>
          <w:rFonts w:ascii="Times New Roman" w:eastAsia="Times New Roman" w:hAnsi="Times New Roman" w:cs="Times New Roman"/>
          <w:lang w:val="bg-BG"/>
        </w:rPr>
        <w:t xml:space="preserve"> национални и регионални кръгли маси</w:t>
      </w:r>
      <w:r>
        <w:rPr>
          <w:rFonts w:ascii="Times New Roman" w:eastAsia="Times New Roman" w:hAnsi="Times New Roman" w:cs="Times New Roman"/>
        </w:rPr>
        <w:t xml:space="preserve"> за медицински специалисти, учители и родители</w:t>
      </w:r>
      <w:r>
        <w:rPr>
          <w:rFonts w:ascii="Times New Roman" w:eastAsia="Times New Roman" w:hAnsi="Times New Roman" w:cs="Times New Roman"/>
          <w:lang w:val="bg-BG"/>
        </w:rPr>
        <w:t>, представители на местната власт</w:t>
      </w:r>
      <w:r>
        <w:rPr>
          <w:rFonts w:ascii="Times New Roman" w:eastAsia="Times New Roman" w:hAnsi="Times New Roman" w:cs="Times New Roman"/>
        </w:rPr>
        <w:t xml:space="preserve">; разработени </w:t>
      </w:r>
      <w:r>
        <w:rPr>
          <w:rFonts w:ascii="Times New Roman" w:eastAsia="Times New Roman" w:hAnsi="Times New Roman" w:cs="Times New Roman"/>
          <w:lang w:val="bg-BG"/>
        </w:rPr>
        <w:t>бяха</w:t>
      </w:r>
      <w:r>
        <w:rPr>
          <w:rFonts w:ascii="Times New Roman" w:eastAsia="Times New Roman" w:hAnsi="Times New Roman" w:cs="Times New Roman"/>
        </w:rPr>
        <w:t xml:space="preserve"> образователни материали, включително анимационен филм за орална хигиена; ежегодно са провеждани кампании за </w:t>
      </w:r>
      <w:r>
        <w:rPr>
          <w:rFonts w:ascii="Times New Roman" w:eastAsia="Times New Roman" w:hAnsi="Times New Roman" w:cs="Times New Roman"/>
          <w:b/>
          <w:bCs/>
        </w:rPr>
        <w:t>профилактично запечатване на фисурите (силанизиране)</w:t>
      </w:r>
      <w:r>
        <w:rPr>
          <w:rFonts w:ascii="Times New Roman" w:eastAsia="Times New Roman" w:hAnsi="Times New Roman" w:cs="Times New Roman"/>
        </w:rPr>
        <w:t xml:space="preserve"> на първите постоянни молари при децата; разкрита е национална онлайн платформа (сайт и страница в социалните мрежи) за информираност по дентална профилактика. </w:t>
      </w:r>
      <w:r>
        <w:rPr>
          <w:rFonts w:ascii="Times New Roman" w:eastAsia="Times New Roman" w:hAnsi="Times New Roman" w:cs="Times New Roman"/>
          <w:lang w:val="bg-BG"/>
        </w:rPr>
        <w:t>Благодарен</w:t>
      </w:r>
      <w:r w:rsidR="00745574">
        <w:rPr>
          <w:rFonts w:ascii="Times New Roman" w:eastAsia="Times New Roman" w:hAnsi="Times New Roman" w:cs="Times New Roman"/>
          <w:lang w:val="bg-BG"/>
        </w:rPr>
        <w:t>и</w:t>
      </w:r>
      <w:r>
        <w:rPr>
          <w:rFonts w:ascii="Times New Roman" w:eastAsia="Times New Roman" w:hAnsi="Times New Roman" w:cs="Times New Roman"/>
          <w:lang w:val="bg-BG"/>
        </w:rPr>
        <w:t>е на Национална програма над 180 000 български деца са получили безплатно профилактично покритие със силанти на зъбите си и над 650 000 зъба са били предпазени от кариес със силант.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982266" w14:textId="77777777" w:rsidR="00891CF4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 xml:space="preserve">В резултат </w:t>
      </w:r>
      <w:r>
        <w:rPr>
          <w:rFonts w:ascii="Times New Roman" w:eastAsia="Times New Roman" w:hAnsi="Times New Roman" w:cs="Times New Roman"/>
        </w:rPr>
        <w:t xml:space="preserve">на тези усилия, </w:t>
      </w:r>
      <w:r>
        <w:rPr>
          <w:rFonts w:ascii="Times New Roman" w:eastAsia="Times New Roman" w:hAnsi="Times New Roman" w:cs="Times New Roman"/>
          <w:b/>
          <w:bCs/>
        </w:rPr>
        <w:t>информираността на населението значително нарасна</w:t>
      </w:r>
      <w:r>
        <w:rPr>
          <w:rFonts w:ascii="Times New Roman" w:eastAsia="Times New Roman" w:hAnsi="Times New Roman" w:cs="Times New Roman"/>
        </w:rPr>
        <w:t xml:space="preserve"> – над 85% от анкетираните родители посочват, че са научили повече за силанизацията и са променили отношението си към нея в резултат на програмата. Постепенно се наблюдава и </w:t>
      </w:r>
      <w:r w:rsidRPr="009955FE">
        <w:rPr>
          <w:rFonts w:ascii="Times New Roman" w:eastAsia="Times New Roman" w:hAnsi="Times New Roman" w:cs="Times New Roman"/>
          <w:bCs/>
        </w:rPr>
        <w:t>забавяне в темпа на влошаване на показателите за орално здраве</w:t>
      </w:r>
      <w:r w:rsidRPr="009955FE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запазен е относителният дял на здравите зъби в сравнение с предходното десетилетие, а в някои региони дори се отчита леко подобрение. </w:t>
      </w:r>
    </w:p>
    <w:p w14:paraId="516CA607" w14:textId="77777777" w:rsidR="00891CF4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Потвърждение на това са резултати</w:t>
      </w:r>
      <w:r w:rsidR="009955FE">
        <w:rPr>
          <w:rFonts w:ascii="Times New Roman" w:eastAsia="Times New Roman" w:hAnsi="Times New Roman" w:cs="Times New Roman"/>
          <w:lang w:val="bg-BG"/>
        </w:rPr>
        <w:t>т</w:t>
      </w:r>
      <w:r>
        <w:rPr>
          <w:rFonts w:ascii="Times New Roman" w:eastAsia="Times New Roman" w:hAnsi="Times New Roman" w:cs="Times New Roman"/>
          <w:lang w:val="bg-BG"/>
        </w:rPr>
        <w:t>е от направеното изследване за ефективността от силанизирането през 2013 г</w:t>
      </w:r>
      <w:r w:rsidR="009955FE">
        <w:rPr>
          <w:rFonts w:ascii="Times New Roman" w:eastAsia="Times New Roman" w:hAnsi="Times New Roman" w:cs="Times New Roman"/>
          <w:lang w:val="bg-BG"/>
        </w:rPr>
        <w:t>.</w:t>
      </w:r>
      <w:r>
        <w:rPr>
          <w:rFonts w:ascii="Times New Roman" w:eastAsia="Times New Roman" w:hAnsi="Times New Roman" w:cs="Times New Roman"/>
          <w:lang w:val="bg-BG"/>
        </w:rPr>
        <w:t>, 2014</w:t>
      </w:r>
      <w:r w:rsidR="009955F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г</w:t>
      </w:r>
      <w:r w:rsidR="009955FE">
        <w:rPr>
          <w:rFonts w:ascii="Times New Roman" w:eastAsia="Times New Roman" w:hAnsi="Times New Roman" w:cs="Times New Roman"/>
          <w:lang w:val="bg-BG"/>
        </w:rPr>
        <w:t>.</w:t>
      </w:r>
      <w:r>
        <w:rPr>
          <w:rFonts w:ascii="Times New Roman" w:eastAsia="Times New Roman" w:hAnsi="Times New Roman" w:cs="Times New Roman"/>
          <w:lang w:val="bg-BG"/>
        </w:rPr>
        <w:t>,</w:t>
      </w:r>
      <w:r w:rsidR="009955F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2015</w:t>
      </w:r>
      <w:r w:rsidR="009955F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г</w:t>
      </w:r>
      <w:r w:rsidR="009955FE">
        <w:rPr>
          <w:rFonts w:ascii="Times New Roman" w:eastAsia="Times New Roman" w:hAnsi="Times New Roman" w:cs="Times New Roman"/>
          <w:lang w:val="bg-BG"/>
        </w:rPr>
        <w:t xml:space="preserve">. и </w:t>
      </w:r>
      <w:r>
        <w:rPr>
          <w:rFonts w:ascii="Times New Roman" w:eastAsia="Times New Roman" w:hAnsi="Times New Roman" w:cs="Times New Roman"/>
          <w:lang w:val="bg-BG"/>
        </w:rPr>
        <w:t>2016</w:t>
      </w:r>
      <w:r w:rsidR="009955F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г. </w:t>
      </w:r>
    </w:p>
    <w:p w14:paraId="502A47DD" w14:textId="77777777" w:rsidR="00891CF4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Анализирайки броя на здравите първи постоянни молари при децата спрямо същите зъби покрити със силанти се вижда изпреварваща прогресия при тези със силантите. </w:t>
      </w:r>
    </w:p>
    <w:p w14:paraId="0113C3A7" w14:textId="77777777" w:rsidR="00891CF4" w:rsidRDefault="009F42E3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Видно е, че при деца от една и съща възраст броя на здравите постоянни първи молари, на които са поставяни силанти е значително по-голям, сравнен с децата от същата възраст, на които не са поставяни силанти. </w:t>
      </w:r>
    </w:p>
    <w:p w14:paraId="6E459364" w14:textId="77777777" w:rsidR="00D93C37" w:rsidRDefault="00D93C37" w:rsidP="00D93C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E34463B" w14:textId="77777777" w:rsidR="00891CF4" w:rsidRDefault="009F42E3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bg-BG" w:eastAsia="bg-BG"/>
        </w:rPr>
        <w:lastRenderedPageBreak/>
        <w:drawing>
          <wp:inline distT="0" distB="0" distL="0" distR="0" wp14:anchorId="760310CA" wp14:editId="6EA803AD">
            <wp:extent cx="5067300" cy="2952750"/>
            <wp:effectExtent l="0" t="0" r="0" b="0"/>
            <wp:docPr id="29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Картина 2"/>
                    <pic:cNvPicPr/>
                  </pic:nvPicPr>
                  <pic:blipFill>
                    <a:blip r:embed="rId9"/>
                    <a:srcRect l="-1" t="21819" r="-787"/>
                    <a:stretch/>
                  </pic:blipFill>
                  <pic:spPr>
                    <a:xfrm>
                      <a:off x="0" y="0"/>
                      <a:ext cx="5067300" cy="2952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7482F" w14:textId="77777777" w:rsidR="0033385D" w:rsidRDefault="0033385D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19190B91" w14:textId="77777777" w:rsidR="00891CF4" w:rsidRDefault="009F42E3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bg-BG" w:eastAsia="bg-BG"/>
        </w:rPr>
        <w:drawing>
          <wp:inline distT="0" distB="0" distL="0" distR="0" wp14:anchorId="3EA1EC13" wp14:editId="64EA61DA">
            <wp:extent cx="4962525" cy="3038475"/>
            <wp:effectExtent l="0" t="0" r="0" b="9525"/>
            <wp:docPr id="30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Картина 3"/>
                    <pic:cNvPicPr/>
                  </pic:nvPicPr>
                  <pic:blipFill>
                    <a:blip r:embed="rId10"/>
                    <a:srcRect t="22160" r="-1552"/>
                    <a:stretch/>
                  </pic:blipFill>
                  <pic:spPr>
                    <a:xfrm>
                      <a:off x="0" y="0"/>
                      <a:ext cx="4962525" cy="3038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D8101" w14:textId="77777777" w:rsidR="00891CF4" w:rsidRDefault="009F42E3" w:rsidP="0033385D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Извършените анализи сочат, че програмата за силанизиране е </w:t>
      </w:r>
      <w:r>
        <w:rPr>
          <w:rFonts w:ascii="Times New Roman" w:eastAsia="Times New Roman" w:hAnsi="Times New Roman" w:cs="Times New Roman"/>
          <w:b/>
          <w:bCs/>
        </w:rPr>
        <w:t>изключително здравно ефективна и икономически целесъобразна</w:t>
      </w:r>
      <w:r>
        <w:rPr>
          <w:rFonts w:ascii="Times New Roman" w:eastAsia="Times New Roman" w:hAnsi="Times New Roman" w:cs="Times New Roman"/>
        </w:rPr>
        <w:t xml:space="preserve"> – профилактичното покритие на дълбоките фисури непосредствено след пробива на първите молари води до значимо редуциране на кариеса и спестяване на разходи за лечение </w:t>
      </w:r>
      <w:r>
        <w:rPr>
          <w:rFonts w:ascii="Times New Roman" w:eastAsia="Times New Roman" w:hAnsi="Times New Roman" w:cs="Times New Roman"/>
          <w:lang w:val="bg-BG"/>
        </w:rPr>
        <w:t>и психични проблеми и физически страдания на</w:t>
      </w:r>
      <w:r w:rsidR="00AC7143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децата </w:t>
      </w:r>
      <w:r>
        <w:rPr>
          <w:rFonts w:ascii="Times New Roman" w:eastAsia="Times New Roman" w:hAnsi="Times New Roman" w:cs="Times New Roman"/>
        </w:rPr>
        <w:t xml:space="preserve">в дългосрочен план. Въпреки тези успехи, поставените стратегически цели все още не са напълно постигнати и е налице </w:t>
      </w:r>
      <w:r>
        <w:rPr>
          <w:rFonts w:ascii="Times New Roman" w:eastAsia="Times New Roman" w:hAnsi="Times New Roman" w:cs="Times New Roman"/>
          <w:b/>
          <w:bCs/>
        </w:rPr>
        <w:t>обективна необходимост</w:t>
      </w:r>
      <w:r>
        <w:rPr>
          <w:rFonts w:ascii="Times New Roman" w:eastAsia="Times New Roman" w:hAnsi="Times New Roman" w:cs="Times New Roman"/>
        </w:rPr>
        <w:t xml:space="preserve"> от продължаване на програмните дейности в нов период. Необходимо е разширяване на обхвата на профилактичните услуги, по-интензивна здравна просвета и въвеждане на нови подходи (като намаляване на захарта в храните), за да се постигне съществено подобрение в оралното здраве на децата.</w:t>
      </w:r>
    </w:p>
    <w:p w14:paraId="7CAB0091" w14:textId="77777777" w:rsidR="0033385D" w:rsidRPr="0033385D" w:rsidRDefault="0033385D" w:rsidP="00D328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Theme="majorEastAsia" w:hAnsi="Times New Roman" w:cs="Times New Roman"/>
          <w:sz w:val="22"/>
          <w:szCs w:val="22"/>
          <w:bdr w:val="nil"/>
          <w:lang w:val="bg-BG"/>
        </w:rPr>
      </w:pPr>
      <w:r w:rsidRPr="0033385D">
        <w:rPr>
          <w:rFonts w:ascii="Times New Roman" w:eastAsiaTheme="majorEastAsia" w:hAnsi="Times New Roman" w:cs="Times New Roman"/>
          <w:sz w:val="22"/>
          <w:szCs w:val="22"/>
          <w:bdr w:val="nil"/>
          <w:lang w:val="bg-BG"/>
        </w:rPr>
        <w:lastRenderedPageBreak/>
        <w:t>Процентно съотношение на родителите, които повишиха информираността си по въпросите на профилактика на оралните заболявания в резултат на проведените в рамките на НППОЗД дейности.</w:t>
      </w:r>
    </w:p>
    <w:p w14:paraId="4741A898" w14:textId="77777777" w:rsidR="0033385D" w:rsidRDefault="0033385D" w:rsidP="0033385D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lang w:val="bg-BG"/>
        </w:rPr>
      </w:pPr>
    </w:p>
    <w:p w14:paraId="3CEDBB0B" w14:textId="77777777" w:rsidR="00891CF4" w:rsidRDefault="00D93C37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noProof/>
          <w:lang w:val="bg-BG" w:eastAsia="bg-BG"/>
        </w:rPr>
        <w:drawing>
          <wp:anchor distT="0" distB="0" distL="118872" distR="118872" simplePos="0" relativeHeight="2" behindDoc="0" locked="0" layoutInCell="1" allowOverlap="1" wp14:anchorId="0EB8D6F1" wp14:editId="641AA0DC">
            <wp:simplePos x="0" y="0"/>
            <wp:positionH relativeFrom="margin">
              <wp:posOffset>5080</wp:posOffset>
            </wp:positionH>
            <wp:positionV relativeFrom="paragraph">
              <wp:posOffset>6351</wp:posOffset>
            </wp:positionV>
            <wp:extent cx="5534025" cy="2838450"/>
            <wp:effectExtent l="0" t="0" r="9525" b="0"/>
            <wp:wrapNone/>
            <wp:docPr id="31" name="Content Placeholder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D5716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7172A268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55CD718E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458A4581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6499356F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64A3DFC7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7DCCCA2D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34752E56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0E7F7B2D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4BA53055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1B3C158E" w14:textId="77777777" w:rsidR="0033385D" w:rsidRDefault="003338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bdr w:val="nil"/>
          <w:lang w:val="bg-BG"/>
        </w:rPr>
      </w:pPr>
    </w:p>
    <w:p w14:paraId="6B13B8E8" w14:textId="77777777" w:rsidR="001127A1" w:rsidRDefault="001127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2"/>
          <w:szCs w:val="22"/>
          <w:bdr w:val="nil"/>
          <w:lang w:val="bg-BG"/>
        </w:rPr>
      </w:pPr>
    </w:p>
    <w:p w14:paraId="6EA991B1" w14:textId="77777777" w:rsidR="00891CF4" w:rsidRPr="0033385D" w:rsidRDefault="009F42E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2"/>
          <w:szCs w:val="22"/>
          <w:bdr w:val="nil"/>
          <w:lang w:val="bg-BG"/>
        </w:rPr>
      </w:pPr>
      <w:r w:rsidRPr="0033385D">
        <w:rPr>
          <w:rFonts w:ascii="Times New Roman" w:eastAsiaTheme="majorEastAsia" w:hAnsi="Times New Roman" w:cs="Times New Roman"/>
          <w:color w:val="000000" w:themeColor="text1"/>
          <w:sz w:val="22"/>
          <w:szCs w:val="22"/>
          <w:bdr w:val="nil"/>
          <w:lang w:val="bg-BG"/>
        </w:rPr>
        <w:t>Процентът на родителите, които са разбрали повече за силанизиране в рамките на Програмата</w:t>
      </w:r>
    </w:p>
    <w:p w14:paraId="7A47256A" w14:textId="77777777" w:rsidR="00891CF4" w:rsidRDefault="00891C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bdr w:val="nil"/>
          <w:lang w:val="bg-BG"/>
        </w:rPr>
      </w:pPr>
    </w:p>
    <w:p w14:paraId="167345ED" w14:textId="77777777" w:rsidR="00891CF4" w:rsidRDefault="0033385D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noProof/>
          <w:lang w:val="bg-BG" w:eastAsia="bg-BG"/>
        </w:rPr>
        <w:drawing>
          <wp:anchor distT="0" distB="0" distL="118872" distR="118872" simplePos="0" relativeHeight="3" behindDoc="0" locked="0" layoutInCell="1" allowOverlap="1" wp14:anchorId="6C99F26F" wp14:editId="68F67658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5734050" cy="2543175"/>
            <wp:effectExtent l="0" t="0" r="0" b="9525"/>
            <wp:wrapNone/>
            <wp:docPr id="32" name="Content Placeholder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E56A9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5B5F68C2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7642D2BC" w14:textId="77777777" w:rsidR="00891CF4" w:rsidRDefault="00891CF4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</w:p>
    <w:p w14:paraId="7C9B6497" w14:textId="77777777" w:rsidR="00B12023" w:rsidRDefault="00B12023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bg-BG"/>
        </w:rPr>
      </w:pPr>
    </w:p>
    <w:p w14:paraId="706EDD14" w14:textId="77777777" w:rsidR="00B12023" w:rsidRDefault="00B12023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bg-BG"/>
        </w:rPr>
      </w:pPr>
    </w:p>
    <w:p w14:paraId="68243B94" w14:textId="77777777" w:rsidR="00B12023" w:rsidRDefault="00B12023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bg-BG"/>
        </w:rPr>
      </w:pPr>
    </w:p>
    <w:p w14:paraId="510E8B95" w14:textId="77777777" w:rsidR="00B12023" w:rsidRDefault="00B12023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bg-BG"/>
        </w:rPr>
      </w:pPr>
    </w:p>
    <w:p w14:paraId="360DC5C5" w14:textId="77777777" w:rsidR="00B12023" w:rsidRDefault="00B12023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bg-BG"/>
        </w:rPr>
      </w:pPr>
    </w:p>
    <w:p w14:paraId="4968ECF5" w14:textId="77777777" w:rsidR="00D93C37" w:rsidRDefault="00D93C37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bg-BG"/>
        </w:rPr>
      </w:pPr>
    </w:p>
    <w:p w14:paraId="59575D67" w14:textId="77777777" w:rsidR="00D93C37" w:rsidRDefault="00D93C37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bg-BG"/>
        </w:rPr>
      </w:pPr>
    </w:p>
    <w:p w14:paraId="07A70F90" w14:textId="77777777" w:rsidR="00D93C37" w:rsidRDefault="00D93C37">
      <w:pP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bg-BG"/>
        </w:rPr>
      </w:pPr>
    </w:p>
    <w:p w14:paraId="2F0CC44E" w14:textId="77777777" w:rsidR="0033385D" w:rsidRDefault="0033385D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2.</w:t>
      </w:r>
      <w:r w:rsidR="00EF4D7B">
        <w:rPr>
          <w:rFonts w:ascii="Times New Roman" w:eastAsia="Times New Roman" w:hAnsi="Times New Roman" w:cs="Times New Roman"/>
          <w:b/>
          <w:bCs/>
          <w:lang w:val="bg-BG"/>
        </w:rPr>
        <w:t>4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. </w:t>
      </w:r>
      <w:r w:rsidR="009F42E3">
        <w:rPr>
          <w:rFonts w:ascii="Times New Roman" w:eastAsia="Times New Roman" w:hAnsi="Times New Roman" w:cs="Times New Roman"/>
          <w:b/>
          <w:bCs/>
        </w:rPr>
        <w:t>Междусекторен подход.</w:t>
      </w:r>
      <w:r w:rsidR="009F42E3">
        <w:rPr>
          <w:rFonts w:ascii="Times New Roman" w:eastAsia="Times New Roman" w:hAnsi="Times New Roman" w:cs="Times New Roman"/>
        </w:rPr>
        <w:t xml:space="preserve"> </w:t>
      </w:r>
    </w:p>
    <w:p w14:paraId="17D3B8A2" w14:textId="77777777" w:rsidR="00887CCD" w:rsidRDefault="009F42E3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Настоящата програма стъпва на разбирането, че ефективната профилактика на оралните заболявания изисква координирани действия отвъд здравния сектор. Решаващо значение имат политиките в областта на образованието (здравно образование в училище), земеделието и храните (осигуряване на здравословно хранене, намаляване на захарта), икономиката (стимули </w:t>
      </w:r>
      <w:r>
        <w:rPr>
          <w:rFonts w:ascii="Times New Roman" w:eastAsia="Times New Roman" w:hAnsi="Times New Roman" w:cs="Times New Roman"/>
        </w:rPr>
        <w:lastRenderedPageBreak/>
        <w:t xml:space="preserve">за производители да предлагат продукти с по-ниско съдържание на захар) и местната власт (достъп до </w:t>
      </w:r>
      <w:r>
        <w:rPr>
          <w:rFonts w:ascii="Times New Roman" w:eastAsia="Times New Roman" w:hAnsi="Times New Roman" w:cs="Times New Roman"/>
          <w:lang w:val="bg-BG"/>
        </w:rPr>
        <w:t>средства за устна хигиена</w:t>
      </w:r>
      <w:r>
        <w:rPr>
          <w:rFonts w:ascii="Times New Roman" w:eastAsia="Times New Roman" w:hAnsi="Times New Roman" w:cs="Times New Roman"/>
        </w:rPr>
        <w:t xml:space="preserve">, програми на общинско ниво). </w:t>
      </w:r>
    </w:p>
    <w:p w14:paraId="305EDF97" w14:textId="77777777" w:rsidR="00887CCD" w:rsidRDefault="009F42E3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тази връзка програмата предвижда активно участие и сътрудничество между Министерството на здравеопазването (МЗ) като водеща институция и Министерството на образованието и науката (МОН)</w:t>
      </w:r>
      <w:r w:rsidR="00B12023">
        <w:rPr>
          <w:rFonts w:ascii="Times New Roman" w:eastAsia="Times New Roman" w:hAnsi="Times New Roman" w:cs="Times New Roman"/>
        </w:rPr>
        <w:t>, Министерството на земеделието</w:t>
      </w:r>
      <w:r w:rsidR="00B12023">
        <w:rPr>
          <w:rFonts w:ascii="Times New Roman" w:eastAsia="Times New Roman" w:hAnsi="Times New Roman" w:cs="Times New Roman"/>
          <w:lang w:val="bg-BG"/>
        </w:rPr>
        <w:t xml:space="preserve"> и</w:t>
      </w:r>
      <w:r w:rsidR="00435261">
        <w:rPr>
          <w:rFonts w:ascii="Times New Roman" w:eastAsia="Times New Roman" w:hAnsi="Times New Roman" w:cs="Times New Roman"/>
        </w:rPr>
        <w:t xml:space="preserve"> храните (М</w:t>
      </w:r>
      <w:r w:rsidR="00435261">
        <w:rPr>
          <w:rFonts w:ascii="Times New Roman" w:eastAsia="Times New Roman" w:hAnsi="Times New Roman" w:cs="Times New Roman"/>
          <w:lang w:val="bg-BG"/>
        </w:rPr>
        <w:t>ЗХ)</w:t>
      </w:r>
      <w:r>
        <w:rPr>
          <w:rFonts w:ascii="Times New Roman" w:eastAsia="Times New Roman" w:hAnsi="Times New Roman" w:cs="Times New Roman"/>
        </w:rPr>
        <w:t xml:space="preserve"> и Министерството на икономиката и индустрията (МИИ) по отношение на реализирането на новата интервенция за ограничаване на добавената захар. </w:t>
      </w:r>
    </w:p>
    <w:p w14:paraId="42B47B4C" w14:textId="77777777" w:rsidR="00891CF4" w:rsidRDefault="009F42E3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</w:rPr>
        <w:t xml:space="preserve">Този интердисциплинарен подход е в съзвучие с препоръките на </w:t>
      </w:r>
      <w:r>
        <w:rPr>
          <w:rFonts w:ascii="Times New Roman" w:eastAsia="Times New Roman" w:hAnsi="Times New Roman" w:cs="Times New Roman"/>
          <w:lang w:val="bg-BG"/>
        </w:rPr>
        <w:t>Европейския център за профилактика на болестите (</w:t>
      </w:r>
      <w:r>
        <w:rPr>
          <w:rFonts w:ascii="Times New Roman" w:eastAsia="Times New Roman" w:hAnsi="Times New Roman" w:cs="Times New Roman"/>
        </w:rPr>
        <w:t xml:space="preserve">European Centre for Disease Prevention and Control </w:t>
      </w:r>
      <w:r>
        <w:rPr>
          <w:rFonts w:ascii="Times New Roman" w:eastAsia="Times New Roman" w:hAnsi="Times New Roman" w:cs="Times New Roman"/>
          <w:lang w:val="bg-BG"/>
        </w:rPr>
        <w:t xml:space="preserve">– </w:t>
      </w:r>
      <w:r>
        <w:rPr>
          <w:rFonts w:ascii="Times New Roman" w:eastAsia="Times New Roman" w:hAnsi="Times New Roman" w:cs="Times New Roman"/>
        </w:rPr>
        <w:t>ECDC</w:t>
      </w:r>
      <w:r>
        <w:rPr>
          <w:rFonts w:ascii="Times New Roman" w:eastAsia="Times New Roman" w:hAnsi="Times New Roman" w:cs="Times New Roman"/>
          <w:lang w:val="bg-BG"/>
        </w:rPr>
        <w:t xml:space="preserve">), Световната дентална федерациа </w:t>
      </w:r>
      <w:r>
        <w:rPr>
          <w:rFonts w:ascii="Times New Roman" w:eastAsia="Times New Roman" w:hAnsi="Times New Roman" w:cs="Times New Roman"/>
        </w:rPr>
        <w:t>FDI и СЗО за интегриране на оралното здраве в общите стратегии за профилактика на незаразните заболявания и промоция на здравето в детска възраст.</w:t>
      </w:r>
    </w:p>
    <w:p w14:paraId="20EAEB7A" w14:textId="77777777" w:rsidR="00887CCD" w:rsidRPr="00435261" w:rsidRDefault="00887CCD" w:rsidP="00887CCD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6F586B21" w14:textId="77777777" w:rsidR="00891CF4" w:rsidRPr="00D93C37" w:rsidRDefault="00887CCD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93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III. </w:t>
      </w:r>
      <w:r w:rsidR="009F42E3" w:rsidRPr="00D93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 и подцели</w:t>
      </w:r>
    </w:p>
    <w:p w14:paraId="2E12B997" w14:textId="77777777" w:rsidR="00891CF4" w:rsidRPr="00435261" w:rsidRDefault="009F42E3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35261">
        <w:rPr>
          <w:rFonts w:ascii="Times New Roman" w:eastAsia="Times New Roman" w:hAnsi="Times New Roman" w:cs="Times New Roman"/>
          <w:b/>
          <w:bCs/>
        </w:rPr>
        <w:t>Стратегическа цел:</w:t>
      </w:r>
      <w:r w:rsidRPr="00435261">
        <w:rPr>
          <w:rFonts w:ascii="Times New Roman" w:eastAsia="Times New Roman" w:hAnsi="Times New Roman" w:cs="Times New Roman"/>
        </w:rPr>
        <w:t xml:space="preserve"> </w:t>
      </w:r>
      <w:r w:rsidRPr="00435261">
        <w:rPr>
          <w:rFonts w:ascii="Times New Roman" w:eastAsia="Times New Roman" w:hAnsi="Times New Roman" w:cs="Times New Roman"/>
          <w:i/>
          <w:iCs/>
        </w:rPr>
        <w:t>Подобряване на оралното здраве на децата от 0 до 18 години в Република България чрез прилагане на всеобхватни профилактични мерки, образование и интерсекторни политики, намаляващи риска от орални заболявания.</w:t>
      </w:r>
    </w:p>
    <w:p w14:paraId="1F669F36" w14:textId="77777777" w:rsidR="00891CF4" w:rsidRPr="00435261" w:rsidRDefault="00887CCD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35261">
        <w:rPr>
          <w:rFonts w:ascii="Times New Roman" w:eastAsia="Times New Roman" w:hAnsi="Times New Roman" w:cs="Times New Roman"/>
          <w:b/>
          <w:bCs/>
          <w:lang w:val="bg-BG"/>
        </w:rPr>
        <w:t>Оперативни</w:t>
      </w:r>
      <w:r w:rsidR="009F42E3" w:rsidRPr="00435261">
        <w:rPr>
          <w:rFonts w:ascii="Times New Roman" w:eastAsia="Times New Roman" w:hAnsi="Times New Roman" w:cs="Times New Roman"/>
          <w:b/>
          <w:bCs/>
        </w:rPr>
        <w:t xml:space="preserve"> цели:</w:t>
      </w:r>
    </w:p>
    <w:p w14:paraId="3EF6ADCA" w14:textId="77777777" w:rsidR="00891CF4" w:rsidRPr="00435261" w:rsidRDefault="009F42E3" w:rsidP="003E108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435261">
        <w:rPr>
          <w:rFonts w:ascii="Times New Roman" w:eastAsia="Times New Roman" w:hAnsi="Times New Roman" w:cs="Times New Roman"/>
          <w:b/>
          <w:bCs/>
        </w:rPr>
        <w:t>Повишаване на информираността и знанията</w:t>
      </w:r>
      <w:r w:rsidRPr="00435261">
        <w:rPr>
          <w:rFonts w:ascii="Times New Roman" w:eastAsia="Times New Roman" w:hAnsi="Times New Roman" w:cs="Times New Roman"/>
        </w:rPr>
        <w:t xml:space="preserve"> на децата, родителите</w:t>
      </w:r>
      <w:r w:rsidRPr="00435261">
        <w:rPr>
          <w:rFonts w:ascii="Times New Roman" w:eastAsia="Times New Roman" w:hAnsi="Times New Roman" w:cs="Times New Roman"/>
          <w:lang w:val="bg-BG"/>
        </w:rPr>
        <w:t xml:space="preserve">, </w:t>
      </w:r>
      <w:r w:rsidRPr="00435261">
        <w:rPr>
          <w:rFonts w:ascii="Times New Roman" w:eastAsia="Times New Roman" w:hAnsi="Times New Roman" w:cs="Times New Roman"/>
        </w:rPr>
        <w:t>педагогическите специалисти</w:t>
      </w:r>
      <w:r w:rsidRPr="00435261">
        <w:rPr>
          <w:rFonts w:ascii="Times New Roman" w:eastAsia="Times New Roman" w:hAnsi="Times New Roman" w:cs="Times New Roman"/>
          <w:lang w:val="bg-BG"/>
        </w:rPr>
        <w:t>, общинските ръководства, изпълнителната власти</w:t>
      </w:r>
      <w:r w:rsidRPr="00435261">
        <w:rPr>
          <w:rFonts w:ascii="Times New Roman" w:eastAsia="Times New Roman" w:hAnsi="Times New Roman" w:cs="Times New Roman"/>
        </w:rPr>
        <w:t xml:space="preserve"> относно профилактиката на оралните заболявания. Това включва разбиране за важността на оралната хигиена, ролята на флуора, правилното хранене и редовните дентални прегледи за поддържане на здрави зъби и венци.</w:t>
      </w:r>
    </w:p>
    <w:p w14:paraId="1875E9B0" w14:textId="77777777" w:rsidR="00891CF4" w:rsidRPr="00435261" w:rsidRDefault="009F42E3" w:rsidP="003E108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435261">
        <w:rPr>
          <w:rFonts w:ascii="Times New Roman" w:eastAsia="Times New Roman" w:hAnsi="Times New Roman" w:cs="Times New Roman"/>
          <w:b/>
          <w:bCs/>
        </w:rPr>
        <w:t>Формиране на правилни навици</w:t>
      </w:r>
      <w:r w:rsidRPr="00435261">
        <w:rPr>
          <w:rFonts w:ascii="Times New Roman" w:eastAsia="Times New Roman" w:hAnsi="Times New Roman" w:cs="Times New Roman"/>
        </w:rPr>
        <w:t xml:space="preserve"> за устна хигиена и здравословно хранене у подрастващите. Целта е да се увеличи делът на децата, които мият зъбите си правилно поне два пъти дневно с флуорна паста, както и да се ограничи честата консумация на захарни изделия и подсладени напитки, като се насърчава балансирана диета (вкл. дъвчене на дъвки без захар след хранене).</w:t>
      </w:r>
    </w:p>
    <w:p w14:paraId="7E92CD77" w14:textId="77777777" w:rsidR="00891CF4" w:rsidRDefault="009F42E3" w:rsidP="003E108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Намаляване на честотата и интензитета на зъбния кариес</w:t>
      </w:r>
      <w:r>
        <w:rPr>
          <w:rFonts w:ascii="Times New Roman" w:eastAsia="Times New Roman" w:hAnsi="Times New Roman" w:cs="Times New Roman"/>
        </w:rPr>
        <w:t xml:space="preserve"> при децата чрез </w:t>
      </w:r>
      <w:r>
        <w:rPr>
          <w:rFonts w:ascii="Times New Roman" w:eastAsia="Times New Roman" w:hAnsi="Times New Roman" w:cs="Times New Roman"/>
          <w:i/>
          <w:iCs/>
        </w:rPr>
        <w:t>силанизиране на първите постоянни молари</w:t>
      </w:r>
      <w:r>
        <w:rPr>
          <w:rFonts w:ascii="Times New Roman" w:eastAsia="Times New Roman" w:hAnsi="Times New Roman" w:cs="Times New Roman"/>
        </w:rPr>
        <w:t xml:space="preserve"> веднага след пробива им (във възраст 5–</w:t>
      </w:r>
      <w:r w:rsidR="00745574">
        <w:rPr>
          <w:rFonts w:ascii="Times New Roman" w:eastAsia="Times New Roman" w:hAnsi="Times New Roman" w:cs="Times New Roman"/>
          <w:lang w:val="bg-BG"/>
        </w:rPr>
        <w:t>9</w:t>
      </w:r>
      <w:r>
        <w:rPr>
          <w:rFonts w:ascii="Times New Roman" w:eastAsia="Times New Roman" w:hAnsi="Times New Roman" w:cs="Times New Roman"/>
        </w:rPr>
        <w:t xml:space="preserve"> години), с цел предпазване от кариес на дълбоките фисури на тези зъби</w:t>
      </w:r>
      <w:r>
        <w:rPr>
          <w:rFonts w:ascii="Times New Roman" w:eastAsia="Times New Roman" w:hAnsi="Times New Roman" w:cs="Times New Roman"/>
          <w:lang w:val="bg-BG"/>
        </w:rPr>
        <w:t>, които най-рано пробиват и са най-уязвими към агресивната среда в устата</w:t>
      </w:r>
      <w:r>
        <w:rPr>
          <w:rFonts w:ascii="Times New Roman" w:eastAsia="Times New Roman" w:hAnsi="Times New Roman" w:cs="Times New Roman"/>
        </w:rPr>
        <w:t>.</w:t>
      </w:r>
    </w:p>
    <w:p w14:paraId="60E147D6" w14:textId="77777777" w:rsidR="00891CF4" w:rsidRDefault="009F42E3" w:rsidP="003E108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Оптимизиране на </w:t>
      </w:r>
      <w:r>
        <w:rPr>
          <w:rFonts w:ascii="Times New Roman" w:eastAsia="Times New Roman" w:hAnsi="Times New Roman" w:cs="Times New Roman"/>
          <w:b/>
          <w:bCs/>
          <w:lang w:val="bg-BG"/>
        </w:rPr>
        <w:t>локалната флуорна профилактика</w:t>
      </w:r>
      <w:r>
        <w:rPr>
          <w:rFonts w:ascii="Times New Roman" w:eastAsia="Times New Roman" w:hAnsi="Times New Roman" w:cs="Times New Roman"/>
          <w:b/>
          <w:bCs/>
        </w:rPr>
        <w:t xml:space="preserve"> и предотвратяване на зъбната флуороза.</w:t>
      </w:r>
      <w:r>
        <w:rPr>
          <w:rFonts w:ascii="Times New Roman" w:eastAsia="Times New Roman" w:hAnsi="Times New Roman" w:cs="Times New Roman"/>
        </w:rPr>
        <w:t xml:space="preserve"> Да се повиши делът на децата, които получават оптимална флуорна профилактика чрез флуорирана паста за зъби и едновременно с това да се ограничи рискът от </w:t>
      </w:r>
      <w:r>
        <w:rPr>
          <w:rFonts w:ascii="Times New Roman" w:eastAsia="Times New Roman" w:hAnsi="Times New Roman" w:cs="Times New Roman"/>
          <w:lang w:val="bg-BG"/>
        </w:rPr>
        <w:t>флуороза</w:t>
      </w:r>
      <w:r>
        <w:rPr>
          <w:rFonts w:ascii="Times New Roman" w:eastAsia="Times New Roman" w:hAnsi="Times New Roman" w:cs="Times New Roman"/>
        </w:rPr>
        <w:t>. Това включва контрол върху употребата на минерална вода с високо съдържание на флуор при малки деца, чрез повишаване на осведомеността на родителите за възможните рискове от флуороза.</w:t>
      </w:r>
    </w:p>
    <w:p w14:paraId="3D8DD574" w14:textId="77777777" w:rsidR="00891CF4" w:rsidRDefault="009F42E3" w:rsidP="003E108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Реализиране </w:t>
      </w:r>
      <w:r>
        <w:rPr>
          <w:rFonts w:ascii="Times New Roman" w:eastAsia="Times New Roman" w:hAnsi="Times New Roman" w:cs="Times New Roman"/>
          <w:b/>
          <w:bCs/>
        </w:rPr>
        <w:t>на интерсекторна мярка за намаляване на добавената захар</w:t>
      </w:r>
      <w:r>
        <w:rPr>
          <w:rFonts w:ascii="Times New Roman" w:eastAsia="Times New Roman" w:hAnsi="Times New Roman" w:cs="Times New Roman"/>
        </w:rPr>
        <w:t xml:space="preserve"> в храните, предназначени за деца, с най-малко 5%. Целта е чрез съвместни действия на МЗ, МОН, МЗХ и МИИ </w:t>
      </w:r>
      <w:r>
        <w:rPr>
          <w:rFonts w:ascii="Times New Roman" w:eastAsia="Times New Roman" w:hAnsi="Times New Roman" w:cs="Times New Roman"/>
          <w:lang w:val="bg-BG"/>
        </w:rPr>
        <w:t xml:space="preserve">и, най-вече, индустрията </w:t>
      </w:r>
      <w:r>
        <w:rPr>
          <w:rFonts w:ascii="Times New Roman" w:eastAsia="Times New Roman" w:hAnsi="Times New Roman" w:cs="Times New Roman"/>
        </w:rPr>
        <w:t>да се постигне понижаване на съдържанието на захар в ключови категории детски храни и напитки (например безалкохолни напитки, пакетирани сладкарски продукти, млечни десерти) поне с 5% от текущите нива. Това ще създаде по-здравословна хранителна среда и ще редуцира един от главните рискови фактори за кариес.</w:t>
      </w:r>
    </w:p>
    <w:p w14:paraId="05428E86" w14:textId="77777777" w:rsidR="00891CF4" w:rsidRDefault="009F42E3" w:rsidP="003E108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b/>
          <w:bCs/>
        </w:rPr>
        <w:t>Мониторинг и оценка на оралното здраве</w:t>
      </w:r>
      <w:r>
        <w:rPr>
          <w:rFonts w:ascii="Times New Roman" w:eastAsia="Times New Roman" w:hAnsi="Times New Roman" w:cs="Times New Roman"/>
        </w:rPr>
        <w:t xml:space="preserve"> на детската популация. В рамките</w:t>
      </w:r>
      <w:r>
        <w:rPr>
          <w:rFonts w:ascii="Times New Roman" w:eastAsia="Times New Roman" w:hAnsi="Times New Roman" w:cs="Times New Roman"/>
          <w:lang w:val="bg-BG"/>
        </w:rPr>
        <w:t xml:space="preserve"> на Програмата да</w:t>
      </w:r>
      <w:r>
        <w:rPr>
          <w:rFonts w:ascii="Times New Roman" w:eastAsia="Times New Roman" w:hAnsi="Times New Roman" w:cs="Times New Roman"/>
        </w:rPr>
        <w:t xml:space="preserve"> се планира провеждане на епидемиологично проучване на оралното здраве на децата (през </w:t>
      </w:r>
      <w:r w:rsidR="00FF4EEF">
        <w:rPr>
          <w:rFonts w:ascii="Times New Roman" w:eastAsia="Times New Roman" w:hAnsi="Times New Roman" w:cs="Times New Roman"/>
          <w:lang w:val="bg-BG"/>
        </w:rPr>
        <w:t xml:space="preserve">2026 и </w:t>
      </w:r>
      <w:r>
        <w:rPr>
          <w:rFonts w:ascii="Times New Roman" w:eastAsia="Times New Roman" w:hAnsi="Times New Roman" w:cs="Times New Roman"/>
          <w:lang w:val="bg-BG"/>
        </w:rPr>
        <w:t>2029</w:t>
      </w:r>
      <w:r w:rsidR="00FF4EEF">
        <w:rPr>
          <w:rFonts w:ascii="Times New Roman" w:eastAsia="Times New Roman" w:hAnsi="Times New Roman" w:cs="Times New Roman"/>
          <w:lang w:val="bg-BG"/>
        </w:rPr>
        <w:t>-2030</w:t>
      </w:r>
      <w:r>
        <w:rPr>
          <w:rFonts w:ascii="Times New Roman" w:eastAsia="Times New Roman" w:hAnsi="Times New Roman" w:cs="Times New Roman"/>
        </w:rPr>
        <w:t xml:space="preserve"> г.) за оценка на постигнатите резултати спрямо базовите стойности и формулиране на препоръки за бъдещи политики.</w:t>
      </w:r>
    </w:p>
    <w:p w14:paraId="656253D0" w14:textId="77777777" w:rsidR="00435261" w:rsidRPr="00435261" w:rsidRDefault="00435261" w:rsidP="00887CCD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</w:p>
    <w:p w14:paraId="0836480E" w14:textId="77777777" w:rsidR="00891CF4" w:rsidRPr="00D93C37" w:rsidRDefault="00D93C37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93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IV. </w:t>
      </w:r>
      <w:r w:rsidR="009F42E3" w:rsidRPr="00D93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bg-BG"/>
        </w:rPr>
        <w:t>Приоритети и д</w:t>
      </w:r>
      <w:r w:rsidR="009F42E3" w:rsidRPr="00D93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ейности</w:t>
      </w:r>
    </w:p>
    <w:p w14:paraId="2576ED5F" w14:textId="77777777" w:rsidR="00141F1A" w:rsidRPr="00141F1A" w:rsidRDefault="00141F1A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141F1A">
        <w:rPr>
          <w:rFonts w:ascii="Times New Roman" w:eastAsia="Times New Roman" w:hAnsi="Times New Roman" w:cs="Times New Roman"/>
          <w:b/>
          <w:lang w:val="bg-BG"/>
        </w:rPr>
        <w:t>Управление и координиране на дейностите по изпълнение на програмата.</w:t>
      </w:r>
    </w:p>
    <w:p w14:paraId="5E7D1666" w14:textId="77777777" w:rsidR="00887CCD" w:rsidRDefault="009F42E3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Реализирането на поставените цели ще се осъществи чрез комплекс от дейности </w:t>
      </w:r>
      <w:r>
        <w:rPr>
          <w:rFonts w:ascii="Times New Roman" w:eastAsia="Times New Roman" w:hAnsi="Times New Roman" w:cs="Times New Roman"/>
          <w:lang w:val="bg-BG"/>
        </w:rPr>
        <w:t>по всеки един от заложените приоритети</w:t>
      </w:r>
      <w:r>
        <w:rPr>
          <w:rFonts w:ascii="Times New Roman" w:eastAsia="Times New Roman" w:hAnsi="Times New Roman" w:cs="Times New Roman"/>
        </w:rPr>
        <w:t xml:space="preserve">, организирани на национално и регионално ниво. </w:t>
      </w:r>
      <w:r w:rsidRPr="00435261">
        <w:rPr>
          <w:rFonts w:ascii="Times New Roman" w:eastAsia="Times New Roman" w:hAnsi="Times New Roman" w:cs="Times New Roman"/>
        </w:rPr>
        <w:t>Министерството на здравеопазването ще координира</w:t>
      </w:r>
      <w:r w:rsidRPr="00435261">
        <w:rPr>
          <w:rFonts w:ascii="Times New Roman" w:eastAsia="Times New Roman" w:hAnsi="Times New Roman" w:cs="Times New Roman"/>
          <w:lang w:val="bg-BG"/>
        </w:rPr>
        <w:t xml:space="preserve"> и мониторира</w:t>
      </w:r>
      <w:r w:rsidRPr="00435261">
        <w:rPr>
          <w:rFonts w:ascii="Times New Roman" w:eastAsia="Times New Roman" w:hAnsi="Times New Roman" w:cs="Times New Roman"/>
        </w:rPr>
        <w:t xml:space="preserve"> изпълнението чрез създаване на </w:t>
      </w:r>
      <w:r w:rsidRPr="00435261">
        <w:rPr>
          <w:rFonts w:ascii="Times New Roman" w:eastAsia="Times New Roman" w:hAnsi="Times New Roman" w:cs="Times New Roman"/>
          <w:b/>
          <w:bCs/>
        </w:rPr>
        <w:t>Национален координационен съвет по профилактика на оралните заболявания</w:t>
      </w:r>
      <w:r w:rsidRPr="00435261">
        <w:rPr>
          <w:rFonts w:ascii="Times New Roman" w:eastAsia="Times New Roman" w:hAnsi="Times New Roman" w:cs="Times New Roman"/>
        </w:rPr>
        <w:t xml:space="preserve">, включващ представители на заинтересованите министерства, </w:t>
      </w:r>
      <w:r w:rsidRPr="00435261">
        <w:rPr>
          <w:rFonts w:ascii="Times New Roman" w:eastAsia="Times New Roman" w:hAnsi="Times New Roman" w:cs="Times New Roman"/>
          <w:lang w:val="bg-BG"/>
        </w:rPr>
        <w:t>лекари по дентална медицина (ЛДМ),</w:t>
      </w:r>
      <w:r w:rsidRPr="00435261">
        <w:rPr>
          <w:rFonts w:ascii="Times New Roman" w:eastAsia="Times New Roman" w:hAnsi="Times New Roman" w:cs="Times New Roman"/>
        </w:rPr>
        <w:t xml:space="preserve"> експерти по детска дентална медицина и други партньори.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FD12C6E" w14:textId="77777777" w:rsidR="00891CF4" w:rsidRDefault="009F42E3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Дейностите по програмата за периода 2026–</w:t>
      </w:r>
      <w:r>
        <w:rPr>
          <w:rFonts w:ascii="Times New Roman" w:eastAsia="Times New Roman" w:hAnsi="Times New Roman" w:cs="Times New Roman"/>
          <w:lang w:val="bg-BG"/>
        </w:rPr>
        <w:t>2030</w:t>
      </w:r>
      <w:r w:rsidR="00A336DD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г. са структурирани в следните приоритети</w:t>
      </w:r>
      <w:r>
        <w:rPr>
          <w:rFonts w:ascii="Times New Roman" w:eastAsia="Times New Roman" w:hAnsi="Times New Roman" w:cs="Times New Roman"/>
        </w:rPr>
        <w:t>:</w:t>
      </w:r>
    </w:p>
    <w:p w14:paraId="16A26EF3" w14:textId="77777777" w:rsidR="00A336DD" w:rsidRPr="00A336DD" w:rsidRDefault="009F42E3" w:rsidP="00435261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Приоритет 1: </w:t>
      </w:r>
      <w:r>
        <w:rPr>
          <w:rFonts w:ascii="Times New Roman" w:eastAsia="Times New Roman" w:hAnsi="Times New Roman" w:cs="Times New Roman"/>
          <w:b/>
          <w:bCs/>
        </w:rPr>
        <w:t>Здравно образование и повишаване на информираността: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8724D6" w14:textId="77777777" w:rsidR="00891CF4" w:rsidRDefault="009F42E3" w:rsidP="00EF4D7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Ще продължат и разширят информационните кампании, насочени към различни целеви групи – деца в детски градини и училища, родители (включително на бебета и малки деца), учители и медицински специалисти, работещи с деца. Във всяка от 28-те области на страната ежегодно ще се организират </w:t>
      </w:r>
      <w:r>
        <w:rPr>
          <w:rFonts w:ascii="Times New Roman" w:eastAsia="Times New Roman" w:hAnsi="Times New Roman" w:cs="Times New Roman"/>
          <w:b/>
          <w:bCs/>
        </w:rPr>
        <w:t>семинари и кръгли маси</w:t>
      </w:r>
      <w:r>
        <w:rPr>
          <w:rFonts w:ascii="Times New Roman" w:eastAsia="Times New Roman" w:hAnsi="Times New Roman" w:cs="Times New Roman"/>
        </w:rPr>
        <w:t xml:space="preserve"> по орална профилактика с участието на медицински специалисти (в т.ч. лични лекари, педиатри, медицински сестри в детски </w:t>
      </w:r>
      <w:r>
        <w:rPr>
          <w:rFonts w:ascii="Times New Roman" w:eastAsia="Times New Roman" w:hAnsi="Times New Roman" w:cs="Times New Roman"/>
        </w:rPr>
        <w:lastRenderedPageBreak/>
        <w:t>заведения), учители</w:t>
      </w:r>
      <w:r>
        <w:rPr>
          <w:rFonts w:ascii="Times New Roman" w:eastAsia="Times New Roman" w:hAnsi="Times New Roman" w:cs="Times New Roman"/>
          <w:lang w:val="bg-BG"/>
        </w:rPr>
        <w:t>, представители на местната власт, медии</w:t>
      </w:r>
      <w:r>
        <w:rPr>
          <w:rFonts w:ascii="Times New Roman" w:eastAsia="Times New Roman" w:hAnsi="Times New Roman" w:cs="Times New Roman"/>
        </w:rPr>
        <w:t xml:space="preserve"> и други заинтересовани страни. Тези обучения ще представят съвременните препоръки за орална хигиена, техники на миене на зъби, използване на флуорни </w:t>
      </w:r>
      <w:r>
        <w:rPr>
          <w:rFonts w:ascii="Times New Roman" w:eastAsia="Times New Roman" w:hAnsi="Times New Roman" w:cs="Times New Roman"/>
          <w:lang w:val="bg-BG"/>
        </w:rPr>
        <w:t>пасти за зъби</w:t>
      </w:r>
      <w:r>
        <w:rPr>
          <w:rFonts w:ascii="Times New Roman" w:eastAsia="Times New Roman" w:hAnsi="Times New Roman" w:cs="Times New Roman"/>
        </w:rPr>
        <w:t xml:space="preserve">, здравословно хранене и ограничаване на захарта при децата. Ще бъдат разработени и разпространени актуализирани </w:t>
      </w:r>
      <w:r>
        <w:rPr>
          <w:rFonts w:ascii="Times New Roman" w:eastAsia="Times New Roman" w:hAnsi="Times New Roman" w:cs="Times New Roman"/>
          <w:b/>
          <w:bCs/>
        </w:rPr>
        <w:t>образователни материали</w:t>
      </w:r>
      <w:r w:rsidR="00435261">
        <w:rPr>
          <w:rFonts w:ascii="Times New Roman" w:eastAsia="Times New Roman" w:hAnsi="Times New Roman" w:cs="Times New Roman"/>
          <w:b/>
          <w:bCs/>
          <w:lang w:val="bg-BG"/>
        </w:rPr>
        <w:t>,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="00435261">
        <w:rPr>
          <w:rFonts w:ascii="Times New Roman" w:eastAsia="Times New Roman" w:hAnsi="Times New Roman" w:cs="Times New Roman"/>
          <w:b/>
          <w:bCs/>
          <w:lang w:val="bg-BG"/>
        </w:rPr>
        <w:t xml:space="preserve">включително и </w:t>
      </w:r>
      <w:r>
        <w:rPr>
          <w:rFonts w:ascii="Times New Roman" w:eastAsia="Times New Roman" w:hAnsi="Times New Roman" w:cs="Times New Roman"/>
          <w:b/>
          <w:bCs/>
          <w:lang w:val="bg-BG"/>
        </w:rPr>
        <w:t>в социалните мрежи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</w:rPr>
        <w:t>– плакати, брошури, ръководства за родители</w:t>
      </w:r>
      <w:r>
        <w:rPr>
          <w:rFonts w:ascii="Times New Roman" w:eastAsia="Times New Roman" w:hAnsi="Times New Roman" w:cs="Times New Roman"/>
          <w:lang w:val="bg-BG"/>
        </w:rPr>
        <w:t xml:space="preserve"> и др</w:t>
      </w:r>
      <w:r>
        <w:rPr>
          <w:rFonts w:ascii="Times New Roman" w:eastAsia="Times New Roman" w:hAnsi="Times New Roman" w:cs="Times New Roman"/>
        </w:rPr>
        <w:t xml:space="preserve">. Съдържанието ще акцентира върху практически съвети (напр. как родителите да подпомогнат миенето на зъбите на малки деца, как да изберат паста с подходящо флуорно съдържание, как да ограничат сладките храни без да лишават детето от балансирана диета). Особено внимание ще се обърне на бременните жени и майките на бебета относно значението на ранната профилактика – от орална хигиена на кърмачето (почистване на </w:t>
      </w:r>
      <w:r>
        <w:rPr>
          <w:rFonts w:ascii="Times New Roman" w:eastAsia="Times New Roman" w:hAnsi="Times New Roman" w:cs="Times New Roman"/>
          <w:lang w:val="bg-BG"/>
        </w:rPr>
        <w:t>устната кухина преди и след пробива на първите млечни зъби</w:t>
      </w:r>
      <w:r>
        <w:rPr>
          <w:rFonts w:ascii="Times New Roman" w:eastAsia="Times New Roman" w:hAnsi="Times New Roman" w:cs="Times New Roman"/>
        </w:rPr>
        <w:t xml:space="preserve">) до </w:t>
      </w:r>
      <w:r>
        <w:rPr>
          <w:rFonts w:ascii="Times New Roman" w:eastAsia="Times New Roman" w:hAnsi="Times New Roman" w:cs="Times New Roman"/>
          <w:lang w:val="bg-BG"/>
        </w:rPr>
        <w:t xml:space="preserve">балансирано ограничаване </w:t>
      </w:r>
      <w:r>
        <w:rPr>
          <w:rFonts w:ascii="Times New Roman" w:eastAsia="Times New Roman" w:hAnsi="Times New Roman" w:cs="Times New Roman"/>
        </w:rPr>
        <w:t xml:space="preserve">на храните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>
        <w:rPr>
          <w:rFonts w:ascii="Times New Roman" w:eastAsia="Times New Roman" w:hAnsi="Times New Roman" w:cs="Times New Roman"/>
        </w:rPr>
        <w:t xml:space="preserve">добавена захар. Ще продължи поддръжката на </w:t>
      </w:r>
      <w:r>
        <w:rPr>
          <w:rFonts w:ascii="Times New Roman" w:eastAsia="Times New Roman" w:hAnsi="Times New Roman" w:cs="Times New Roman"/>
          <w:b/>
          <w:bCs/>
        </w:rPr>
        <w:t>уебсайт по орална профилактика</w:t>
      </w:r>
      <w:r>
        <w:rPr>
          <w:rFonts w:ascii="Times New Roman" w:eastAsia="Times New Roman" w:hAnsi="Times New Roman" w:cs="Times New Roman"/>
        </w:rPr>
        <w:t xml:space="preserve"> и свързаните социални медии, където редовно ще се публикуват информационни материали, отговори на често задавани въпроси и интерактивно съдържание (напр. образователни игри, анимационни филмчета) за най-малките. Целта е да се изградят трайни познания и култура в обществото относно грижата за оралното здраве. </w:t>
      </w:r>
    </w:p>
    <w:p w14:paraId="0B9D074D" w14:textId="77777777" w:rsidR="00A336DD" w:rsidRDefault="009F42E3" w:rsidP="00435261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Приоритет 2: </w:t>
      </w:r>
      <w:r>
        <w:rPr>
          <w:rFonts w:ascii="Times New Roman" w:eastAsia="Times New Roman" w:hAnsi="Times New Roman" w:cs="Times New Roman"/>
          <w:b/>
          <w:bCs/>
        </w:rPr>
        <w:t xml:space="preserve">Силанизиране на първите постоянни 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дъвкателни </w:t>
      </w:r>
      <w:r>
        <w:rPr>
          <w:rFonts w:ascii="Times New Roman" w:eastAsia="Times New Roman" w:hAnsi="Times New Roman" w:cs="Times New Roman"/>
          <w:b/>
          <w:bCs/>
          <w:strike/>
        </w:rPr>
        <w:t>з</w:t>
      </w:r>
      <w:r>
        <w:rPr>
          <w:rFonts w:ascii="Times New Roman" w:eastAsia="Times New Roman" w:hAnsi="Times New Roman" w:cs="Times New Roman"/>
          <w:b/>
          <w:bCs/>
        </w:rPr>
        <w:t>ъби (</w:t>
      </w:r>
      <w:r>
        <w:rPr>
          <w:rFonts w:ascii="Times New Roman" w:eastAsia="Times New Roman" w:hAnsi="Times New Roman" w:cs="Times New Roman"/>
          <w:b/>
          <w:bCs/>
          <w:lang w:val="bg-BG"/>
        </w:rPr>
        <w:t>молари)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2DDBA2" w14:textId="77777777" w:rsidR="00891CF4" w:rsidRDefault="009F42E3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Това е </w:t>
      </w:r>
      <w:r>
        <w:rPr>
          <w:rFonts w:ascii="Times New Roman" w:eastAsia="Times New Roman" w:hAnsi="Times New Roman" w:cs="Times New Roman"/>
          <w:b/>
          <w:bCs/>
        </w:rPr>
        <w:t xml:space="preserve">основна клинична 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профилактична </w:t>
      </w:r>
      <w:r>
        <w:rPr>
          <w:rFonts w:ascii="Times New Roman" w:eastAsia="Times New Roman" w:hAnsi="Times New Roman" w:cs="Times New Roman"/>
          <w:b/>
          <w:bCs/>
        </w:rPr>
        <w:t>дейност</w:t>
      </w:r>
      <w:r>
        <w:rPr>
          <w:rFonts w:ascii="Times New Roman" w:eastAsia="Times New Roman" w:hAnsi="Times New Roman" w:cs="Times New Roman"/>
        </w:rPr>
        <w:t xml:space="preserve"> в Програмата, насочена към директна превенция на кариеса на </w:t>
      </w:r>
      <w:r>
        <w:rPr>
          <w:rFonts w:ascii="Times New Roman" w:eastAsia="Times New Roman" w:hAnsi="Times New Roman" w:cs="Times New Roman"/>
          <w:lang w:val="bg-BG"/>
        </w:rPr>
        <w:t xml:space="preserve">първите постоянни </w:t>
      </w:r>
      <w:r>
        <w:rPr>
          <w:rFonts w:ascii="Times New Roman" w:eastAsia="Times New Roman" w:hAnsi="Times New Roman" w:cs="Times New Roman"/>
        </w:rPr>
        <w:t xml:space="preserve">моларит. </w:t>
      </w:r>
      <w:r>
        <w:rPr>
          <w:rFonts w:ascii="Times New Roman" w:eastAsia="Times New Roman" w:hAnsi="Times New Roman" w:cs="Times New Roman"/>
          <w:lang w:val="bg-BG"/>
        </w:rPr>
        <w:t xml:space="preserve">Ежегодно </w:t>
      </w:r>
      <w:r>
        <w:rPr>
          <w:rFonts w:ascii="Times New Roman" w:eastAsia="Times New Roman" w:hAnsi="Times New Roman" w:cs="Times New Roman"/>
        </w:rPr>
        <w:t xml:space="preserve">ще се провеждат кампании по поставяне на силанти на дъвкателните повърхности на първите </w:t>
      </w:r>
      <w:r>
        <w:rPr>
          <w:rFonts w:ascii="Times New Roman" w:eastAsia="Times New Roman" w:hAnsi="Times New Roman" w:cs="Times New Roman"/>
          <w:lang w:val="bg-BG"/>
        </w:rPr>
        <w:t xml:space="preserve">здрави </w:t>
      </w:r>
      <w:r>
        <w:rPr>
          <w:rFonts w:ascii="Times New Roman" w:eastAsia="Times New Roman" w:hAnsi="Times New Roman" w:cs="Times New Roman"/>
        </w:rPr>
        <w:t xml:space="preserve">постоянни молари при децата. Обхванати са възрастите от 5 до </w:t>
      </w:r>
      <w:r w:rsidR="00EA19DF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години, като силанизирането се извършва през първите две години след пробива на зъб</w:t>
      </w:r>
      <w:r>
        <w:rPr>
          <w:rFonts w:ascii="Times New Roman" w:eastAsia="Times New Roman" w:hAnsi="Times New Roman" w:cs="Times New Roman"/>
          <w:lang w:val="bg-BG"/>
        </w:rPr>
        <w:t>ите</w:t>
      </w:r>
      <w:r>
        <w:rPr>
          <w:rFonts w:ascii="Times New Roman" w:eastAsia="Times New Roman" w:hAnsi="Times New Roman" w:cs="Times New Roman"/>
        </w:rPr>
        <w:t xml:space="preserve">. Планът е </w:t>
      </w:r>
      <w:r>
        <w:rPr>
          <w:rFonts w:ascii="Times New Roman" w:eastAsia="Times New Roman" w:hAnsi="Times New Roman" w:cs="Times New Roman"/>
          <w:b/>
          <w:bCs/>
        </w:rPr>
        <w:t xml:space="preserve">ежегодно да бъдат силанизирани до </w:t>
      </w:r>
      <w:r w:rsidR="00745574">
        <w:rPr>
          <w:rFonts w:ascii="Times New Roman" w:eastAsia="Times New Roman" w:hAnsi="Times New Roman" w:cs="Times New Roman"/>
          <w:b/>
          <w:bCs/>
          <w:lang w:val="bg-BG"/>
        </w:rPr>
        <w:t>29</w:t>
      </w:r>
      <w:r>
        <w:rPr>
          <w:rFonts w:ascii="Times New Roman" w:eastAsia="Times New Roman" w:hAnsi="Times New Roman" w:cs="Times New Roman"/>
          <w:b/>
          <w:bCs/>
        </w:rPr>
        <w:t xml:space="preserve"> 000 </w:t>
      </w:r>
      <w:r>
        <w:rPr>
          <w:rFonts w:ascii="Times New Roman" w:eastAsia="Times New Roman" w:hAnsi="Times New Roman" w:cs="Times New Roman"/>
          <w:lang w:val="bg-BG"/>
        </w:rPr>
        <w:t xml:space="preserve">постоянни здрави зъби, като брой на силазирани зъби се увеличава в годините, обвързано със съответно прогресиращо финансиране </w:t>
      </w:r>
      <w:r>
        <w:rPr>
          <w:rFonts w:ascii="Times New Roman" w:eastAsia="Times New Roman" w:hAnsi="Times New Roman" w:cs="Times New Roman"/>
        </w:rPr>
        <w:t xml:space="preserve">(приоритетно </w:t>
      </w:r>
      <w:r>
        <w:rPr>
          <w:rFonts w:ascii="Times New Roman" w:eastAsia="Times New Roman" w:hAnsi="Times New Roman" w:cs="Times New Roman"/>
          <w:lang w:val="bg-BG"/>
        </w:rPr>
        <w:t xml:space="preserve">деца в последната група на детските градини и </w:t>
      </w:r>
      <w:r w:rsidRPr="00A336DD">
        <w:rPr>
          <w:rFonts w:ascii="Times New Roman" w:eastAsia="Times New Roman" w:hAnsi="Times New Roman" w:cs="Times New Roman"/>
          <w:lang w:val="bg-BG"/>
        </w:rPr>
        <w:t>първокласници</w:t>
      </w:r>
      <w:r>
        <w:rPr>
          <w:rFonts w:ascii="Times New Roman" w:eastAsia="Times New Roman" w:hAnsi="Times New Roman" w:cs="Times New Roman"/>
        </w:rPr>
        <w:t xml:space="preserve"> на ~6-7 г.). Изпълнители на дейността </w:t>
      </w:r>
      <w:r>
        <w:rPr>
          <w:rFonts w:ascii="Times New Roman" w:eastAsia="Times New Roman" w:hAnsi="Times New Roman" w:cs="Times New Roman"/>
          <w:lang w:val="bg-BG"/>
        </w:rPr>
        <w:t xml:space="preserve">ще </w:t>
      </w:r>
      <w:r>
        <w:rPr>
          <w:rFonts w:ascii="Times New Roman" w:eastAsia="Times New Roman" w:hAnsi="Times New Roman" w:cs="Times New Roman"/>
        </w:rPr>
        <w:t xml:space="preserve">са лекари по дентална медицина, преминали специално обучение за работа по програмата (вкл. унифициран протокол за приложение на силанти). Силанизирането се предоставя </w:t>
      </w:r>
      <w:r w:rsidR="00435261">
        <w:rPr>
          <w:rFonts w:ascii="Times New Roman" w:eastAsia="Times New Roman" w:hAnsi="Times New Roman" w:cs="Times New Roman"/>
          <w:b/>
          <w:bCs/>
        </w:rPr>
        <w:t>безплатно</w:t>
      </w:r>
      <w:r>
        <w:rPr>
          <w:rFonts w:ascii="Times New Roman" w:eastAsia="Times New Roman" w:hAnsi="Times New Roman" w:cs="Times New Roman"/>
        </w:rPr>
        <w:t xml:space="preserve">. Очаква се чрез тази мярка значително да се снижи кариесът на постоянните зъби: запечатването на фисурите предпазва емайла от задържане на плака и развитието на кариозни лезии. Дейността ще се популяризира активно – чрез </w:t>
      </w:r>
      <w:r>
        <w:rPr>
          <w:rFonts w:ascii="Times New Roman" w:eastAsia="Times New Roman" w:hAnsi="Times New Roman" w:cs="Times New Roman"/>
          <w:lang w:val="bg-BG"/>
        </w:rPr>
        <w:t xml:space="preserve">информационни </w:t>
      </w:r>
      <w:r>
        <w:rPr>
          <w:rFonts w:ascii="Times New Roman" w:eastAsia="Times New Roman" w:hAnsi="Times New Roman" w:cs="Times New Roman"/>
        </w:rPr>
        <w:t>кампании и разяснения към родителите за ползата и безопасността на силантите. Ще се води детайлна отчетност на броя силанизирани зъби и деца по региони, което да позволи оценка на обхвата.</w:t>
      </w:r>
    </w:p>
    <w:p w14:paraId="544F9457" w14:textId="77777777" w:rsidR="00A336DD" w:rsidRDefault="009F42E3" w:rsidP="00435261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Приоритет 3: </w:t>
      </w:r>
      <w:r>
        <w:rPr>
          <w:rFonts w:ascii="Times New Roman" w:eastAsia="Times New Roman" w:hAnsi="Times New Roman" w:cs="Times New Roman"/>
          <w:b/>
          <w:bCs/>
        </w:rPr>
        <w:t>Профилактични прегледи и дентален скрининг: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FABA2E" w14:textId="77777777" w:rsidR="00891CF4" w:rsidRDefault="009F42E3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lastRenderedPageBreak/>
        <w:t>Общинските власти в</w:t>
      </w:r>
      <w:r>
        <w:rPr>
          <w:rFonts w:ascii="Times New Roman" w:eastAsia="Times New Roman" w:hAnsi="Times New Roman" w:cs="Times New Roman"/>
        </w:rPr>
        <w:t xml:space="preserve"> сътрудничество с регионалните здравни инспекции (РЗИ) и училищните </w:t>
      </w:r>
      <w:r>
        <w:rPr>
          <w:rFonts w:ascii="Times New Roman" w:eastAsia="Times New Roman" w:hAnsi="Times New Roman" w:cs="Times New Roman"/>
          <w:lang w:val="bg-BG"/>
        </w:rPr>
        <w:t xml:space="preserve">ръководства </w:t>
      </w:r>
      <w:r>
        <w:rPr>
          <w:rFonts w:ascii="Times New Roman" w:eastAsia="Times New Roman" w:hAnsi="Times New Roman" w:cs="Times New Roman"/>
        </w:rPr>
        <w:t xml:space="preserve">ще се </w:t>
      </w:r>
      <w:r>
        <w:rPr>
          <w:rFonts w:ascii="Times New Roman" w:eastAsia="Times New Roman" w:hAnsi="Times New Roman" w:cs="Times New Roman"/>
          <w:lang w:val="bg-BG"/>
        </w:rPr>
        <w:t xml:space="preserve">насочат към </w:t>
      </w:r>
      <w:r>
        <w:rPr>
          <w:rFonts w:ascii="Times New Roman" w:eastAsia="Times New Roman" w:hAnsi="Times New Roman" w:cs="Times New Roman"/>
        </w:rPr>
        <w:t>организира</w:t>
      </w:r>
      <w:r>
        <w:rPr>
          <w:rFonts w:ascii="Times New Roman" w:eastAsia="Times New Roman" w:hAnsi="Times New Roman" w:cs="Times New Roman"/>
          <w:lang w:val="bg-BG"/>
        </w:rPr>
        <w:t xml:space="preserve">не на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профилактични дентални прегледи</w:t>
      </w:r>
      <w:r>
        <w:rPr>
          <w:rFonts w:ascii="Times New Roman" w:eastAsia="Times New Roman" w:hAnsi="Times New Roman" w:cs="Times New Roman"/>
        </w:rPr>
        <w:t xml:space="preserve"> на деца в определени възрастови групи. През учебните години на програмата се предвижда провеждането на ежегодни скринингови прегледи </w:t>
      </w:r>
      <w:r w:rsidR="008C6E43">
        <w:rPr>
          <w:rFonts w:ascii="Times New Roman" w:eastAsia="Times New Roman" w:hAnsi="Times New Roman" w:cs="Times New Roman"/>
        </w:rPr>
        <w:t>за децата в подготвителна група</w:t>
      </w:r>
      <w:r>
        <w:rPr>
          <w:rFonts w:ascii="Times New Roman" w:eastAsia="Times New Roman" w:hAnsi="Times New Roman" w:cs="Times New Roman"/>
        </w:rPr>
        <w:t>, в начална училищна възраст и в тийнейджърска възраст</w:t>
      </w:r>
      <w:r w:rsidR="008C6E43">
        <w:rPr>
          <w:rFonts w:ascii="Times New Roman" w:eastAsia="Times New Roman" w:hAnsi="Times New Roman" w:cs="Times New Roman"/>
          <w:lang w:val="bg-BG"/>
        </w:rPr>
        <w:t>.</w:t>
      </w:r>
      <w:r>
        <w:rPr>
          <w:rFonts w:ascii="Times New Roman" w:eastAsia="Times New Roman" w:hAnsi="Times New Roman" w:cs="Times New Roman"/>
        </w:rPr>
        <w:t xml:space="preserve"> Тези прегледи ще идентифицират децата с ранни признаци </w:t>
      </w:r>
      <w:r w:rsidRPr="00A336DD">
        <w:rPr>
          <w:rFonts w:ascii="Times New Roman" w:eastAsia="Times New Roman" w:hAnsi="Times New Roman" w:cs="Times New Roman"/>
          <w:lang w:val="bg-BG"/>
        </w:rPr>
        <w:t>на</w:t>
      </w:r>
      <w:r>
        <w:rPr>
          <w:rFonts w:ascii="Times New Roman" w:eastAsia="Times New Roman" w:hAnsi="Times New Roman" w:cs="Times New Roman"/>
        </w:rPr>
        <w:t xml:space="preserve"> кариес или ортодонтски проблеми и ще насочват родителите към предприемане на навременни мерки. Данните от скрининга ще се използват за статистически мониторинг на тенденциите и за оценка ефективността на програмата.</w:t>
      </w:r>
    </w:p>
    <w:p w14:paraId="2CC531C2" w14:textId="77777777" w:rsidR="00A336DD" w:rsidRPr="00A336DD" w:rsidRDefault="009F42E3" w:rsidP="00435261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Приоритет 4: Въвеждане на задължителна устна хигиена на децата от всички възрастови групи в детските градини с участието на МЗ, МОН, РУО, общини и др. </w:t>
      </w:r>
    </w:p>
    <w:p w14:paraId="2412980D" w14:textId="77777777" w:rsidR="00891CF4" w:rsidRDefault="009F42E3" w:rsidP="004352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>Устната хигиена ще се осъществява под наблюдението на учителите, възпитателите и медицинските сестри в детските градини, сутрин един час след закуска, като средствата за устна хигиена (пасти и четки за зъби) ще се осигуряват от родителите/настойниците</w:t>
      </w:r>
      <w:r w:rsidR="00435261">
        <w:rPr>
          <w:rFonts w:ascii="Times New Roman" w:eastAsia="Times New Roman" w:hAnsi="Times New Roman" w:cs="Times New Roman"/>
          <w:lang w:val="bg-BG"/>
        </w:rPr>
        <w:t>.</w:t>
      </w:r>
    </w:p>
    <w:p w14:paraId="785FE384" w14:textId="77777777" w:rsidR="00A336DD" w:rsidRDefault="009F42E3" w:rsidP="00435261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Приоритет 5: </w:t>
      </w:r>
      <w:r>
        <w:rPr>
          <w:rFonts w:ascii="Times New Roman" w:eastAsia="Times New Roman" w:hAnsi="Times New Roman" w:cs="Times New Roman"/>
          <w:b/>
          <w:bCs/>
        </w:rPr>
        <w:t>Контрол и оптимизация на флуорната профилактика</w:t>
      </w:r>
      <w:r w:rsidR="003E1087">
        <w:rPr>
          <w:rFonts w:ascii="Times New Roman" w:eastAsia="Times New Roman" w:hAnsi="Times New Roman" w:cs="Times New Roman"/>
          <w:b/>
          <w:bCs/>
          <w:lang w:val="bg-BG"/>
        </w:rPr>
        <w:t>.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</w:p>
    <w:p w14:paraId="11A83305" w14:textId="77777777" w:rsidR="00891CF4" w:rsidRDefault="00A336DD" w:rsidP="0038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>У</w:t>
      </w:r>
      <w:r w:rsidR="009F42E3">
        <w:rPr>
          <w:rFonts w:ascii="Times New Roman" w:eastAsia="Times New Roman" w:hAnsi="Times New Roman" w:cs="Times New Roman"/>
        </w:rPr>
        <w:t xml:space="preserve">силията ще се насочат към </w:t>
      </w:r>
      <w:r w:rsidR="009F42E3">
        <w:rPr>
          <w:rFonts w:ascii="Times New Roman" w:eastAsia="Times New Roman" w:hAnsi="Times New Roman" w:cs="Times New Roman"/>
          <w:b/>
          <w:bCs/>
        </w:rPr>
        <w:t>повишаване на осведомеността</w:t>
      </w:r>
      <w:r w:rsidR="009F42E3">
        <w:rPr>
          <w:rFonts w:ascii="Times New Roman" w:eastAsia="Times New Roman" w:hAnsi="Times New Roman" w:cs="Times New Roman"/>
        </w:rPr>
        <w:t xml:space="preserve"> за различните източници на флуор и превенция на свръхдозиране при малките деца. РЗИ и личните </w:t>
      </w:r>
      <w:r w:rsidR="009F42E3" w:rsidRPr="00A336DD">
        <w:rPr>
          <w:rFonts w:ascii="Times New Roman" w:eastAsia="Times New Roman" w:hAnsi="Times New Roman" w:cs="Times New Roman"/>
          <w:lang w:val="bg-BG"/>
        </w:rPr>
        <w:t>лекари</w:t>
      </w:r>
      <w:r w:rsidR="009F42E3">
        <w:rPr>
          <w:rFonts w:ascii="Times New Roman" w:eastAsia="Times New Roman" w:hAnsi="Times New Roman" w:cs="Times New Roman"/>
        </w:rPr>
        <w:t xml:space="preserve"> </w:t>
      </w:r>
      <w:r w:rsidR="009F42E3">
        <w:rPr>
          <w:rFonts w:ascii="Times New Roman" w:eastAsia="Times New Roman" w:hAnsi="Times New Roman" w:cs="Times New Roman"/>
          <w:lang w:val="bg-BG"/>
        </w:rPr>
        <w:t>по материали, предоставени от НКС ще разясняват</w:t>
      </w:r>
      <w:r w:rsidR="009F42E3">
        <w:rPr>
          <w:rFonts w:ascii="Times New Roman" w:eastAsia="Times New Roman" w:hAnsi="Times New Roman" w:cs="Times New Roman"/>
        </w:rPr>
        <w:t xml:space="preserve"> </w:t>
      </w:r>
      <w:r w:rsidR="009F42E3">
        <w:rPr>
          <w:rFonts w:ascii="Times New Roman" w:eastAsia="Times New Roman" w:hAnsi="Times New Roman" w:cs="Times New Roman"/>
          <w:lang w:val="bg-BG"/>
        </w:rPr>
        <w:t>на</w:t>
      </w:r>
      <w:r w:rsidR="009F42E3">
        <w:rPr>
          <w:rFonts w:ascii="Times New Roman" w:eastAsia="Times New Roman" w:hAnsi="Times New Roman" w:cs="Times New Roman"/>
        </w:rPr>
        <w:t xml:space="preserve"> родителите относно избора на питейна вода за бебета – ще се препоръчва да се избягва употреба</w:t>
      </w:r>
      <w:r w:rsidR="009F42E3">
        <w:rPr>
          <w:rFonts w:ascii="Times New Roman" w:eastAsia="Times New Roman" w:hAnsi="Times New Roman" w:cs="Times New Roman"/>
          <w:lang w:val="bg-BG"/>
        </w:rPr>
        <w:t>та</w:t>
      </w:r>
      <w:r w:rsidR="009F42E3">
        <w:rPr>
          <w:rFonts w:ascii="Times New Roman" w:eastAsia="Times New Roman" w:hAnsi="Times New Roman" w:cs="Times New Roman"/>
        </w:rPr>
        <w:t xml:space="preserve"> на бутилирани минерални води с </w:t>
      </w:r>
      <w:r w:rsidR="009F42E3">
        <w:rPr>
          <w:rFonts w:ascii="Times New Roman" w:eastAsia="Times New Roman" w:hAnsi="Times New Roman" w:cs="Times New Roman"/>
          <w:lang w:val="bg-BG"/>
        </w:rPr>
        <w:t>високо съдържание на флуор</w:t>
      </w:r>
      <w:r w:rsidR="009F42E3">
        <w:rPr>
          <w:rFonts w:ascii="Times New Roman" w:eastAsia="Times New Roman" w:hAnsi="Times New Roman" w:cs="Times New Roman"/>
        </w:rPr>
        <w:t xml:space="preserve">. В детските градини медико-педагогическият персонал ще бъде инструктиран </w:t>
      </w:r>
      <w:r w:rsidR="009F42E3">
        <w:rPr>
          <w:rFonts w:ascii="Times New Roman" w:eastAsia="Times New Roman" w:hAnsi="Times New Roman" w:cs="Times New Roman"/>
          <w:lang w:val="bg-BG"/>
        </w:rPr>
        <w:t xml:space="preserve">с материали </w:t>
      </w:r>
      <w:r w:rsidR="009F42E3">
        <w:rPr>
          <w:rFonts w:ascii="Times New Roman" w:eastAsia="Times New Roman" w:hAnsi="Times New Roman" w:cs="Times New Roman"/>
        </w:rPr>
        <w:t xml:space="preserve">да информира родителите, ако местната вода или ползваната минерална вода има повишено съдържание на флуор. Същевременно, програмата ще насърчава </w:t>
      </w:r>
      <w:r w:rsidR="009F42E3">
        <w:rPr>
          <w:rFonts w:ascii="Times New Roman" w:eastAsia="Times New Roman" w:hAnsi="Times New Roman" w:cs="Times New Roman"/>
          <w:b/>
          <w:bCs/>
        </w:rPr>
        <w:t xml:space="preserve">масовата екзогенна </w:t>
      </w:r>
      <w:r w:rsidR="009F42E3">
        <w:rPr>
          <w:rFonts w:ascii="Times New Roman" w:eastAsia="Times New Roman" w:hAnsi="Times New Roman" w:cs="Times New Roman"/>
          <w:b/>
          <w:bCs/>
          <w:lang w:val="bg-BG"/>
        </w:rPr>
        <w:t xml:space="preserve">(локална) </w:t>
      </w:r>
      <w:r w:rsidR="009F42E3">
        <w:rPr>
          <w:rFonts w:ascii="Times New Roman" w:eastAsia="Times New Roman" w:hAnsi="Times New Roman" w:cs="Times New Roman"/>
          <w:b/>
          <w:bCs/>
        </w:rPr>
        <w:t>флуорна профилактика</w:t>
      </w:r>
      <w:r w:rsidR="009F42E3">
        <w:rPr>
          <w:rFonts w:ascii="Times New Roman" w:eastAsia="Times New Roman" w:hAnsi="Times New Roman" w:cs="Times New Roman"/>
        </w:rPr>
        <w:t xml:space="preserve"> чрез употреба на флуорирани пасти за зъби и разтвори за жабурене (при </w:t>
      </w:r>
      <w:r w:rsidR="009F42E3">
        <w:rPr>
          <w:rFonts w:ascii="Times New Roman" w:eastAsia="Times New Roman" w:hAnsi="Times New Roman" w:cs="Times New Roman"/>
          <w:lang w:val="bg-BG"/>
        </w:rPr>
        <w:t>децата над 6 годишно възраст</w:t>
      </w:r>
      <w:r w:rsidR="009F42E3">
        <w:rPr>
          <w:rFonts w:ascii="Times New Roman" w:eastAsia="Times New Roman" w:hAnsi="Times New Roman" w:cs="Times New Roman"/>
        </w:rPr>
        <w:t xml:space="preserve">). Ще се </w:t>
      </w:r>
      <w:r w:rsidR="009F42E3">
        <w:rPr>
          <w:rFonts w:ascii="Times New Roman" w:eastAsia="Times New Roman" w:hAnsi="Times New Roman" w:cs="Times New Roman"/>
          <w:lang w:val="bg-BG"/>
        </w:rPr>
        <w:t xml:space="preserve">предоставят, чрез социалните мрежи, </w:t>
      </w:r>
      <w:r w:rsidR="009F42E3">
        <w:rPr>
          <w:rFonts w:ascii="Times New Roman" w:eastAsia="Times New Roman" w:hAnsi="Times New Roman" w:cs="Times New Roman"/>
        </w:rPr>
        <w:t>материали, обясняващи на разбираем език оптималната концентрация на флуор в пастата за различни възрасти и правилното количество паста при миене (напр. „</w:t>
      </w:r>
      <w:r w:rsidR="009F42E3" w:rsidRPr="00A336DD">
        <w:rPr>
          <w:rFonts w:ascii="Times New Roman" w:eastAsia="Times New Roman" w:hAnsi="Times New Roman" w:cs="Times New Roman"/>
          <w:lang w:val="bg-BG"/>
        </w:rPr>
        <w:t>колкото</w:t>
      </w:r>
      <w:r w:rsidR="009F42E3">
        <w:rPr>
          <w:rFonts w:ascii="Times New Roman" w:eastAsia="Times New Roman" w:hAnsi="Times New Roman" w:cs="Times New Roman"/>
        </w:rPr>
        <w:t xml:space="preserve"> грахово зърно“</w:t>
      </w:r>
      <w:r w:rsidR="009F42E3">
        <w:rPr>
          <w:rFonts w:ascii="Times New Roman" w:eastAsia="Times New Roman" w:hAnsi="Times New Roman" w:cs="Times New Roman"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</w:rPr>
        <w:t xml:space="preserve">за малки деца). Всички тези мерки целят двупосочно действие – предотвратяване </w:t>
      </w:r>
      <w:r w:rsidR="009F42E3">
        <w:rPr>
          <w:rFonts w:ascii="Times New Roman" w:eastAsia="Times New Roman" w:hAnsi="Times New Roman" w:cs="Times New Roman"/>
          <w:lang w:val="bg-BG"/>
        </w:rPr>
        <w:t>на</w:t>
      </w:r>
      <w:r w:rsidR="009F42E3">
        <w:rPr>
          <w:rFonts w:ascii="Times New Roman" w:eastAsia="Times New Roman" w:hAnsi="Times New Roman" w:cs="Times New Roman"/>
        </w:rPr>
        <w:t xml:space="preserve"> максимална защита срещу кариес без риск от флуороза.</w:t>
      </w:r>
    </w:p>
    <w:p w14:paraId="7CBA083A" w14:textId="77777777" w:rsidR="00A336DD" w:rsidRDefault="009F42E3" w:rsidP="00381F69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 xml:space="preserve">Приоритет 6: </w:t>
      </w:r>
      <w:r>
        <w:rPr>
          <w:rFonts w:ascii="Times New Roman" w:eastAsia="Times New Roman" w:hAnsi="Times New Roman" w:cs="Times New Roman"/>
          <w:b/>
          <w:bCs/>
        </w:rPr>
        <w:t>Междусекторн</w:t>
      </w:r>
      <w:r>
        <w:rPr>
          <w:rFonts w:ascii="Times New Roman" w:eastAsia="Times New Roman" w:hAnsi="Times New Roman" w:cs="Times New Roman"/>
          <w:b/>
          <w:bCs/>
          <w:lang w:val="bg-BG"/>
        </w:rPr>
        <w:t>а</w:t>
      </w:r>
      <w:r>
        <w:rPr>
          <w:rFonts w:ascii="Times New Roman" w:eastAsia="Times New Roman" w:hAnsi="Times New Roman" w:cs="Times New Roman"/>
          <w:b/>
          <w:bCs/>
        </w:rPr>
        <w:t xml:space="preserve"> мярка за 5% намаляване на захарта в детските храни: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DA88DE" w14:textId="77777777" w:rsidR="00891CF4" w:rsidRDefault="009F42E3" w:rsidP="0038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35261">
        <w:rPr>
          <w:rFonts w:ascii="Times New Roman" w:eastAsia="Times New Roman" w:hAnsi="Times New Roman" w:cs="Times New Roman"/>
        </w:rPr>
        <w:t xml:space="preserve">Важен нов акцент в програмата е разработването и внедряването на политика за подобряване на хранителната среда на децата чрез ограничаване на добавените захари. </w:t>
      </w:r>
      <w:r w:rsidRPr="00435261">
        <w:rPr>
          <w:rFonts w:ascii="Times New Roman" w:eastAsia="Times New Roman" w:hAnsi="Times New Roman" w:cs="Times New Roman"/>
          <w:bCs/>
        </w:rPr>
        <w:t>Основна цел</w:t>
      </w:r>
      <w:r w:rsidRPr="00435261">
        <w:rPr>
          <w:rFonts w:ascii="Times New Roman" w:eastAsia="Times New Roman" w:hAnsi="Times New Roman" w:cs="Times New Roman"/>
        </w:rPr>
        <w:t xml:space="preserve"> е постигане на минимум </w:t>
      </w:r>
      <w:r w:rsidRPr="00435261">
        <w:rPr>
          <w:rFonts w:ascii="Times New Roman" w:eastAsia="Times New Roman" w:hAnsi="Times New Roman" w:cs="Times New Roman"/>
          <w:i/>
          <w:iCs/>
        </w:rPr>
        <w:t>5% редукция на средното съдържание на добавена захар</w:t>
      </w:r>
      <w:r w:rsidRPr="00435261">
        <w:rPr>
          <w:rFonts w:ascii="Times New Roman" w:eastAsia="Times New Roman" w:hAnsi="Times New Roman" w:cs="Times New Roman"/>
        </w:rPr>
        <w:t xml:space="preserve"> в масово </w:t>
      </w:r>
      <w:r w:rsidRPr="00435261">
        <w:rPr>
          <w:rFonts w:ascii="Times New Roman" w:eastAsia="Times New Roman" w:hAnsi="Times New Roman" w:cs="Times New Roman"/>
        </w:rPr>
        <w:lastRenderedPageBreak/>
        <w:t>консумираните храни и напитки за деца до края на 2029 г. Това може да бъде реализирано чрез комбинация от подходи:</w:t>
      </w:r>
    </w:p>
    <w:p w14:paraId="65C1606C" w14:textId="77777777" w:rsidR="00891CF4" w:rsidRDefault="009F42E3" w:rsidP="000553D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Реформулиране на продукти</w:t>
      </w:r>
      <w:r>
        <w:rPr>
          <w:rFonts w:ascii="Times New Roman" w:eastAsia="Times New Roman" w:hAnsi="Times New Roman" w:cs="Times New Roman"/>
        </w:rPr>
        <w:t>: Привличане на производителите на детски храни и напитки към доброволно поетапно намаляване на захарта в техните продукти. При нужда ще се обмислят и регулаторни мерки – въвеждане на изискване за максимум захар в определени продукти, насочени към деца, или данъчни/акцизни стимули за продукти с намалена захар.</w:t>
      </w:r>
    </w:p>
    <w:p w14:paraId="469CFCC8" w14:textId="77777777" w:rsidR="00891CF4" w:rsidRDefault="009F42E3" w:rsidP="000553D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Здравословно хранене в училище и детските градини</w:t>
      </w:r>
      <w:r w:rsidR="00381F69">
        <w:rPr>
          <w:rFonts w:ascii="Times New Roman" w:eastAsia="Times New Roman" w:hAnsi="Times New Roman" w:cs="Times New Roman"/>
        </w:rPr>
        <w:t>: В сътрудничество с МОН и МЗХ</w:t>
      </w:r>
      <w:r>
        <w:rPr>
          <w:rFonts w:ascii="Times New Roman" w:eastAsia="Times New Roman" w:hAnsi="Times New Roman" w:cs="Times New Roman"/>
        </w:rPr>
        <w:t xml:space="preserve"> ще се преразгледат нормативните изисквания за столово хранене и ла</w:t>
      </w:r>
      <w:r w:rsidR="00381F69">
        <w:rPr>
          <w:rFonts w:ascii="Times New Roman" w:eastAsia="Times New Roman" w:hAnsi="Times New Roman" w:cs="Times New Roman"/>
          <w:lang w:val="bg-BG"/>
        </w:rPr>
        <w:t>в</w:t>
      </w:r>
      <w:r>
        <w:rPr>
          <w:rFonts w:ascii="Times New Roman" w:eastAsia="Times New Roman" w:hAnsi="Times New Roman" w:cs="Times New Roman"/>
        </w:rPr>
        <w:t xml:space="preserve">ки в образователните </w:t>
      </w:r>
      <w:r w:rsidR="00BC4BA7">
        <w:rPr>
          <w:rFonts w:ascii="Times New Roman" w:eastAsia="Times New Roman" w:hAnsi="Times New Roman" w:cs="Times New Roman"/>
          <w:lang w:val="bg-BG"/>
        </w:rPr>
        <w:t>институции</w:t>
      </w:r>
      <w:r>
        <w:rPr>
          <w:rFonts w:ascii="Times New Roman" w:eastAsia="Times New Roman" w:hAnsi="Times New Roman" w:cs="Times New Roman"/>
        </w:rPr>
        <w:t>. Целта е да се гарантира, че предлаганите храни и напитки отговарят на критериите за ниско съдържание на добавена захар. Например, ограничаване на продажбата на подсладени напитки и пакетирани сладки изделия в училищните лавки, замяната им с по-здравословни алтернативи (вода, пресни плодове</w:t>
      </w:r>
      <w:r w:rsidR="00381F69">
        <w:rPr>
          <w:rFonts w:ascii="Times New Roman" w:eastAsia="Times New Roman" w:hAnsi="Times New Roman" w:cs="Times New Roman"/>
        </w:rPr>
        <w:t>, пълнозърнести закуски и др.)</w:t>
      </w:r>
      <w:r w:rsidR="00381F69">
        <w:rPr>
          <w:rFonts w:ascii="Times New Roman" w:eastAsia="Times New Roman" w:hAnsi="Times New Roman" w:cs="Times New Roman"/>
          <w:lang w:val="bg-BG"/>
        </w:rPr>
        <w:t>,</w:t>
      </w:r>
      <w:r>
        <w:rPr>
          <w:rFonts w:ascii="Times New Roman" w:eastAsia="Times New Roman" w:hAnsi="Times New Roman" w:cs="Times New Roman"/>
        </w:rPr>
        <w:t xml:space="preserve"> в съответствие с националните препоръки за здравословно хранене на деца.</w:t>
      </w:r>
    </w:p>
    <w:p w14:paraId="0F9A4D91" w14:textId="77777777" w:rsidR="00891CF4" w:rsidRDefault="009F42E3" w:rsidP="000553D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Информационна кампания и етикетиране:</w:t>
      </w:r>
      <w:r>
        <w:rPr>
          <w:rFonts w:ascii="Times New Roman" w:eastAsia="Times New Roman" w:hAnsi="Times New Roman" w:cs="Times New Roman"/>
        </w:rPr>
        <w:t xml:space="preserve"> Като съпътстваща мярка ще се проведе кампания за повишаване на осведомеността на родителите относно </w:t>
      </w:r>
      <w:r>
        <w:rPr>
          <w:rFonts w:ascii="Times New Roman" w:eastAsia="Times New Roman" w:hAnsi="Times New Roman" w:cs="Times New Roman"/>
          <w:lang w:val="bg-BG"/>
        </w:rPr>
        <w:t xml:space="preserve">наличието на </w:t>
      </w:r>
      <w:r>
        <w:rPr>
          <w:rFonts w:ascii="Times New Roman" w:eastAsia="Times New Roman" w:hAnsi="Times New Roman" w:cs="Times New Roman"/>
        </w:rPr>
        <w:t xml:space="preserve">захари в храните. Чрез брошури, социални медии и съдействие от страна на педиатри ще се популяризира разбирането на </w:t>
      </w:r>
      <w:r w:rsidR="003E1087" w:rsidRPr="003E1087">
        <w:rPr>
          <w:rFonts w:ascii="Times New Roman" w:eastAsia="Times New Roman" w:hAnsi="Times New Roman" w:cs="Times New Roman"/>
          <w:lang w:val="bg-BG"/>
        </w:rPr>
        <w:t>етикетите</w:t>
      </w:r>
      <w:r w:rsidR="003E1087">
        <w:rPr>
          <w:rFonts w:ascii="Times New Roman" w:eastAsia="Times New Roman" w:hAnsi="Times New Roman" w:cs="Times New Roman"/>
        </w:rPr>
        <w:t xml:space="preserve"> </w:t>
      </w:r>
      <w:r w:rsidR="003E1087">
        <w:rPr>
          <w:rFonts w:ascii="Times New Roman" w:eastAsia="Times New Roman" w:hAnsi="Times New Roman" w:cs="Times New Roman"/>
          <w:lang w:val="bg-BG"/>
        </w:rPr>
        <w:t>за</w:t>
      </w:r>
      <w:r>
        <w:rPr>
          <w:rFonts w:ascii="Times New Roman" w:eastAsia="Times New Roman" w:hAnsi="Times New Roman" w:cs="Times New Roman"/>
          <w:lang w:val="bg-BG"/>
        </w:rPr>
        <w:t xml:space="preserve"> хранителните стойности </w:t>
      </w:r>
      <w:r>
        <w:rPr>
          <w:rFonts w:ascii="Times New Roman" w:eastAsia="Times New Roman" w:hAnsi="Times New Roman" w:cs="Times New Roman"/>
        </w:rPr>
        <w:t>(колко грама захар съдържа порция от даден продукт) и значението на намаляването на захарта за денталното и общото здраве (вкл. превенция на затлъстяването). Също така, в колаборация с БАБХ и МИИ, ще се обмисли въвеждане на отличителен знак или етикет „</w:t>
      </w:r>
      <w:r>
        <w:rPr>
          <w:rFonts w:ascii="Times New Roman" w:eastAsia="Times New Roman" w:hAnsi="Times New Roman" w:cs="Times New Roman"/>
          <w:b/>
          <w:bCs/>
        </w:rPr>
        <w:t>По-малко захар</w:t>
      </w:r>
      <w:r>
        <w:rPr>
          <w:rFonts w:ascii="Times New Roman" w:eastAsia="Times New Roman" w:hAnsi="Times New Roman" w:cs="Times New Roman"/>
        </w:rPr>
        <w:t>“ за продукти, които отговарят на определени критерии (напр. минимум 5% редукция на захарта спрямо базовия продукт или под определено съдържание на захар). Този подход би стимулирал производителите да подобряват рецептурите си и би улеснил потребителския избор на по-здравословни опции.</w:t>
      </w:r>
    </w:p>
    <w:p w14:paraId="2D9E5D0A" w14:textId="77777777" w:rsidR="00891CF4" w:rsidRDefault="009F42E3" w:rsidP="0038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Очаква се тази политика да допринесе не само за профилактика на кариеса, но и за цялостно по-добро здраве на децата (по-малко наднормено тегло и метаболитни рискове). Мярката е в съответствие с европейските инициативи за здравословно хранене и отговаря на призива на СЗО за ограничаване на свободните захари като част от стратегията за профилактика на незаразните заболявания.</w:t>
      </w:r>
    </w:p>
    <w:p w14:paraId="2F64064D" w14:textId="77777777" w:rsidR="00891CF4" w:rsidRPr="001127A1" w:rsidRDefault="001127A1" w:rsidP="008C6E43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127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V. </w:t>
      </w:r>
      <w:r w:rsidR="009F42E3" w:rsidRPr="001127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Координация, мониторинг и оценка</w:t>
      </w:r>
    </w:p>
    <w:p w14:paraId="2B527E42" w14:textId="77777777" w:rsidR="00891CF4" w:rsidRDefault="009F42E3" w:rsidP="0038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За успешната реализация на програмата ще бъде внедрен ефективен механизъм за управление и проследяване. Министърът на здравеопазването със заповед ще сформира </w:t>
      </w:r>
      <w:r>
        <w:rPr>
          <w:rFonts w:ascii="Times New Roman" w:eastAsia="Times New Roman" w:hAnsi="Times New Roman" w:cs="Times New Roman"/>
          <w:b/>
          <w:bCs/>
        </w:rPr>
        <w:t>Национален координационен съвет (НКС)</w:t>
      </w:r>
      <w:r>
        <w:rPr>
          <w:rFonts w:ascii="Times New Roman" w:eastAsia="Times New Roman" w:hAnsi="Times New Roman" w:cs="Times New Roman"/>
        </w:rPr>
        <w:t xml:space="preserve"> по програмата, който ще се състои от:</w:t>
      </w:r>
    </w:p>
    <w:p w14:paraId="16C26BFE" w14:textId="77777777" w:rsidR="00891CF4" w:rsidRDefault="009F42E3" w:rsidP="003E108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/>
        </w:rPr>
        <w:t xml:space="preserve">Председател: </w:t>
      </w:r>
      <w:r>
        <w:rPr>
          <w:rFonts w:ascii="Times New Roman" w:eastAsia="Times New Roman" w:hAnsi="Times New Roman" w:cs="Times New Roman"/>
          <w:lang w:val="bg-BG"/>
        </w:rPr>
        <w:t>лекар по дентална медицина със специалност "Детска дентална медицина" отговорен за цялостната координация.</w:t>
      </w:r>
    </w:p>
    <w:p w14:paraId="3BB5A3B9" w14:textId="77777777" w:rsidR="00891CF4" w:rsidRDefault="009F42E3" w:rsidP="003E108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Членове:</w:t>
      </w:r>
      <w:r>
        <w:rPr>
          <w:rFonts w:ascii="Times New Roman" w:eastAsia="Times New Roman" w:hAnsi="Times New Roman" w:cs="Times New Roman"/>
        </w:rPr>
        <w:t xml:space="preserve"> представители на </w:t>
      </w:r>
      <w:r>
        <w:rPr>
          <w:rFonts w:ascii="Times New Roman" w:eastAsia="Times New Roman" w:hAnsi="Times New Roman" w:cs="Times New Roman"/>
          <w:lang w:val="bg-BG"/>
        </w:rPr>
        <w:t xml:space="preserve">МЗ, </w:t>
      </w:r>
      <w:r w:rsidR="00381F69">
        <w:rPr>
          <w:rFonts w:ascii="Times New Roman" w:eastAsia="Times New Roman" w:hAnsi="Times New Roman" w:cs="Times New Roman"/>
        </w:rPr>
        <w:t>МОН, МЗХ</w:t>
      </w:r>
      <w:r>
        <w:rPr>
          <w:rFonts w:ascii="Times New Roman" w:eastAsia="Times New Roman" w:hAnsi="Times New Roman" w:cs="Times New Roman"/>
        </w:rPr>
        <w:t>, МИИ, НЦОЗА;</w:t>
      </w:r>
      <w:r>
        <w:rPr>
          <w:rFonts w:ascii="Times New Roman" w:eastAsia="Times New Roman" w:hAnsi="Times New Roman" w:cs="Times New Roman"/>
          <w:lang w:val="bg-BG"/>
        </w:rPr>
        <w:t xml:space="preserve"> лекари по дентална медицина.</w:t>
      </w:r>
    </w:p>
    <w:p w14:paraId="4256CFBE" w14:textId="77777777" w:rsidR="00891CF4" w:rsidRDefault="009F42E3" w:rsidP="0038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НКС </w:t>
      </w:r>
      <w:r>
        <w:rPr>
          <w:rFonts w:ascii="Times New Roman" w:eastAsia="Times New Roman" w:hAnsi="Times New Roman" w:cs="Times New Roman"/>
          <w:lang w:val="bg-BG"/>
        </w:rPr>
        <w:t xml:space="preserve">на своите заседания ще прави </w:t>
      </w:r>
      <w:r>
        <w:rPr>
          <w:rFonts w:ascii="Times New Roman" w:eastAsia="Times New Roman" w:hAnsi="Times New Roman" w:cs="Times New Roman"/>
        </w:rPr>
        <w:t xml:space="preserve">оценка на напредъка, решаване на възникнали проблеми и планиране на предстоящи задачи. </w:t>
      </w:r>
      <w:r>
        <w:rPr>
          <w:rFonts w:ascii="Times New Roman" w:eastAsia="Times New Roman" w:hAnsi="Times New Roman" w:cs="Times New Roman"/>
          <w:b/>
          <w:bCs/>
        </w:rPr>
        <w:t>Регионал</w:t>
      </w:r>
      <w:r>
        <w:rPr>
          <w:rFonts w:ascii="Times New Roman" w:eastAsia="Times New Roman" w:hAnsi="Times New Roman" w:cs="Times New Roman"/>
          <w:b/>
          <w:bCs/>
          <w:lang w:val="bg-BG"/>
        </w:rPr>
        <w:t>ни</w:t>
      </w:r>
      <w:r>
        <w:rPr>
          <w:rFonts w:ascii="Times New Roman" w:eastAsia="Times New Roman" w:hAnsi="Times New Roman" w:cs="Times New Roman"/>
          <w:b/>
          <w:bCs/>
        </w:rPr>
        <w:t xml:space="preserve"> координатор</w:t>
      </w:r>
      <w:r>
        <w:rPr>
          <w:rFonts w:ascii="Times New Roman" w:eastAsia="Times New Roman" w:hAnsi="Times New Roman" w:cs="Times New Roman"/>
          <w:b/>
          <w:bCs/>
          <w:lang w:val="bg-BG"/>
        </w:rPr>
        <w:t>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lang w:val="bg-BG"/>
        </w:rPr>
        <w:t>ЛДМ</w:t>
      </w:r>
      <w:r>
        <w:rPr>
          <w:rFonts w:ascii="Times New Roman" w:eastAsia="Times New Roman" w:hAnsi="Times New Roman" w:cs="Times New Roman"/>
        </w:rPr>
        <w:t xml:space="preserve">, </w:t>
      </w:r>
      <w:r w:rsidR="00F33617" w:rsidRPr="00F33617">
        <w:rPr>
          <w:rFonts w:ascii="Times New Roman" w:eastAsia="Times New Roman" w:hAnsi="Times New Roman" w:cs="Times New Roman"/>
          <w:lang w:val="bg-BG"/>
        </w:rPr>
        <w:t>определени</w:t>
      </w:r>
      <w:r w:rsidR="00F33617">
        <w:rPr>
          <w:rFonts w:ascii="Times New Roman" w:eastAsia="Times New Roman" w:hAnsi="Times New Roman" w:cs="Times New Roman"/>
          <w:lang w:val="bg-BG"/>
        </w:rPr>
        <w:t xml:space="preserve"> </w:t>
      </w:r>
      <w:r w:rsidR="00F33617"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МЗ</w:t>
      </w:r>
      <w:r w:rsidR="00BC4BA7">
        <w:rPr>
          <w:rFonts w:ascii="Times New Roman" w:eastAsia="Times New Roman" w:hAnsi="Times New Roman" w:cs="Times New Roman"/>
        </w:rPr>
        <w:t>)</w:t>
      </w:r>
      <w:r w:rsidR="00BC4BA7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</w:rPr>
        <w:t>ще отговаря</w:t>
      </w:r>
      <w:r>
        <w:rPr>
          <w:rFonts w:ascii="Times New Roman" w:eastAsia="Times New Roman" w:hAnsi="Times New Roman" w:cs="Times New Roman"/>
          <w:lang w:val="bg-BG"/>
        </w:rPr>
        <w:t>т</w:t>
      </w:r>
      <w:r>
        <w:rPr>
          <w:rFonts w:ascii="Times New Roman" w:eastAsia="Times New Roman" w:hAnsi="Times New Roman" w:cs="Times New Roman"/>
        </w:rPr>
        <w:t xml:space="preserve"> за организиране на местните дейности – семинари, училищни инициативи и др., и ще подава</w:t>
      </w:r>
      <w:r>
        <w:rPr>
          <w:rFonts w:ascii="Times New Roman" w:eastAsia="Times New Roman" w:hAnsi="Times New Roman" w:cs="Times New Roman"/>
          <w:lang w:val="bg-BG"/>
        </w:rPr>
        <w:t xml:space="preserve">т </w:t>
      </w:r>
      <w:r>
        <w:rPr>
          <w:rFonts w:ascii="Times New Roman" w:eastAsia="Times New Roman" w:hAnsi="Times New Roman" w:cs="Times New Roman"/>
        </w:rPr>
        <w:t xml:space="preserve"> периодична информация към </w:t>
      </w:r>
      <w:r>
        <w:rPr>
          <w:rFonts w:ascii="Times New Roman" w:eastAsia="Times New Roman" w:hAnsi="Times New Roman" w:cs="Times New Roman"/>
          <w:lang w:val="bg-BG"/>
        </w:rPr>
        <w:t>НКС</w:t>
      </w:r>
      <w:r>
        <w:rPr>
          <w:rFonts w:ascii="Times New Roman" w:eastAsia="Times New Roman" w:hAnsi="Times New Roman" w:cs="Times New Roman"/>
        </w:rPr>
        <w:t>.</w:t>
      </w:r>
    </w:p>
    <w:p w14:paraId="176C7635" w14:textId="77777777" w:rsidR="00891CF4" w:rsidRDefault="009F42E3" w:rsidP="0038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мониторинг на програмата ще се разработи набор от </w:t>
      </w:r>
      <w:r>
        <w:rPr>
          <w:rFonts w:ascii="Times New Roman" w:eastAsia="Times New Roman" w:hAnsi="Times New Roman" w:cs="Times New Roman"/>
          <w:b/>
          <w:bCs/>
        </w:rPr>
        <w:t>показатели за изпълнение</w:t>
      </w:r>
      <w:r>
        <w:rPr>
          <w:rFonts w:ascii="Times New Roman" w:eastAsia="Times New Roman" w:hAnsi="Times New Roman" w:cs="Times New Roman"/>
        </w:rPr>
        <w:t xml:space="preserve"> (ключови индикатори), съответстващи на очакваните резултати (вж. следващия раздел). Данните за тези индикатори ще се събират по следния начин:</w:t>
      </w:r>
    </w:p>
    <w:p w14:paraId="36FF7BFD" w14:textId="77777777" w:rsidR="00891CF4" w:rsidRDefault="005F633E" w:rsidP="003E108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</w:rPr>
        <w:t xml:space="preserve">Регионалните координатори ще изготвят </w:t>
      </w:r>
      <w:r w:rsidR="009F42E3">
        <w:rPr>
          <w:rFonts w:ascii="Times New Roman" w:eastAsia="Times New Roman" w:hAnsi="Times New Roman" w:cs="Times New Roman"/>
          <w:b/>
          <w:bCs/>
          <w:lang w:val="bg-BG"/>
        </w:rPr>
        <w:t xml:space="preserve">по заявка от НКС </w:t>
      </w:r>
      <w:r w:rsidR="009F42E3">
        <w:rPr>
          <w:rFonts w:ascii="Times New Roman" w:eastAsia="Times New Roman" w:hAnsi="Times New Roman" w:cs="Times New Roman"/>
          <w:b/>
          <w:bCs/>
        </w:rPr>
        <w:t>отчети</w:t>
      </w:r>
      <w:r w:rsidR="009F42E3">
        <w:rPr>
          <w:rFonts w:ascii="Times New Roman" w:eastAsia="Times New Roman" w:hAnsi="Times New Roman" w:cs="Times New Roman"/>
        </w:rPr>
        <w:t xml:space="preserve"> за извършените дейности </w:t>
      </w:r>
      <w:r w:rsidR="009F42E3">
        <w:rPr>
          <w:rFonts w:ascii="Times New Roman" w:eastAsia="Times New Roman" w:hAnsi="Times New Roman" w:cs="Times New Roman"/>
          <w:lang w:val="bg-BG"/>
        </w:rPr>
        <w:t>по Програмата.</w:t>
      </w:r>
    </w:p>
    <w:p w14:paraId="02445D40" w14:textId="77777777" w:rsidR="00891CF4" w:rsidRDefault="005F633E" w:rsidP="003E108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</w:rPr>
        <w:t xml:space="preserve">В края на всяка година ще </w:t>
      </w:r>
      <w:r w:rsidR="009F42E3">
        <w:rPr>
          <w:rFonts w:ascii="Times New Roman" w:eastAsia="Times New Roman" w:hAnsi="Times New Roman" w:cs="Times New Roman"/>
          <w:lang w:val="bg-BG"/>
        </w:rPr>
        <w:t xml:space="preserve">се </w:t>
      </w:r>
      <w:r w:rsidR="009F42E3">
        <w:rPr>
          <w:rFonts w:ascii="Times New Roman" w:eastAsia="Times New Roman" w:hAnsi="Times New Roman" w:cs="Times New Roman"/>
        </w:rPr>
        <w:t xml:space="preserve">организира </w:t>
      </w:r>
      <w:r w:rsidR="009F42E3">
        <w:rPr>
          <w:rFonts w:ascii="Times New Roman" w:eastAsia="Times New Roman" w:hAnsi="Times New Roman" w:cs="Times New Roman"/>
          <w:lang w:val="bg-BG"/>
        </w:rPr>
        <w:t>и провежда</w:t>
      </w:r>
      <w:r w:rsidR="009F42E3">
        <w:rPr>
          <w:rFonts w:ascii="Times New Roman" w:eastAsia="Times New Roman" w:hAnsi="Times New Roman" w:cs="Times New Roman"/>
        </w:rPr>
        <w:t xml:space="preserve"> </w:t>
      </w:r>
      <w:r w:rsidR="009F42E3">
        <w:rPr>
          <w:rFonts w:ascii="Times New Roman" w:eastAsia="Times New Roman" w:hAnsi="Times New Roman" w:cs="Times New Roman"/>
          <w:b/>
          <w:bCs/>
        </w:rPr>
        <w:t>Годишен форум</w:t>
      </w:r>
      <w:r w:rsidR="009F42E3">
        <w:rPr>
          <w:rFonts w:ascii="Times New Roman" w:eastAsia="Times New Roman" w:hAnsi="Times New Roman" w:cs="Times New Roman"/>
        </w:rPr>
        <w:t xml:space="preserve"> (в гр. София) с участие на всички заинтересовани страни, на който ще се представят постигнатите резултати за годината, ще се обсъждат трудности и добри практики, и ще се набелязват действия за следващата година. Този форум ще даде публичност на програмата и ще стимулира междуинституционалния обмен.</w:t>
      </w:r>
    </w:p>
    <w:p w14:paraId="13BA068B" w14:textId="77777777" w:rsidR="00891CF4" w:rsidRDefault="005F633E" w:rsidP="003E108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</w:rPr>
        <w:t xml:space="preserve">През </w:t>
      </w:r>
      <w:r w:rsidR="009F42E3">
        <w:rPr>
          <w:rFonts w:ascii="Times New Roman" w:eastAsia="Times New Roman" w:hAnsi="Times New Roman" w:cs="Times New Roman"/>
          <w:lang w:val="bg-BG"/>
        </w:rPr>
        <w:t>2029</w:t>
      </w:r>
      <w:r w:rsidR="00FF4EEF">
        <w:rPr>
          <w:rFonts w:ascii="Times New Roman" w:eastAsia="Times New Roman" w:hAnsi="Times New Roman" w:cs="Times New Roman"/>
          <w:lang w:val="bg-BG"/>
        </w:rPr>
        <w:t xml:space="preserve"> и 2030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lang w:val="bg-BG"/>
        </w:rPr>
        <w:t xml:space="preserve">г. </w:t>
      </w:r>
      <w:r w:rsidR="00FF4EEF">
        <w:rPr>
          <w:rFonts w:ascii="Times New Roman" w:eastAsia="Times New Roman" w:hAnsi="Times New Roman" w:cs="Times New Roman"/>
        </w:rPr>
        <w:t>(последн</w:t>
      </w:r>
      <w:r w:rsidR="00FF4EEF">
        <w:rPr>
          <w:rFonts w:ascii="Times New Roman" w:eastAsia="Times New Roman" w:hAnsi="Times New Roman" w:cs="Times New Roman"/>
          <w:lang w:val="bg-BG"/>
        </w:rPr>
        <w:t>ите две</w:t>
      </w:r>
      <w:r w:rsidR="00FF4EEF">
        <w:rPr>
          <w:rFonts w:ascii="Times New Roman" w:eastAsia="Times New Roman" w:hAnsi="Times New Roman" w:cs="Times New Roman"/>
        </w:rPr>
        <w:t xml:space="preserve"> годин</w:t>
      </w:r>
      <w:r w:rsidR="00FF4EEF">
        <w:rPr>
          <w:rFonts w:ascii="Times New Roman" w:eastAsia="Times New Roman" w:hAnsi="Times New Roman" w:cs="Times New Roman"/>
          <w:lang w:val="bg-BG"/>
        </w:rPr>
        <w:t>и</w:t>
      </w:r>
      <w:r w:rsidR="009F42E3">
        <w:rPr>
          <w:rFonts w:ascii="Times New Roman" w:eastAsia="Times New Roman" w:hAnsi="Times New Roman" w:cs="Times New Roman"/>
        </w:rPr>
        <w:t xml:space="preserve"> на програмата) ще </w:t>
      </w:r>
      <w:r w:rsidR="00BC4BA7">
        <w:rPr>
          <w:rFonts w:ascii="Times New Roman" w:eastAsia="Times New Roman" w:hAnsi="Times New Roman" w:cs="Times New Roman"/>
          <w:lang w:val="bg-BG"/>
        </w:rPr>
        <w:t xml:space="preserve">се </w:t>
      </w:r>
      <w:r w:rsidR="009F42E3">
        <w:rPr>
          <w:rFonts w:ascii="Times New Roman" w:eastAsia="Times New Roman" w:hAnsi="Times New Roman" w:cs="Times New Roman"/>
        </w:rPr>
        <w:t xml:space="preserve">проведе </w:t>
      </w:r>
      <w:r w:rsidR="009F42E3">
        <w:rPr>
          <w:rFonts w:ascii="Times New Roman" w:eastAsia="Times New Roman" w:hAnsi="Times New Roman" w:cs="Times New Roman"/>
          <w:b/>
          <w:bCs/>
        </w:rPr>
        <w:t>епидемиологично проучване</w:t>
      </w:r>
      <w:r w:rsidR="009F42E3">
        <w:rPr>
          <w:rFonts w:ascii="Times New Roman" w:eastAsia="Times New Roman" w:hAnsi="Times New Roman" w:cs="Times New Roman"/>
        </w:rPr>
        <w:t xml:space="preserve"> на оралното здраве за обективна оценка на тенденциите и сравнението им с базовите данни от </w:t>
      </w:r>
      <w:r w:rsidR="009F42E3">
        <w:rPr>
          <w:rFonts w:ascii="Times New Roman" w:eastAsia="Times New Roman" w:hAnsi="Times New Roman" w:cs="Times New Roman"/>
          <w:lang w:val="bg-BG"/>
        </w:rPr>
        <w:t xml:space="preserve">2011 и </w:t>
      </w:r>
      <w:r w:rsidR="009F42E3">
        <w:rPr>
          <w:rFonts w:ascii="Times New Roman" w:eastAsia="Times New Roman" w:hAnsi="Times New Roman" w:cs="Times New Roman"/>
        </w:rPr>
        <w:t>2020 г. Това проучване ще позволи да се изчисли постигнатата редукция на кариеса и да се оцени ефективността на интервенциите (например ефекта от силанизирането чрез сравнение на кариес индексите при деца със и без силанти).</w:t>
      </w:r>
    </w:p>
    <w:p w14:paraId="6299AF01" w14:textId="77777777" w:rsidR="00891CF4" w:rsidRDefault="009F42E3" w:rsidP="003E108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>След приключването на дейностите по Програмата</w:t>
      </w:r>
      <w:r>
        <w:rPr>
          <w:rFonts w:ascii="Times New Roman" w:eastAsia="Times New Roman" w:hAnsi="Times New Roman" w:cs="Times New Roman"/>
        </w:rPr>
        <w:t xml:space="preserve"> НКС ще изготви </w:t>
      </w:r>
      <w:r>
        <w:rPr>
          <w:rFonts w:ascii="Times New Roman" w:eastAsia="Times New Roman" w:hAnsi="Times New Roman" w:cs="Times New Roman"/>
          <w:b/>
          <w:bCs/>
        </w:rPr>
        <w:t xml:space="preserve">финален доклад 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за петгодишния период </w:t>
      </w:r>
      <w:r>
        <w:rPr>
          <w:rFonts w:ascii="Times New Roman" w:eastAsia="Times New Roman" w:hAnsi="Times New Roman" w:cs="Times New Roman"/>
          <w:b/>
          <w:bCs/>
        </w:rPr>
        <w:t>за оценка</w:t>
      </w:r>
      <w:r>
        <w:rPr>
          <w:rFonts w:ascii="Times New Roman" w:eastAsia="Times New Roman" w:hAnsi="Times New Roman" w:cs="Times New Roman"/>
        </w:rPr>
        <w:t xml:space="preserve"> на програмата, включващ анализ на всички индикатори, степента на изпълнение на заложените цели и препоръки. Резултатите от програмата </w:t>
      </w:r>
      <w:r>
        <w:rPr>
          <w:rFonts w:ascii="Times New Roman" w:eastAsia="Times New Roman" w:hAnsi="Times New Roman" w:cs="Times New Roman"/>
          <w:lang w:val="bg-BG"/>
        </w:rPr>
        <w:t>2030</w:t>
      </w:r>
      <w:r w:rsidR="00F33617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г. </w:t>
      </w:r>
      <w:r w:rsidRPr="003E1087">
        <w:rPr>
          <w:rFonts w:ascii="Times New Roman" w:eastAsia="Times New Roman" w:hAnsi="Times New Roman" w:cs="Times New Roman"/>
          <w:lang w:val="bg-BG"/>
        </w:rPr>
        <w:t>ще</w:t>
      </w:r>
      <w:r>
        <w:rPr>
          <w:rFonts w:ascii="Times New Roman" w:eastAsia="Times New Roman" w:hAnsi="Times New Roman" w:cs="Times New Roman"/>
        </w:rPr>
        <w:t xml:space="preserve"> бъдат представени на </w:t>
      </w:r>
      <w:r>
        <w:rPr>
          <w:rFonts w:ascii="Times New Roman" w:eastAsia="Times New Roman" w:hAnsi="Times New Roman" w:cs="Times New Roman"/>
          <w:lang w:val="bg-BG"/>
        </w:rPr>
        <w:t xml:space="preserve">министъра на здравеопазването, </w:t>
      </w:r>
      <w:r>
        <w:rPr>
          <w:rFonts w:ascii="Times New Roman" w:eastAsia="Times New Roman" w:hAnsi="Times New Roman" w:cs="Times New Roman"/>
        </w:rPr>
        <w:t>национални и международни научни форуми и предадени на СЗО за публикуване и вписване в глобалния доклад за орално здраве, което ще допринесе България да участва активно в международния обмен на добри практики.</w:t>
      </w:r>
    </w:p>
    <w:p w14:paraId="3CDBA629" w14:textId="77777777" w:rsidR="00891CF4" w:rsidRDefault="009F42E3" w:rsidP="0038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</w:rPr>
        <w:lastRenderedPageBreak/>
        <w:t>Всички гореописани дейности ще се реализират при спазване на принципите за равнопоставеност</w:t>
      </w:r>
      <w:r>
        <w:rPr>
          <w:rFonts w:ascii="Times New Roman" w:eastAsia="Times New Roman" w:hAnsi="Times New Roman" w:cs="Times New Roman"/>
          <w:lang w:val="bg-BG"/>
        </w:rPr>
        <w:t xml:space="preserve">, </w:t>
      </w:r>
      <w:r>
        <w:rPr>
          <w:rFonts w:ascii="Times New Roman" w:eastAsia="Times New Roman" w:hAnsi="Times New Roman" w:cs="Times New Roman"/>
        </w:rPr>
        <w:t>достъпност</w:t>
      </w:r>
      <w:r>
        <w:rPr>
          <w:rFonts w:ascii="Times New Roman" w:eastAsia="Times New Roman" w:hAnsi="Times New Roman" w:cs="Times New Roman"/>
          <w:lang w:val="bg-BG"/>
        </w:rPr>
        <w:t xml:space="preserve"> и информирано съгласие на родителите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18242D8" w14:textId="77777777" w:rsidR="00891CF4" w:rsidRDefault="00891CF4" w:rsidP="0038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val="bg-BG"/>
        </w:rPr>
      </w:pPr>
    </w:p>
    <w:p w14:paraId="0D4B2B0B" w14:textId="77777777" w:rsidR="00891CF4" w:rsidRPr="001127A1" w:rsidRDefault="001127A1" w:rsidP="0038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VI. </w:t>
      </w:r>
      <w:r w:rsidR="009F42E3" w:rsidRPr="001127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Очаквани резултати и индикатори за мониторинг</w:t>
      </w:r>
    </w:p>
    <w:p w14:paraId="17BEFEEB" w14:textId="77777777" w:rsidR="00891CF4" w:rsidRDefault="009F42E3" w:rsidP="0038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Изпълнението на програмата 2026</w:t>
      </w:r>
      <w:r w:rsidR="00F33617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2030</w:t>
      </w:r>
      <w:r w:rsidR="005F633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г. </w:t>
      </w:r>
      <w:r w:rsidRPr="003E1087">
        <w:rPr>
          <w:rFonts w:ascii="Times New Roman" w:eastAsia="Times New Roman" w:hAnsi="Times New Roman" w:cs="Times New Roman"/>
          <w:lang w:val="bg-BG"/>
        </w:rPr>
        <w:t>се</w:t>
      </w:r>
      <w:r>
        <w:rPr>
          <w:rFonts w:ascii="Times New Roman" w:eastAsia="Times New Roman" w:hAnsi="Times New Roman" w:cs="Times New Roman"/>
        </w:rPr>
        <w:t xml:space="preserve"> очаква да доведе до конкретни подобрения, измерими чрез набор от индикатори. По-долу са формулирани основните очаквани резултати и съответните показатели за мониторинг (с базови стойности и целеви стойности до края на </w:t>
      </w:r>
      <w:r>
        <w:rPr>
          <w:rFonts w:ascii="Times New Roman" w:eastAsia="Times New Roman" w:hAnsi="Times New Roman" w:cs="Times New Roman"/>
          <w:lang w:val="bg-BG"/>
        </w:rPr>
        <w:t>2030г.</w:t>
      </w:r>
      <w:r>
        <w:rPr>
          <w:rFonts w:ascii="Times New Roman" w:eastAsia="Times New Roman" w:hAnsi="Times New Roman" w:cs="Times New Roman"/>
        </w:rPr>
        <w:t>):</w:t>
      </w:r>
    </w:p>
    <w:p w14:paraId="15464083" w14:textId="77777777" w:rsidR="00891CF4" w:rsidRDefault="009F42E3" w:rsidP="00381F69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Намаляване разпространението на зъбния кариес при децата:</w:t>
      </w:r>
      <w:r>
        <w:rPr>
          <w:rFonts w:ascii="Times New Roman" w:eastAsia="Times New Roman" w:hAnsi="Times New Roman" w:cs="Times New Roman"/>
        </w:rPr>
        <w:t xml:space="preserve"> Целта е </w:t>
      </w:r>
      <w:r>
        <w:rPr>
          <w:rFonts w:ascii="Times New Roman" w:eastAsia="Times New Roman" w:hAnsi="Times New Roman" w:cs="Times New Roman"/>
          <w:b/>
          <w:bCs/>
        </w:rPr>
        <w:t>понижаване на кариес-интензитета</w:t>
      </w:r>
      <w:r>
        <w:rPr>
          <w:rFonts w:ascii="Times New Roman" w:eastAsia="Times New Roman" w:hAnsi="Times New Roman" w:cs="Times New Roman"/>
        </w:rPr>
        <w:t xml:space="preserve"> във всички възрастови групи. Индикатори:</w:t>
      </w:r>
    </w:p>
    <w:p w14:paraId="43258B7A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Дял на децата без кариес</w:t>
      </w:r>
      <w:r w:rsidR="009F42E3">
        <w:rPr>
          <w:rFonts w:ascii="Times New Roman" w:eastAsia="Times New Roman" w:hAnsi="Times New Roman" w:cs="Times New Roman"/>
        </w:rPr>
        <w:t xml:space="preserve"> (caries-free) – базово (2020): 5–6 г. ~28,9%; 12 г. ~21,3%; 18 г. ~8,3%. Целева стойност (2029): 5–6 г. ≥35%; 12 г. ≥30%; 18 г. ≥15%.</w:t>
      </w:r>
    </w:p>
    <w:p w14:paraId="12648F68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Среден кариес индекс</w:t>
      </w:r>
      <w:r w:rsidR="009F42E3">
        <w:rPr>
          <w:rFonts w:ascii="Times New Roman" w:eastAsia="Times New Roman" w:hAnsi="Times New Roman" w:cs="Times New Roman"/>
        </w:rPr>
        <w:t xml:space="preserve"> (dmft за временни, DMFT за постоянни зъби) – базово (2020): 5–6 г. ≈4,0; 12 г. ≈3,5; 18 г. ≈6,5 (приблизителни средни стойности). Цел (2029): намаление с поне 10% (относително) на средните стойности във всяка възрастова група.</w:t>
      </w:r>
    </w:p>
    <w:p w14:paraId="36DE3238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Разпространение на гингивит/пародонтоза при 18-г.</w:t>
      </w:r>
      <w:r w:rsidR="009F42E3">
        <w:rPr>
          <w:rFonts w:ascii="Times New Roman" w:eastAsia="Times New Roman" w:hAnsi="Times New Roman" w:cs="Times New Roman"/>
        </w:rPr>
        <w:t xml:space="preserve"> – базово: ~67% имат кървене на венците; цел: &lt;50%.</w:t>
      </w:r>
    </w:p>
    <w:p w14:paraId="053952FB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Дял 18-г. с изваден поне един постоянен зъб</w:t>
      </w:r>
      <w:r w:rsidR="009F42E3">
        <w:rPr>
          <w:rFonts w:ascii="Times New Roman" w:eastAsia="Times New Roman" w:hAnsi="Times New Roman" w:cs="Times New Roman"/>
        </w:rPr>
        <w:t xml:space="preserve"> – базово: 25%; цел: &lt;15%.</w:t>
      </w:r>
    </w:p>
    <w:p w14:paraId="03312959" w14:textId="77777777" w:rsidR="00891CF4" w:rsidRDefault="009F42E3" w:rsidP="003E1087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Увеличаване на обхвата на профилактичните услуги:</w:t>
      </w:r>
      <w:r>
        <w:rPr>
          <w:rFonts w:ascii="Times New Roman" w:eastAsia="Times New Roman" w:hAnsi="Times New Roman" w:cs="Times New Roman"/>
        </w:rPr>
        <w:t xml:space="preserve"> Индикатори:</w:t>
      </w:r>
    </w:p>
    <w:p w14:paraId="100BFDB9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 xml:space="preserve">Брой деца със силанизирани първи </w:t>
      </w:r>
      <w:r w:rsidR="009F42E3">
        <w:rPr>
          <w:rFonts w:ascii="Times New Roman" w:eastAsia="Times New Roman" w:hAnsi="Times New Roman" w:cs="Times New Roman"/>
          <w:i/>
          <w:iCs/>
          <w:lang w:val="bg-BG"/>
        </w:rPr>
        <w:t xml:space="preserve">постоянни </w:t>
      </w:r>
      <w:r w:rsidR="009F42E3">
        <w:rPr>
          <w:rFonts w:ascii="Times New Roman" w:eastAsia="Times New Roman" w:hAnsi="Times New Roman" w:cs="Times New Roman"/>
          <w:i/>
          <w:iCs/>
        </w:rPr>
        <w:t>молари</w:t>
      </w:r>
      <w:r w:rsidR="009F42E3">
        <w:rPr>
          <w:rFonts w:ascii="Times New Roman" w:eastAsia="Times New Roman" w:hAnsi="Times New Roman" w:cs="Times New Roman"/>
        </w:rPr>
        <w:t xml:space="preserve"> – цел: ≥80% от подлежащите деца (5–</w:t>
      </w:r>
      <w:r w:rsidR="000A0724">
        <w:rPr>
          <w:rFonts w:ascii="Times New Roman" w:eastAsia="Times New Roman" w:hAnsi="Times New Roman" w:cs="Times New Roman"/>
          <w:lang w:val="bg-BG"/>
        </w:rPr>
        <w:t>9</w:t>
      </w:r>
      <w:r w:rsidR="009F42E3">
        <w:rPr>
          <w:rFonts w:ascii="Times New Roman" w:eastAsia="Times New Roman" w:hAnsi="Times New Roman" w:cs="Times New Roman"/>
        </w:rPr>
        <w:t xml:space="preserve"> г.) да имат поне един силанизиран молар; конкретно</w:t>
      </w:r>
      <w:r w:rsidR="00777950">
        <w:rPr>
          <w:rFonts w:ascii="Times New Roman" w:eastAsia="Times New Roman" w:hAnsi="Times New Roman" w:cs="Times New Roman"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lang w:val="bg-BG"/>
        </w:rPr>
        <w:t xml:space="preserve">към </w:t>
      </w:r>
      <w:r w:rsidR="009F42E3">
        <w:rPr>
          <w:rFonts w:ascii="Times New Roman" w:eastAsia="Times New Roman" w:hAnsi="Times New Roman" w:cs="Times New Roman"/>
        </w:rPr>
        <w:t xml:space="preserve">20 000 годишно </w:t>
      </w:r>
      <w:r w:rsidR="009F42E3">
        <w:rPr>
          <w:rFonts w:ascii="Times New Roman" w:eastAsia="Times New Roman" w:hAnsi="Times New Roman" w:cs="Times New Roman"/>
          <w:lang w:val="bg-BG"/>
        </w:rPr>
        <w:t>силанизирани</w:t>
      </w:r>
      <w:r w:rsidR="009F42E3">
        <w:rPr>
          <w:rFonts w:ascii="Times New Roman" w:eastAsia="Times New Roman" w:hAnsi="Times New Roman" w:cs="Times New Roman"/>
        </w:rPr>
        <w:t xml:space="preserve"> </w:t>
      </w:r>
      <w:r w:rsidR="009F42E3">
        <w:rPr>
          <w:rFonts w:ascii="Times New Roman" w:eastAsia="Times New Roman" w:hAnsi="Times New Roman" w:cs="Times New Roman"/>
          <w:lang w:val="bg-BG"/>
        </w:rPr>
        <w:t>зъба</w:t>
      </w:r>
      <w:r w:rsidR="009F42E3">
        <w:rPr>
          <w:rFonts w:ascii="Times New Roman" w:eastAsia="Times New Roman" w:hAnsi="Times New Roman" w:cs="Times New Roman"/>
        </w:rPr>
        <w:t xml:space="preserve">. Ще се следи и </w:t>
      </w:r>
      <w:r w:rsidR="009F42E3">
        <w:rPr>
          <w:rFonts w:ascii="Times New Roman" w:eastAsia="Times New Roman" w:hAnsi="Times New Roman" w:cs="Times New Roman"/>
          <w:i/>
          <w:iCs/>
        </w:rPr>
        <w:t>брой поставени силанти</w:t>
      </w:r>
      <w:r w:rsidR="009F42E3">
        <w:rPr>
          <w:rFonts w:ascii="Times New Roman" w:eastAsia="Times New Roman" w:hAnsi="Times New Roman" w:cs="Times New Roman"/>
        </w:rPr>
        <w:t xml:space="preserve"> общо (цел за периода: &gt;</w:t>
      </w:r>
      <w:r w:rsidR="009F42E3">
        <w:rPr>
          <w:rFonts w:ascii="Times New Roman" w:eastAsia="Times New Roman" w:hAnsi="Times New Roman" w:cs="Times New Roman"/>
          <w:lang w:val="bg-BG"/>
        </w:rPr>
        <w:t xml:space="preserve">100 </w:t>
      </w:r>
      <w:r w:rsidR="009F42E3">
        <w:rPr>
          <w:rFonts w:ascii="Times New Roman" w:eastAsia="Times New Roman" w:hAnsi="Times New Roman" w:cs="Times New Roman"/>
        </w:rPr>
        <w:t>000 силанта върху постоянни зъби).</w:t>
      </w:r>
    </w:p>
    <w:p w14:paraId="37115323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Дял на децата, миещи зъбите си 2 пъти дневно</w:t>
      </w:r>
      <w:r w:rsidR="009F42E3">
        <w:rPr>
          <w:rFonts w:ascii="Times New Roman" w:eastAsia="Times New Roman" w:hAnsi="Times New Roman" w:cs="Times New Roman"/>
        </w:rPr>
        <w:t xml:space="preserve"> – базово: (данни от анкети 2020, напр. ~50%); цел: ≥75% от децата над 6 г. да практикуват редовно двукратно четкане с паста.</w:t>
      </w:r>
    </w:p>
    <w:p w14:paraId="2EAF47A6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Дял на децата, използващи флуорирана паста</w:t>
      </w:r>
      <w:r w:rsidR="009F42E3">
        <w:rPr>
          <w:rFonts w:ascii="Times New Roman" w:eastAsia="Times New Roman" w:hAnsi="Times New Roman" w:cs="Times New Roman"/>
        </w:rPr>
        <w:t xml:space="preserve"> – базово: (повечето градски деца, по-малко в селата); цел: ≥90% национално покритие с употреба на подходяща за възрастта флуорна паста.</w:t>
      </w:r>
    </w:p>
    <w:p w14:paraId="155C6E4B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Потребление на захар</w:t>
      </w:r>
      <w:r w:rsidR="009F42E3">
        <w:rPr>
          <w:rFonts w:ascii="Times New Roman" w:eastAsia="Times New Roman" w:hAnsi="Times New Roman" w:cs="Times New Roman"/>
        </w:rPr>
        <w:t>: среден дневен прием на свободни захари при деца (по данни на национални хранителни проучвания) – базово: ~15% от калориите; цел: &lt;10% от калориите (приближаване към препоръките на СЗО).</w:t>
      </w:r>
    </w:p>
    <w:p w14:paraId="15FFF58F" w14:textId="77777777" w:rsidR="00891CF4" w:rsidRDefault="009F42E3" w:rsidP="00381F69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Повишена информираност и ангажираност на населението:</w:t>
      </w:r>
      <w:r>
        <w:rPr>
          <w:rFonts w:ascii="Times New Roman" w:eastAsia="Times New Roman" w:hAnsi="Times New Roman" w:cs="Times New Roman"/>
        </w:rPr>
        <w:t xml:space="preserve"> Индикатори:</w:t>
      </w:r>
    </w:p>
    <w:p w14:paraId="177C3F46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lastRenderedPageBreak/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Дял родители, запознати с основите на профилактиката</w:t>
      </w:r>
      <w:r w:rsidR="009F42E3">
        <w:rPr>
          <w:rFonts w:ascii="Times New Roman" w:eastAsia="Times New Roman" w:hAnsi="Times New Roman" w:cs="Times New Roman"/>
        </w:rPr>
        <w:t xml:space="preserve"> – според </w:t>
      </w:r>
      <w:r w:rsidR="009F42E3">
        <w:rPr>
          <w:rFonts w:ascii="Times New Roman" w:eastAsia="Times New Roman" w:hAnsi="Times New Roman" w:cs="Times New Roman"/>
          <w:lang w:val="bg-BG"/>
        </w:rPr>
        <w:t xml:space="preserve">участници в програмата, </w:t>
      </w:r>
      <w:r w:rsidR="009F42E3">
        <w:rPr>
          <w:rFonts w:ascii="Times New Roman" w:eastAsia="Times New Roman" w:hAnsi="Times New Roman" w:cs="Times New Roman"/>
        </w:rPr>
        <w:t>проучване/анкета: цел: родителите да са наясно със значението на силанизирането, флуора и ограничаването на захарта (базово 85% за силанти, стремеж към ръст).</w:t>
      </w:r>
    </w:p>
    <w:p w14:paraId="14942F7B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Брой достигнати лица чрез обучения</w:t>
      </w:r>
      <w:r w:rsidR="009F42E3">
        <w:rPr>
          <w:rFonts w:ascii="Times New Roman" w:eastAsia="Times New Roman" w:hAnsi="Times New Roman" w:cs="Times New Roman"/>
        </w:rPr>
        <w:t xml:space="preserve"> – сумарно </w:t>
      </w:r>
      <w:r w:rsidR="009F42E3">
        <w:rPr>
          <w:rFonts w:ascii="Times New Roman" w:eastAsia="Times New Roman" w:hAnsi="Times New Roman" w:cs="Times New Roman"/>
          <w:lang w:val="bg-BG"/>
        </w:rPr>
        <w:t xml:space="preserve">се оценява обхватът на </w:t>
      </w:r>
      <w:r w:rsidR="009F42E3">
        <w:rPr>
          <w:rFonts w:ascii="Times New Roman" w:eastAsia="Times New Roman" w:hAnsi="Times New Roman" w:cs="Times New Roman"/>
        </w:rPr>
        <w:t xml:space="preserve">родители, учители и деца участвали присъствено в семинари/лекции за периода (по отчети). </w:t>
      </w:r>
    </w:p>
    <w:p w14:paraId="13EE4D5D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Посещаемост на уебсайта и онлайн материали</w:t>
      </w:r>
      <w:r w:rsidR="009F42E3">
        <w:rPr>
          <w:rFonts w:ascii="Times New Roman" w:eastAsia="Times New Roman" w:hAnsi="Times New Roman" w:cs="Times New Roman"/>
        </w:rPr>
        <w:t xml:space="preserve"> – цел: поне 100 000 посещения на сайта годишно.</w:t>
      </w:r>
    </w:p>
    <w:p w14:paraId="381AADCC" w14:textId="77777777" w:rsidR="00891CF4" w:rsidRDefault="009F42E3" w:rsidP="00381F69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Мониторинг и оценк</w:t>
      </w:r>
      <w:r w:rsidR="00C55B28">
        <w:rPr>
          <w:rFonts w:ascii="Times New Roman" w:eastAsia="Times New Roman" w:hAnsi="Times New Roman" w:cs="Times New Roman"/>
          <w:b/>
          <w:bCs/>
          <w:lang w:val="bg-BG"/>
        </w:rPr>
        <w:t>а:</w:t>
      </w:r>
    </w:p>
    <w:p w14:paraId="728A29BF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Проведени проучвания</w:t>
      </w:r>
      <w:r w:rsidR="009F42E3">
        <w:rPr>
          <w:rFonts w:ascii="Times New Roman" w:eastAsia="Times New Roman" w:hAnsi="Times New Roman" w:cs="Times New Roman"/>
        </w:rPr>
        <w:t xml:space="preserve"> – изпълнен епидемиологичен преглед </w:t>
      </w:r>
      <w:r w:rsidR="000A0724">
        <w:rPr>
          <w:rFonts w:ascii="Times New Roman" w:eastAsia="Times New Roman" w:hAnsi="Times New Roman" w:cs="Times New Roman"/>
          <w:lang w:val="bg-BG"/>
        </w:rPr>
        <w:t xml:space="preserve">2026, </w:t>
      </w:r>
      <w:r w:rsidR="009F42E3">
        <w:rPr>
          <w:rFonts w:ascii="Times New Roman" w:eastAsia="Times New Roman" w:hAnsi="Times New Roman" w:cs="Times New Roman"/>
          <w:lang w:val="bg-BG"/>
        </w:rPr>
        <w:t>2029</w:t>
      </w:r>
      <w:r w:rsidR="00FF4EEF">
        <w:rPr>
          <w:rFonts w:ascii="Times New Roman" w:eastAsia="Times New Roman" w:hAnsi="Times New Roman" w:cs="Times New Roman"/>
          <w:lang w:val="bg-BG"/>
        </w:rPr>
        <w:t xml:space="preserve"> и 2030</w:t>
      </w:r>
      <w:r w:rsidR="00381F69">
        <w:rPr>
          <w:rFonts w:ascii="Times New Roman" w:eastAsia="Times New Roman" w:hAnsi="Times New Roman" w:cs="Times New Roman"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lang w:val="bg-BG"/>
        </w:rPr>
        <w:t>г.</w:t>
      </w:r>
      <w:r w:rsidR="009F42E3">
        <w:rPr>
          <w:rFonts w:ascii="Times New Roman" w:eastAsia="Times New Roman" w:hAnsi="Times New Roman" w:cs="Times New Roman"/>
        </w:rPr>
        <w:t xml:space="preserve"> брой деца, обхванати в него (цел: &gt;5 000).</w:t>
      </w:r>
    </w:p>
    <w:p w14:paraId="39707EE5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Годишни доклади</w:t>
      </w:r>
      <w:r w:rsidR="009F42E3">
        <w:rPr>
          <w:rFonts w:ascii="Times New Roman" w:eastAsia="Times New Roman" w:hAnsi="Times New Roman" w:cs="Times New Roman"/>
        </w:rPr>
        <w:t xml:space="preserve"> – изготвен отчет всяка година (цел: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</w:rPr>
        <w:t xml:space="preserve">5 от 5 години с отчет, одобрен от НКС и представен </w:t>
      </w:r>
      <w:r w:rsidR="009F42E3">
        <w:rPr>
          <w:rFonts w:ascii="Times New Roman" w:eastAsia="Times New Roman" w:hAnsi="Times New Roman" w:cs="Times New Roman"/>
          <w:lang w:val="bg-BG"/>
        </w:rPr>
        <w:t>на министъра на здравеопазването</w:t>
      </w:r>
      <w:r w:rsidR="009F42E3">
        <w:rPr>
          <w:rFonts w:ascii="Times New Roman" w:eastAsia="Times New Roman" w:hAnsi="Times New Roman" w:cs="Times New Roman"/>
        </w:rPr>
        <w:t>).</w:t>
      </w:r>
    </w:p>
    <w:p w14:paraId="2BC0F06F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Финален доклад</w:t>
      </w:r>
      <w:r w:rsidR="009F42E3">
        <w:rPr>
          <w:rFonts w:ascii="Times New Roman" w:eastAsia="Times New Roman" w:hAnsi="Times New Roman" w:cs="Times New Roman"/>
        </w:rPr>
        <w:t xml:space="preserve">– представен в срок до 31 </w:t>
      </w:r>
      <w:r w:rsidR="009F42E3">
        <w:rPr>
          <w:rFonts w:ascii="Times New Roman" w:eastAsia="Times New Roman" w:hAnsi="Times New Roman" w:cs="Times New Roman"/>
          <w:lang w:val="bg-BG"/>
        </w:rPr>
        <w:t xml:space="preserve">март </w:t>
      </w:r>
      <w:r w:rsidR="00C55B28">
        <w:rPr>
          <w:rFonts w:ascii="Times New Roman" w:eastAsia="Times New Roman" w:hAnsi="Times New Roman" w:cs="Times New Roman"/>
        </w:rPr>
        <w:t>2031</w:t>
      </w:r>
      <w:r w:rsidR="00412CCF">
        <w:rPr>
          <w:rFonts w:ascii="Times New Roman" w:eastAsia="Times New Roman" w:hAnsi="Times New Roman" w:cs="Times New Roman"/>
        </w:rPr>
        <w:t xml:space="preserve"> </w:t>
      </w:r>
      <w:r w:rsidR="00C55B28">
        <w:rPr>
          <w:rFonts w:ascii="Times New Roman" w:eastAsia="Times New Roman" w:hAnsi="Times New Roman" w:cs="Times New Roman"/>
        </w:rPr>
        <w:t>г</w:t>
      </w:r>
      <w:r w:rsidR="009F42E3">
        <w:rPr>
          <w:rFonts w:ascii="Times New Roman" w:eastAsia="Times New Roman" w:hAnsi="Times New Roman" w:cs="Times New Roman"/>
        </w:rPr>
        <w:t>.</w:t>
      </w:r>
    </w:p>
    <w:p w14:paraId="23D4929D" w14:textId="77777777" w:rsidR="00891CF4" w:rsidRDefault="005F633E" w:rsidP="003E108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9F42E3">
        <w:rPr>
          <w:rFonts w:ascii="Times New Roman" w:eastAsia="Times New Roman" w:hAnsi="Times New Roman" w:cs="Times New Roman"/>
          <w:i/>
          <w:iCs/>
        </w:rPr>
        <w:t>Участие в международни инициативи.</w:t>
      </w:r>
    </w:p>
    <w:p w14:paraId="2D096508" w14:textId="77777777" w:rsidR="00891CF4" w:rsidRDefault="009F42E3" w:rsidP="00C55B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>О</w:t>
      </w:r>
      <w:r w:rsidR="0079069F">
        <w:rPr>
          <w:rFonts w:ascii="Times New Roman" w:eastAsia="Times New Roman" w:hAnsi="Times New Roman" w:cs="Times New Roman"/>
          <w:lang w:val="bg-BG"/>
        </w:rPr>
        <w:t>т п</w:t>
      </w:r>
      <w:r>
        <w:rPr>
          <w:rFonts w:ascii="Times New Roman" w:eastAsia="Times New Roman" w:hAnsi="Times New Roman" w:cs="Times New Roman"/>
        </w:rPr>
        <w:t>остигането на горните резултати ще демонстрира ефективността на програмата. В дългосрочен план се очаква устойчиво подобрение на оралното здраве – по-малко кариеси, по-здрави венци, по-малко нужда от лечения и екстракции – което ще допринесе и за цялостното здраве и благополучие на детското население.</w:t>
      </w:r>
    </w:p>
    <w:p w14:paraId="5C75AF22" w14:textId="77777777" w:rsidR="00891CF4" w:rsidRDefault="00891CF4">
      <w:pPr>
        <w:spacing w:before="100" w:after="100" w:line="240" w:lineRule="auto"/>
        <w:jc w:val="both"/>
        <w:rPr>
          <w:rFonts w:ascii="Times New Roman" w:eastAsia="Times New Roman" w:hAnsi="Times New Roman" w:cs="Times New Roman"/>
        </w:rPr>
      </w:pPr>
    </w:p>
    <w:p w14:paraId="29CC9347" w14:textId="77777777" w:rsidR="00777950" w:rsidRPr="001C4208" w:rsidRDefault="00777950" w:rsidP="00777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lang w:eastAsia="bg-BG"/>
        </w:rPr>
      </w:pPr>
      <w:r w:rsidRPr="001C4208">
        <w:rPr>
          <w:rFonts w:ascii="Times New Roman" w:hAnsi="Times New Roman"/>
          <w:b/>
          <w:bCs/>
          <w:lang w:eastAsia="bg-BG"/>
        </w:rPr>
        <w:t xml:space="preserve">VII. </w:t>
      </w:r>
      <w:r>
        <w:rPr>
          <w:rFonts w:ascii="Times New Roman" w:hAnsi="Times New Roman"/>
          <w:b/>
          <w:bCs/>
          <w:lang w:val="bg-BG" w:eastAsia="bg-BG"/>
        </w:rPr>
        <w:t>РАБОТНА ПРОГРАМА</w:t>
      </w:r>
      <w:r w:rsidRPr="001C4208">
        <w:rPr>
          <w:rFonts w:ascii="Times New Roman" w:hAnsi="Times New Roman"/>
          <w:b/>
          <w:bCs/>
          <w:lang w:eastAsia="bg-BG"/>
        </w:rPr>
        <w:t xml:space="preserve"> И ФИНАНСОВ ПЛАН</w:t>
      </w:r>
    </w:p>
    <w:p w14:paraId="283AE229" w14:textId="77777777" w:rsidR="00891CF4" w:rsidRPr="00777950" w:rsidRDefault="00777950" w:rsidP="00777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lang w:eastAsia="bg-BG"/>
        </w:rPr>
      </w:pPr>
      <w:r w:rsidRPr="00F56443">
        <w:rPr>
          <w:rFonts w:ascii="Times New Roman" w:hAnsi="Times New Roman"/>
          <w:bCs/>
          <w:lang w:eastAsia="bg-BG"/>
        </w:rPr>
        <w:t xml:space="preserve">Въз основа на приоритетите </w:t>
      </w:r>
      <w:r>
        <w:rPr>
          <w:rFonts w:ascii="Times New Roman" w:hAnsi="Times New Roman"/>
          <w:bCs/>
          <w:lang w:val="bg-BG" w:eastAsia="bg-BG"/>
        </w:rPr>
        <w:t>посочени в Националната програма са</w:t>
      </w:r>
      <w:r w:rsidRPr="00F56443">
        <w:rPr>
          <w:rFonts w:ascii="Times New Roman" w:hAnsi="Times New Roman"/>
          <w:bCs/>
          <w:lang w:eastAsia="bg-BG"/>
        </w:rPr>
        <w:t xml:space="preserve"> съставен</w:t>
      </w:r>
      <w:r>
        <w:rPr>
          <w:rFonts w:ascii="Times New Roman" w:hAnsi="Times New Roman"/>
          <w:bCs/>
          <w:lang w:val="bg-BG" w:eastAsia="bg-BG"/>
        </w:rPr>
        <w:t>и</w:t>
      </w:r>
      <w:r w:rsidRPr="00F56443">
        <w:rPr>
          <w:rFonts w:ascii="Times New Roman" w:hAnsi="Times New Roman"/>
          <w:bCs/>
          <w:lang w:eastAsia="bg-BG"/>
        </w:rPr>
        <w:t xml:space="preserve"> </w:t>
      </w:r>
      <w:r>
        <w:rPr>
          <w:rFonts w:ascii="Times New Roman" w:hAnsi="Times New Roman"/>
          <w:bCs/>
          <w:lang w:val="bg-BG" w:eastAsia="bg-BG"/>
        </w:rPr>
        <w:t>Работна програма</w:t>
      </w:r>
      <w:r w:rsidRPr="00F56443">
        <w:rPr>
          <w:rFonts w:ascii="Times New Roman" w:hAnsi="Times New Roman"/>
          <w:bCs/>
          <w:lang w:eastAsia="bg-BG"/>
        </w:rPr>
        <w:t xml:space="preserve"> (Приложение № 1) и Финансов план (Приложение № 2), съдържащи съответно информация за конкретните дейности, сроковете за тяхното изпълнение, изпълнители, </w:t>
      </w:r>
      <w:r>
        <w:rPr>
          <w:rFonts w:ascii="Times New Roman" w:hAnsi="Times New Roman"/>
          <w:bCs/>
          <w:lang w:eastAsia="bg-BG"/>
        </w:rPr>
        <w:t>резултати и финансови ресурси.</w:t>
      </w:r>
    </w:p>
    <w:sectPr w:rsidR="00891CF4" w:rsidRPr="00777950" w:rsidSect="00D3284D">
      <w:footerReference w:type="default" r:id="rId13"/>
      <w:pgSz w:w="12240" w:h="15840"/>
      <w:pgMar w:top="1276" w:right="1041" w:bottom="709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E4D2" w14:textId="77777777" w:rsidR="00944C76" w:rsidRDefault="00944C76">
      <w:pPr>
        <w:spacing w:after="0" w:line="240" w:lineRule="auto"/>
      </w:pPr>
      <w:r>
        <w:separator/>
      </w:r>
    </w:p>
  </w:endnote>
  <w:endnote w:type="continuationSeparator" w:id="0">
    <w:p w14:paraId="5BDB8DBA" w14:textId="77777777" w:rsidR="00944C76" w:rsidRDefault="0094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0B1B" w14:textId="77777777" w:rsidR="00891CF4" w:rsidRDefault="009F42E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270D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8C84" w14:textId="77777777" w:rsidR="00944C76" w:rsidRDefault="00944C76">
      <w:pPr>
        <w:spacing w:after="0" w:line="240" w:lineRule="auto"/>
      </w:pPr>
      <w:r>
        <w:separator/>
      </w:r>
    </w:p>
  </w:footnote>
  <w:footnote w:type="continuationSeparator" w:id="0">
    <w:p w14:paraId="06CD7BD5" w14:textId="77777777" w:rsidR="00944C76" w:rsidRDefault="00944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D96"/>
    <w:multiLevelType w:val="multilevel"/>
    <w:tmpl w:val="6190389A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vanish w:val="0"/>
        <w:color w:val="000000" w:themeColor="text1"/>
        <w:spacing w:val="0"/>
        <w:w w:val="100"/>
        <w:position w:val="0"/>
        <w:sz w:val="30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0B2A73FE"/>
    <w:multiLevelType w:val="multilevel"/>
    <w:tmpl w:val="66FC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C4F7E"/>
    <w:multiLevelType w:val="multilevel"/>
    <w:tmpl w:val="A986E73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vanish w:val="0"/>
        <w:color w:val="000000" w:themeColor="text1"/>
        <w:spacing w:val="0"/>
        <w:w w:val="100"/>
        <w:position w:val="0"/>
        <w:sz w:val="36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"/>
      <w:lvlJc w:val="left"/>
      <w:pPr>
        <w:ind w:left="1440" w:hanging="360"/>
      </w:pPr>
    </w:lvl>
    <w:lvl w:ilvl="2" w:tentative="1">
      <w:start w:val="1"/>
      <w:numFmt w:val="bullet"/>
      <w:lvlText w:val=""/>
      <w:lvlJc w:val="left"/>
      <w:pPr>
        <w:ind w:left="2160" w:hanging="360"/>
      </w:pPr>
    </w:lvl>
    <w:lvl w:ilvl="3" w:tentative="1">
      <w:start w:val="1"/>
      <w:numFmt w:val="bullet"/>
      <w:lvlText w:val=""/>
      <w:lvlJc w:val="left"/>
      <w:pPr>
        <w:ind w:left="2880" w:hanging="360"/>
      </w:pPr>
    </w:lvl>
    <w:lvl w:ilvl="4" w:tentative="1">
      <w:start w:val="1"/>
      <w:numFmt w:val="bullet"/>
      <w:lvlText w:val=""/>
      <w:lvlJc w:val="left"/>
      <w:pPr>
        <w:ind w:left="3600" w:hanging="360"/>
      </w:pPr>
    </w:lvl>
    <w:lvl w:ilvl="5" w:tentative="1">
      <w:start w:val="1"/>
      <w:numFmt w:val="bullet"/>
      <w:lvlText w:val=""/>
      <w:lvlJc w:val="left"/>
      <w:pPr>
        <w:ind w:left="4320" w:hanging="360"/>
      </w:pPr>
    </w:lvl>
    <w:lvl w:ilvl="6" w:tentative="1">
      <w:start w:val="1"/>
      <w:numFmt w:val="bullet"/>
      <w:lvlText w:val=""/>
      <w:lvlJc w:val="left"/>
      <w:pPr>
        <w:ind w:left="5040" w:hanging="360"/>
      </w:pPr>
    </w:lvl>
    <w:lvl w:ilvl="7" w:tentative="1">
      <w:start w:val="1"/>
      <w:numFmt w:val="bullet"/>
      <w:lvlText w:val=""/>
      <w:lvlJc w:val="left"/>
      <w:pPr>
        <w:ind w:left="5760" w:hanging="360"/>
      </w:pPr>
    </w:lvl>
    <w:lvl w:ilvl="8" w:tentative="1">
      <w:start w:val="1"/>
      <w:numFmt w:val="bullet"/>
      <w:lvlText w:val=""/>
      <w:lvlJc w:val="left"/>
      <w:pPr>
        <w:ind w:left="6480" w:hanging="360"/>
      </w:pPr>
    </w:lvl>
  </w:abstractNum>
  <w:abstractNum w:abstractNumId="3" w15:restartNumberingAfterBreak="0">
    <w:nsid w:val="36FE6A3E"/>
    <w:multiLevelType w:val="multilevel"/>
    <w:tmpl w:val="1EB21464"/>
    <w:lvl w:ilvl="0" w:tentative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vanish w:val="0"/>
        <w:color w:val="000000" w:themeColor="text1"/>
        <w:spacing w:val="0"/>
        <w:w w:val="100"/>
        <w:position w:val="0"/>
        <w:sz w:val="36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"/>
      <w:lvlJc w:val="left"/>
      <w:pPr>
        <w:ind w:left="1440" w:hanging="360"/>
      </w:pPr>
    </w:lvl>
    <w:lvl w:ilvl="2" w:tentative="1">
      <w:start w:val="1"/>
      <w:numFmt w:val="bullet"/>
      <w:lvlText w:val=""/>
      <w:lvlJc w:val="left"/>
      <w:pPr>
        <w:ind w:left="2160" w:hanging="360"/>
      </w:pPr>
    </w:lvl>
    <w:lvl w:ilvl="3" w:tentative="1">
      <w:start w:val="1"/>
      <w:numFmt w:val="bullet"/>
      <w:lvlText w:val=""/>
      <w:lvlJc w:val="left"/>
      <w:pPr>
        <w:ind w:left="2880" w:hanging="360"/>
      </w:pPr>
    </w:lvl>
    <w:lvl w:ilvl="4" w:tentative="1">
      <w:start w:val="1"/>
      <w:numFmt w:val="bullet"/>
      <w:lvlText w:val=""/>
      <w:lvlJc w:val="left"/>
      <w:pPr>
        <w:ind w:left="3600" w:hanging="360"/>
      </w:pPr>
    </w:lvl>
    <w:lvl w:ilvl="5" w:tentative="1">
      <w:start w:val="1"/>
      <w:numFmt w:val="bullet"/>
      <w:lvlText w:val=""/>
      <w:lvlJc w:val="left"/>
      <w:pPr>
        <w:ind w:left="4320" w:hanging="360"/>
      </w:pPr>
    </w:lvl>
    <w:lvl w:ilvl="6" w:tentative="1">
      <w:start w:val="1"/>
      <w:numFmt w:val="bullet"/>
      <w:lvlText w:val=""/>
      <w:lvlJc w:val="left"/>
      <w:pPr>
        <w:ind w:left="5040" w:hanging="360"/>
      </w:pPr>
    </w:lvl>
    <w:lvl w:ilvl="7" w:tentative="1">
      <w:start w:val="1"/>
      <w:numFmt w:val="bullet"/>
      <w:lvlText w:val=""/>
      <w:lvlJc w:val="left"/>
      <w:pPr>
        <w:ind w:left="5760" w:hanging="360"/>
      </w:pPr>
    </w:lvl>
    <w:lvl w:ilvl="8" w:tentative="1">
      <w:start w:val="1"/>
      <w:numFmt w:val="bullet"/>
      <w:lvlText w:val=""/>
      <w:lvlJc w:val="left"/>
      <w:pPr>
        <w:ind w:left="6480" w:hanging="360"/>
      </w:pPr>
    </w:lvl>
  </w:abstractNum>
  <w:abstractNum w:abstractNumId="4" w15:restartNumberingAfterBreak="0">
    <w:nsid w:val="494B01AB"/>
    <w:multiLevelType w:val="hybridMultilevel"/>
    <w:tmpl w:val="37901880"/>
    <w:lvl w:ilvl="0" w:tplc="3D22CE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EF41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FC7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4C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C2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8C4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61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A0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62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7014A"/>
    <w:multiLevelType w:val="hybridMultilevel"/>
    <w:tmpl w:val="4A0ADF42"/>
    <w:lvl w:ilvl="0" w:tplc="71903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74C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8F80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668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8C8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6282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104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474B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BDCF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E41737"/>
    <w:multiLevelType w:val="multilevel"/>
    <w:tmpl w:val="4558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trike w:val="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B3346"/>
    <w:multiLevelType w:val="multilevel"/>
    <w:tmpl w:val="9AD8D66A"/>
    <w:lvl w:ilvl="0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vanish w:val="0"/>
        <w:color w:val="000000" w:themeColor="text1"/>
        <w:spacing w:val="0"/>
        <w:w w:val="100"/>
        <w:position w:val="0"/>
        <w:sz w:val="36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8" w15:restartNumberingAfterBreak="0">
    <w:nsid w:val="55184974"/>
    <w:multiLevelType w:val="multilevel"/>
    <w:tmpl w:val="3ECE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07B0D"/>
    <w:multiLevelType w:val="hybridMultilevel"/>
    <w:tmpl w:val="FFC4B9C0"/>
    <w:lvl w:ilvl="0" w:tplc="ABB827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ECCE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F2B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2C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A6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87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A6B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D03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F14A4"/>
    <w:multiLevelType w:val="multilevel"/>
    <w:tmpl w:val="7206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A5088F"/>
    <w:multiLevelType w:val="hybridMultilevel"/>
    <w:tmpl w:val="EAA68CF4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64794430">
    <w:abstractNumId w:val="10"/>
  </w:num>
  <w:num w:numId="2" w16cid:durableId="1855607829">
    <w:abstractNumId w:val="6"/>
  </w:num>
  <w:num w:numId="3" w16cid:durableId="2077967686">
    <w:abstractNumId w:val="1"/>
  </w:num>
  <w:num w:numId="4" w16cid:durableId="2091735282">
    <w:abstractNumId w:val="8"/>
  </w:num>
  <w:num w:numId="5" w16cid:durableId="469591217">
    <w:abstractNumId w:val="9"/>
  </w:num>
  <w:num w:numId="6" w16cid:durableId="1027756588">
    <w:abstractNumId w:val="4"/>
  </w:num>
  <w:num w:numId="7" w16cid:durableId="2099281620">
    <w:abstractNumId w:val="7"/>
  </w:num>
  <w:num w:numId="8" w16cid:durableId="1635133686">
    <w:abstractNumId w:val="0"/>
  </w:num>
  <w:num w:numId="9" w16cid:durableId="1738168292">
    <w:abstractNumId w:val="3"/>
  </w:num>
  <w:num w:numId="10" w16cid:durableId="1464154893">
    <w:abstractNumId w:val="5"/>
  </w:num>
  <w:num w:numId="11" w16cid:durableId="2140536946">
    <w:abstractNumId w:val="2"/>
  </w:num>
  <w:num w:numId="12" w16cid:durableId="393310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7B"/>
    <w:rsid w:val="00000F1A"/>
    <w:rsid w:val="0003217C"/>
    <w:rsid w:val="000553D0"/>
    <w:rsid w:val="000621CB"/>
    <w:rsid w:val="000A0724"/>
    <w:rsid w:val="000B2B0D"/>
    <w:rsid w:val="000C3AC3"/>
    <w:rsid w:val="000D1893"/>
    <w:rsid w:val="000E56F7"/>
    <w:rsid w:val="0010343D"/>
    <w:rsid w:val="001121E0"/>
    <w:rsid w:val="0011241F"/>
    <w:rsid w:val="001127A1"/>
    <w:rsid w:val="00117E98"/>
    <w:rsid w:val="00134CC7"/>
    <w:rsid w:val="00141F1A"/>
    <w:rsid w:val="001460CC"/>
    <w:rsid w:val="00181A09"/>
    <w:rsid w:val="001C2D51"/>
    <w:rsid w:val="001C4695"/>
    <w:rsid w:val="001C5C3F"/>
    <w:rsid w:val="001E2C36"/>
    <w:rsid w:val="001F27C9"/>
    <w:rsid w:val="002107B7"/>
    <w:rsid w:val="00214405"/>
    <w:rsid w:val="002168B4"/>
    <w:rsid w:val="00230924"/>
    <w:rsid w:val="002676ED"/>
    <w:rsid w:val="00267A6A"/>
    <w:rsid w:val="00267C74"/>
    <w:rsid w:val="002A70E4"/>
    <w:rsid w:val="002B10D9"/>
    <w:rsid w:val="002D4246"/>
    <w:rsid w:val="002F342F"/>
    <w:rsid w:val="00315F40"/>
    <w:rsid w:val="0033385D"/>
    <w:rsid w:val="00343CDD"/>
    <w:rsid w:val="00352A71"/>
    <w:rsid w:val="00355948"/>
    <w:rsid w:val="003756C2"/>
    <w:rsid w:val="00380CE2"/>
    <w:rsid w:val="00381F69"/>
    <w:rsid w:val="00382969"/>
    <w:rsid w:val="00387D40"/>
    <w:rsid w:val="003A08E7"/>
    <w:rsid w:val="003E1087"/>
    <w:rsid w:val="003E17BA"/>
    <w:rsid w:val="00407698"/>
    <w:rsid w:val="00412CCF"/>
    <w:rsid w:val="00420003"/>
    <w:rsid w:val="00432301"/>
    <w:rsid w:val="00433598"/>
    <w:rsid w:val="00435261"/>
    <w:rsid w:val="004355B4"/>
    <w:rsid w:val="0043663F"/>
    <w:rsid w:val="00437242"/>
    <w:rsid w:val="004519B4"/>
    <w:rsid w:val="004539E2"/>
    <w:rsid w:val="004B3002"/>
    <w:rsid w:val="004E1F63"/>
    <w:rsid w:val="004F464F"/>
    <w:rsid w:val="004F75B5"/>
    <w:rsid w:val="004F7ADF"/>
    <w:rsid w:val="005236DC"/>
    <w:rsid w:val="00535847"/>
    <w:rsid w:val="00547E32"/>
    <w:rsid w:val="00567420"/>
    <w:rsid w:val="0057430E"/>
    <w:rsid w:val="005937F3"/>
    <w:rsid w:val="005F6078"/>
    <w:rsid w:val="005F633E"/>
    <w:rsid w:val="005F7691"/>
    <w:rsid w:val="00605C8D"/>
    <w:rsid w:val="00613043"/>
    <w:rsid w:val="006226BE"/>
    <w:rsid w:val="0062772C"/>
    <w:rsid w:val="00641289"/>
    <w:rsid w:val="00647627"/>
    <w:rsid w:val="00660FDA"/>
    <w:rsid w:val="006613FC"/>
    <w:rsid w:val="00683586"/>
    <w:rsid w:val="00691A2C"/>
    <w:rsid w:val="006B031C"/>
    <w:rsid w:val="006C14D5"/>
    <w:rsid w:val="006D0D8D"/>
    <w:rsid w:val="006D1127"/>
    <w:rsid w:val="007110B9"/>
    <w:rsid w:val="00726667"/>
    <w:rsid w:val="007450B6"/>
    <w:rsid w:val="00745574"/>
    <w:rsid w:val="00766409"/>
    <w:rsid w:val="00773833"/>
    <w:rsid w:val="00777950"/>
    <w:rsid w:val="0079069F"/>
    <w:rsid w:val="00795CB1"/>
    <w:rsid w:val="007A06E5"/>
    <w:rsid w:val="007C46FF"/>
    <w:rsid w:val="007C71D3"/>
    <w:rsid w:val="007F4DC4"/>
    <w:rsid w:val="0081656B"/>
    <w:rsid w:val="00843966"/>
    <w:rsid w:val="008529B9"/>
    <w:rsid w:val="008612A6"/>
    <w:rsid w:val="008818C4"/>
    <w:rsid w:val="00887242"/>
    <w:rsid w:val="00887CCD"/>
    <w:rsid w:val="00891CF4"/>
    <w:rsid w:val="008A5C6A"/>
    <w:rsid w:val="008B1F46"/>
    <w:rsid w:val="008C6E43"/>
    <w:rsid w:val="008C7002"/>
    <w:rsid w:val="008E5384"/>
    <w:rsid w:val="008F56F1"/>
    <w:rsid w:val="00911BDB"/>
    <w:rsid w:val="00915023"/>
    <w:rsid w:val="009164BC"/>
    <w:rsid w:val="009255EF"/>
    <w:rsid w:val="00925949"/>
    <w:rsid w:val="00931CFD"/>
    <w:rsid w:val="009413A8"/>
    <w:rsid w:val="00944C76"/>
    <w:rsid w:val="009955FE"/>
    <w:rsid w:val="009A4FD1"/>
    <w:rsid w:val="009B04AF"/>
    <w:rsid w:val="009C4EE6"/>
    <w:rsid w:val="009D23B9"/>
    <w:rsid w:val="009D7CA3"/>
    <w:rsid w:val="009E3751"/>
    <w:rsid w:val="009F37C6"/>
    <w:rsid w:val="009F42E3"/>
    <w:rsid w:val="00A31B42"/>
    <w:rsid w:val="00A336DD"/>
    <w:rsid w:val="00A510BD"/>
    <w:rsid w:val="00A57529"/>
    <w:rsid w:val="00A72899"/>
    <w:rsid w:val="00A81B7D"/>
    <w:rsid w:val="00AC7143"/>
    <w:rsid w:val="00AE6E1A"/>
    <w:rsid w:val="00B12023"/>
    <w:rsid w:val="00B1462C"/>
    <w:rsid w:val="00B1523C"/>
    <w:rsid w:val="00B21240"/>
    <w:rsid w:val="00B32991"/>
    <w:rsid w:val="00B4118F"/>
    <w:rsid w:val="00B47988"/>
    <w:rsid w:val="00B63D3E"/>
    <w:rsid w:val="00B857B9"/>
    <w:rsid w:val="00BA63B5"/>
    <w:rsid w:val="00BC4BA7"/>
    <w:rsid w:val="00BE49E0"/>
    <w:rsid w:val="00BF2639"/>
    <w:rsid w:val="00BF345B"/>
    <w:rsid w:val="00C0209A"/>
    <w:rsid w:val="00C03A38"/>
    <w:rsid w:val="00C2270D"/>
    <w:rsid w:val="00C52E74"/>
    <w:rsid w:val="00C55B28"/>
    <w:rsid w:val="00C63525"/>
    <w:rsid w:val="00C71FA3"/>
    <w:rsid w:val="00C73C79"/>
    <w:rsid w:val="00C81BA5"/>
    <w:rsid w:val="00CA26CC"/>
    <w:rsid w:val="00CA4449"/>
    <w:rsid w:val="00CA4D97"/>
    <w:rsid w:val="00CB0B0A"/>
    <w:rsid w:val="00CF6040"/>
    <w:rsid w:val="00D31696"/>
    <w:rsid w:val="00D31AC1"/>
    <w:rsid w:val="00D3284D"/>
    <w:rsid w:val="00D54A05"/>
    <w:rsid w:val="00D567E1"/>
    <w:rsid w:val="00D64B7B"/>
    <w:rsid w:val="00D728D7"/>
    <w:rsid w:val="00D93C37"/>
    <w:rsid w:val="00D95AEA"/>
    <w:rsid w:val="00DA5F39"/>
    <w:rsid w:val="00DC5690"/>
    <w:rsid w:val="00DC6A8F"/>
    <w:rsid w:val="00E22E7F"/>
    <w:rsid w:val="00E362A0"/>
    <w:rsid w:val="00E6699F"/>
    <w:rsid w:val="00EA19DF"/>
    <w:rsid w:val="00EA7899"/>
    <w:rsid w:val="00EF4D7B"/>
    <w:rsid w:val="00EF7694"/>
    <w:rsid w:val="00F04F59"/>
    <w:rsid w:val="00F15BC2"/>
    <w:rsid w:val="00F33617"/>
    <w:rsid w:val="00F46C19"/>
    <w:rsid w:val="00F50085"/>
    <w:rsid w:val="00F601E3"/>
    <w:rsid w:val="00F731AC"/>
    <w:rsid w:val="00F80C54"/>
    <w:rsid w:val="00F90292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CB3A"/>
  <w15:docId w15:val="{8C989EB2-DC95-4701-A1DB-66FE47FF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1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1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1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1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1">
    <w:name w:val="Heading 7 Char1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1">
    <w:name w:val="Heading 8 Char1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1">
    <w:name w:val="Heading 9 Char1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1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1">
    <w:name w:val="Subtitle Char1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1">
    <w:name w:val="Quote Char1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1">
    <w:name w:val="Intense Quote Char1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AC7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1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news/item/27-05-2021-world-health-assembly-resolution-paves-the-way-for-better-oral-health-car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Book2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2.3146459553591218E-3"/>
          <c:w val="1"/>
          <c:h val="0.99768518518518523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6.8042330158739131E-2"/>
                  <c:y val="-4.3854319885123678E-2"/>
                </c:manualLayout>
              </c:layout>
              <c:tx>
                <c:rich>
                  <a:bodyPr anchorCtr="0"/>
                  <a:lstStyle/>
                  <a:p>
                    <a:pPr algn="l">
                      <a:defRPr sz="20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endParaRPr lang="bg-BG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pPr algn="l">
                      <a:defRPr sz="20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bg-BG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r>
                      <a:rPr lang="bg-BG" sz="1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Да, 91 %</a:t>
                    </a:r>
                  </a:p>
                </c:rich>
              </c:tx>
              <c:spPr/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>
                    <c:manualLayout>
                      <c:w val="0.15304141199217566"/>
                      <c:h val="0.2724342510877415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5CDC-40B3-B603-6DD86CD15074}"/>
                </c:ext>
              </c:extLst>
            </c:dLbl>
            <c:dLbl>
              <c:idx val="1"/>
              <c:layout>
                <c:manualLayout>
                  <c:x val="-0.14695018999490736"/>
                  <c:y val="4.7507276849249429E-2"/>
                </c:manualLayout>
              </c:layout>
              <c:tx>
                <c:rich>
                  <a:bodyPr anchorCtr="0"/>
                  <a:lstStyle/>
                  <a:p>
                    <a:pPr algn="l">
                      <a:defRPr sz="20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bg-BG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Не, 3%</a:t>
                    </a:r>
                  </a:p>
                </c:rich>
              </c:tx>
              <c:spPr/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>
                    <c:manualLayout>
                      <c:w val="0.13229426634938443"/>
                      <c:h val="0.292688465031789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5CDC-40B3-B603-6DD86CD15074}"/>
                </c:ext>
              </c:extLst>
            </c:dLbl>
            <c:dLbl>
              <c:idx val="2"/>
              <c:layout>
                <c:manualLayout>
                  <c:x val="0.55388637521056128"/>
                  <c:y val="1.3623978201634877E-2"/>
                </c:manualLayout>
              </c:layout>
              <c:tx>
                <c:rich>
                  <a:bodyPr anchorCtr="0"/>
                  <a:lstStyle/>
                  <a:p>
                    <a:pPr algn="l">
                      <a:defRPr sz="10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bg-BG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Нямам мнение, 6%</a:t>
                    </a:r>
                  </a:p>
                </c:rich>
              </c:tx>
              <c:spPr/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>
                    <c:manualLayout>
                      <c:w val="0.15880126924432952"/>
                      <c:h val="0.24375585544994888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5CDC-40B3-B603-6DD86CD150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 anchorCtr="0">
                <a:spAutoFit/>
              </a:bodyPr>
              <a:lstStyle/>
              <a:p>
                <a:pPr algn="l"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bg-BG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Sheet2!$A$1:$A$3</c:f>
              <c:strCache>
                <c:ptCount val="3"/>
                <c:pt idx="0">
                  <c:v>Да</c:v>
                </c:pt>
                <c:pt idx="1">
                  <c:v>Не</c:v>
                </c:pt>
                <c:pt idx="2">
                  <c:v>Нямам мнение</c:v>
                </c:pt>
              </c:strCache>
            </c:strRef>
          </c:cat>
          <c:val>
            <c:numRef>
              <c:f>Sheet2!$B$1:$B$3</c:f>
              <c:numCache>
                <c:formatCode>General</c:formatCode>
                <c:ptCount val="3"/>
                <c:pt idx="0">
                  <c:v>952</c:v>
                </c:pt>
                <c:pt idx="1">
                  <c:v>36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DC-40B3-B603-6DD86CD15074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plotVisOnly val="1"/>
    <c:dispBlanksAs val="zero"/>
    <c:showDLblsOverMax val="1"/>
  </c:chart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018858201617405E-3"/>
          <c:y val="2.8534368634303212E-2"/>
          <c:w val="0.99273637006471449"/>
          <c:h val="0.94859213628888295"/>
        </c:manualLayout>
      </c:layout>
      <c:pie3DChart>
        <c:varyColors val="1"/>
        <c:ser>
          <c:idx val="0"/>
          <c:order val="0"/>
          <c:explosion val="19"/>
          <c:dLbls>
            <c:dLbl>
              <c:idx val="0"/>
              <c:layout>
                <c:manualLayout>
                  <c:x val="5.0688681215886086E-2"/>
                  <c:y val="-7.6587522713506939E-2"/>
                </c:manualLayout>
              </c:layout>
              <c:tx>
                <c:rich>
                  <a:bodyPr/>
                  <a:lstStyle/>
                  <a:p>
                    <a:r>
                      <a:rPr lang="bg-BG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Да, 85%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>
                    <c:manualLayout>
                      <c:w val="0.13954445140724192"/>
                      <c:h val="0.1923076923076923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377B-48B3-A68B-C756CB958FDF}"/>
                </c:ext>
              </c:extLst>
            </c:dLbl>
            <c:dLbl>
              <c:idx val="1"/>
              <c:layout>
                <c:manualLayout>
                  <c:x val="-9.704223018634299E-2"/>
                  <c:y val="4.9971394025185051E-2"/>
                </c:manualLayout>
              </c:layout>
              <c:tx>
                <c:rich>
                  <a:bodyPr/>
                  <a:lstStyle/>
                  <a:p>
                    <a:pPr>
                      <a:defRPr sz="10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bg-BG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Не, 15%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77B-48B3-A68B-C756CB958F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/>
                </a:pPr>
                <a:endParaRPr lang="bg-BG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Sheet4!$A$1:$A$2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Sheet4!$B$1:$B$2</c:f>
              <c:numCache>
                <c:formatCode>General</c:formatCode>
                <c:ptCount val="2"/>
                <c:pt idx="0">
                  <c:v>908</c:v>
                </c:pt>
                <c:pt idx="1">
                  <c:v>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7B-48B3-A68B-C756CB958FDF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plotVisOnly val="1"/>
    <c:dispBlanksAs val="zero"/>
    <c:showDLblsOverMax val="1"/>
  </c:chart>
  <c:externalData r:id="rId2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pulent">
    <a:dk1>
      <a:sysClr val="windowText" lastClr="000000"/>
    </a:dk1>
    <a:lt1>
      <a:sysClr val="window" lastClr="FFFFFF"/>
    </a:lt1>
    <a:dk2>
      <a:srgbClr val="B13F9A"/>
    </a:dk2>
    <a:lt2>
      <a:srgbClr val="F4E7ED"/>
    </a:lt2>
    <a:accent1>
      <a:srgbClr val="B83D68"/>
    </a:accent1>
    <a:accent2>
      <a:srgbClr val="AC66BB"/>
    </a:accent2>
    <a:accent3>
      <a:srgbClr val="DE6C36"/>
    </a:accent3>
    <a:accent4>
      <a:srgbClr val="F9B639"/>
    </a:accent4>
    <a:accent5>
      <a:srgbClr val="CF6DA4"/>
    </a:accent5>
    <a:accent6>
      <a:srgbClr val="FA8D3D"/>
    </a:accent6>
    <a:hlink>
      <a:srgbClr val="FFDE66"/>
    </a:hlink>
    <a:folHlink>
      <a:srgbClr val="D490C5"/>
    </a:folHlink>
  </a:clrScheme>
  <a:fontScheme name="Opulent">
    <a:majorFont>
      <a:latin typeface="Trebuchet MS"/>
      <a:ea typeface=""/>
      <a:cs typeface=""/>
      <a:font script="Jpan" typeface="HG丸ｺﾞｼｯｸM-PRO"/>
      <a:font script="Hang" typeface="HY그래픽M"/>
      <a:font script="Hans" typeface="黑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ajorFont>
    <a:minorFont>
      <a:latin typeface="Trebuchet MS"/>
      <a:ea typeface=""/>
      <a:cs typeface=""/>
      <a:font script="Jpan" typeface="HG丸ｺﾞｼｯｸM-PRO"/>
      <a:font script="Hang" typeface="HY그래픽M"/>
      <a:font script="Hans" typeface="华文新魏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pulent">
    <a:fillStyleLst>
      <a:solidFill>
        <a:schemeClr val="phClr"/>
      </a:solidFill>
      <a:gradFill rotWithShape="1">
        <a:gsLst>
          <a:gs pos="0">
            <a:schemeClr val="phClr">
              <a:tint val="15000"/>
              <a:satMod val="250000"/>
            </a:schemeClr>
          </a:gs>
          <a:gs pos="49000">
            <a:schemeClr val="phClr">
              <a:tint val="50000"/>
              <a:satMod val="200000"/>
            </a:schemeClr>
          </a:gs>
          <a:gs pos="49100">
            <a:schemeClr val="phClr">
              <a:tint val="64000"/>
              <a:satMod val="160000"/>
            </a:schemeClr>
          </a:gs>
          <a:gs pos="92000">
            <a:schemeClr val="phClr">
              <a:tint val="50000"/>
              <a:satMod val="200000"/>
            </a:schemeClr>
          </a:gs>
          <a:gs pos="100000">
            <a:schemeClr val="phClr">
              <a:tint val="43000"/>
              <a:satMod val="190000"/>
            </a:schemeClr>
          </a:gs>
        </a:gsLst>
        <a:lin ang="5400000" scaled="1"/>
      </a:gradFill>
      <a:gradFill rotWithShape="1">
        <a:gsLst>
          <a:gs pos="0">
            <a:schemeClr val="phClr">
              <a:tint val="74000"/>
            </a:schemeClr>
          </a:gs>
          <a:gs pos="49000">
            <a:schemeClr val="phClr">
              <a:tint val="96000"/>
              <a:shade val="84000"/>
              <a:satMod val="110000"/>
            </a:schemeClr>
          </a:gs>
          <a:gs pos="49100">
            <a:schemeClr val="phClr">
              <a:shade val="55000"/>
              <a:satMod val="150000"/>
            </a:schemeClr>
          </a:gs>
          <a:gs pos="92000">
            <a:schemeClr val="phClr">
              <a:tint val="98000"/>
              <a:shade val="90000"/>
              <a:satMod val="128000"/>
            </a:schemeClr>
          </a:gs>
          <a:gs pos="100000">
            <a:schemeClr val="phClr">
              <a:tint val="90000"/>
              <a:shade val="97000"/>
              <a:satMod val="128000"/>
            </a:schemeClr>
          </a:gs>
        </a:gsLst>
        <a:lin ang="5400000" scaled="1"/>
      </a:gradFill>
    </a:fillStyleLst>
    <a:lnStyleLst>
      <a:ln w="11430" cap="flat" cmpd="sng" algn="ctr">
        <a:solidFill>
          <a:schemeClr val="phClr"/>
        </a:solidFill>
        <a:prstDash val="solid"/>
      </a:ln>
      <a:ln w="40000" cap="flat" cmpd="sng" algn="ctr">
        <a:solidFill>
          <a:schemeClr val="phClr"/>
        </a:solidFill>
        <a:prstDash val="solid"/>
      </a:ln>
      <a:ln w="318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50800" dist="25000" dir="5400000" rotWithShape="0">
            <a:schemeClr val="phClr">
              <a:shade val="30000"/>
              <a:satMod val="150000"/>
              <a:alpha val="38000"/>
            </a:schemeClr>
          </a:outerShdw>
        </a:effectLst>
      </a:effectStyle>
      <a:effectStyle>
        <a:effectLst>
          <a:outerShdw blurRad="39000" dist="25400" dir="5400000" rotWithShape="0">
            <a:schemeClr val="phClr">
              <a:shade val="33000"/>
              <a:alpha val="83000"/>
            </a:schemeClr>
          </a:outerShdw>
        </a:effectLst>
      </a:effectStyle>
      <a:effectStyle>
        <a:effectLst>
          <a:outerShdw blurRad="39000" dist="25400" dir="5400000" rotWithShape="0">
            <a:schemeClr val="phClr">
              <a:shade val="33000"/>
              <a:alpha val="83000"/>
            </a:schemeClr>
          </a:outerShdw>
        </a:effectLst>
        <a:scene3d>
          <a:camera prst="orthographicFront" fov="0">
            <a:rot lat="0" lon="0" rev="0"/>
          </a:camera>
          <a:lightRig rig="contrasting" dir="t">
            <a:rot lat="0" lon="0" rev="1500000"/>
          </a:lightRig>
        </a:scene3d>
        <a:sp3d extrusionH="127000" prstMaterial="powder">
          <a:bevelT w="50800" h="635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78000"/>
              <a:satMod val="220000"/>
            </a:schemeClr>
          </a:gs>
          <a:gs pos="100000">
            <a:schemeClr val="phClr">
              <a:shade val="35000"/>
              <a:satMod val="155000"/>
            </a:schemeClr>
          </a:gs>
        </a:gsLst>
        <a:path path="circle">
          <a:fillToRect l="50000" t="50000" r="50000" b="50000"/>
        </a:path>
      </a:gradFill>
      <a:blipFill>
        <a:blip xmlns:r="http://schemas.openxmlformats.org/officeDocument/2006/relationships">
          <a:duotone>
            <a:schemeClr val="phClr">
              <a:shade val="60000"/>
              <a:satMod val="180000"/>
            </a:schemeClr>
            <a:schemeClr val="phClr">
              <a:tint val="500"/>
              <a:satMod val="150000"/>
            </a:schemeClr>
          </a:duotone>
        </a:blip>
        <a:tile tx="0" ty="0" sx="50000" sy="50000" flip="none" algn="tl"/>
      </a:blipFill>
    </a:bgFillStyleLst>
  </a:fmtScheme>
</a:themeOverride>
</file>

<file path=word/theme/themeOverride2.xml><?xml version="1.0" encoding="utf-8"?>
<a:themeOverride xmlns:a="http://schemas.openxmlformats.org/drawingml/2006/main">
  <a:clrScheme name="Opulent">
    <a:dk1>
      <a:sysClr val="windowText" lastClr="000000"/>
    </a:dk1>
    <a:lt1>
      <a:sysClr val="window" lastClr="FFFFFF"/>
    </a:lt1>
    <a:dk2>
      <a:srgbClr val="B13F9A"/>
    </a:dk2>
    <a:lt2>
      <a:srgbClr val="F4E7ED"/>
    </a:lt2>
    <a:accent1>
      <a:srgbClr val="B83D68"/>
    </a:accent1>
    <a:accent2>
      <a:srgbClr val="AC66BB"/>
    </a:accent2>
    <a:accent3>
      <a:srgbClr val="DE6C36"/>
    </a:accent3>
    <a:accent4>
      <a:srgbClr val="F9B639"/>
    </a:accent4>
    <a:accent5>
      <a:srgbClr val="CF6DA4"/>
    </a:accent5>
    <a:accent6>
      <a:srgbClr val="FA8D3D"/>
    </a:accent6>
    <a:hlink>
      <a:srgbClr val="FFDE66"/>
    </a:hlink>
    <a:folHlink>
      <a:srgbClr val="D490C5"/>
    </a:folHlink>
  </a:clrScheme>
  <a:fontScheme name="Opulent">
    <a:majorFont>
      <a:latin typeface="Trebuchet MS"/>
      <a:ea typeface=""/>
      <a:cs typeface=""/>
      <a:font script="Jpan" typeface="HG丸ｺﾞｼｯｸM-PRO"/>
      <a:font script="Hang" typeface="HY그래픽M"/>
      <a:font script="Hans" typeface="黑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ajorFont>
    <a:minorFont>
      <a:latin typeface="Trebuchet MS"/>
      <a:ea typeface=""/>
      <a:cs typeface=""/>
      <a:font script="Jpan" typeface="HG丸ｺﾞｼｯｸM-PRO"/>
      <a:font script="Hang" typeface="HY그래픽M"/>
      <a:font script="Hans" typeface="华文新魏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pulent">
    <a:fillStyleLst>
      <a:solidFill>
        <a:schemeClr val="phClr"/>
      </a:solidFill>
      <a:gradFill rotWithShape="1">
        <a:gsLst>
          <a:gs pos="0">
            <a:schemeClr val="phClr">
              <a:tint val="15000"/>
              <a:satMod val="250000"/>
            </a:schemeClr>
          </a:gs>
          <a:gs pos="49000">
            <a:schemeClr val="phClr">
              <a:tint val="50000"/>
              <a:satMod val="200000"/>
            </a:schemeClr>
          </a:gs>
          <a:gs pos="49100">
            <a:schemeClr val="phClr">
              <a:tint val="64000"/>
              <a:satMod val="160000"/>
            </a:schemeClr>
          </a:gs>
          <a:gs pos="92000">
            <a:schemeClr val="phClr">
              <a:tint val="50000"/>
              <a:satMod val="200000"/>
            </a:schemeClr>
          </a:gs>
          <a:gs pos="100000">
            <a:schemeClr val="phClr">
              <a:tint val="43000"/>
              <a:satMod val="190000"/>
            </a:schemeClr>
          </a:gs>
        </a:gsLst>
        <a:lin ang="5400000" scaled="1"/>
      </a:gradFill>
      <a:gradFill rotWithShape="1">
        <a:gsLst>
          <a:gs pos="0">
            <a:schemeClr val="phClr">
              <a:tint val="74000"/>
            </a:schemeClr>
          </a:gs>
          <a:gs pos="49000">
            <a:schemeClr val="phClr">
              <a:tint val="96000"/>
              <a:shade val="84000"/>
              <a:satMod val="110000"/>
            </a:schemeClr>
          </a:gs>
          <a:gs pos="49100">
            <a:schemeClr val="phClr">
              <a:shade val="55000"/>
              <a:satMod val="150000"/>
            </a:schemeClr>
          </a:gs>
          <a:gs pos="92000">
            <a:schemeClr val="phClr">
              <a:tint val="98000"/>
              <a:shade val="90000"/>
              <a:satMod val="128000"/>
            </a:schemeClr>
          </a:gs>
          <a:gs pos="100000">
            <a:schemeClr val="phClr">
              <a:tint val="90000"/>
              <a:shade val="97000"/>
              <a:satMod val="128000"/>
            </a:schemeClr>
          </a:gs>
        </a:gsLst>
        <a:lin ang="5400000" scaled="1"/>
      </a:gradFill>
    </a:fillStyleLst>
    <a:lnStyleLst>
      <a:ln w="11430" cap="flat" cmpd="sng" algn="ctr">
        <a:solidFill>
          <a:schemeClr val="phClr"/>
        </a:solidFill>
        <a:prstDash val="solid"/>
      </a:ln>
      <a:ln w="40000" cap="flat" cmpd="sng" algn="ctr">
        <a:solidFill>
          <a:schemeClr val="phClr"/>
        </a:solidFill>
        <a:prstDash val="solid"/>
      </a:ln>
      <a:ln w="318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50800" dist="25000" dir="5400000" rotWithShape="0">
            <a:schemeClr val="phClr">
              <a:shade val="30000"/>
              <a:satMod val="150000"/>
              <a:alpha val="38000"/>
            </a:schemeClr>
          </a:outerShdw>
        </a:effectLst>
      </a:effectStyle>
      <a:effectStyle>
        <a:effectLst>
          <a:outerShdw blurRad="39000" dist="25400" dir="5400000" rotWithShape="0">
            <a:schemeClr val="phClr">
              <a:shade val="33000"/>
              <a:alpha val="83000"/>
            </a:schemeClr>
          </a:outerShdw>
        </a:effectLst>
      </a:effectStyle>
      <a:effectStyle>
        <a:effectLst>
          <a:outerShdw blurRad="39000" dist="25400" dir="5400000" rotWithShape="0">
            <a:schemeClr val="phClr">
              <a:shade val="33000"/>
              <a:alpha val="83000"/>
            </a:schemeClr>
          </a:outerShdw>
        </a:effectLst>
        <a:scene3d>
          <a:camera prst="orthographicFront" fov="0">
            <a:rot lat="0" lon="0" rev="0"/>
          </a:camera>
          <a:lightRig rig="contrasting" dir="t">
            <a:rot lat="0" lon="0" rev="1500000"/>
          </a:lightRig>
        </a:scene3d>
        <a:sp3d extrusionH="127000" prstMaterial="powder">
          <a:bevelT w="50800" h="635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78000"/>
              <a:satMod val="220000"/>
            </a:schemeClr>
          </a:gs>
          <a:gs pos="100000">
            <a:schemeClr val="phClr">
              <a:shade val="35000"/>
              <a:satMod val="155000"/>
            </a:schemeClr>
          </a:gs>
        </a:gsLst>
        <a:path path="circle">
          <a:fillToRect l="50000" t="50000" r="50000" b="50000"/>
        </a:path>
      </a:gradFill>
      <a:blipFill>
        <a:blip xmlns:r="http://schemas.openxmlformats.org/officeDocument/2006/relationships">
          <a:duotone>
            <a:schemeClr val="phClr">
              <a:shade val="60000"/>
              <a:satMod val="180000"/>
            </a:schemeClr>
            <a:schemeClr val="phClr">
              <a:tint val="500"/>
              <a:satMod val="150000"/>
            </a:schemeClr>
          </a:duotone>
        </a:blip>
        <a:tile tx="0" ty="0" sx="50000" sy="50000" flip="none" algn="tl"/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623E-69BE-409E-A6C9-FB7065CA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4467</Words>
  <Characters>25464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Nikolai Sharkov</dc:creator>
  <cp:lastModifiedBy>Галина Смелова</cp:lastModifiedBy>
  <cp:revision>2</cp:revision>
  <cp:lastPrinted>2025-12-22T14:38:00Z</cp:lastPrinted>
  <dcterms:created xsi:type="dcterms:W3CDTF">2026-02-11T14:47:00Z</dcterms:created>
  <dcterms:modified xsi:type="dcterms:W3CDTF">2026-02-11T14:47:00Z</dcterms:modified>
</cp:coreProperties>
</file>