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8A9A" w14:textId="2241FEB9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1BDD4B65" w14:textId="77777777" w:rsidR="00186E8A" w:rsidRDefault="00186E8A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01F6B7A0" w14:textId="77777777" w:rsidR="00186E8A" w:rsidRPr="00186E8A" w:rsidRDefault="00186E8A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5707EFB7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66841B0A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50E4D7C" w14:textId="65088B91" w:rsidR="0069784B" w:rsidRPr="00DB01E4" w:rsidRDefault="009D0DFE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0BF7BBE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0CFAFEDE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14105222" w14:textId="5860B094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D0DF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12</w:t>
      </w:r>
    </w:p>
    <w:p w14:paraId="512BA0C4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11C364CF" w14:textId="43709FDA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D0DFE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FFF185E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48568658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3A6CC0A6" w14:textId="10D55B31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30824" w:rsidRPr="00B30824">
        <w:rPr>
          <w:rFonts w:ascii="Arial" w:hAnsi="Arial" w:cs="Arial"/>
          <w:b/>
          <w:bCs/>
          <w:smallCaps/>
          <w:sz w:val="26"/>
          <w:szCs w:val="26"/>
          <w:lang w:val="bg-BG"/>
        </w:rPr>
        <w:t>изменение на нормативни актове на Министерския съвет</w:t>
      </w:r>
    </w:p>
    <w:p w14:paraId="7BCA807F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2B082A6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890CD2E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61C445E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57777C7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633AFEE2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DF7AE97" w14:textId="6F03DCB0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0824">
        <w:rPr>
          <w:rFonts w:ascii="Arial" w:hAnsi="Arial" w:cs="Arial"/>
          <w:b/>
          <w:sz w:val="26"/>
          <w:szCs w:val="26"/>
          <w:lang w:val="bg-BG"/>
        </w:rPr>
        <w:t>§ 1.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Pr="00B30824">
        <w:rPr>
          <w:rFonts w:ascii="Arial" w:hAnsi="Arial" w:cs="Arial"/>
          <w:sz w:val="26"/>
          <w:szCs w:val="26"/>
          <w:lang w:val="bg-BG"/>
        </w:rPr>
        <w:t>В Постановление № 80 на Министерския съвет от 2022 г. за определяне на правилата за възлагане на дейности по инвестиции от крайни получатели на средства от Механизма за възстановяване и устойчивост (обн., ДВ, бр. 36 от 2022 г.; доп.</w:t>
      </w:r>
      <w:r w:rsidR="003914AA">
        <w:rPr>
          <w:rFonts w:ascii="Arial" w:hAnsi="Arial" w:cs="Arial"/>
          <w:sz w:val="26"/>
          <w:szCs w:val="26"/>
          <w:lang w:val="bg-BG"/>
        </w:rPr>
        <w:t>,</w:t>
      </w:r>
      <w:r w:rsidRPr="00B30824">
        <w:rPr>
          <w:rFonts w:ascii="Arial" w:hAnsi="Arial" w:cs="Arial"/>
          <w:sz w:val="26"/>
          <w:szCs w:val="26"/>
          <w:lang w:val="bg-BG"/>
        </w:rPr>
        <w:t xml:space="preserve"> бр. 47 от 2023 г.) се правят следните изменения:</w:t>
      </w:r>
    </w:p>
    <w:p w14:paraId="21F1C454" w14:textId="77777777" w:rsidR="00B30824" w:rsidRPr="00B30824" w:rsidRDefault="00B30824" w:rsidP="00B30824">
      <w:pPr>
        <w:numPr>
          <w:ilvl w:val="0"/>
          <w:numId w:val="26"/>
        </w:numPr>
        <w:spacing w:before="120" w:line="288" w:lineRule="auto"/>
        <w:ind w:left="0"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В чл. 3, ал. 1:</w:t>
      </w:r>
    </w:p>
    <w:p w14:paraId="53058C87" w14:textId="7777777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а</w:t>
      </w:r>
      <w:r w:rsidRPr="00B30824">
        <w:rPr>
          <w:rFonts w:ascii="Arial" w:hAnsi="Arial" w:cs="Arial"/>
          <w:bCs/>
          <w:sz w:val="26"/>
          <w:szCs w:val="26"/>
          <w:lang w:val="en-US"/>
        </w:rPr>
        <w:t>)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в т. 1 думите „50 000 лв.“ се заменят с „25 565 евро“;</w:t>
      </w:r>
    </w:p>
    <w:p w14:paraId="16ECF1DC" w14:textId="7777777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б</w:t>
      </w:r>
      <w:r w:rsidRPr="00B30824">
        <w:rPr>
          <w:rFonts w:ascii="Arial" w:hAnsi="Arial" w:cs="Arial"/>
          <w:bCs/>
          <w:sz w:val="26"/>
          <w:szCs w:val="26"/>
          <w:lang w:val="en-US"/>
        </w:rPr>
        <w:t xml:space="preserve">) </w:t>
      </w:r>
      <w:r w:rsidRPr="00B30824">
        <w:rPr>
          <w:rFonts w:ascii="Arial" w:hAnsi="Arial" w:cs="Arial"/>
          <w:bCs/>
          <w:sz w:val="26"/>
          <w:szCs w:val="26"/>
          <w:lang w:val="bg-BG"/>
        </w:rPr>
        <w:t>в т. 2 думите „30 000 лв.“ се заменят с „15 339 евро“.</w:t>
      </w:r>
    </w:p>
    <w:p w14:paraId="1B073E18" w14:textId="77777777" w:rsidR="00B30824" w:rsidRPr="00B30824" w:rsidRDefault="00B30824" w:rsidP="00B30824">
      <w:pPr>
        <w:numPr>
          <w:ilvl w:val="0"/>
          <w:numId w:val="26"/>
        </w:numPr>
        <w:spacing w:before="120" w:line="288" w:lineRule="auto"/>
        <w:ind w:left="0"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В чл. 12, ал. 2 думите „чл. 54 от Закона за противодействие на корупцията и за отнемане на незаконно придобитото имущество“ се заменят с „чл. 72 от Закона за противодействие на корупцията“.</w:t>
      </w:r>
    </w:p>
    <w:p w14:paraId="7FE5E8E5" w14:textId="048270BD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/>
          <w:sz w:val="26"/>
          <w:szCs w:val="26"/>
          <w:lang w:val="bg-BG"/>
        </w:rPr>
        <w:t>§ 2.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В Постановление № 114 на Министерския съвет от 2022 г. за определяне на детайлни правила за предоставяне на средства на крайни получатели от Механизма за възстановяване и устойчивост (обн., ДВ, бр. 43 от 2022 г.; изм. и доп., бр. 70 от 2022 г., бр. 47 от 2023 г., бр. 27 от 2024 г. и бр. 74 от 2025 г.) се правят следните изменения:</w:t>
      </w:r>
    </w:p>
    <w:p w14:paraId="322492A7" w14:textId="77777777" w:rsidR="00B30824" w:rsidRPr="00B30824" w:rsidRDefault="00B30824" w:rsidP="00B30824">
      <w:pPr>
        <w:numPr>
          <w:ilvl w:val="0"/>
          <w:numId w:val="27"/>
        </w:numPr>
        <w:spacing w:before="120" w:line="288" w:lineRule="auto"/>
        <w:ind w:left="0"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В чл. 6:</w:t>
      </w:r>
    </w:p>
    <w:p w14:paraId="401AD514" w14:textId="066BE80D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lastRenderedPageBreak/>
        <w:t>а</w:t>
      </w:r>
      <w:r w:rsidRPr="00B30824">
        <w:rPr>
          <w:rFonts w:ascii="Arial" w:hAnsi="Arial" w:cs="Arial"/>
          <w:bCs/>
          <w:sz w:val="26"/>
          <w:szCs w:val="26"/>
          <w:lang w:val="en-US"/>
        </w:rPr>
        <w:t>)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в ал. 1, т. 2 думите „§ 1, т. 15 от </w:t>
      </w:r>
      <w:r w:rsidR="00402F0F" w:rsidRPr="00B30824">
        <w:rPr>
          <w:rFonts w:ascii="Arial" w:hAnsi="Arial" w:cs="Arial"/>
          <w:bCs/>
          <w:sz w:val="26"/>
          <w:szCs w:val="26"/>
          <w:lang w:val="bg-BG"/>
        </w:rPr>
        <w:t>Д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опълнителните разпоредби на Закона за противодействие на корупцията и за отнемане на незаконно придобитото имущество“ се заменят с „§ 1, т. 9 от </w:t>
      </w:r>
      <w:r w:rsidR="00402F0F" w:rsidRPr="00B30824">
        <w:rPr>
          <w:rFonts w:ascii="Arial" w:hAnsi="Arial" w:cs="Arial"/>
          <w:bCs/>
          <w:sz w:val="26"/>
          <w:szCs w:val="26"/>
          <w:lang w:val="bg-BG"/>
        </w:rPr>
        <w:t>Д</w:t>
      </w:r>
      <w:r w:rsidRPr="00B30824">
        <w:rPr>
          <w:rFonts w:ascii="Arial" w:hAnsi="Arial" w:cs="Arial"/>
          <w:bCs/>
          <w:sz w:val="26"/>
          <w:szCs w:val="26"/>
          <w:lang w:val="bg-BG"/>
        </w:rPr>
        <w:t>опълнителните разпоредби на Закона за противодействие на корупцията“;</w:t>
      </w:r>
    </w:p>
    <w:p w14:paraId="606D33E2" w14:textId="7777777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б</w:t>
      </w:r>
      <w:r w:rsidRPr="00B30824">
        <w:rPr>
          <w:rFonts w:ascii="Arial" w:hAnsi="Arial" w:cs="Arial"/>
          <w:bCs/>
          <w:sz w:val="26"/>
          <w:szCs w:val="26"/>
          <w:lang w:val="en-US"/>
        </w:rPr>
        <w:t>)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алинея 3 се изменя така:</w:t>
      </w:r>
    </w:p>
    <w:p w14:paraId="586C5A37" w14:textId="7777777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„(3) Изискванията по чл. 54, ал. 1, т. 3 от Закона за обществените поръчки не се прилагат, когато са налице обстоятелствата по чл. 54, ал. 5 от същия.“</w:t>
      </w:r>
    </w:p>
    <w:p w14:paraId="4FCDC626" w14:textId="77777777" w:rsidR="00B30824" w:rsidRPr="00B30824" w:rsidRDefault="00B30824" w:rsidP="00B30824">
      <w:pPr>
        <w:numPr>
          <w:ilvl w:val="0"/>
          <w:numId w:val="27"/>
        </w:numPr>
        <w:spacing w:before="120" w:line="288" w:lineRule="auto"/>
        <w:ind w:left="0"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В чл. 13, ал. 3:</w:t>
      </w:r>
    </w:p>
    <w:p w14:paraId="2437754D" w14:textId="7777777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а</w:t>
      </w:r>
      <w:r w:rsidRPr="00B30824">
        <w:rPr>
          <w:rFonts w:ascii="Arial" w:hAnsi="Arial" w:cs="Arial"/>
          <w:bCs/>
          <w:sz w:val="26"/>
          <w:szCs w:val="26"/>
          <w:lang w:val="en-US"/>
        </w:rPr>
        <w:t>)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в т. 2 думите „Закона за противодействие на корупцията и за отнемане на незаконно придобитото имущество“ се заменят със „Закона за противодействие на корупцията“;</w:t>
      </w:r>
    </w:p>
    <w:p w14:paraId="7E9BC81C" w14:textId="33AE60E7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B30824">
        <w:rPr>
          <w:rFonts w:ascii="Arial" w:hAnsi="Arial" w:cs="Arial"/>
          <w:bCs/>
          <w:sz w:val="26"/>
          <w:szCs w:val="26"/>
          <w:lang w:val="bg-BG"/>
        </w:rPr>
        <w:t>б</w:t>
      </w:r>
      <w:r w:rsidRPr="00B30824">
        <w:rPr>
          <w:rFonts w:ascii="Arial" w:hAnsi="Arial" w:cs="Arial"/>
          <w:bCs/>
          <w:sz w:val="26"/>
          <w:szCs w:val="26"/>
          <w:lang w:val="en-US"/>
        </w:rPr>
        <w:t>)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в т. 3 думите „§ 1, т. 15 от </w:t>
      </w:r>
      <w:r w:rsidR="00402F0F" w:rsidRPr="00B30824">
        <w:rPr>
          <w:rFonts w:ascii="Arial" w:hAnsi="Arial" w:cs="Arial"/>
          <w:bCs/>
          <w:sz w:val="26"/>
          <w:szCs w:val="26"/>
          <w:lang w:val="bg-BG"/>
        </w:rPr>
        <w:t>Д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опълнителните разпоредби на Закона за противодействие на корупцията и за отнемане на незаконно придобитото имущество“ се заменят с „§ 1, т. 9 от </w:t>
      </w:r>
      <w:r w:rsidR="00402F0F" w:rsidRPr="00B30824">
        <w:rPr>
          <w:rFonts w:ascii="Arial" w:hAnsi="Arial" w:cs="Arial"/>
          <w:bCs/>
          <w:sz w:val="26"/>
          <w:szCs w:val="26"/>
          <w:lang w:val="bg-BG"/>
        </w:rPr>
        <w:t>Д</w:t>
      </w:r>
      <w:r w:rsidRPr="00B30824">
        <w:rPr>
          <w:rFonts w:ascii="Arial" w:hAnsi="Arial" w:cs="Arial"/>
          <w:bCs/>
          <w:sz w:val="26"/>
          <w:szCs w:val="26"/>
          <w:lang w:val="bg-BG"/>
        </w:rPr>
        <w:t>опълнителните разпоредби на Закона за противодействие на корупцията“.</w:t>
      </w:r>
    </w:p>
    <w:p w14:paraId="024215E1" w14:textId="23A57A0C" w:rsidR="00B30824" w:rsidRPr="00B30824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0824">
        <w:rPr>
          <w:rFonts w:ascii="Arial" w:hAnsi="Arial" w:cs="Arial"/>
          <w:b/>
          <w:sz w:val="26"/>
          <w:szCs w:val="26"/>
          <w:lang w:val="bg-BG"/>
        </w:rPr>
        <w:t>§ 3.</w:t>
      </w:r>
      <w:r w:rsidRPr="00B30824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Pr="00B30824">
        <w:rPr>
          <w:rFonts w:ascii="Arial" w:hAnsi="Arial" w:cs="Arial"/>
          <w:sz w:val="26"/>
          <w:szCs w:val="26"/>
          <w:lang w:val="bg-BG"/>
        </w:rPr>
        <w:t>В Постановление № 157 на Министерския съвет от 2022 г. за определяне на органите и структурите, отговорни за изпълнението на Плана за възстановяване и устойчивост на Република България, и на техните основни функции (обн., ДВ, бр. 54 от 2022 г.; изм. и доп., бр. 70 и 85 от 2022 г., бр. 47 и 63 от 2023 г., бр. 27 и 64 от 2024 г.</w:t>
      </w:r>
      <w:r w:rsidR="00402F0F">
        <w:rPr>
          <w:rFonts w:ascii="Arial" w:hAnsi="Arial" w:cs="Arial"/>
          <w:sz w:val="26"/>
          <w:szCs w:val="26"/>
          <w:lang w:val="bg-BG"/>
        </w:rPr>
        <w:t>,</w:t>
      </w:r>
      <w:r w:rsidRPr="00B30824">
        <w:rPr>
          <w:rFonts w:ascii="Arial" w:hAnsi="Arial" w:cs="Arial"/>
          <w:sz w:val="26"/>
          <w:szCs w:val="26"/>
          <w:lang w:val="bg-BG"/>
        </w:rPr>
        <w:t xml:space="preserve"> бр. 74 от 2025 г.; попр.</w:t>
      </w:r>
      <w:r w:rsidR="00402F0F">
        <w:rPr>
          <w:rFonts w:ascii="Arial" w:hAnsi="Arial" w:cs="Arial"/>
          <w:sz w:val="26"/>
          <w:szCs w:val="26"/>
          <w:lang w:val="bg-BG"/>
        </w:rPr>
        <w:t>,</w:t>
      </w:r>
      <w:r w:rsidRPr="00B30824">
        <w:rPr>
          <w:rFonts w:ascii="Arial" w:hAnsi="Arial" w:cs="Arial"/>
          <w:sz w:val="26"/>
          <w:szCs w:val="26"/>
          <w:lang w:val="bg-BG"/>
        </w:rPr>
        <w:t xml:space="preserve"> бр. 75</w:t>
      </w:r>
      <w:r w:rsidR="00402F0F">
        <w:rPr>
          <w:rFonts w:ascii="Arial" w:hAnsi="Arial" w:cs="Arial"/>
          <w:sz w:val="26"/>
          <w:szCs w:val="26"/>
          <w:lang w:val="bg-BG"/>
        </w:rPr>
        <w:t xml:space="preserve"> от 2025 г.; изм., бр.</w:t>
      </w:r>
      <w:r w:rsidR="003914AA">
        <w:rPr>
          <w:rFonts w:ascii="Arial" w:hAnsi="Arial" w:cs="Arial"/>
          <w:sz w:val="26"/>
          <w:szCs w:val="26"/>
          <w:lang w:val="bg-BG"/>
        </w:rPr>
        <w:t xml:space="preserve"> 114</w:t>
      </w:r>
      <w:r w:rsidRPr="00B30824">
        <w:rPr>
          <w:rFonts w:ascii="Arial" w:hAnsi="Arial" w:cs="Arial"/>
          <w:sz w:val="26"/>
          <w:szCs w:val="26"/>
          <w:lang w:val="bg-BG"/>
        </w:rPr>
        <w:t xml:space="preserve"> от 2025 г.) се правят следните изменения:</w:t>
      </w:r>
    </w:p>
    <w:p w14:paraId="69510C06" w14:textId="1765C09C" w:rsidR="004D1266" w:rsidRPr="007063B5" w:rsidRDefault="00B30824" w:rsidP="00B30824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0824">
        <w:rPr>
          <w:rFonts w:ascii="Arial" w:hAnsi="Arial" w:cs="Arial"/>
          <w:sz w:val="26"/>
          <w:szCs w:val="26"/>
          <w:lang w:val="bg-BG"/>
        </w:rPr>
        <w:t>1. Приложение № 1 към чл. 3, ал. 1, т. 3 се изменя така:</w:t>
      </w:r>
    </w:p>
    <w:p w14:paraId="65473FE8" w14:textId="77777777" w:rsidR="008C3367" w:rsidRPr="0051470D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4F408D38" w14:textId="77777777" w:rsidR="00060C04" w:rsidRPr="00060C04" w:rsidRDefault="00060C04" w:rsidP="00F25839">
      <w:pPr>
        <w:jc w:val="right"/>
        <w:rPr>
          <w:rFonts w:ascii="Arial" w:eastAsia="Calibri" w:hAnsi="Arial" w:cs="Arial"/>
          <w:b/>
          <w:sz w:val="26"/>
          <w:szCs w:val="26"/>
          <w:lang w:val="bg-BG"/>
        </w:rPr>
      </w:pPr>
      <w:r w:rsidRPr="00060C04">
        <w:rPr>
          <w:rFonts w:ascii="Arial" w:eastAsia="Calibri" w:hAnsi="Arial" w:cs="Arial"/>
          <w:b/>
          <w:sz w:val="26"/>
          <w:szCs w:val="26"/>
          <w:lang w:val="bg-BG"/>
        </w:rPr>
        <w:t>„Приложение № 1 към чл. 3, ал. 1, т. 3</w:t>
      </w:r>
    </w:p>
    <w:p w14:paraId="7A7672D5" w14:textId="77777777" w:rsidR="00060C04" w:rsidRPr="00060C04" w:rsidRDefault="00060C04" w:rsidP="00060C04">
      <w:pPr>
        <w:jc w:val="both"/>
        <w:rPr>
          <w:rFonts w:ascii="Arial" w:eastAsia="Calibri" w:hAnsi="Arial" w:cs="Arial"/>
          <w:bCs/>
          <w:sz w:val="26"/>
          <w:szCs w:val="26"/>
          <w:lang w:val="bg-BG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4536"/>
      </w:tblGrid>
      <w:tr w:rsidR="00060C04" w:rsidRPr="00060C04" w14:paraId="29EEB9AB" w14:textId="77777777" w:rsidTr="00F25839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05F4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Код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2D61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Инвестиция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D1BC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Отговорен за изпълнението на инвестицията в качеството му на Структура за наблюдение и докладване (СНД)/Структура за наблюдение (СН)/ Краен получател (КП)</w:t>
            </w:r>
          </w:p>
        </w:tc>
      </w:tr>
      <w:tr w:rsidR="00060C04" w:rsidRPr="00060C04" w14:paraId="05B2A0EA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5A70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532B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Центрове за НТИМ и иновации в образованието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8B19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образованието и науката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63107824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3F29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DA26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Инфраструктурни дейности в учебни заведения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C41A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образованието и науката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78572D1E" w14:textId="77777777" w:rsidTr="00F25839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DE54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C1.I3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B2AE3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Цифрови умения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2356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труда и социалната политика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4128015A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6AD86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C1.I4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CC59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Младежки центрове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58B2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образованието и науката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578510A6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8BDA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C2.I1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06EF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Програма за подкрепа на научните изследвания и иновациите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E7FA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растежа, Министерство на образованието и науката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12925F44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C935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C2.I2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E0F3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Инвестиция в Българската академия на науките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A357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Българска академия на науките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 и КП</w:t>
            </w:r>
          </w:p>
        </w:tc>
      </w:tr>
      <w:tr w:rsidR="00060C04" w:rsidRPr="00060C04" w14:paraId="2BFD5330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5D745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C3.I1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60A9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Програма за индустриални паркове и зони („</w:t>
            </w: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AttractInvestBG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“)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252B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6837B8A5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D1E3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C3.I2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C421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Програма за икономическа трансформация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196E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иновациите и растежа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73802ED6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374C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399C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Подкрепа за обновяване на сградния фонд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077C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регионалното развитие и благоустройството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3C8A357A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1B94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CFA0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Подкрепа за енергия от възобновяеми източници за домакинствата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0012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енергетиката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06F9EDB1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2553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C4.I3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C459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Подкрепа за енергийно ефективни системи за улично осветление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7BD6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енергетиката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67C85312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0478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C4.I4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5415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Цифрова трансформация на електропреносната мрежа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96A8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"Електроенергиен системен оператор" ЕАД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 xml:space="preserve">Министерство на енергетиката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</w:t>
            </w:r>
          </w:p>
        </w:tc>
      </w:tr>
      <w:tr w:rsidR="00060C04" w:rsidRPr="00060C04" w14:paraId="1E730E44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7C2D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C4.I7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9874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Увеличаване на използването на възобновяема енергия от геотермални източници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7368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7D656C8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715E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C4.I8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0188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Национална инфраструктура за акумулиране на електроенергия (RESTORE)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9FC8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  <w:p w14:paraId="24A9F98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СНД</w:t>
            </w:r>
          </w:p>
        </w:tc>
      </w:tr>
      <w:tr w:rsidR="00060C04" w:rsidRPr="00060C04" w14:paraId="2CB70C8E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0CF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C6.I1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A8FE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Технологичен и екологичен преход на селското стопанство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ED2B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земеделието и храните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5AE827B0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96C0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C6.I2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2AE4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Цифровизация на процесите от фермата до трапезата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489D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земеделието и храните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7E97642F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7621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C7.I1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A7C9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Широкомащабно разрастване на цифрова инфраструктура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BB40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Изпълнителна агенция "Инфраструктура на електронното управление"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 xml:space="preserve">КП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Министерство на транспорта и съобщенията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6D76F363" w14:textId="77777777" w:rsidTr="00F25839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B5CE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C7.I2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6FCA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Система TETRA и </w:t>
            </w: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радиoрелейната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 мрежа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869F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вътрешните работи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7B4509D8" w14:textId="77777777" w:rsidTr="00F25839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40D1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5C81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Железопътен подвижен състав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A442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487C9C77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78B7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E58E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Безопасност на движението по пътищата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6703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Държавна агенция "Безопасност на движението по пътищата" с партньори Агенция "Пътна инфраструктура"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91E603A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B65E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2607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Линия 3 на метрото в София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B523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"Метрополитен" ЕАД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38C068B7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E4CC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4B24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Зелена мобилност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93AC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регионалното развитие и благоустройството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69270123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E037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7643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Оборудване за наблюдение или поддръжка на железопътни линии и въздушни линии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C5B1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</w:t>
            </w:r>
          </w:p>
          <w:p w14:paraId="033025C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Национална компания "Железопътна инфраструктура"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E37601B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3897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E4ED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Обновяване на железопътната инфраструктура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42E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 СН</w:t>
            </w:r>
          </w:p>
          <w:p w14:paraId="3BBBC9B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Национална компания "Железопътна инфраструктура"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1B197FB7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EBCB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C8.I10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B325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Подвижен състав на метрото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8113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"Метрополитен" ЕАД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77BB3C2C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5585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9BDD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Модернизиране на Единната информационна система на съдилищата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3E31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Висш съдебен съвет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733BC996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04FE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55A2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Цифровизация на съдопроизводствени процеси в системата на административното правораздаване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08E3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Върховен административен съд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144B272F" w14:textId="77777777" w:rsidTr="00F25839">
        <w:trPr>
          <w:trHeight w:val="688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16CE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B21C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Информационна и комуникационна инфраструктура в прокуратурата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C671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Прокуратура на Република България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14890950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B036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E4B4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Услуги по безопасност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AB9D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вътрешните работи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40EE25B8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6F43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2C32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Подкрепа на пилотна фаза за въвеждане на строително-информационното моделиране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4C63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  <w:p w14:paraId="6C7433A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КП</w:t>
            </w:r>
          </w:p>
        </w:tc>
      </w:tr>
      <w:tr w:rsidR="00060C04" w:rsidRPr="00060C04" w14:paraId="3785C80E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9E98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07FD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Единна информационна система по устройство на територията, инвестиционно проектиране и разрешаване на строителството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4290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регионалното развитие и благоустройството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61F5179C" w14:textId="77777777" w:rsidTr="00F25839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89FD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C10.I10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9FF3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Система „</w:t>
            </w: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Мониторстат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“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176B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Национален статистически институт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488E9AC6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7AB8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C10.I11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CAE3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Информационна и административна среда за Плана за възстановяване и устойчивост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5439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Администрация на Министерския съвет с партньори – Министерство на финансите, Изпълнителна агенция "Одит на средствата от Европейския съюз" и Институт по публична администрация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1803759F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46A2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869C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Инфраструктурни работи в заведения за дългосрочни грижи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EBF7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труда и социалната политика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4A4FB2EE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41C3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C5B4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Предоставяне на помощни средства на лица с трайни увреждания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77E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труда и социалната политика с партньори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386BE7C0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0330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2298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Развитие на социалната икономика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ECF8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труда и социалната политика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6CF8DDC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680B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4259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Обновяване на Агенцията за социално подпомагане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33ED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Агенция за социално подпомагане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 xml:space="preserve">КП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 xml:space="preserve">Министерство на труда и социалната политика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</w:t>
            </w:r>
          </w:p>
        </w:tc>
      </w:tr>
      <w:tr w:rsidR="00060C04" w:rsidRPr="00060C04" w14:paraId="0F69D251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2082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F110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Цифрови услуги в Агенцията по заетостта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20B38" w14:textId="77777777" w:rsidR="00F25839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Агенция по заетостта КП</w:t>
            </w:r>
          </w:p>
          <w:p w14:paraId="5BBD7CCE" w14:textId="0CE8FDEC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труда и социалната политика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</w:t>
            </w:r>
          </w:p>
        </w:tc>
      </w:tr>
      <w:tr w:rsidR="00060C04" w:rsidRPr="00060C04" w14:paraId="1E489818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61AF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5F9C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Подпомагане на сектора на културата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D3FE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Национален фонд "Култура"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 и КП</w:t>
            </w:r>
          </w:p>
        </w:tc>
      </w:tr>
      <w:tr w:rsidR="00060C04" w:rsidRPr="00060C04" w14:paraId="02B1CC6F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FA62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5694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Цифровизация на архивите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3A29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културата с партньори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55ABF69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C73A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C11.I8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E73E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Инфраструктура в сферата на културата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1AE1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културата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</w:t>
            </w:r>
          </w:p>
          <w:p w14:paraId="2EE0E9F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  <w:p w14:paraId="057CB6B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НДК</w:t>
            </w:r>
          </w:p>
          <w:p w14:paraId="1C7A92B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КП</w:t>
            </w:r>
          </w:p>
        </w:tc>
      </w:tr>
      <w:tr w:rsidR="00060C04" w:rsidRPr="00060C04" w14:paraId="2D56D402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DE59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C12.I1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D2EB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Модернизиране на болничните заведения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5F50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здравеопазването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 и КП</w:t>
            </w:r>
          </w:p>
        </w:tc>
      </w:tr>
      <w:tr w:rsidR="00060C04" w:rsidRPr="00060C04" w14:paraId="44F24ADD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013D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6D58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Центрове за интервенционална диагностика и </w:t>
            </w: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ендоваскуларно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 лечение на мозъчно-съдови заболявания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AB0E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здравеопазването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0DBF0183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EE72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C12.I3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6F8C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Модернизация на психиатричната помощ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368F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здравеопазването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045DDACD" w14:textId="77777777" w:rsidTr="00952FC8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9A52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C12.I4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29E1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Създаване на система за оказване на спешна медицинска помощ по въздуха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7C42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здравеопазването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18935ED8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FA5E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C12.I5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BF73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Национална цифрова платформа за медицинска диагностика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8D01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здравеопазването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КП</w:t>
            </w:r>
          </w:p>
        </w:tc>
      </w:tr>
      <w:tr w:rsidR="00060C04" w:rsidRPr="00060C04" w14:paraId="2CC3B931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A343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C12.I7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1570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Развитие на амбулаторните грижи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5755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Министерство на здравеопазването 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 и КП</w:t>
            </w:r>
          </w:p>
        </w:tc>
      </w:tr>
      <w:tr w:rsidR="00060C04" w:rsidRPr="00060C04" w14:paraId="6B3790C9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448D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C13.I1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A66B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Информационна система за енергийно бедните домакинства и уязвимите клиенти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3972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електронното управление</w:t>
            </w:r>
          </w:p>
          <w:p w14:paraId="091AAC1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КП</w:t>
            </w:r>
          </w:p>
          <w:p w14:paraId="186B661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 и Министерство на труда и социалната политика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Партньори</w:t>
            </w:r>
          </w:p>
        </w:tc>
      </w:tr>
      <w:tr w:rsidR="00060C04" w:rsidRPr="00060C04" w14:paraId="7483F85E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A5D7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C13.I2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06E2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Разширена мярка: Национална инфраструктура за акумулиране на електроенергия (RESTORE)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FAD49" w14:textId="50C00188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  <w:p w14:paraId="2C5FDBE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</w:p>
        </w:tc>
      </w:tr>
      <w:tr w:rsidR="00060C04" w:rsidRPr="00060C04" w14:paraId="2C012E04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C2AF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C13.I3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9AA5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Инсталиране на фотоволтаични системи и осигуряване на електрически превозни средства за заведенията за социални услуги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8863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труда и социалната политика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  <w:tr w:rsidR="00060C04" w:rsidRPr="00060C04" w14:paraId="3C55A757" w14:textId="77777777" w:rsidTr="00F25839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F210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C13.I4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3C22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Подкрепа за мощности за производство на електроенергия от </w:t>
            </w:r>
          </w:p>
          <w:p w14:paraId="4D2BD7C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възобновяеми източници и акумулиране на електроенергия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22BC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br/>
              <w:t>СНД</w:t>
            </w:r>
          </w:p>
        </w:tc>
      </w:tr>
    </w:tbl>
    <w:p w14:paraId="3D0183BB" w14:textId="77777777" w:rsidR="00060C04" w:rsidRPr="00060C04" w:rsidRDefault="00060C04" w:rsidP="00060C04">
      <w:pPr>
        <w:jc w:val="both"/>
        <w:rPr>
          <w:rFonts w:ascii="Times New Roman" w:eastAsia="Calibri" w:hAnsi="Times New Roman"/>
          <w:szCs w:val="24"/>
          <w:lang w:val="bg-BG"/>
        </w:rPr>
      </w:pPr>
      <w:r w:rsidRPr="00060C04">
        <w:rPr>
          <w:rFonts w:ascii="Times New Roman" w:eastAsia="Calibri" w:hAnsi="Times New Roman"/>
          <w:szCs w:val="24"/>
          <w:lang w:val="bg-BG"/>
        </w:rPr>
        <w:t> </w:t>
      </w: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4536"/>
      </w:tblGrid>
      <w:tr w:rsidR="00060C04" w:rsidRPr="00060C04" w14:paraId="1256E9BF" w14:textId="77777777" w:rsidTr="00952FC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76F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Код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0680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346F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Водещо ведомство/организация</w:t>
            </w:r>
          </w:p>
        </w:tc>
      </w:tr>
      <w:tr w:rsidR="00060C04" w:rsidRPr="00060C04" w14:paraId="64BFB2D7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5200B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1DBB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в предучилищното и училищното образование и професионалното образование и обучение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6217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образованието и науката, Министерство на труда и социалната политика</w:t>
            </w:r>
          </w:p>
        </w:tc>
      </w:tr>
      <w:tr w:rsidR="00060C04" w:rsidRPr="00060C04" w14:paraId="26790ADE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CDAD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C1.R2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34F4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на висшето образование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632D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образованието и науката</w:t>
            </w:r>
          </w:p>
        </w:tc>
      </w:tr>
      <w:tr w:rsidR="00060C04" w:rsidRPr="00060C04" w14:paraId="02259294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2B94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C2.R1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B597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Обща политика за научните изследвания и иновациите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5428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растежа, Министерство на образованието и науката</w:t>
            </w:r>
          </w:p>
        </w:tc>
      </w:tr>
      <w:tr w:rsidR="00060C04" w:rsidRPr="00060C04" w14:paraId="3DC50A36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4FC5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C3.R1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0DDB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Нормативна уредба с оглед на привличането на промишлени инвестиции и развитието на промишлени екосистеми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66CB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</w:t>
            </w:r>
          </w:p>
        </w:tc>
      </w:tr>
      <w:tr w:rsidR="00060C04" w:rsidRPr="00060C04" w14:paraId="1983694A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5904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C96B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Създаване на Национален фонд за </w:t>
            </w: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декарбонизация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E905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22176338" w14:textId="77777777" w:rsidTr="005B0AD5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B0B0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C4.R2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21E5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Улесняване на инвестициите в енергийно ефективно обновяване на жилищни сгради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409C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60C04" w:rsidRPr="00060C04" w14:paraId="732E5485" w14:textId="77777777" w:rsidTr="005B0AD5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62BF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 xml:space="preserve">C4.R3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18DA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Определение и критерии за „енергийна бедност“ за домакинствата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4214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енергетиката, Министерство на труда и социалната политика, Министерство на регионалното развитие и благоустройството</w:t>
            </w:r>
          </w:p>
        </w:tc>
      </w:tr>
      <w:tr w:rsidR="00060C04" w:rsidRPr="00060C04" w14:paraId="71A7E3C6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6D727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C4.R4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CC4A4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Насърчаване на проекти за енергийна ефективност и енергия от възобновяеми източници чрез сметките за енергия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9FE2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32DB70B4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A195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C4.R5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A11F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Обслужване на едно гише за саниране с цел енергийна ефективност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600CE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благоустройството, Министерство на енергетиката, Агенция за устойчиво енергийно развитие</w:t>
            </w:r>
          </w:p>
        </w:tc>
      </w:tr>
      <w:tr w:rsidR="00060C04" w:rsidRPr="00060C04" w14:paraId="66A71044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F761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C4.R6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336B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Увеличаване на производството на електроенергия от възобновяеми източници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7C25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енергетиката, Министерство на регионалното развитие и благоустройството, Министерство на транспорта и съобщенията, Министерство на околната среда и водите, Комисия за енергийно и водно регулиране</w:t>
            </w:r>
          </w:p>
        </w:tc>
      </w:tr>
      <w:tr w:rsidR="00060C04" w:rsidRPr="00060C04" w14:paraId="31ADF0B4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7F54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C4.R7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A0A0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Подкрепа за веригата за създаване на стойност в областта на зеления водород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E6DF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растежа, Министерство на икономиката и индустрията, Министерство на енергетиката, Министерство на транспорта и съобщенията</w:t>
            </w:r>
          </w:p>
        </w:tc>
      </w:tr>
      <w:tr w:rsidR="00060C04" w:rsidRPr="00060C04" w14:paraId="79050539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7FDE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C4.R8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4A94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Либерализация на пазара на електроенергия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F470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451B5D81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65D8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C4.R9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0088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Пътна карта за неутралност по отношение на климата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4B54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енергетиката, Министерство на околната среда и водите</w:t>
            </w:r>
          </w:p>
        </w:tc>
      </w:tr>
      <w:tr w:rsidR="00060C04" w:rsidRPr="00060C04" w14:paraId="01E03AFC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EE93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C4.R10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6BF0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Декарбонизация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 на енергийния сектор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FB184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енергетиката, Министерство на околната среда и водите</w:t>
            </w:r>
          </w:p>
        </w:tc>
      </w:tr>
      <w:tr w:rsidR="00060C04" w:rsidRPr="00060C04" w14:paraId="01987584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3968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C4.R11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1E5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Подобряване на корпоративното управление на държавните предприятия в енергийния сектор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011BE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486F33C0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1018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C5.R1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450D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Създаване на управленската структура на мрежата „Натура 2000“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E214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околната среда и водите</w:t>
            </w:r>
          </w:p>
        </w:tc>
      </w:tr>
      <w:tr w:rsidR="00060C04" w:rsidRPr="00060C04" w14:paraId="74959FC1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124D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C6.R1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0238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Национална програма за действие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AED10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земеделието и храните</w:t>
            </w:r>
          </w:p>
        </w:tc>
      </w:tr>
      <w:tr w:rsidR="00060C04" w:rsidRPr="00060C04" w14:paraId="7B55145B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EA16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C7.R2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1E03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Разпределение на радиочестотен спектър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3F0A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</w:t>
            </w:r>
          </w:p>
        </w:tc>
      </w:tr>
      <w:tr w:rsidR="00060C04" w:rsidRPr="00060C04" w14:paraId="4B4C7E70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ADC6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C7.R3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5F9E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Създаване на благоприятна инвестиционна среда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15D1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</w:t>
            </w:r>
          </w:p>
        </w:tc>
      </w:tr>
      <w:tr w:rsidR="00060C04" w:rsidRPr="00060C04" w14:paraId="74ED1019" w14:textId="77777777" w:rsidTr="005B0AD5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B750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5DF1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Стратегическа рамка за транспорта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AD5D9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съобщенията, Агенция "Пътна инфраструктура"</w:t>
            </w:r>
          </w:p>
        </w:tc>
      </w:tr>
      <w:tr w:rsidR="00060C04" w:rsidRPr="00060C04" w14:paraId="373DF1BC" w14:textId="77777777" w:rsidTr="005B0AD5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F749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C8.R2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9634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Безопасност на движението по пътищата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390F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Държавна агенция "Безопасност на движението по пътищата"</w:t>
            </w:r>
          </w:p>
        </w:tc>
      </w:tr>
      <w:tr w:rsidR="00060C04" w:rsidRPr="00060C04" w14:paraId="4E030D33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F793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C8.R3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89E42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Устойчива градска мобилност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1CC2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60C04" w:rsidRPr="00060C04" w14:paraId="47702C41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E4D7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C8.R4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EDCA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Интегриран обществен транспорт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4716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транспорта и съобщенията</w:t>
            </w:r>
          </w:p>
        </w:tc>
      </w:tr>
      <w:tr w:rsidR="00060C04" w:rsidRPr="00060C04" w14:paraId="4990FE6F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E824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C8.R5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9586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Електрическа мобилност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823DF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растежа, Министерство на регионалното развитие и благоустройството, Министерство на транспорта и съобщенията</w:t>
            </w:r>
          </w:p>
        </w:tc>
      </w:tr>
      <w:tr w:rsidR="00060C04" w:rsidRPr="00060C04" w14:paraId="132D6289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DB4E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C9.R1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1CDD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Нов регионален подход с пряко въвличане на местните общности в управлението на средствата от европейските фондове и инструменти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1CB3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60C04" w:rsidRPr="00060C04" w14:paraId="7E558175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D0A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C9.R2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74B7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на водоснабдяването и канализацията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6430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60C04" w:rsidRPr="00060C04" w14:paraId="0683A25D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46EB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792F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на съдебната система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E8BB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правосъдието</w:t>
            </w:r>
          </w:p>
        </w:tc>
      </w:tr>
      <w:tr w:rsidR="00060C04" w:rsidRPr="00060C04" w14:paraId="76799662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86F0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81D9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Противодействие на корупцията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3C642" w14:textId="3B6C8091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правосъдието/Комисия за противодействие на корупцията/</w:t>
            </w:r>
            <w:r w:rsidR="005B0AD5">
              <w:rPr>
                <w:rFonts w:ascii="Times New Roman" w:eastAsia="Calibri" w:hAnsi="Times New Roman"/>
                <w:szCs w:val="24"/>
                <w:lang w:val="bg-BG"/>
              </w:rPr>
              <w:br/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Администрация на Министерския съвет/</w:t>
            </w:r>
            <w:r w:rsidR="005B0AD5">
              <w:rPr>
                <w:rFonts w:ascii="Times New Roman" w:eastAsia="Calibri" w:hAnsi="Times New Roman"/>
                <w:szCs w:val="24"/>
                <w:lang w:val="bg-BG"/>
              </w:rPr>
              <w:br/>
            </w: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икономиката и индустрията, Агенция за публичните предприятия и контрол</w:t>
            </w:r>
          </w:p>
        </w:tc>
      </w:tr>
      <w:tr w:rsidR="00060C04" w:rsidRPr="00060C04" w14:paraId="60BA0FCB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B279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A743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Правни актове относно рамката за медиация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CA44B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правосъдието/Висш съдебен съвет</w:t>
            </w:r>
          </w:p>
        </w:tc>
      </w:tr>
      <w:tr w:rsidR="00060C04" w:rsidRPr="00060C04" w14:paraId="6FB4C0E3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CC25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7D35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Мерки относно уредбата за несъстоятелност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3FE7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правосъдието</w:t>
            </w:r>
          </w:p>
        </w:tc>
      </w:tr>
      <w:tr w:rsidR="00060C04" w:rsidRPr="00060C04" w14:paraId="54DDD59B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8B92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2F9C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Цифрова реформа на българския строителен сектор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562D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60C04" w:rsidRPr="00060C04" w14:paraId="260FCE6E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86CA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E331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proofErr w:type="spellStart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Регистрова</w:t>
            </w:r>
            <w:proofErr w:type="spellEnd"/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 реформа за разгръщане потенциала на електронното управление за подобряване на бизнес средата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AD81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регионалното развитие и благоустройството, Министерство на електронното управление, Агенция по вписванията, Агенция по геодезия, картография и кадастър</w:t>
            </w:r>
          </w:p>
        </w:tc>
      </w:tr>
      <w:tr w:rsidR="00060C04" w:rsidRPr="00060C04" w14:paraId="556D2F36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F2C0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8C8C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Рамка за управление на държавните предприятия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A8780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Агенция за публичните предприятия и контрол/Министерство на икономиката и индустрията/Министерство на финансите</w:t>
            </w:r>
          </w:p>
        </w:tc>
      </w:tr>
      <w:tr w:rsidR="00060C04" w:rsidRPr="00060C04" w14:paraId="248E5F32" w14:textId="77777777" w:rsidTr="00FD515D"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123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DB66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Мерки относно рамката за борба с изпирането на пари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4A899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Администрация на Министерския съвет, Държавна агенция "Национална сигурност", Българска народна банка, Комисия за финансов надзор, Национална агенция за приходите, Министерство на финансите</w:t>
            </w:r>
          </w:p>
        </w:tc>
      </w:tr>
      <w:tr w:rsidR="00060C04" w:rsidRPr="00060C04" w14:paraId="2441EFDB" w14:textId="77777777" w:rsidTr="00FD515D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6D11E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lastRenderedPageBreak/>
              <w:t>C10.R9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1181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Подобряване на качеството на законодателния процес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6A41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Народно събрание</w:t>
            </w:r>
          </w:p>
        </w:tc>
      </w:tr>
      <w:tr w:rsidR="00060C04" w:rsidRPr="00060C04" w14:paraId="73E049A3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B74C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CF14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Обществени поръчки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2126F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финансите/Агенция по обществени поръчки</w:t>
            </w:r>
          </w:p>
        </w:tc>
      </w:tr>
      <w:tr w:rsidR="00060C04" w:rsidRPr="00060C04" w14:paraId="2225D961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5DAB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56D7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Разрастване България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60C6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иновациите и растежа, Министерство на икономиката и индустрията, Министерство на правосъдието, Министерство на труда и социалната политика, Министерство на електронното управление</w:t>
            </w:r>
          </w:p>
        </w:tc>
      </w:tr>
      <w:tr w:rsidR="00060C04" w:rsidRPr="00060C04" w14:paraId="140DA48C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11268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C10.R12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0873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Съвет за икономически анализи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F8E2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Администрация на Министерския съвет</w:t>
            </w:r>
          </w:p>
        </w:tc>
      </w:tr>
      <w:tr w:rsidR="00060C04" w:rsidRPr="00060C04" w14:paraId="08EC8373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E46D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C11.R1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02728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на схемата за минимален доход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AF1D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труда и социалната политика</w:t>
            </w:r>
          </w:p>
        </w:tc>
      </w:tr>
      <w:tr w:rsidR="00060C04" w:rsidRPr="00060C04" w14:paraId="24266F97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B8B0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C11.R2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2350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Реформа на социалните услуги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86C0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труда и социалната политика</w:t>
            </w:r>
          </w:p>
        </w:tc>
      </w:tr>
      <w:tr w:rsidR="00060C04" w:rsidRPr="00060C04" w14:paraId="6B5660C6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93BC4F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C1557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Актуализиране на стратегическата рамка на сектора на здравеопазването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B812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здравеопазването</w:t>
            </w:r>
          </w:p>
        </w:tc>
      </w:tr>
      <w:tr w:rsidR="00060C04" w:rsidRPr="00060C04" w14:paraId="1B6B1480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B8131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818FA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Развитие на електронното здравеопазване и на Националната здравноинформационна система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3297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здравеопазването</w:t>
            </w:r>
          </w:p>
        </w:tc>
      </w:tr>
      <w:tr w:rsidR="00060C04" w:rsidRPr="00060C04" w14:paraId="000F45BA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2A8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 xml:space="preserve">C12.R3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3119B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Повишаване на привлекателността на здравните професии и насърчаване на по-балансираното разпределение на здравните специалисти на територията на страната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B72B9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здравеопазването</w:t>
            </w:r>
          </w:p>
        </w:tc>
      </w:tr>
      <w:tr w:rsidR="00060C04" w:rsidRPr="00060C04" w14:paraId="29AF1098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4F2A13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C12.R6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4B1EF6F2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План за съвременно здравно образование в училищата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7DF48C16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здравеопазването</w:t>
            </w:r>
          </w:p>
        </w:tc>
      </w:tr>
      <w:tr w:rsidR="00060C04" w:rsidRPr="00060C04" w14:paraId="48D73C49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3C1C60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7B1BA9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Рамка за управление на енергийната бедност и подготовка за либерализацията на пазара на дребно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84F64B4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7C30798D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04308FC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56082479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Прозрачност на процедурите за присъединяване на нови мощности за енергия от възобновяеми източници и съоръжения за акумулиране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16C20BC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  <w:tr w:rsidR="00060C04" w:rsidRPr="00060C04" w14:paraId="3B35DF9C" w14:textId="77777777" w:rsidTr="00952FC8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6AB40B55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C13.R3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1823B87D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Функциониране на балансиращия пазар и оптимизация на потреблението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vAlign w:val="center"/>
            <w:hideMark/>
          </w:tcPr>
          <w:p w14:paraId="2D694983" w14:textId="77777777" w:rsidR="00060C04" w:rsidRPr="00060C04" w:rsidRDefault="00060C04" w:rsidP="00060C04">
            <w:pPr>
              <w:jc w:val="both"/>
              <w:rPr>
                <w:rFonts w:ascii="Times New Roman" w:eastAsia="Calibri" w:hAnsi="Times New Roman"/>
                <w:szCs w:val="24"/>
                <w:lang w:val="bg-BG"/>
              </w:rPr>
            </w:pPr>
            <w:r w:rsidRPr="00060C04">
              <w:rPr>
                <w:rFonts w:ascii="Times New Roman" w:eastAsia="Calibri" w:hAnsi="Times New Roman"/>
                <w:szCs w:val="24"/>
                <w:lang w:val="bg-BG"/>
              </w:rPr>
              <w:t>Министерство на енергетиката</w:t>
            </w:r>
          </w:p>
        </w:tc>
      </w:tr>
    </w:tbl>
    <w:p w14:paraId="1CD04648" w14:textId="0153E97A" w:rsidR="00060C04" w:rsidRDefault="00060C04" w:rsidP="00C91B49">
      <w:pPr>
        <w:ind w:right="-376"/>
        <w:jc w:val="right"/>
        <w:rPr>
          <w:rFonts w:ascii="Times New Roman" w:eastAsia="Calibri" w:hAnsi="Times New Roman"/>
          <w:szCs w:val="24"/>
          <w:lang w:val="bg-BG"/>
        </w:rPr>
      </w:pPr>
      <w:r>
        <w:rPr>
          <w:rFonts w:ascii="Times New Roman" w:eastAsia="Calibri" w:hAnsi="Times New Roman"/>
          <w:szCs w:val="24"/>
          <w:lang w:val="bg-BG"/>
        </w:rPr>
        <w:t>„</w:t>
      </w:r>
    </w:p>
    <w:p w14:paraId="3DFDBD53" w14:textId="70ABAA79" w:rsidR="00632846" w:rsidRPr="00632846" w:rsidRDefault="00632846" w:rsidP="00632846">
      <w:pPr>
        <w:spacing w:before="120" w:line="288" w:lineRule="auto"/>
        <w:ind w:right="-374" w:firstLine="1134"/>
        <w:jc w:val="both"/>
        <w:rPr>
          <w:rFonts w:ascii="Arial" w:eastAsia="Calibri" w:hAnsi="Arial" w:cs="Arial"/>
          <w:sz w:val="26"/>
          <w:szCs w:val="26"/>
          <w:lang w:val="bg-BG"/>
        </w:rPr>
      </w:pPr>
      <w:r w:rsidRPr="00632846">
        <w:rPr>
          <w:rFonts w:ascii="Arial" w:eastAsia="Calibri" w:hAnsi="Arial" w:cs="Arial"/>
          <w:sz w:val="26"/>
          <w:szCs w:val="26"/>
          <w:lang w:val="bg-BG"/>
        </w:rPr>
        <w:lastRenderedPageBreak/>
        <w:t xml:space="preserve">2. В </w:t>
      </w:r>
      <w:r w:rsidR="00293C0C" w:rsidRPr="00632846">
        <w:rPr>
          <w:rFonts w:ascii="Arial" w:eastAsia="Calibri" w:hAnsi="Arial" w:cs="Arial"/>
          <w:sz w:val="26"/>
          <w:szCs w:val="26"/>
          <w:lang w:val="bg-BG"/>
        </w:rPr>
        <w:t>П</w:t>
      </w:r>
      <w:r w:rsidRPr="00632846">
        <w:rPr>
          <w:rFonts w:ascii="Arial" w:eastAsia="Calibri" w:hAnsi="Arial" w:cs="Arial"/>
          <w:sz w:val="26"/>
          <w:szCs w:val="26"/>
          <w:lang w:val="bg-BG"/>
        </w:rPr>
        <w:t xml:space="preserve">риложение № 2 и </w:t>
      </w:r>
      <w:r w:rsidR="00293C0C" w:rsidRPr="00632846">
        <w:rPr>
          <w:rFonts w:ascii="Arial" w:eastAsia="Calibri" w:hAnsi="Arial" w:cs="Arial"/>
          <w:sz w:val="26"/>
          <w:szCs w:val="26"/>
          <w:lang w:val="bg-BG"/>
        </w:rPr>
        <w:t>П</w:t>
      </w:r>
      <w:r w:rsidRPr="00632846">
        <w:rPr>
          <w:rFonts w:ascii="Arial" w:eastAsia="Calibri" w:hAnsi="Arial" w:cs="Arial"/>
          <w:sz w:val="26"/>
          <w:szCs w:val="26"/>
          <w:lang w:val="bg-BG"/>
        </w:rPr>
        <w:t>риложение № 3 към чл. 12, ал. 4 навсякъде съкращението „лв.“ се заменя с „евро“.</w:t>
      </w:r>
    </w:p>
    <w:p w14:paraId="4A54E4C1" w14:textId="77777777" w:rsidR="00632846" w:rsidRPr="00632846" w:rsidRDefault="00632846" w:rsidP="00632846">
      <w:pPr>
        <w:spacing w:before="120" w:line="288" w:lineRule="auto"/>
        <w:ind w:right="-374"/>
        <w:jc w:val="both"/>
        <w:rPr>
          <w:rFonts w:ascii="Arial" w:eastAsia="Calibri" w:hAnsi="Arial" w:cs="Arial"/>
          <w:bCs/>
          <w:sz w:val="16"/>
          <w:szCs w:val="16"/>
          <w:lang w:val="bg-BG"/>
        </w:rPr>
      </w:pPr>
    </w:p>
    <w:p w14:paraId="35D8A485" w14:textId="537D778E" w:rsidR="00632846" w:rsidRPr="00632846" w:rsidRDefault="00632846" w:rsidP="00632846">
      <w:pPr>
        <w:spacing w:before="120" w:line="288" w:lineRule="auto"/>
        <w:ind w:right="-374"/>
        <w:jc w:val="center"/>
        <w:rPr>
          <w:rFonts w:ascii="Arial" w:eastAsia="Calibri" w:hAnsi="Arial" w:cs="Arial"/>
          <w:b/>
          <w:smallCaps/>
          <w:sz w:val="26"/>
          <w:szCs w:val="26"/>
          <w:lang w:val="bg-BG"/>
        </w:rPr>
      </w:pPr>
      <w:r w:rsidRPr="00632846">
        <w:rPr>
          <w:rFonts w:ascii="Arial" w:eastAsia="Calibri" w:hAnsi="Arial" w:cs="Arial"/>
          <w:b/>
          <w:smallCaps/>
          <w:sz w:val="26"/>
          <w:szCs w:val="26"/>
          <w:lang w:val="bg-BG"/>
        </w:rPr>
        <w:t>Заключителна разпоредба</w:t>
      </w:r>
    </w:p>
    <w:p w14:paraId="291AC15E" w14:textId="77777777" w:rsidR="00632846" w:rsidRPr="00632846" w:rsidRDefault="00632846" w:rsidP="00632846">
      <w:pPr>
        <w:spacing w:before="120" w:line="288" w:lineRule="auto"/>
        <w:ind w:right="-374"/>
        <w:jc w:val="both"/>
        <w:rPr>
          <w:rFonts w:ascii="Arial" w:eastAsia="Calibri" w:hAnsi="Arial" w:cs="Arial"/>
          <w:bCs/>
          <w:sz w:val="16"/>
          <w:szCs w:val="16"/>
          <w:lang w:val="bg-BG"/>
        </w:rPr>
      </w:pPr>
    </w:p>
    <w:p w14:paraId="176F8672" w14:textId="1C51882A" w:rsidR="00632846" w:rsidRPr="00060C04" w:rsidRDefault="00632846" w:rsidP="00632846">
      <w:pPr>
        <w:spacing w:before="120" w:line="288" w:lineRule="auto"/>
        <w:ind w:right="-374" w:firstLine="1134"/>
        <w:jc w:val="both"/>
        <w:rPr>
          <w:rFonts w:ascii="Arial" w:eastAsia="Calibri" w:hAnsi="Arial" w:cs="Arial"/>
          <w:sz w:val="26"/>
          <w:szCs w:val="26"/>
          <w:lang w:val="bg-BG"/>
        </w:rPr>
      </w:pPr>
      <w:r w:rsidRPr="00632846">
        <w:rPr>
          <w:rFonts w:ascii="Arial" w:eastAsia="Calibri" w:hAnsi="Arial" w:cs="Arial"/>
          <w:b/>
          <w:bCs/>
          <w:sz w:val="26"/>
          <w:szCs w:val="26"/>
          <w:lang w:val="bg-BG"/>
        </w:rPr>
        <w:t>§ 4.</w:t>
      </w:r>
      <w:r w:rsidRPr="00632846">
        <w:rPr>
          <w:rFonts w:ascii="Arial" w:eastAsia="Calibri" w:hAnsi="Arial" w:cs="Arial"/>
          <w:sz w:val="26"/>
          <w:szCs w:val="26"/>
          <w:lang w:val="bg-BG"/>
        </w:rPr>
        <w:t xml:space="preserve"> Постановлението влиза в сила от деня на обнародването му в „Държавен вестник“ с изключение на § 1, т. 1, § 2, т. 1, буква „б“ и § 3, т. 2, които влизат в сила от 1 януари 2026 г.</w:t>
      </w:r>
    </w:p>
    <w:p w14:paraId="796B9F8A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0D45F6E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E5DC0D2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DBB2B87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081C1D2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AE33A50" w14:textId="77777777" w:rsidR="008B2676" w:rsidRPr="00E14977" w:rsidRDefault="008B2676" w:rsidP="009A43C4">
      <w:pPr>
        <w:ind w:firstLine="1134"/>
        <w:rPr>
          <w:rFonts w:ascii="Arial" w:hAnsi="Arial" w:cs="Arial"/>
          <w:b/>
          <w:lang w:val="bg-BG"/>
        </w:rPr>
      </w:pPr>
      <w:r w:rsidRPr="00E14977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7A41060C" w14:textId="77777777" w:rsidR="008B2676" w:rsidRPr="00E14977" w:rsidRDefault="008B2676" w:rsidP="009A43C4">
      <w:pPr>
        <w:ind w:firstLine="1134"/>
        <w:rPr>
          <w:rFonts w:ascii="Arial" w:hAnsi="Arial" w:cs="Arial"/>
          <w:b/>
          <w:lang w:val="bg-BG"/>
        </w:rPr>
      </w:pPr>
    </w:p>
    <w:p w14:paraId="2B91E549" w14:textId="77777777" w:rsidR="008B2676" w:rsidRPr="00E14977" w:rsidRDefault="008B2676" w:rsidP="009A43C4">
      <w:pPr>
        <w:ind w:firstLine="1134"/>
        <w:rPr>
          <w:rFonts w:ascii="Arial" w:hAnsi="Arial" w:cs="Arial"/>
          <w:b/>
          <w:lang w:val="bg-BG"/>
        </w:rPr>
      </w:pPr>
      <w:r w:rsidRPr="00E14977">
        <w:rPr>
          <w:rFonts w:ascii="Arial" w:hAnsi="Arial" w:cs="Arial"/>
          <w:b/>
          <w:lang w:val="bg-BG"/>
        </w:rPr>
        <w:t>ГЛАВЕН СЕКРЕТАР НА</w:t>
      </w:r>
    </w:p>
    <w:p w14:paraId="1715DCCA" w14:textId="77777777" w:rsidR="008B2676" w:rsidRPr="00E14977" w:rsidRDefault="008B2676" w:rsidP="009A43C4">
      <w:pPr>
        <w:ind w:firstLine="1134"/>
        <w:rPr>
          <w:rFonts w:ascii="Arial" w:hAnsi="Arial" w:cs="Arial"/>
          <w:b/>
          <w:lang w:val="bg-BG"/>
        </w:rPr>
      </w:pPr>
      <w:r w:rsidRPr="00E1497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CC3FEDC" w14:textId="77777777" w:rsidR="008B2676" w:rsidRPr="00E14977" w:rsidRDefault="008B2676" w:rsidP="009A43C4">
      <w:pPr>
        <w:ind w:firstLine="1134"/>
        <w:rPr>
          <w:rFonts w:ascii="Arial" w:hAnsi="Arial" w:cs="Arial"/>
          <w:b/>
          <w:lang w:val="bg-BG"/>
        </w:rPr>
      </w:pPr>
    </w:p>
    <w:sectPr w:rsidR="008B2676" w:rsidRPr="00E14977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1B63" w14:textId="77777777" w:rsidR="00822EAE" w:rsidRDefault="00822EAE">
      <w:r>
        <w:separator/>
      </w:r>
    </w:p>
  </w:endnote>
  <w:endnote w:type="continuationSeparator" w:id="0">
    <w:p w14:paraId="0517068C" w14:textId="77777777" w:rsidR="00822EAE" w:rsidRDefault="008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C2DD" w14:textId="77777777" w:rsidR="00822EAE" w:rsidRDefault="00822EAE">
      <w:r>
        <w:separator/>
      </w:r>
    </w:p>
  </w:footnote>
  <w:footnote w:type="continuationSeparator" w:id="0">
    <w:p w14:paraId="4526413C" w14:textId="77777777" w:rsidR="00822EAE" w:rsidRDefault="0082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D128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26EA75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2729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618D167A" w14:textId="77777777" w:rsidR="00BC6AE1" w:rsidRDefault="00BC6AE1">
    <w:pPr>
      <w:pStyle w:val="Header"/>
      <w:rPr>
        <w:lang w:val="bg-BG"/>
      </w:rPr>
    </w:pPr>
  </w:p>
  <w:p w14:paraId="7CA42434" w14:textId="77777777" w:rsidR="00BC6AE1" w:rsidRDefault="00BC6AE1">
    <w:pPr>
      <w:pStyle w:val="Header"/>
      <w:rPr>
        <w:lang w:val="bg-BG"/>
      </w:rPr>
    </w:pPr>
  </w:p>
  <w:p w14:paraId="400DCF95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51FE1"/>
    <w:multiLevelType w:val="hybridMultilevel"/>
    <w:tmpl w:val="D22EB992"/>
    <w:lvl w:ilvl="0" w:tplc="40988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8F3380"/>
    <w:multiLevelType w:val="hybridMultilevel"/>
    <w:tmpl w:val="3DE4D328"/>
    <w:lvl w:ilvl="0" w:tplc="FC7A74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4395906">
    <w:abstractNumId w:val="15"/>
  </w:num>
  <w:num w:numId="2" w16cid:durableId="411202632">
    <w:abstractNumId w:val="0"/>
  </w:num>
  <w:num w:numId="3" w16cid:durableId="1147551265">
    <w:abstractNumId w:val="23"/>
  </w:num>
  <w:num w:numId="4" w16cid:durableId="815024614">
    <w:abstractNumId w:val="4"/>
  </w:num>
  <w:num w:numId="5" w16cid:durableId="1356614064">
    <w:abstractNumId w:val="7"/>
  </w:num>
  <w:num w:numId="6" w16cid:durableId="857423877">
    <w:abstractNumId w:val="6"/>
  </w:num>
  <w:num w:numId="7" w16cid:durableId="802191124">
    <w:abstractNumId w:val="20"/>
  </w:num>
  <w:num w:numId="8" w16cid:durableId="168915395">
    <w:abstractNumId w:val="12"/>
  </w:num>
  <w:num w:numId="9" w16cid:durableId="490949350">
    <w:abstractNumId w:val="8"/>
  </w:num>
  <w:num w:numId="10" w16cid:durableId="579877016">
    <w:abstractNumId w:val="13"/>
  </w:num>
  <w:num w:numId="11" w16cid:durableId="1478257663">
    <w:abstractNumId w:val="5"/>
  </w:num>
  <w:num w:numId="12" w16cid:durableId="1695306497">
    <w:abstractNumId w:val="16"/>
  </w:num>
  <w:num w:numId="13" w16cid:durableId="158422697">
    <w:abstractNumId w:val="25"/>
  </w:num>
  <w:num w:numId="14" w16cid:durableId="1779989084">
    <w:abstractNumId w:val="17"/>
  </w:num>
  <w:num w:numId="15" w16cid:durableId="1714306138">
    <w:abstractNumId w:val="1"/>
  </w:num>
  <w:num w:numId="16" w16cid:durableId="209077745">
    <w:abstractNumId w:val="2"/>
  </w:num>
  <w:num w:numId="17" w16cid:durableId="1716080087">
    <w:abstractNumId w:val="14"/>
  </w:num>
  <w:num w:numId="18" w16cid:durableId="1697582718">
    <w:abstractNumId w:val="10"/>
  </w:num>
  <w:num w:numId="19" w16cid:durableId="827289105">
    <w:abstractNumId w:val="24"/>
  </w:num>
  <w:num w:numId="20" w16cid:durableId="1578831501">
    <w:abstractNumId w:val="21"/>
  </w:num>
  <w:num w:numId="21" w16cid:durableId="1526141030">
    <w:abstractNumId w:val="11"/>
  </w:num>
  <w:num w:numId="22" w16cid:durableId="1219129771">
    <w:abstractNumId w:val="3"/>
  </w:num>
  <w:num w:numId="23" w16cid:durableId="1980647184">
    <w:abstractNumId w:val="18"/>
  </w:num>
  <w:num w:numId="24" w16cid:durableId="2119789169">
    <w:abstractNumId w:val="19"/>
  </w:num>
  <w:num w:numId="25" w16cid:durableId="1201896576">
    <w:abstractNumId w:val="9"/>
  </w:num>
  <w:num w:numId="26" w16cid:durableId="314384906">
    <w:abstractNumId w:val="26"/>
  </w:num>
  <w:num w:numId="27" w16cid:durableId="21058340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0C04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86E8A"/>
    <w:rsid w:val="001910FF"/>
    <w:rsid w:val="001A057E"/>
    <w:rsid w:val="001C1FE1"/>
    <w:rsid w:val="001C7DE5"/>
    <w:rsid w:val="001E1D98"/>
    <w:rsid w:val="001F0388"/>
    <w:rsid w:val="001F0C10"/>
    <w:rsid w:val="001F504B"/>
    <w:rsid w:val="002007DB"/>
    <w:rsid w:val="002356C4"/>
    <w:rsid w:val="00242717"/>
    <w:rsid w:val="00242F54"/>
    <w:rsid w:val="00245927"/>
    <w:rsid w:val="00256362"/>
    <w:rsid w:val="00256A51"/>
    <w:rsid w:val="0026696B"/>
    <w:rsid w:val="0028688B"/>
    <w:rsid w:val="00293C0C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5536E"/>
    <w:rsid w:val="00366F23"/>
    <w:rsid w:val="00390F94"/>
    <w:rsid w:val="003914AA"/>
    <w:rsid w:val="003B1766"/>
    <w:rsid w:val="003B3161"/>
    <w:rsid w:val="003B3E9B"/>
    <w:rsid w:val="003C0BEA"/>
    <w:rsid w:val="00402F0F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03CDF"/>
    <w:rsid w:val="0051470D"/>
    <w:rsid w:val="005155B4"/>
    <w:rsid w:val="00516C94"/>
    <w:rsid w:val="00541EE1"/>
    <w:rsid w:val="005558B2"/>
    <w:rsid w:val="00555C1D"/>
    <w:rsid w:val="005866D4"/>
    <w:rsid w:val="005B0AD5"/>
    <w:rsid w:val="005B0F27"/>
    <w:rsid w:val="005B65BD"/>
    <w:rsid w:val="005E1598"/>
    <w:rsid w:val="005E31B2"/>
    <w:rsid w:val="00606388"/>
    <w:rsid w:val="006152E3"/>
    <w:rsid w:val="006257A0"/>
    <w:rsid w:val="00632846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5D88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E3A47"/>
    <w:rsid w:val="007F3668"/>
    <w:rsid w:val="00811DD0"/>
    <w:rsid w:val="008201B5"/>
    <w:rsid w:val="00822EAE"/>
    <w:rsid w:val="008360F4"/>
    <w:rsid w:val="00851931"/>
    <w:rsid w:val="008613E4"/>
    <w:rsid w:val="00872989"/>
    <w:rsid w:val="00887BC4"/>
    <w:rsid w:val="00890F41"/>
    <w:rsid w:val="008B226E"/>
    <w:rsid w:val="008B2676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2FC8"/>
    <w:rsid w:val="00955E39"/>
    <w:rsid w:val="009568C2"/>
    <w:rsid w:val="0096567B"/>
    <w:rsid w:val="0097141D"/>
    <w:rsid w:val="00975CAB"/>
    <w:rsid w:val="00977788"/>
    <w:rsid w:val="009820DD"/>
    <w:rsid w:val="009A50F0"/>
    <w:rsid w:val="009B1F27"/>
    <w:rsid w:val="009C285B"/>
    <w:rsid w:val="009C6529"/>
    <w:rsid w:val="009D0DFE"/>
    <w:rsid w:val="009E496F"/>
    <w:rsid w:val="009E5A76"/>
    <w:rsid w:val="00A00588"/>
    <w:rsid w:val="00A03741"/>
    <w:rsid w:val="00A244F3"/>
    <w:rsid w:val="00A60773"/>
    <w:rsid w:val="00A65E0D"/>
    <w:rsid w:val="00A83436"/>
    <w:rsid w:val="00A925D3"/>
    <w:rsid w:val="00AC34AE"/>
    <w:rsid w:val="00AC5682"/>
    <w:rsid w:val="00AE2DAB"/>
    <w:rsid w:val="00AF25D6"/>
    <w:rsid w:val="00B00F23"/>
    <w:rsid w:val="00B025D1"/>
    <w:rsid w:val="00B05663"/>
    <w:rsid w:val="00B05965"/>
    <w:rsid w:val="00B30824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1B49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5694F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046A"/>
    <w:rsid w:val="00E12972"/>
    <w:rsid w:val="00E14977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D4110"/>
    <w:rsid w:val="00EE22E5"/>
    <w:rsid w:val="00EF4143"/>
    <w:rsid w:val="00F25839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515D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082E"/>
  <w15:chartTrackingRefBased/>
  <w15:docId w15:val="{205D7C55-3062-4D43-8FC0-59D98B1B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28B8-8156-423D-9E84-B0FAAACA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2137</Words>
  <Characters>13333</Characters>
  <Application>Microsoft Office Word</Application>
  <DocSecurity>0</DocSecurity>
  <Lines>111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2026-01-21T09:45:00Z</cp:lastPrinted>
  <dcterms:created xsi:type="dcterms:W3CDTF">2026-01-21T14:45:00Z</dcterms:created>
  <dcterms:modified xsi:type="dcterms:W3CDTF">2026-01-21T14:45:00Z</dcterms:modified>
</cp:coreProperties>
</file>