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E4D51" w14:textId="77777777" w:rsidR="00146E83" w:rsidRPr="004C5C5B" w:rsidRDefault="00146E83" w:rsidP="003B412E">
      <w:pPr>
        <w:spacing w:after="120" w:line="240" w:lineRule="auto"/>
        <w:jc w:val="center"/>
        <w:rPr>
          <w:rFonts w:ascii="Times New Roman" w:hAnsi="Times New Roman" w:cs="Times New Roman"/>
          <w:b/>
          <w:sz w:val="28"/>
          <w:szCs w:val="28"/>
        </w:rPr>
      </w:pPr>
    </w:p>
    <w:p w14:paraId="5F591BBA" w14:textId="77777777" w:rsidR="00E315ED" w:rsidRPr="00496500" w:rsidRDefault="00E315ED" w:rsidP="003B412E">
      <w:pPr>
        <w:spacing w:after="120" w:line="240" w:lineRule="auto"/>
        <w:jc w:val="center"/>
        <w:rPr>
          <w:rFonts w:ascii="Times New Roman" w:hAnsi="Times New Roman" w:cs="Times New Roman"/>
          <w:b/>
          <w:sz w:val="28"/>
          <w:szCs w:val="28"/>
        </w:rPr>
      </w:pPr>
    </w:p>
    <w:p w14:paraId="78899FB5" w14:textId="77777777" w:rsidR="00E315ED" w:rsidRPr="00496500" w:rsidRDefault="00E315ED" w:rsidP="003B412E">
      <w:pPr>
        <w:spacing w:after="120" w:line="240" w:lineRule="auto"/>
        <w:jc w:val="center"/>
        <w:rPr>
          <w:rFonts w:ascii="Times New Roman" w:hAnsi="Times New Roman" w:cs="Times New Roman"/>
          <w:b/>
          <w:sz w:val="28"/>
          <w:szCs w:val="28"/>
        </w:rPr>
      </w:pPr>
    </w:p>
    <w:p w14:paraId="52C0ED98" w14:textId="77777777" w:rsidR="00E315ED" w:rsidRPr="00496500" w:rsidRDefault="00E315ED" w:rsidP="003B412E">
      <w:pPr>
        <w:spacing w:after="120" w:line="240" w:lineRule="auto"/>
        <w:jc w:val="center"/>
        <w:rPr>
          <w:rFonts w:ascii="Times New Roman" w:hAnsi="Times New Roman" w:cs="Times New Roman"/>
          <w:b/>
          <w:sz w:val="28"/>
          <w:szCs w:val="28"/>
        </w:rPr>
      </w:pPr>
    </w:p>
    <w:p w14:paraId="4E67D063" w14:textId="77777777" w:rsidR="00D808D2" w:rsidRPr="00496500" w:rsidRDefault="00D808D2" w:rsidP="003B412E">
      <w:pPr>
        <w:spacing w:after="120" w:line="240" w:lineRule="auto"/>
        <w:jc w:val="center"/>
        <w:rPr>
          <w:rFonts w:ascii="Times New Roman" w:hAnsi="Times New Roman" w:cs="Times New Roman"/>
          <w:b/>
          <w:sz w:val="28"/>
          <w:szCs w:val="28"/>
        </w:rPr>
      </w:pPr>
    </w:p>
    <w:p w14:paraId="7FB23C94" w14:textId="77777777" w:rsidR="001F18D7" w:rsidRPr="00496500" w:rsidRDefault="001F18D7" w:rsidP="003B412E">
      <w:pPr>
        <w:spacing w:after="120" w:line="240" w:lineRule="auto"/>
        <w:jc w:val="center"/>
        <w:rPr>
          <w:rFonts w:ascii="Times New Roman" w:hAnsi="Times New Roman" w:cs="Times New Roman"/>
          <w:b/>
          <w:sz w:val="32"/>
          <w:szCs w:val="32"/>
        </w:rPr>
      </w:pPr>
    </w:p>
    <w:p w14:paraId="73CAF911" w14:textId="77777777" w:rsidR="001F18D7" w:rsidRPr="00496500" w:rsidRDefault="001F18D7" w:rsidP="003B412E">
      <w:pPr>
        <w:spacing w:after="120" w:line="240" w:lineRule="auto"/>
        <w:jc w:val="center"/>
        <w:rPr>
          <w:rFonts w:ascii="Times New Roman" w:hAnsi="Times New Roman" w:cs="Times New Roman"/>
          <w:b/>
          <w:sz w:val="32"/>
          <w:szCs w:val="32"/>
        </w:rPr>
      </w:pPr>
    </w:p>
    <w:p w14:paraId="4CC1F264" w14:textId="77777777" w:rsidR="001F18D7" w:rsidRPr="00496500" w:rsidRDefault="001F18D7" w:rsidP="003B412E">
      <w:pPr>
        <w:spacing w:after="120" w:line="240" w:lineRule="auto"/>
        <w:jc w:val="center"/>
        <w:rPr>
          <w:rFonts w:ascii="Times New Roman" w:hAnsi="Times New Roman" w:cs="Times New Roman"/>
          <w:b/>
          <w:sz w:val="32"/>
          <w:szCs w:val="32"/>
        </w:rPr>
      </w:pPr>
    </w:p>
    <w:p w14:paraId="477CD1DA" w14:textId="77777777" w:rsidR="00146E83" w:rsidRPr="00496500" w:rsidRDefault="00146E83" w:rsidP="003B412E">
      <w:pPr>
        <w:spacing w:after="120" w:line="240" w:lineRule="auto"/>
        <w:jc w:val="center"/>
        <w:rPr>
          <w:rFonts w:ascii="Times New Roman" w:hAnsi="Times New Roman" w:cs="Times New Roman"/>
          <w:b/>
          <w:sz w:val="36"/>
          <w:szCs w:val="36"/>
        </w:rPr>
      </w:pPr>
      <w:r w:rsidRPr="00496500">
        <w:rPr>
          <w:rFonts w:ascii="Times New Roman" w:hAnsi="Times New Roman" w:cs="Times New Roman"/>
          <w:b/>
          <w:sz w:val="36"/>
          <w:szCs w:val="36"/>
        </w:rPr>
        <w:t xml:space="preserve">АНАЛИТИЧЕН ДОКЛАД </w:t>
      </w:r>
    </w:p>
    <w:p w14:paraId="1A8B64C6" w14:textId="77777777" w:rsidR="00A109CB" w:rsidRPr="00496500" w:rsidRDefault="00A109CB" w:rsidP="003B412E">
      <w:pPr>
        <w:spacing w:after="120" w:line="240" w:lineRule="auto"/>
        <w:jc w:val="center"/>
        <w:rPr>
          <w:rFonts w:ascii="Times New Roman" w:hAnsi="Times New Roman" w:cs="Times New Roman"/>
          <w:b/>
          <w:sz w:val="32"/>
          <w:szCs w:val="32"/>
        </w:rPr>
      </w:pPr>
    </w:p>
    <w:p w14:paraId="70A5CBD4" w14:textId="77777777" w:rsidR="002479C0" w:rsidRPr="00496500" w:rsidRDefault="0053443A" w:rsidP="00D808D2">
      <w:pPr>
        <w:spacing w:after="120" w:line="360" w:lineRule="auto"/>
        <w:jc w:val="center"/>
        <w:rPr>
          <w:rFonts w:ascii="Times New Roman" w:hAnsi="Times New Roman" w:cs="Times New Roman"/>
          <w:sz w:val="32"/>
          <w:szCs w:val="32"/>
        </w:rPr>
      </w:pPr>
      <w:r w:rsidRPr="00496500">
        <w:rPr>
          <w:rFonts w:ascii="Times New Roman" w:hAnsi="Times New Roman" w:cs="Times New Roman"/>
          <w:b/>
          <w:sz w:val="32"/>
          <w:szCs w:val="32"/>
        </w:rPr>
        <w:t>З</w:t>
      </w:r>
      <w:r w:rsidR="002479C0" w:rsidRPr="00496500">
        <w:rPr>
          <w:rFonts w:ascii="Times New Roman" w:hAnsi="Times New Roman" w:cs="Times New Roman"/>
          <w:b/>
          <w:sz w:val="32"/>
          <w:szCs w:val="32"/>
        </w:rPr>
        <w:t>А СЪСТОЯНИЕТО НА ЦИФРОВАТА ТРАНСФОРМАЦИЯ В Р</w:t>
      </w:r>
      <w:r w:rsidR="008E3C3E" w:rsidRPr="00496500">
        <w:rPr>
          <w:rFonts w:ascii="Times New Roman" w:hAnsi="Times New Roman" w:cs="Times New Roman"/>
          <w:b/>
          <w:sz w:val="32"/>
          <w:szCs w:val="32"/>
        </w:rPr>
        <w:t>ЕПУБЛИКА</w:t>
      </w:r>
      <w:r w:rsidR="002479C0" w:rsidRPr="00496500">
        <w:rPr>
          <w:rFonts w:ascii="Times New Roman" w:hAnsi="Times New Roman" w:cs="Times New Roman"/>
          <w:b/>
          <w:sz w:val="32"/>
          <w:szCs w:val="32"/>
        </w:rPr>
        <w:t xml:space="preserve"> БЪЛГАРИЯ КЪМ 30.06.2025 Г.</w:t>
      </w:r>
    </w:p>
    <w:p w14:paraId="2389844B" w14:textId="77777777" w:rsidR="002479C0" w:rsidRPr="00496500" w:rsidRDefault="002479C0" w:rsidP="003B412E">
      <w:pPr>
        <w:pStyle w:val="ListParagraph"/>
        <w:spacing w:after="120" w:line="240" w:lineRule="auto"/>
        <w:ind w:left="714"/>
        <w:contextualSpacing w:val="0"/>
        <w:rPr>
          <w:rFonts w:ascii="Times New Roman" w:hAnsi="Times New Roman" w:cs="Times New Roman"/>
          <w:sz w:val="24"/>
          <w:szCs w:val="24"/>
        </w:rPr>
      </w:pPr>
    </w:p>
    <w:p w14:paraId="6DA509E2" w14:textId="77777777" w:rsidR="008E3C3E" w:rsidRPr="00496500" w:rsidRDefault="008E3C3E" w:rsidP="003B412E">
      <w:pPr>
        <w:pStyle w:val="ListParagraph"/>
        <w:spacing w:after="120" w:line="240" w:lineRule="auto"/>
        <w:ind w:left="714"/>
        <w:contextualSpacing w:val="0"/>
        <w:rPr>
          <w:rFonts w:ascii="Times New Roman" w:hAnsi="Times New Roman" w:cs="Times New Roman"/>
          <w:sz w:val="24"/>
          <w:szCs w:val="24"/>
        </w:rPr>
      </w:pPr>
    </w:p>
    <w:p w14:paraId="6F791EBB" w14:textId="77777777" w:rsidR="008E3C3E" w:rsidRPr="00496500" w:rsidRDefault="008E3C3E" w:rsidP="003B412E">
      <w:pPr>
        <w:pStyle w:val="ListParagraph"/>
        <w:spacing w:after="120" w:line="240" w:lineRule="auto"/>
        <w:ind w:left="714"/>
        <w:contextualSpacing w:val="0"/>
        <w:rPr>
          <w:rFonts w:ascii="Times New Roman" w:hAnsi="Times New Roman" w:cs="Times New Roman"/>
          <w:sz w:val="24"/>
          <w:szCs w:val="24"/>
        </w:rPr>
      </w:pPr>
    </w:p>
    <w:p w14:paraId="149CE10D" w14:textId="77777777" w:rsidR="00E315ED" w:rsidRPr="00496500" w:rsidRDefault="00E315ED" w:rsidP="003B412E">
      <w:pPr>
        <w:pStyle w:val="ListParagraph"/>
        <w:spacing w:after="120" w:line="240" w:lineRule="auto"/>
        <w:ind w:left="714"/>
        <w:contextualSpacing w:val="0"/>
        <w:rPr>
          <w:rFonts w:ascii="Times New Roman" w:hAnsi="Times New Roman" w:cs="Times New Roman"/>
          <w:sz w:val="24"/>
          <w:szCs w:val="24"/>
        </w:rPr>
      </w:pPr>
    </w:p>
    <w:p w14:paraId="61725F9A" w14:textId="77777777" w:rsidR="001F18D7" w:rsidRPr="00DB4FCD" w:rsidRDefault="001F18D7">
      <w:pPr>
        <w:rPr>
          <w:rFonts w:ascii="Times New Roman" w:hAnsi="Times New Roman" w:cs="Times New Roman"/>
          <w:sz w:val="24"/>
          <w:szCs w:val="24"/>
          <w:lang w:val="en-US"/>
        </w:rPr>
      </w:pPr>
      <w:r w:rsidRPr="00496500">
        <w:rPr>
          <w:rFonts w:ascii="Times New Roman" w:hAnsi="Times New Roman" w:cs="Times New Roman"/>
          <w:sz w:val="24"/>
          <w:szCs w:val="24"/>
        </w:rPr>
        <w:br w:type="page"/>
      </w:r>
    </w:p>
    <w:p w14:paraId="7BCA7367" w14:textId="77777777" w:rsidR="00E315ED" w:rsidRPr="00496500" w:rsidRDefault="00E315ED" w:rsidP="003B412E">
      <w:pPr>
        <w:pStyle w:val="ListParagraph"/>
        <w:spacing w:after="120" w:line="240" w:lineRule="auto"/>
        <w:ind w:left="714"/>
        <w:contextualSpacing w:val="0"/>
        <w:rPr>
          <w:rFonts w:ascii="Times New Roman" w:hAnsi="Times New Roman" w:cs="Times New Roman"/>
          <w:sz w:val="24"/>
          <w:szCs w:val="24"/>
        </w:rPr>
      </w:pPr>
    </w:p>
    <w:p w14:paraId="20BA3C2B" w14:textId="77777777" w:rsidR="008E5750" w:rsidRPr="00496500" w:rsidRDefault="008E5750" w:rsidP="003B412E">
      <w:pPr>
        <w:pStyle w:val="ListParagraph"/>
        <w:spacing w:after="120" w:line="240" w:lineRule="auto"/>
        <w:ind w:left="714"/>
        <w:contextualSpacing w:val="0"/>
        <w:rPr>
          <w:rFonts w:ascii="Times New Roman" w:hAnsi="Times New Roman" w:cs="Times New Roman"/>
          <w:sz w:val="24"/>
          <w:szCs w:val="24"/>
        </w:rPr>
      </w:pPr>
    </w:p>
    <w:p w14:paraId="23A2F9F1" w14:textId="77777777" w:rsidR="008E5750" w:rsidRPr="00496500" w:rsidRDefault="008E5750" w:rsidP="003B412E">
      <w:pPr>
        <w:pStyle w:val="ListParagraph"/>
        <w:spacing w:after="120" w:line="240" w:lineRule="auto"/>
        <w:ind w:left="714"/>
        <w:contextualSpacing w:val="0"/>
        <w:rPr>
          <w:rFonts w:ascii="Times New Roman" w:hAnsi="Times New Roman" w:cs="Times New Roman"/>
          <w:sz w:val="24"/>
          <w:szCs w:val="24"/>
        </w:rPr>
      </w:pPr>
    </w:p>
    <w:sdt>
      <w:sdtPr>
        <w:rPr>
          <w:rFonts w:ascii="Times New Roman" w:eastAsiaTheme="minorHAnsi" w:hAnsi="Times New Roman" w:cs="Times New Roman"/>
          <w:sz w:val="24"/>
          <w:szCs w:val="24"/>
          <w:lang w:val="bg-BG"/>
        </w:rPr>
        <w:id w:val="-349801447"/>
        <w:docPartObj>
          <w:docPartGallery w:val="Table of Contents"/>
          <w:docPartUnique/>
        </w:docPartObj>
      </w:sdtPr>
      <w:sdtEndPr>
        <w:rPr>
          <w:b/>
          <w:bCs/>
          <w:color w:val="auto"/>
        </w:rPr>
      </w:sdtEndPr>
      <w:sdtContent>
        <w:p w14:paraId="3E5B4E7E" w14:textId="77777777" w:rsidR="00CB2255" w:rsidRPr="00600BA3" w:rsidRDefault="006F5D5F" w:rsidP="001154F3">
          <w:pPr>
            <w:pStyle w:val="TOCHeading"/>
            <w:spacing w:before="0" w:after="240" w:line="240" w:lineRule="auto"/>
            <w:rPr>
              <w:rFonts w:ascii="Times New Roman" w:hAnsi="Times New Roman" w:cs="Times New Roman"/>
              <w:b/>
              <w:sz w:val="24"/>
              <w:szCs w:val="24"/>
              <w:lang w:val="bg-BG"/>
            </w:rPr>
          </w:pPr>
          <w:r w:rsidRPr="00600BA3">
            <w:rPr>
              <w:rFonts w:ascii="Times New Roman" w:hAnsi="Times New Roman" w:cs="Times New Roman"/>
              <w:b/>
              <w:sz w:val="24"/>
              <w:szCs w:val="24"/>
              <w:lang w:val="bg-BG"/>
            </w:rPr>
            <w:t>СЪДЪРЖАНИЕ</w:t>
          </w:r>
        </w:p>
        <w:p w14:paraId="62517D74" w14:textId="6E717115" w:rsidR="00D7264F" w:rsidRPr="00C2255F" w:rsidRDefault="00612388">
          <w:pPr>
            <w:pStyle w:val="TOC1"/>
            <w:tabs>
              <w:tab w:val="right" w:leader="dot" w:pos="9348"/>
            </w:tabs>
            <w:rPr>
              <w:rFonts w:eastAsiaTheme="minorEastAsia"/>
              <w:b/>
              <w:noProof/>
              <w:lang w:val="en-US"/>
            </w:rPr>
          </w:pPr>
          <w:r w:rsidRPr="00496500">
            <w:rPr>
              <w:rFonts w:ascii="Times New Roman" w:hAnsi="Times New Roman" w:cs="Times New Roman"/>
              <w:sz w:val="24"/>
              <w:szCs w:val="24"/>
            </w:rPr>
            <w:fldChar w:fldCharType="begin"/>
          </w:r>
          <w:r w:rsidR="00CB2255" w:rsidRPr="00496500">
            <w:rPr>
              <w:rFonts w:ascii="Times New Roman" w:hAnsi="Times New Roman" w:cs="Times New Roman"/>
              <w:sz w:val="24"/>
              <w:szCs w:val="24"/>
            </w:rPr>
            <w:instrText xml:space="preserve"> TOC \o "1-3" \h \z \u </w:instrText>
          </w:r>
          <w:r w:rsidRPr="00496500">
            <w:rPr>
              <w:rFonts w:ascii="Times New Roman" w:hAnsi="Times New Roman" w:cs="Times New Roman"/>
              <w:sz w:val="24"/>
              <w:szCs w:val="24"/>
            </w:rPr>
            <w:fldChar w:fldCharType="separate"/>
          </w:r>
          <w:hyperlink w:anchor="_Toc209084883" w:history="1">
            <w:r w:rsidR="00D7264F" w:rsidRPr="00C2255F">
              <w:rPr>
                <w:rStyle w:val="Hyperlink"/>
                <w:rFonts w:ascii="Times New Roman" w:hAnsi="Times New Roman" w:cs="Times New Roman"/>
                <w:b/>
                <w:noProof/>
              </w:rPr>
              <w:t>Резюме</w:t>
            </w:r>
            <w:r w:rsidR="00D7264F" w:rsidRPr="00C2255F">
              <w:rPr>
                <w:b/>
                <w:noProof/>
                <w:webHidden/>
              </w:rPr>
              <w:tab/>
            </w:r>
            <w:r w:rsidR="00D7264F" w:rsidRPr="00C2255F">
              <w:rPr>
                <w:b/>
                <w:noProof/>
                <w:webHidden/>
              </w:rPr>
              <w:fldChar w:fldCharType="begin"/>
            </w:r>
            <w:r w:rsidR="00D7264F" w:rsidRPr="00C2255F">
              <w:rPr>
                <w:b/>
                <w:noProof/>
                <w:webHidden/>
              </w:rPr>
              <w:instrText xml:space="preserve"> PAGEREF _Toc209084883 \h </w:instrText>
            </w:r>
            <w:r w:rsidR="00D7264F" w:rsidRPr="00C2255F">
              <w:rPr>
                <w:b/>
                <w:noProof/>
                <w:webHidden/>
              </w:rPr>
            </w:r>
            <w:r w:rsidR="00D7264F" w:rsidRPr="00C2255F">
              <w:rPr>
                <w:b/>
                <w:noProof/>
                <w:webHidden/>
              </w:rPr>
              <w:fldChar w:fldCharType="separate"/>
            </w:r>
            <w:r w:rsidR="00EF6F40">
              <w:rPr>
                <w:b/>
                <w:noProof/>
                <w:webHidden/>
              </w:rPr>
              <w:t>6</w:t>
            </w:r>
            <w:r w:rsidR="00D7264F" w:rsidRPr="00C2255F">
              <w:rPr>
                <w:b/>
                <w:noProof/>
                <w:webHidden/>
              </w:rPr>
              <w:fldChar w:fldCharType="end"/>
            </w:r>
          </w:hyperlink>
        </w:p>
        <w:p w14:paraId="6B46C439" w14:textId="465B22AA" w:rsidR="00D7264F" w:rsidRDefault="00916AE7">
          <w:pPr>
            <w:pStyle w:val="TOC1"/>
            <w:tabs>
              <w:tab w:val="left" w:pos="480"/>
              <w:tab w:val="right" w:leader="dot" w:pos="9348"/>
            </w:tabs>
            <w:rPr>
              <w:rFonts w:eastAsiaTheme="minorEastAsia"/>
              <w:noProof/>
              <w:lang w:val="en-US"/>
            </w:rPr>
          </w:pPr>
          <w:hyperlink w:anchor="_Toc209084884" w:history="1">
            <w:r w:rsidR="00D7264F" w:rsidRPr="00124088">
              <w:rPr>
                <w:rStyle w:val="Hyperlink"/>
                <w:rFonts w:ascii="Times New Roman" w:hAnsi="Times New Roman" w:cs="Times New Roman"/>
                <w:b/>
                <w:noProof/>
              </w:rPr>
              <w:t>I.</w:t>
            </w:r>
            <w:r w:rsidR="00D7264F">
              <w:rPr>
                <w:rFonts w:eastAsiaTheme="minorEastAsia"/>
                <w:noProof/>
                <w:lang w:val="en-US"/>
              </w:rPr>
              <w:tab/>
            </w:r>
            <w:r w:rsidR="00D7264F" w:rsidRPr="00124088">
              <w:rPr>
                <w:rStyle w:val="Hyperlink"/>
                <w:rFonts w:ascii="Times New Roman" w:hAnsi="Times New Roman" w:cs="Times New Roman"/>
                <w:b/>
                <w:noProof/>
              </w:rPr>
              <w:t>Оценка на социално-икономически фактори, свързани с търсенето и предлагането на цифрови услуги</w:t>
            </w:r>
            <w:r w:rsidR="00D7264F">
              <w:rPr>
                <w:noProof/>
                <w:webHidden/>
              </w:rPr>
              <w:tab/>
            </w:r>
            <w:r w:rsidR="00D7264F">
              <w:rPr>
                <w:noProof/>
                <w:webHidden/>
              </w:rPr>
              <w:fldChar w:fldCharType="begin"/>
            </w:r>
            <w:r w:rsidR="00D7264F">
              <w:rPr>
                <w:noProof/>
                <w:webHidden/>
              </w:rPr>
              <w:instrText xml:space="preserve"> PAGEREF _Toc209084884 \h </w:instrText>
            </w:r>
            <w:r w:rsidR="00D7264F">
              <w:rPr>
                <w:noProof/>
                <w:webHidden/>
              </w:rPr>
            </w:r>
            <w:r w:rsidR="00D7264F">
              <w:rPr>
                <w:noProof/>
                <w:webHidden/>
              </w:rPr>
              <w:fldChar w:fldCharType="separate"/>
            </w:r>
            <w:r w:rsidR="00EF6F40">
              <w:rPr>
                <w:noProof/>
                <w:webHidden/>
              </w:rPr>
              <w:t>8</w:t>
            </w:r>
            <w:r w:rsidR="00D7264F">
              <w:rPr>
                <w:noProof/>
                <w:webHidden/>
              </w:rPr>
              <w:fldChar w:fldCharType="end"/>
            </w:r>
          </w:hyperlink>
        </w:p>
        <w:p w14:paraId="14E2ACEE" w14:textId="5B7B3C68" w:rsidR="00D7264F" w:rsidRDefault="00916AE7">
          <w:pPr>
            <w:pStyle w:val="TOC1"/>
            <w:tabs>
              <w:tab w:val="left" w:pos="480"/>
              <w:tab w:val="right" w:leader="dot" w:pos="9348"/>
            </w:tabs>
            <w:rPr>
              <w:rFonts w:eastAsiaTheme="minorEastAsia"/>
              <w:noProof/>
              <w:lang w:val="en-US"/>
            </w:rPr>
          </w:pPr>
          <w:hyperlink w:anchor="_Toc209084885" w:history="1">
            <w:r w:rsidR="00D7264F" w:rsidRPr="00124088">
              <w:rPr>
                <w:rStyle w:val="Hyperlink"/>
                <w:rFonts w:ascii="Times New Roman" w:hAnsi="Times New Roman" w:cs="Times New Roman"/>
                <w:b/>
                <w:noProof/>
              </w:rPr>
              <w:t>II.</w:t>
            </w:r>
            <w:r w:rsidR="00D7264F">
              <w:rPr>
                <w:rFonts w:eastAsiaTheme="minorEastAsia"/>
                <w:noProof/>
                <w:lang w:val="en-US"/>
              </w:rPr>
              <w:tab/>
            </w:r>
            <w:r w:rsidR="00D7264F" w:rsidRPr="00124088">
              <w:rPr>
                <w:rStyle w:val="Hyperlink"/>
                <w:rFonts w:ascii="Times New Roman" w:hAnsi="Times New Roman" w:cs="Times New Roman"/>
                <w:b/>
                <w:noProof/>
              </w:rPr>
              <w:t>Настоящо положение на цифровизацията в Република България</w:t>
            </w:r>
            <w:r w:rsidR="00D7264F">
              <w:rPr>
                <w:noProof/>
                <w:webHidden/>
              </w:rPr>
              <w:tab/>
            </w:r>
            <w:r w:rsidR="00D7264F">
              <w:rPr>
                <w:noProof/>
                <w:webHidden/>
              </w:rPr>
              <w:fldChar w:fldCharType="begin"/>
            </w:r>
            <w:r w:rsidR="00D7264F">
              <w:rPr>
                <w:noProof/>
                <w:webHidden/>
              </w:rPr>
              <w:instrText xml:space="preserve"> PAGEREF _Toc209084885 \h </w:instrText>
            </w:r>
            <w:r w:rsidR="00D7264F">
              <w:rPr>
                <w:noProof/>
                <w:webHidden/>
              </w:rPr>
            </w:r>
            <w:r w:rsidR="00D7264F">
              <w:rPr>
                <w:noProof/>
                <w:webHidden/>
              </w:rPr>
              <w:fldChar w:fldCharType="separate"/>
            </w:r>
            <w:r w:rsidR="00EF6F40">
              <w:rPr>
                <w:noProof/>
                <w:webHidden/>
              </w:rPr>
              <w:t>12</w:t>
            </w:r>
            <w:r w:rsidR="00D7264F">
              <w:rPr>
                <w:noProof/>
                <w:webHidden/>
              </w:rPr>
              <w:fldChar w:fldCharType="end"/>
            </w:r>
          </w:hyperlink>
        </w:p>
        <w:p w14:paraId="5710E16E" w14:textId="12658DB3" w:rsidR="00D7264F" w:rsidRDefault="00916AE7">
          <w:pPr>
            <w:pStyle w:val="TOC2"/>
            <w:rPr>
              <w:rFonts w:eastAsiaTheme="minorEastAsia"/>
              <w:noProof/>
              <w:lang w:val="en-US"/>
            </w:rPr>
          </w:pPr>
          <w:hyperlink w:anchor="_Toc209084886" w:history="1">
            <w:r w:rsidR="00D7264F" w:rsidRPr="00124088">
              <w:rPr>
                <w:rStyle w:val="Hyperlink"/>
                <w:rFonts w:ascii="Times New Roman" w:hAnsi="Times New Roman" w:cs="Times New Roman"/>
                <w:b/>
                <w:noProof/>
              </w:rPr>
              <w:t>2.1.</w:t>
            </w:r>
            <w:r w:rsidR="00D7264F">
              <w:rPr>
                <w:rFonts w:eastAsiaTheme="minorEastAsia"/>
                <w:noProof/>
                <w:lang w:val="en-US"/>
              </w:rPr>
              <w:tab/>
            </w:r>
            <w:r w:rsidR="00D7264F" w:rsidRPr="00124088">
              <w:rPr>
                <w:rStyle w:val="Hyperlink"/>
                <w:rFonts w:ascii="Times New Roman" w:hAnsi="Times New Roman" w:cs="Times New Roman"/>
                <w:b/>
                <w:noProof/>
              </w:rPr>
              <w:t>Цифрова инфраструктура</w:t>
            </w:r>
            <w:r w:rsidR="00D7264F">
              <w:rPr>
                <w:noProof/>
                <w:webHidden/>
              </w:rPr>
              <w:tab/>
            </w:r>
            <w:r w:rsidR="00D7264F">
              <w:rPr>
                <w:noProof/>
                <w:webHidden/>
              </w:rPr>
              <w:fldChar w:fldCharType="begin"/>
            </w:r>
            <w:r w:rsidR="00D7264F">
              <w:rPr>
                <w:noProof/>
                <w:webHidden/>
              </w:rPr>
              <w:instrText xml:space="preserve"> PAGEREF _Toc209084886 \h </w:instrText>
            </w:r>
            <w:r w:rsidR="00D7264F">
              <w:rPr>
                <w:noProof/>
                <w:webHidden/>
              </w:rPr>
            </w:r>
            <w:r w:rsidR="00D7264F">
              <w:rPr>
                <w:noProof/>
                <w:webHidden/>
              </w:rPr>
              <w:fldChar w:fldCharType="separate"/>
            </w:r>
            <w:r w:rsidR="00EF6F40">
              <w:rPr>
                <w:noProof/>
                <w:webHidden/>
              </w:rPr>
              <w:t>15</w:t>
            </w:r>
            <w:r w:rsidR="00D7264F">
              <w:rPr>
                <w:noProof/>
                <w:webHidden/>
              </w:rPr>
              <w:fldChar w:fldCharType="end"/>
            </w:r>
          </w:hyperlink>
        </w:p>
        <w:p w14:paraId="3DA510ED" w14:textId="2C59D709" w:rsidR="00D7264F" w:rsidRDefault="00916AE7">
          <w:pPr>
            <w:pStyle w:val="TOC2"/>
            <w:rPr>
              <w:rFonts w:eastAsiaTheme="minorEastAsia"/>
              <w:noProof/>
              <w:lang w:val="en-US"/>
            </w:rPr>
          </w:pPr>
          <w:hyperlink w:anchor="_Toc209084887" w:history="1">
            <w:r w:rsidR="00D7264F" w:rsidRPr="00124088">
              <w:rPr>
                <w:rStyle w:val="Hyperlink"/>
                <w:rFonts w:ascii="Times New Roman" w:hAnsi="Times New Roman" w:cs="Times New Roman"/>
                <w:b/>
                <w:noProof/>
              </w:rPr>
              <w:t>2.2.</w:t>
            </w:r>
            <w:r w:rsidR="00D7264F">
              <w:rPr>
                <w:rFonts w:eastAsiaTheme="minorEastAsia"/>
                <w:noProof/>
                <w:lang w:val="en-US"/>
              </w:rPr>
              <w:tab/>
            </w:r>
            <w:r w:rsidR="00D7264F" w:rsidRPr="00124088">
              <w:rPr>
                <w:rStyle w:val="Hyperlink"/>
                <w:rFonts w:ascii="Times New Roman" w:hAnsi="Times New Roman" w:cs="Times New Roman"/>
                <w:b/>
                <w:noProof/>
              </w:rPr>
              <w:t>Публичен сектор</w:t>
            </w:r>
            <w:r w:rsidR="00D7264F">
              <w:rPr>
                <w:noProof/>
                <w:webHidden/>
              </w:rPr>
              <w:tab/>
            </w:r>
            <w:r w:rsidR="00D7264F">
              <w:rPr>
                <w:noProof/>
                <w:webHidden/>
              </w:rPr>
              <w:fldChar w:fldCharType="begin"/>
            </w:r>
            <w:r w:rsidR="00D7264F">
              <w:rPr>
                <w:noProof/>
                <w:webHidden/>
              </w:rPr>
              <w:instrText xml:space="preserve"> PAGEREF _Toc209084887 \h </w:instrText>
            </w:r>
            <w:r w:rsidR="00D7264F">
              <w:rPr>
                <w:noProof/>
                <w:webHidden/>
              </w:rPr>
            </w:r>
            <w:r w:rsidR="00D7264F">
              <w:rPr>
                <w:noProof/>
                <w:webHidden/>
              </w:rPr>
              <w:fldChar w:fldCharType="separate"/>
            </w:r>
            <w:r w:rsidR="00EF6F40">
              <w:rPr>
                <w:noProof/>
                <w:webHidden/>
              </w:rPr>
              <w:t>19</w:t>
            </w:r>
            <w:r w:rsidR="00D7264F">
              <w:rPr>
                <w:noProof/>
                <w:webHidden/>
              </w:rPr>
              <w:fldChar w:fldCharType="end"/>
            </w:r>
          </w:hyperlink>
        </w:p>
        <w:p w14:paraId="00873762" w14:textId="6EF74E11" w:rsidR="00D7264F" w:rsidRDefault="00916AE7">
          <w:pPr>
            <w:pStyle w:val="TOC2"/>
            <w:rPr>
              <w:rFonts w:eastAsiaTheme="minorEastAsia"/>
              <w:noProof/>
              <w:lang w:val="en-US"/>
            </w:rPr>
          </w:pPr>
          <w:hyperlink w:anchor="_Toc209084888" w:history="1">
            <w:r w:rsidR="00D7264F" w:rsidRPr="00124088">
              <w:rPr>
                <w:rStyle w:val="Hyperlink"/>
                <w:rFonts w:ascii="Times New Roman" w:hAnsi="Times New Roman" w:cs="Times New Roman"/>
                <w:b/>
                <w:noProof/>
              </w:rPr>
              <w:t>2.3.</w:t>
            </w:r>
            <w:r w:rsidR="00D7264F">
              <w:rPr>
                <w:rFonts w:eastAsiaTheme="minorEastAsia"/>
                <w:noProof/>
                <w:lang w:val="en-US"/>
              </w:rPr>
              <w:tab/>
            </w:r>
            <w:r w:rsidR="00D7264F" w:rsidRPr="00124088">
              <w:rPr>
                <w:rStyle w:val="Hyperlink"/>
                <w:rFonts w:ascii="Times New Roman" w:hAnsi="Times New Roman" w:cs="Times New Roman"/>
                <w:b/>
                <w:noProof/>
              </w:rPr>
              <w:t>Бизнес, основан на данни и цифрови технологии за повишаване на качеството на живот</w:t>
            </w:r>
            <w:r w:rsidR="00D7264F">
              <w:rPr>
                <w:noProof/>
                <w:webHidden/>
              </w:rPr>
              <w:tab/>
            </w:r>
            <w:r w:rsidR="00D7264F">
              <w:rPr>
                <w:noProof/>
                <w:webHidden/>
              </w:rPr>
              <w:tab/>
            </w:r>
            <w:r w:rsidR="00D7264F">
              <w:rPr>
                <w:noProof/>
                <w:webHidden/>
              </w:rPr>
              <w:fldChar w:fldCharType="begin"/>
            </w:r>
            <w:r w:rsidR="00D7264F">
              <w:rPr>
                <w:noProof/>
                <w:webHidden/>
              </w:rPr>
              <w:instrText xml:space="preserve"> PAGEREF _Toc209084888 \h </w:instrText>
            </w:r>
            <w:r w:rsidR="00D7264F">
              <w:rPr>
                <w:noProof/>
                <w:webHidden/>
              </w:rPr>
            </w:r>
            <w:r w:rsidR="00D7264F">
              <w:rPr>
                <w:noProof/>
                <w:webHidden/>
              </w:rPr>
              <w:fldChar w:fldCharType="separate"/>
            </w:r>
            <w:r w:rsidR="00EF6F40">
              <w:rPr>
                <w:noProof/>
                <w:webHidden/>
              </w:rPr>
              <w:t>30</w:t>
            </w:r>
            <w:r w:rsidR="00D7264F">
              <w:rPr>
                <w:noProof/>
                <w:webHidden/>
              </w:rPr>
              <w:fldChar w:fldCharType="end"/>
            </w:r>
          </w:hyperlink>
        </w:p>
        <w:p w14:paraId="5E645190" w14:textId="590EE0D1" w:rsidR="00D7264F" w:rsidRDefault="00916AE7">
          <w:pPr>
            <w:pStyle w:val="TOC2"/>
            <w:rPr>
              <w:rFonts w:eastAsiaTheme="minorEastAsia"/>
              <w:noProof/>
              <w:lang w:val="en-US"/>
            </w:rPr>
          </w:pPr>
          <w:hyperlink w:anchor="_Toc209084889" w:history="1">
            <w:r w:rsidR="00D7264F" w:rsidRPr="00124088">
              <w:rPr>
                <w:rStyle w:val="Hyperlink"/>
                <w:rFonts w:ascii="Times New Roman" w:hAnsi="Times New Roman" w:cs="Times New Roman"/>
                <w:b/>
                <w:noProof/>
              </w:rPr>
              <w:t>2.4.</w:t>
            </w:r>
            <w:r w:rsidR="00D7264F">
              <w:rPr>
                <w:rFonts w:eastAsiaTheme="minorEastAsia"/>
                <w:noProof/>
                <w:lang w:val="en-US"/>
              </w:rPr>
              <w:tab/>
            </w:r>
            <w:r w:rsidR="00D7264F" w:rsidRPr="00124088">
              <w:rPr>
                <w:rStyle w:val="Hyperlink"/>
                <w:rFonts w:ascii="Times New Roman" w:hAnsi="Times New Roman" w:cs="Times New Roman"/>
                <w:b/>
                <w:noProof/>
              </w:rPr>
              <w:t>Човешки ресурси. Цифрови умения и цифрово гражданско общество</w:t>
            </w:r>
            <w:r w:rsidR="00D7264F">
              <w:rPr>
                <w:noProof/>
                <w:webHidden/>
              </w:rPr>
              <w:tab/>
            </w:r>
            <w:r w:rsidR="00D7264F">
              <w:rPr>
                <w:noProof/>
                <w:webHidden/>
              </w:rPr>
              <w:fldChar w:fldCharType="begin"/>
            </w:r>
            <w:r w:rsidR="00D7264F">
              <w:rPr>
                <w:noProof/>
                <w:webHidden/>
              </w:rPr>
              <w:instrText xml:space="preserve"> PAGEREF _Toc209084889 \h </w:instrText>
            </w:r>
            <w:r w:rsidR="00D7264F">
              <w:rPr>
                <w:noProof/>
                <w:webHidden/>
              </w:rPr>
            </w:r>
            <w:r w:rsidR="00D7264F">
              <w:rPr>
                <w:noProof/>
                <w:webHidden/>
              </w:rPr>
              <w:fldChar w:fldCharType="separate"/>
            </w:r>
            <w:r w:rsidR="00EF6F40">
              <w:rPr>
                <w:noProof/>
                <w:webHidden/>
              </w:rPr>
              <w:t>36</w:t>
            </w:r>
            <w:r w:rsidR="00D7264F">
              <w:rPr>
                <w:noProof/>
                <w:webHidden/>
              </w:rPr>
              <w:fldChar w:fldCharType="end"/>
            </w:r>
          </w:hyperlink>
        </w:p>
        <w:p w14:paraId="4999EC89" w14:textId="29360DFF" w:rsidR="00D7264F" w:rsidRDefault="00916AE7">
          <w:pPr>
            <w:pStyle w:val="TOC2"/>
            <w:rPr>
              <w:rFonts w:eastAsiaTheme="minorEastAsia"/>
              <w:noProof/>
              <w:lang w:val="en-US"/>
            </w:rPr>
          </w:pPr>
          <w:hyperlink w:anchor="_Toc209084890" w:history="1">
            <w:r w:rsidR="00D7264F" w:rsidRPr="00124088">
              <w:rPr>
                <w:rStyle w:val="Hyperlink"/>
                <w:rFonts w:ascii="Times New Roman" w:hAnsi="Times New Roman" w:cs="Times New Roman"/>
                <w:b/>
                <w:noProof/>
              </w:rPr>
              <w:t>2.5.</w:t>
            </w:r>
            <w:r w:rsidR="00D7264F">
              <w:rPr>
                <w:rFonts w:eastAsiaTheme="minorEastAsia"/>
                <w:noProof/>
                <w:lang w:val="en-US"/>
              </w:rPr>
              <w:tab/>
            </w:r>
            <w:r w:rsidR="00D7264F" w:rsidRPr="00124088">
              <w:rPr>
                <w:rStyle w:val="Hyperlink"/>
                <w:rFonts w:ascii="Times New Roman" w:hAnsi="Times New Roman" w:cs="Times New Roman"/>
                <w:b/>
                <w:noProof/>
              </w:rPr>
              <w:t>Киберсигурност</w:t>
            </w:r>
            <w:r w:rsidR="00D7264F">
              <w:rPr>
                <w:noProof/>
                <w:webHidden/>
              </w:rPr>
              <w:tab/>
            </w:r>
            <w:r w:rsidR="00D7264F">
              <w:rPr>
                <w:noProof/>
                <w:webHidden/>
              </w:rPr>
              <w:fldChar w:fldCharType="begin"/>
            </w:r>
            <w:r w:rsidR="00D7264F">
              <w:rPr>
                <w:noProof/>
                <w:webHidden/>
              </w:rPr>
              <w:instrText xml:space="preserve"> PAGEREF _Toc209084890 \h </w:instrText>
            </w:r>
            <w:r w:rsidR="00D7264F">
              <w:rPr>
                <w:noProof/>
                <w:webHidden/>
              </w:rPr>
            </w:r>
            <w:r w:rsidR="00D7264F">
              <w:rPr>
                <w:noProof/>
                <w:webHidden/>
              </w:rPr>
              <w:fldChar w:fldCharType="separate"/>
            </w:r>
            <w:r w:rsidR="00EF6F40">
              <w:rPr>
                <w:noProof/>
                <w:webHidden/>
              </w:rPr>
              <w:t>44</w:t>
            </w:r>
            <w:r w:rsidR="00D7264F">
              <w:rPr>
                <w:noProof/>
                <w:webHidden/>
              </w:rPr>
              <w:fldChar w:fldCharType="end"/>
            </w:r>
          </w:hyperlink>
        </w:p>
        <w:p w14:paraId="3114264D" w14:textId="7686ABB1" w:rsidR="00D7264F" w:rsidRDefault="00916AE7">
          <w:pPr>
            <w:pStyle w:val="TOC2"/>
            <w:rPr>
              <w:rFonts w:eastAsiaTheme="minorEastAsia"/>
              <w:noProof/>
              <w:lang w:val="en-US"/>
            </w:rPr>
          </w:pPr>
          <w:hyperlink w:anchor="_Toc209084891" w:history="1">
            <w:r w:rsidR="00D7264F" w:rsidRPr="00124088">
              <w:rPr>
                <w:rStyle w:val="Hyperlink"/>
                <w:rFonts w:ascii="Times New Roman" w:hAnsi="Times New Roman" w:cs="Times New Roman"/>
                <w:b/>
                <w:noProof/>
              </w:rPr>
              <w:t>2.6.</w:t>
            </w:r>
            <w:r w:rsidR="00D7264F">
              <w:rPr>
                <w:rFonts w:eastAsiaTheme="minorEastAsia"/>
                <w:noProof/>
                <w:lang w:val="en-US"/>
              </w:rPr>
              <w:tab/>
            </w:r>
            <w:r w:rsidR="00D7264F" w:rsidRPr="00124088">
              <w:rPr>
                <w:rStyle w:val="Hyperlink"/>
                <w:rFonts w:ascii="Times New Roman" w:hAnsi="Times New Roman" w:cs="Times New Roman"/>
                <w:b/>
                <w:noProof/>
              </w:rPr>
              <w:t>Споделяне и повторна употреба на данни</w:t>
            </w:r>
            <w:r w:rsidR="00D7264F">
              <w:rPr>
                <w:noProof/>
                <w:webHidden/>
              </w:rPr>
              <w:tab/>
            </w:r>
            <w:r w:rsidR="00D7264F">
              <w:rPr>
                <w:noProof/>
                <w:webHidden/>
              </w:rPr>
              <w:fldChar w:fldCharType="begin"/>
            </w:r>
            <w:r w:rsidR="00D7264F">
              <w:rPr>
                <w:noProof/>
                <w:webHidden/>
              </w:rPr>
              <w:instrText xml:space="preserve"> PAGEREF _Toc209084891 \h </w:instrText>
            </w:r>
            <w:r w:rsidR="00D7264F">
              <w:rPr>
                <w:noProof/>
                <w:webHidden/>
              </w:rPr>
            </w:r>
            <w:r w:rsidR="00D7264F">
              <w:rPr>
                <w:noProof/>
                <w:webHidden/>
              </w:rPr>
              <w:fldChar w:fldCharType="separate"/>
            </w:r>
            <w:r w:rsidR="00EF6F40">
              <w:rPr>
                <w:noProof/>
                <w:webHidden/>
              </w:rPr>
              <w:t>47</w:t>
            </w:r>
            <w:r w:rsidR="00D7264F">
              <w:rPr>
                <w:noProof/>
                <w:webHidden/>
              </w:rPr>
              <w:fldChar w:fldCharType="end"/>
            </w:r>
          </w:hyperlink>
        </w:p>
        <w:p w14:paraId="6D0E2C57" w14:textId="5DC583A2" w:rsidR="00D7264F" w:rsidRDefault="00916AE7">
          <w:pPr>
            <w:pStyle w:val="TOC1"/>
            <w:tabs>
              <w:tab w:val="left" w:pos="720"/>
              <w:tab w:val="right" w:leader="dot" w:pos="9348"/>
            </w:tabs>
            <w:rPr>
              <w:rFonts w:eastAsiaTheme="minorEastAsia"/>
              <w:noProof/>
              <w:lang w:val="en-US"/>
            </w:rPr>
          </w:pPr>
          <w:hyperlink w:anchor="_Toc209084892" w:history="1">
            <w:r w:rsidR="00D7264F" w:rsidRPr="00124088">
              <w:rPr>
                <w:rStyle w:val="Hyperlink"/>
                <w:rFonts w:ascii="Times New Roman" w:hAnsi="Times New Roman" w:cs="Times New Roman"/>
                <w:b/>
                <w:noProof/>
              </w:rPr>
              <w:t>III.</w:t>
            </w:r>
            <w:r w:rsidR="00D7264F">
              <w:rPr>
                <w:rFonts w:eastAsiaTheme="minorEastAsia"/>
                <w:noProof/>
                <w:lang w:val="en-US"/>
              </w:rPr>
              <w:tab/>
            </w:r>
            <w:r w:rsidR="00D7264F" w:rsidRPr="00124088">
              <w:rPr>
                <w:rStyle w:val="Hyperlink"/>
                <w:rFonts w:ascii="Times New Roman" w:hAnsi="Times New Roman" w:cs="Times New Roman"/>
                <w:b/>
                <w:noProof/>
              </w:rPr>
              <w:t>Причините, които предизвикват проблемите</w:t>
            </w:r>
            <w:r w:rsidR="00D7264F">
              <w:rPr>
                <w:noProof/>
                <w:webHidden/>
              </w:rPr>
              <w:tab/>
            </w:r>
            <w:r w:rsidR="00D7264F">
              <w:rPr>
                <w:noProof/>
                <w:webHidden/>
              </w:rPr>
              <w:fldChar w:fldCharType="begin"/>
            </w:r>
            <w:r w:rsidR="00D7264F">
              <w:rPr>
                <w:noProof/>
                <w:webHidden/>
              </w:rPr>
              <w:instrText xml:space="preserve"> PAGEREF _Toc209084892 \h </w:instrText>
            </w:r>
            <w:r w:rsidR="00D7264F">
              <w:rPr>
                <w:noProof/>
                <w:webHidden/>
              </w:rPr>
            </w:r>
            <w:r w:rsidR="00D7264F">
              <w:rPr>
                <w:noProof/>
                <w:webHidden/>
              </w:rPr>
              <w:fldChar w:fldCharType="separate"/>
            </w:r>
            <w:r w:rsidR="00EF6F40">
              <w:rPr>
                <w:noProof/>
                <w:webHidden/>
              </w:rPr>
              <w:t>49</w:t>
            </w:r>
            <w:r w:rsidR="00D7264F">
              <w:rPr>
                <w:noProof/>
                <w:webHidden/>
              </w:rPr>
              <w:fldChar w:fldCharType="end"/>
            </w:r>
          </w:hyperlink>
        </w:p>
        <w:p w14:paraId="53C7F3AD" w14:textId="07B1C7B3" w:rsidR="00D7264F" w:rsidRDefault="00916AE7">
          <w:pPr>
            <w:pStyle w:val="TOC1"/>
            <w:tabs>
              <w:tab w:val="left" w:pos="720"/>
              <w:tab w:val="right" w:leader="dot" w:pos="9348"/>
            </w:tabs>
            <w:rPr>
              <w:rFonts w:eastAsiaTheme="minorEastAsia"/>
              <w:noProof/>
              <w:lang w:val="en-US"/>
            </w:rPr>
          </w:pPr>
          <w:hyperlink w:anchor="_Toc209084893" w:history="1">
            <w:r w:rsidR="00D7264F" w:rsidRPr="00124088">
              <w:rPr>
                <w:rStyle w:val="Hyperlink"/>
                <w:rFonts w:ascii="Times New Roman" w:hAnsi="Times New Roman" w:cs="Times New Roman"/>
                <w:b/>
                <w:noProof/>
              </w:rPr>
              <w:t>IV.</w:t>
            </w:r>
            <w:r w:rsidR="00D7264F">
              <w:rPr>
                <w:rFonts w:eastAsiaTheme="minorEastAsia"/>
                <w:noProof/>
                <w:lang w:val="en-US"/>
              </w:rPr>
              <w:tab/>
            </w:r>
            <w:r w:rsidR="00D7264F" w:rsidRPr="00124088">
              <w:rPr>
                <w:rStyle w:val="Hyperlink"/>
                <w:rFonts w:ascii="Times New Roman" w:hAnsi="Times New Roman" w:cs="Times New Roman"/>
                <w:b/>
                <w:noProof/>
              </w:rPr>
              <w:t>Насоки на бъдещото развитие, възможни решения, ресурси – интегрирано развитие на елементите на екосистемата за цифрова трансформация</w:t>
            </w:r>
            <w:r w:rsidR="00D7264F">
              <w:rPr>
                <w:noProof/>
                <w:webHidden/>
              </w:rPr>
              <w:tab/>
            </w:r>
            <w:r w:rsidR="00D7264F">
              <w:rPr>
                <w:noProof/>
                <w:webHidden/>
              </w:rPr>
              <w:fldChar w:fldCharType="begin"/>
            </w:r>
            <w:r w:rsidR="00D7264F">
              <w:rPr>
                <w:noProof/>
                <w:webHidden/>
              </w:rPr>
              <w:instrText xml:space="preserve"> PAGEREF _Toc209084893 \h </w:instrText>
            </w:r>
            <w:r w:rsidR="00D7264F">
              <w:rPr>
                <w:noProof/>
                <w:webHidden/>
              </w:rPr>
            </w:r>
            <w:r w:rsidR="00D7264F">
              <w:rPr>
                <w:noProof/>
                <w:webHidden/>
              </w:rPr>
              <w:fldChar w:fldCharType="separate"/>
            </w:r>
            <w:r w:rsidR="00EF6F40">
              <w:rPr>
                <w:noProof/>
                <w:webHidden/>
              </w:rPr>
              <w:t>53</w:t>
            </w:r>
            <w:r w:rsidR="00D7264F">
              <w:rPr>
                <w:noProof/>
                <w:webHidden/>
              </w:rPr>
              <w:fldChar w:fldCharType="end"/>
            </w:r>
          </w:hyperlink>
        </w:p>
        <w:p w14:paraId="38DC073E" w14:textId="08FC6537" w:rsidR="00D7264F" w:rsidRDefault="00916AE7">
          <w:pPr>
            <w:pStyle w:val="TOC1"/>
            <w:tabs>
              <w:tab w:val="left" w:pos="480"/>
              <w:tab w:val="right" w:leader="dot" w:pos="9348"/>
            </w:tabs>
            <w:rPr>
              <w:rFonts w:eastAsiaTheme="minorEastAsia"/>
              <w:noProof/>
              <w:lang w:val="en-US"/>
            </w:rPr>
          </w:pPr>
          <w:hyperlink w:anchor="_Toc209084894" w:history="1">
            <w:r w:rsidR="00D7264F" w:rsidRPr="00124088">
              <w:rPr>
                <w:rStyle w:val="Hyperlink"/>
                <w:rFonts w:ascii="Times New Roman" w:hAnsi="Times New Roman" w:cs="Times New Roman"/>
                <w:b/>
                <w:noProof/>
              </w:rPr>
              <w:t>V.</w:t>
            </w:r>
            <w:r w:rsidR="00D7264F">
              <w:rPr>
                <w:rFonts w:eastAsiaTheme="minorEastAsia"/>
                <w:noProof/>
                <w:lang w:val="en-US"/>
              </w:rPr>
              <w:tab/>
            </w:r>
            <w:r w:rsidR="00D7264F" w:rsidRPr="00124088">
              <w:rPr>
                <w:rStyle w:val="Hyperlink"/>
                <w:rFonts w:ascii="Times New Roman" w:hAnsi="Times New Roman" w:cs="Times New Roman"/>
                <w:b/>
                <w:noProof/>
              </w:rPr>
              <w:t>Анализ на силните и слабите страни, възможностите и заплахите (SWOT анализ)</w:t>
            </w:r>
            <w:r w:rsidR="00D7264F">
              <w:rPr>
                <w:noProof/>
                <w:webHidden/>
              </w:rPr>
              <w:tab/>
            </w:r>
            <w:r w:rsidR="00D7264F">
              <w:rPr>
                <w:noProof/>
                <w:webHidden/>
              </w:rPr>
              <w:fldChar w:fldCharType="begin"/>
            </w:r>
            <w:r w:rsidR="00D7264F">
              <w:rPr>
                <w:noProof/>
                <w:webHidden/>
              </w:rPr>
              <w:instrText xml:space="preserve"> PAGEREF _Toc209084894 \h </w:instrText>
            </w:r>
            <w:r w:rsidR="00D7264F">
              <w:rPr>
                <w:noProof/>
                <w:webHidden/>
              </w:rPr>
            </w:r>
            <w:r w:rsidR="00D7264F">
              <w:rPr>
                <w:noProof/>
                <w:webHidden/>
              </w:rPr>
              <w:fldChar w:fldCharType="separate"/>
            </w:r>
            <w:r w:rsidR="00EF6F40">
              <w:rPr>
                <w:noProof/>
                <w:webHidden/>
              </w:rPr>
              <w:t>59</w:t>
            </w:r>
            <w:r w:rsidR="00D7264F">
              <w:rPr>
                <w:noProof/>
                <w:webHidden/>
              </w:rPr>
              <w:fldChar w:fldCharType="end"/>
            </w:r>
          </w:hyperlink>
        </w:p>
        <w:p w14:paraId="6C0EB5BB" w14:textId="1F5F27EE" w:rsidR="00D7264F" w:rsidRPr="00DE6590" w:rsidRDefault="00916AE7">
          <w:pPr>
            <w:pStyle w:val="TOC1"/>
            <w:tabs>
              <w:tab w:val="right" w:leader="dot" w:pos="9348"/>
            </w:tabs>
            <w:rPr>
              <w:rFonts w:eastAsiaTheme="minorEastAsia"/>
              <w:noProof/>
              <w:lang w:val="en-US"/>
            </w:rPr>
          </w:pPr>
          <w:hyperlink w:anchor="_Toc209084895" w:history="1">
            <w:r w:rsidR="00D7264F" w:rsidRPr="00124088">
              <w:rPr>
                <w:rStyle w:val="Hyperlink"/>
                <w:rFonts w:ascii="Times New Roman" w:hAnsi="Times New Roman" w:cs="Times New Roman"/>
                <w:b/>
                <w:noProof/>
              </w:rPr>
              <w:t>Източници на информация</w:t>
            </w:r>
            <w:r w:rsidR="00D7264F">
              <w:rPr>
                <w:noProof/>
                <w:webHidden/>
              </w:rPr>
              <w:tab/>
            </w:r>
            <w:r w:rsidR="00D7264F">
              <w:rPr>
                <w:noProof/>
                <w:webHidden/>
              </w:rPr>
              <w:fldChar w:fldCharType="begin"/>
            </w:r>
            <w:r w:rsidR="00D7264F">
              <w:rPr>
                <w:noProof/>
                <w:webHidden/>
              </w:rPr>
              <w:instrText xml:space="preserve"> PAGEREF _Toc209084895 \h </w:instrText>
            </w:r>
            <w:r w:rsidR="00D7264F">
              <w:rPr>
                <w:noProof/>
                <w:webHidden/>
              </w:rPr>
            </w:r>
            <w:r w:rsidR="00D7264F">
              <w:rPr>
                <w:noProof/>
                <w:webHidden/>
              </w:rPr>
              <w:fldChar w:fldCharType="separate"/>
            </w:r>
            <w:r w:rsidR="00EF6F40">
              <w:rPr>
                <w:noProof/>
                <w:webHidden/>
              </w:rPr>
              <w:t>70</w:t>
            </w:r>
            <w:r w:rsidR="00D7264F">
              <w:rPr>
                <w:noProof/>
                <w:webHidden/>
              </w:rPr>
              <w:fldChar w:fldCharType="end"/>
            </w:r>
          </w:hyperlink>
        </w:p>
        <w:p w14:paraId="70CDBCB1" w14:textId="6A192947" w:rsidR="00CB2255" w:rsidRPr="00496500" w:rsidRDefault="00612388" w:rsidP="003B412E">
          <w:pPr>
            <w:spacing w:after="120" w:line="240" w:lineRule="auto"/>
            <w:rPr>
              <w:rFonts w:ascii="Times New Roman" w:hAnsi="Times New Roman" w:cs="Times New Roman"/>
              <w:sz w:val="24"/>
              <w:szCs w:val="24"/>
            </w:rPr>
          </w:pPr>
          <w:r w:rsidRPr="00496500">
            <w:rPr>
              <w:rFonts w:ascii="Times New Roman" w:hAnsi="Times New Roman" w:cs="Times New Roman"/>
              <w:b/>
              <w:bCs/>
              <w:sz w:val="24"/>
              <w:szCs w:val="24"/>
            </w:rPr>
            <w:fldChar w:fldCharType="end"/>
          </w:r>
        </w:p>
      </w:sdtContent>
    </w:sdt>
    <w:p w14:paraId="5B0610FB" w14:textId="1C54D8C0" w:rsidR="00237EBF" w:rsidRPr="00600BA3" w:rsidRDefault="00237EBF" w:rsidP="00600BA3">
      <w:pPr>
        <w:spacing w:after="240" w:line="240" w:lineRule="auto"/>
        <w:rPr>
          <w:rFonts w:ascii="Times New Roman" w:hAnsi="Times New Roman" w:cs="Times New Roman"/>
          <w:b/>
          <w:color w:val="2E74B5" w:themeColor="accent1" w:themeShade="BF"/>
          <w:sz w:val="24"/>
          <w:szCs w:val="24"/>
        </w:rPr>
      </w:pPr>
      <w:r w:rsidRPr="00600BA3">
        <w:rPr>
          <w:rFonts w:ascii="Times New Roman" w:hAnsi="Times New Roman" w:cs="Times New Roman"/>
          <w:b/>
          <w:color w:val="2E74B5" w:themeColor="accent1" w:themeShade="BF"/>
          <w:sz w:val="24"/>
          <w:szCs w:val="24"/>
        </w:rPr>
        <w:t>С</w:t>
      </w:r>
      <w:r w:rsidR="001154F3" w:rsidRPr="00600BA3">
        <w:rPr>
          <w:rFonts w:ascii="Times New Roman" w:hAnsi="Times New Roman" w:cs="Times New Roman"/>
          <w:b/>
          <w:color w:val="2E74B5" w:themeColor="accent1" w:themeShade="BF"/>
          <w:sz w:val="24"/>
          <w:szCs w:val="24"/>
        </w:rPr>
        <w:t>ъдържание</w:t>
      </w:r>
      <w:r w:rsidRPr="00600BA3">
        <w:rPr>
          <w:rFonts w:ascii="Times New Roman" w:hAnsi="Times New Roman" w:cs="Times New Roman"/>
          <w:b/>
          <w:color w:val="2E74B5" w:themeColor="accent1" w:themeShade="BF"/>
          <w:sz w:val="24"/>
          <w:szCs w:val="24"/>
        </w:rPr>
        <w:t xml:space="preserve"> на таблиците</w:t>
      </w:r>
      <w:r w:rsidR="001154F3" w:rsidRPr="00600BA3">
        <w:rPr>
          <w:rFonts w:ascii="Times New Roman" w:hAnsi="Times New Roman" w:cs="Times New Roman"/>
          <w:b/>
          <w:color w:val="2E74B5" w:themeColor="accent1" w:themeShade="BF"/>
          <w:sz w:val="24"/>
          <w:szCs w:val="24"/>
        </w:rPr>
        <w:t xml:space="preserve"> и графиките</w:t>
      </w:r>
    </w:p>
    <w:p w14:paraId="5CF8C945" w14:textId="77EE31B8" w:rsidR="001154F3" w:rsidRPr="00DE6590" w:rsidRDefault="001154F3" w:rsidP="006D7474">
      <w:pPr>
        <w:pStyle w:val="TableofFigures"/>
        <w:tabs>
          <w:tab w:val="right" w:leader="dot" w:pos="9348"/>
        </w:tabs>
        <w:spacing w:after="100"/>
        <w:ind w:left="992" w:hanging="992"/>
        <w:rPr>
          <w:rFonts w:ascii="Times New Roman" w:hAnsi="Times New Roman" w:cs="Times New Roman"/>
          <w:noProof/>
        </w:rPr>
      </w:pPr>
      <w:r w:rsidRPr="00DE6590">
        <w:rPr>
          <w:rFonts w:ascii="Times New Roman" w:hAnsi="Times New Roman" w:cs="Times New Roman"/>
        </w:rPr>
        <w:fldChar w:fldCharType="begin"/>
      </w:r>
      <w:r w:rsidRPr="00DE6590">
        <w:rPr>
          <w:rFonts w:ascii="Times New Roman" w:hAnsi="Times New Roman" w:cs="Times New Roman"/>
        </w:rPr>
        <w:instrText xml:space="preserve"> TOC \h \z \c "Таблица" </w:instrText>
      </w:r>
      <w:r w:rsidRPr="00DE6590">
        <w:rPr>
          <w:rFonts w:ascii="Times New Roman" w:hAnsi="Times New Roman" w:cs="Times New Roman"/>
        </w:rPr>
        <w:fldChar w:fldCharType="separate"/>
      </w:r>
      <w:hyperlink w:anchor="_Toc209079339" w:history="1">
        <w:r w:rsidRPr="00DE6590">
          <w:rPr>
            <w:rStyle w:val="Hyperlink"/>
            <w:rFonts w:ascii="Times New Roman" w:hAnsi="Times New Roman" w:cs="Times New Roman"/>
            <w:noProof/>
          </w:rPr>
          <w:t>Таблица 1 Резултатите на страната по ключовите показатели за ефективност</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_Toc209079339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15</w:t>
        </w:r>
        <w:r w:rsidRPr="00DE6590">
          <w:rPr>
            <w:rFonts w:ascii="Times New Roman" w:hAnsi="Times New Roman" w:cs="Times New Roman"/>
            <w:noProof/>
            <w:webHidden/>
          </w:rPr>
          <w:fldChar w:fldCharType="end"/>
        </w:r>
      </w:hyperlink>
    </w:p>
    <w:p w14:paraId="4F4E54DA" w14:textId="6FF3CEAE" w:rsidR="001154F3" w:rsidRPr="00DE6590" w:rsidRDefault="001154F3" w:rsidP="006D7474">
      <w:pPr>
        <w:pStyle w:val="TableofFigures"/>
        <w:tabs>
          <w:tab w:val="right" w:leader="dot" w:pos="9348"/>
        </w:tabs>
        <w:spacing w:after="100"/>
        <w:ind w:left="992" w:hanging="992"/>
        <w:rPr>
          <w:rFonts w:ascii="Times New Roman" w:hAnsi="Times New Roman" w:cs="Times New Roman"/>
          <w:noProof/>
        </w:rPr>
      </w:pPr>
      <w:hyperlink w:anchor="_Toc209079340" w:history="1">
        <w:r w:rsidRPr="00DE6590">
          <w:rPr>
            <w:rStyle w:val="Hyperlink"/>
            <w:rFonts w:ascii="Times New Roman" w:hAnsi="Times New Roman" w:cs="Times New Roman"/>
            <w:noProof/>
          </w:rPr>
          <w:t>Таблица 2 Показатели по отношение на цифровата инфраструктура</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_Toc209079340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17</w:t>
        </w:r>
        <w:r w:rsidRPr="00DE6590">
          <w:rPr>
            <w:rFonts w:ascii="Times New Roman" w:hAnsi="Times New Roman" w:cs="Times New Roman"/>
            <w:noProof/>
            <w:webHidden/>
          </w:rPr>
          <w:fldChar w:fldCharType="end"/>
        </w:r>
      </w:hyperlink>
    </w:p>
    <w:p w14:paraId="0B1A018C" w14:textId="498DB878" w:rsidR="001154F3" w:rsidRPr="00DE6590" w:rsidRDefault="001154F3" w:rsidP="006D7474">
      <w:pPr>
        <w:pStyle w:val="TableofFigures"/>
        <w:tabs>
          <w:tab w:val="right" w:leader="dot" w:pos="9348"/>
        </w:tabs>
        <w:spacing w:after="100"/>
        <w:ind w:left="992" w:hanging="992"/>
        <w:rPr>
          <w:rFonts w:ascii="Times New Roman" w:hAnsi="Times New Roman" w:cs="Times New Roman"/>
          <w:noProof/>
        </w:rPr>
      </w:pPr>
      <w:hyperlink w:anchor="_Toc209079341" w:history="1">
        <w:r w:rsidRPr="00DE6590">
          <w:rPr>
            <w:rStyle w:val="Hyperlink"/>
            <w:rFonts w:ascii="Times New Roman" w:hAnsi="Times New Roman" w:cs="Times New Roman"/>
            <w:noProof/>
          </w:rPr>
          <w:t>Таблица 3 Покритие на периферните възли</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_Toc209079341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18</w:t>
        </w:r>
        <w:r w:rsidRPr="00DE6590">
          <w:rPr>
            <w:rFonts w:ascii="Times New Roman" w:hAnsi="Times New Roman" w:cs="Times New Roman"/>
            <w:noProof/>
            <w:webHidden/>
          </w:rPr>
          <w:fldChar w:fldCharType="end"/>
        </w:r>
      </w:hyperlink>
    </w:p>
    <w:p w14:paraId="7FB9FCDF" w14:textId="1541BCAF" w:rsidR="001154F3" w:rsidRPr="00DE6590" w:rsidRDefault="001154F3" w:rsidP="006D7474">
      <w:pPr>
        <w:pStyle w:val="TableofFigures"/>
        <w:tabs>
          <w:tab w:val="right" w:leader="dot" w:pos="9348"/>
        </w:tabs>
        <w:spacing w:after="100"/>
        <w:ind w:left="992" w:hanging="992"/>
        <w:rPr>
          <w:rFonts w:ascii="Times New Roman" w:hAnsi="Times New Roman" w:cs="Times New Roman"/>
          <w:noProof/>
        </w:rPr>
      </w:pPr>
      <w:hyperlink w:anchor="_Toc209079342" w:history="1">
        <w:r w:rsidRPr="00DE6590">
          <w:rPr>
            <w:rStyle w:val="Hyperlink"/>
            <w:rFonts w:ascii="Times New Roman" w:hAnsi="Times New Roman" w:cs="Times New Roman"/>
            <w:noProof/>
          </w:rPr>
          <w:t>Таблица 4 Показатели по отношение на бизнес</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_Toc209079342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30</w:t>
        </w:r>
        <w:r w:rsidRPr="00DE6590">
          <w:rPr>
            <w:rFonts w:ascii="Times New Roman" w:hAnsi="Times New Roman" w:cs="Times New Roman"/>
            <w:noProof/>
            <w:webHidden/>
          </w:rPr>
          <w:fldChar w:fldCharType="end"/>
        </w:r>
      </w:hyperlink>
    </w:p>
    <w:p w14:paraId="1D26ECE0" w14:textId="4DCDE838" w:rsidR="001154F3" w:rsidRPr="00DE6590" w:rsidRDefault="001154F3" w:rsidP="006D7474">
      <w:pPr>
        <w:pStyle w:val="TableofFigures"/>
        <w:tabs>
          <w:tab w:val="right" w:leader="dot" w:pos="9348"/>
        </w:tabs>
        <w:spacing w:after="100"/>
        <w:ind w:left="992" w:hanging="992"/>
        <w:rPr>
          <w:rFonts w:ascii="Times New Roman" w:hAnsi="Times New Roman" w:cs="Times New Roman"/>
          <w:noProof/>
        </w:rPr>
      </w:pPr>
      <w:hyperlink w:anchor="_Toc209079343" w:history="1">
        <w:r w:rsidRPr="00DE6590">
          <w:rPr>
            <w:rStyle w:val="Hyperlink"/>
            <w:rFonts w:ascii="Times New Roman" w:hAnsi="Times New Roman" w:cs="Times New Roman"/>
            <w:noProof/>
          </w:rPr>
          <w:t>Таблица 5 Показатели по отношение на цифрови умения в България</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_Toc209079343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37</w:t>
        </w:r>
        <w:r w:rsidRPr="00DE6590">
          <w:rPr>
            <w:rFonts w:ascii="Times New Roman" w:hAnsi="Times New Roman" w:cs="Times New Roman"/>
            <w:noProof/>
            <w:webHidden/>
          </w:rPr>
          <w:fldChar w:fldCharType="end"/>
        </w:r>
      </w:hyperlink>
    </w:p>
    <w:p w14:paraId="795A1C92" w14:textId="107D0197" w:rsidR="001154F3" w:rsidRPr="00DE6590" w:rsidRDefault="001154F3" w:rsidP="006D7474">
      <w:pPr>
        <w:pStyle w:val="TableofFigures"/>
        <w:tabs>
          <w:tab w:val="right" w:leader="dot" w:pos="9348"/>
        </w:tabs>
        <w:spacing w:after="100"/>
        <w:ind w:left="992" w:hanging="992"/>
        <w:rPr>
          <w:rFonts w:ascii="Times New Roman" w:hAnsi="Times New Roman" w:cs="Times New Roman"/>
          <w:noProof/>
        </w:rPr>
      </w:pPr>
      <w:hyperlink w:anchor="_Toc209079344" w:history="1">
        <w:r w:rsidRPr="00DE6590">
          <w:rPr>
            <w:rStyle w:val="Hyperlink"/>
            <w:rFonts w:ascii="Times New Roman" w:hAnsi="Times New Roman" w:cs="Times New Roman"/>
            <w:noProof/>
          </w:rPr>
          <w:t>Таблица 6 Лица, притежаващи основни и над основни цифрови умения, разделени по пол, образование и възраст</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_Toc209079344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38</w:t>
        </w:r>
        <w:r w:rsidRPr="00DE6590">
          <w:rPr>
            <w:rFonts w:ascii="Times New Roman" w:hAnsi="Times New Roman" w:cs="Times New Roman"/>
            <w:noProof/>
            <w:webHidden/>
          </w:rPr>
          <w:fldChar w:fldCharType="end"/>
        </w:r>
      </w:hyperlink>
    </w:p>
    <w:p w14:paraId="41D49408" w14:textId="32159C4B" w:rsidR="001154F3" w:rsidRPr="00DE6590" w:rsidRDefault="001154F3" w:rsidP="006D7474">
      <w:pPr>
        <w:spacing w:after="120" w:line="240" w:lineRule="auto"/>
        <w:rPr>
          <w:rFonts w:ascii="Times New Roman" w:eastAsiaTheme="minorEastAsia" w:hAnsi="Times New Roman" w:cs="Times New Roman"/>
          <w:noProof/>
          <w:lang w:val="en-US"/>
        </w:rPr>
      </w:pPr>
      <w:r w:rsidRPr="00DE6590">
        <w:rPr>
          <w:rFonts w:ascii="Times New Roman" w:hAnsi="Times New Roman" w:cs="Times New Roman"/>
        </w:rPr>
        <w:fldChar w:fldCharType="end"/>
      </w:r>
      <w:r w:rsidRPr="00DE6590">
        <w:rPr>
          <w:rFonts w:ascii="Times New Roman" w:hAnsi="Times New Roman" w:cs="Times New Roman"/>
        </w:rPr>
        <w:fldChar w:fldCharType="begin"/>
      </w:r>
      <w:r w:rsidRPr="00DE6590">
        <w:rPr>
          <w:rFonts w:ascii="Times New Roman" w:hAnsi="Times New Roman" w:cs="Times New Roman"/>
        </w:rPr>
        <w:instrText xml:space="preserve"> TOC \h \z \c "Графика" </w:instrText>
      </w:r>
      <w:r w:rsidRPr="00DE6590">
        <w:rPr>
          <w:rFonts w:ascii="Times New Roman" w:hAnsi="Times New Roman" w:cs="Times New Roman"/>
        </w:rPr>
        <w:fldChar w:fldCharType="separate"/>
      </w:r>
      <w:hyperlink w:anchor="_Toc209079372" w:history="1">
        <w:r w:rsidRPr="00DE6590">
          <w:rPr>
            <w:rStyle w:val="Hyperlink"/>
            <w:rFonts w:ascii="Times New Roman" w:hAnsi="Times New Roman" w:cs="Times New Roman"/>
            <w:noProof/>
          </w:rPr>
          <w:t>Графика 1 Относителен дял на домакинствата с достъп до интернет по местоживеене</w:t>
        </w:r>
        <w:r w:rsidRPr="00DE6590">
          <w:rPr>
            <w:rFonts w:ascii="Times New Roman" w:hAnsi="Times New Roman" w:cs="Times New Roman"/>
            <w:noProof/>
            <w:webHidden/>
          </w:rPr>
          <w:tab/>
        </w:r>
        <w:r w:rsidRPr="00DE6590">
          <w:rPr>
            <w:rFonts w:ascii="Times New Roman" w:hAnsi="Times New Roman" w:cs="Times New Roman"/>
            <w:noProof/>
            <w:webHidden/>
          </w:rPr>
          <w:fldChar w:fldCharType="begin"/>
        </w:r>
        <w:r w:rsidRPr="00DE6590">
          <w:rPr>
            <w:rFonts w:ascii="Times New Roman" w:hAnsi="Times New Roman" w:cs="Times New Roman"/>
            <w:noProof/>
            <w:webHidden/>
          </w:rPr>
          <w:instrText xml:space="preserve"> PAGEREF _Toc209079372 \h </w:instrText>
        </w:r>
        <w:r w:rsidRPr="00DE6590">
          <w:rPr>
            <w:rFonts w:ascii="Times New Roman" w:hAnsi="Times New Roman" w:cs="Times New Roman"/>
            <w:noProof/>
            <w:webHidden/>
          </w:rPr>
        </w:r>
        <w:r w:rsidRPr="00DE6590">
          <w:rPr>
            <w:rFonts w:ascii="Times New Roman" w:hAnsi="Times New Roman" w:cs="Times New Roman"/>
            <w:noProof/>
            <w:webHidden/>
          </w:rPr>
          <w:fldChar w:fldCharType="separate"/>
        </w:r>
        <w:r w:rsidRPr="00DE6590">
          <w:rPr>
            <w:rFonts w:ascii="Times New Roman" w:hAnsi="Times New Roman" w:cs="Times New Roman"/>
            <w:noProof/>
            <w:webHidden/>
          </w:rPr>
          <w:t>41</w:t>
        </w:r>
        <w:r w:rsidRPr="00DE6590">
          <w:rPr>
            <w:rFonts w:ascii="Times New Roman" w:hAnsi="Times New Roman" w:cs="Times New Roman"/>
            <w:noProof/>
            <w:webHidden/>
          </w:rPr>
          <w:fldChar w:fldCharType="end"/>
        </w:r>
      </w:hyperlink>
    </w:p>
    <w:p w14:paraId="1CE89E4A" w14:textId="517788A2" w:rsidR="001154F3" w:rsidRPr="001154F3" w:rsidRDefault="001154F3" w:rsidP="006D7474">
      <w:pPr>
        <w:spacing w:after="120" w:line="240" w:lineRule="auto"/>
        <w:rPr>
          <w:rFonts w:ascii="Times New Roman" w:hAnsi="Times New Roman" w:cs="Times New Roman"/>
          <w:b/>
          <w:sz w:val="24"/>
          <w:szCs w:val="24"/>
        </w:rPr>
      </w:pPr>
      <w:r w:rsidRPr="00DE6590">
        <w:rPr>
          <w:rFonts w:ascii="Times New Roman" w:hAnsi="Times New Roman" w:cs="Times New Roman"/>
        </w:rPr>
        <w:fldChar w:fldCharType="end"/>
      </w:r>
    </w:p>
    <w:p w14:paraId="37E8C2F4" w14:textId="77777777" w:rsidR="00000000" w:rsidRPr="006D7474" w:rsidRDefault="00916AE7" w:rsidP="006D7474">
      <w:pPr>
        <w:spacing w:after="120" w:line="240" w:lineRule="auto"/>
        <w:outlineLvl w:val="0"/>
        <w:rPr>
          <w:rFonts w:ascii="Times New Roman" w:hAnsi="Times New Roman" w:cs="Times New Roman"/>
          <w:b/>
          <w:sz w:val="24"/>
          <w:szCs w:val="24"/>
        </w:rPr>
        <w:sectPr w:rsidR="00000000" w:rsidRPr="006D7474" w:rsidSect="004C66F4">
          <w:footerReference w:type="default" r:id="rId8"/>
          <w:pgSz w:w="11906" w:h="16838" w:code="9"/>
          <w:pgMar w:top="1239" w:right="1022" w:bottom="1138" w:left="1526" w:header="706" w:footer="518" w:gutter="0"/>
          <w:cols w:space="720"/>
          <w:titlePg/>
          <w:docGrid w:linePitch="360"/>
        </w:sectPr>
      </w:pPr>
    </w:p>
    <w:p w14:paraId="0CF7102B" w14:textId="77777777" w:rsidR="00CB2255" w:rsidRPr="00600BA3" w:rsidRDefault="00CB2255" w:rsidP="00600BA3">
      <w:pPr>
        <w:spacing w:after="120" w:line="240" w:lineRule="auto"/>
        <w:ind w:left="426"/>
        <w:rPr>
          <w:rFonts w:ascii="Times New Roman" w:hAnsi="Times New Roman" w:cs="Times New Roman"/>
          <w:b/>
          <w:color w:val="2E74B5" w:themeColor="accent1" w:themeShade="BF"/>
          <w:sz w:val="28"/>
          <w:szCs w:val="28"/>
        </w:rPr>
      </w:pPr>
      <w:r w:rsidRPr="00600BA3">
        <w:rPr>
          <w:rFonts w:ascii="Times New Roman" w:hAnsi="Times New Roman" w:cs="Times New Roman"/>
          <w:b/>
          <w:color w:val="2E74B5" w:themeColor="accent1" w:themeShade="BF"/>
          <w:sz w:val="28"/>
          <w:szCs w:val="28"/>
        </w:rPr>
        <w:lastRenderedPageBreak/>
        <w:t>Използвани съкращения</w:t>
      </w:r>
    </w:p>
    <w:tbl>
      <w:tblPr>
        <w:tblW w:w="8789"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4"/>
        <w:gridCol w:w="7095"/>
      </w:tblGrid>
      <w:tr w:rsidR="002C00B0" w:rsidRPr="00496500" w14:paraId="59DD1B41" w14:textId="77777777" w:rsidTr="00EF6F40">
        <w:trPr>
          <w:trHeight w:val="299"/>
        </w:trPr>
        <w:tc>
          <w:tcPr>
            <w:tcW w:w="1694" w:type="dxa"/>
            <w:vAlign w:val="center"/>
          </w:tcPr>
          <w:p w14:paraId="7D3403B4" w14:textId="77777777" w:rsidR="002C00B0" w:rsidRPr="00496500" w:rsidRDefault="00815181"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АД</w:t>
            </w:r>
          </w:p>
        </w:tc>
        <w:tc>
          <w:tcPr>
            <w:tcW w:w="7095" w:type="dxa"/>
            <w:vAlign w:val="center"/>
          </w:tcPr>
          <w:p w14:paraId="4F7F1889" w14:textId="77777777" w:rsidR="002C00B0" w:rsidRPr="00496500" w:rsidRDefault="00815181"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Акт за данните</w:t>
            </w:r>
          </w:p>
        </w:tc>
      </w:tr>
      <w:tr w:rsidR="00AF1519" w:rsidRPr="00496500" w14:paraId="07A3801D" w14:textId="77777777" w:rsidTr="00EF6F40">
        <w:trPr>
          <w:trHeight w:val="299"/>
        </w:trPr>
        <w:tc>
          <w:tcPr>
            <w:tcW w:w="1694" w:type="dxa"/>
            <w:vAlign w:val="center"/>
          </w:tcPr>
          <w:p w14:paraId="126B8480"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АИС</w:t>
            </w:r>
          </w:p>
        </w:tc>
        <w:tc>
          <w:tcPr>
            <w:tcW w:w="7095" w:type="dxa"/>
            <w:vAlign w:val="center"/>
          </w:tcPr>
          <w:p w14:paraId="41C6EDF4"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Автоматизирана</w:t>
            </w:r>
            <w:r w:rsidRPr="00496500">
              <w:rPr>
                <w:rFonts w:ascii="Times New Roman" w:eastAsia="Times New Roman" w:hAnsi="Times New Roman" w:cs="Times New Roman"/>
                <w:spacing w:val="-6"/>
              </w:rPr>
              <w:t xml:space="preserve"> </w:t>
            </w:r>
            <w:r w:rsidRPr="00496500">
              <w:rPr>
                <w:rFonts w:ascii="Times New Roman" w:eastAsia="Times New Roman" w:hAnsi="Times New Roman" w:cs="Times New Roman"/>
              </w:rPr>
              <w:t>информационна</w:t>
            </w:r>
            <w:r w:rsidRPr="00496500">
              <w:rPr>
                <w:rFonts w:ascii="Times New Roman" w:eastAsia="Times New Roman" w:hAnsi="Times New Roman" w:cs="Times New Roman"/>
                <w:spacing w:val="-5"/>
              </w:rPr>
              <w:t xml:space="preserve"> </w:t>
            </w:r>
            <w:r w:rsidRPr="00496500">
              <w:rPr>
                <w:rFonts w:ascii="Times New Roman" w:eastAsia="Times New Roman" w:hAnsi="Times New Roman" w:cs="Times New Roman"/>
                <w:spacing w:val="-2"/>
              </w:rPr>
              <w:t>система</w:t>
            </w:r>
          </w:p>
        </w:tc>
      </w:tr>
      <w:tr w:rsidR="003C7585" w:rsidRPr="00496500" w14:paraId="490DCBE1" w14:textId="77777777" w:rsidTr="00EF6F40">
        <w:trPr>
          <w:trHeight w:val="299"/>
        </w:trPr>
        <w:tc>
          <w:tcPr>
            <w:tcW w:w="1694" w:type="dxa"/>
            <w:vAlign w:val="center"/>
          </w:tcPr>
          <w:p w14:paraId="26767D2D" w14:textId="77777777" w:rsidR="003C7585" w:rsidRPr="00496500" w:rsidRDefault="003C7585"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АВ</w:t>
            </w:r>
          </w:p>
        </w:tc>
        <w:tc>
          <w:tcPr>
            <w:tcW w:w="7095" w:type="dxa"/>
            <w:vAlign w:val="center"/>
          </w:tcPr>
          <w:p w14:paraId="2AACFA5F" w14:textId="77777777" w:rsidR="003C7585" w:rsidRPr="00496500" w:rsidRDefault="003C7585" w:rsidP="003C7585">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Агенция по вписванията</w:t>
            </w:r>
          </w:p>
        </w:tc>
      </w:tr>
      <w:tr w:rsidR="00AF1519" w:rsidRPr="00496500" w14:paraId="75E0084E" w14:textId="77777777" w:rsidTr="00EF6F40">
        <w:trPr>
          <w:trHeight w:val="299"/>
        </w:trPr>
        <w:tc>
          <w:tcPr>
            <w:tcW w:w="1694" w:type="dxa"/>
            <w:vAlign w:val="center"/>
          </w:tcPr>
          <w:p w14:paraId="31534783"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iCs/>
              </w:rPr>
              <w:t>АУАН</w:t>
            </w:r>
          </w:p>
        </w:tc>
        <w:tc>
          <w:tcPr>
            <w:tcW w:w="7095" w:type="dxa"/>
            <w:vAlign w:val="center"/>
          </w:tcPr>
          <w:p w14:paraId="62EB3F16"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iCs/>
              </w:rPr>
              <w:t>Акт за установяване на административно нарушение</w:t>
            </w:r>
          </w:p>
        </w:tc>
      </w:tr>
      <w:tr w:rsidR="002C00B0" w:rsidRPr="00496500" w14:paraId="56EF7E36" w14:textId="77777777" w:rsidTr="00EF6F40">
        <w:trPr>
          <w:trHeight w:val="299"/>
        </w:trPr>
        <w:tc>
          <w:tcPr>
            <w:tcW w:w="1694" w:type="dxa"/>
            <w:vAlign w:val="center"/>
          </w:tcPr>
          <w:p w14:paraId="2EAB85F5" w14:textId="77777777" w:rsidR="002C00B0" w:rsidRPr="00496500" w:rsidRDefault="002C00B0" w:rsidP="003B412E">
            <w:pPr>
              <w:widowControl w:val="0"/>
              <w:autoSpaceDE w:val="0"/>
              <w:autoSpaceDN w:val="0"/>
              <w:spacing w:after="120" w:line="240" w:lineRule="auto"/>
              <w:ind w:firstLine="57"/>
              <w:rPr>
                <w:rFonts w:ascii="Times New Roman" w:eastAsia="Times New Roman" w:hAnsi="Times New Roman" w:cs="Times New Roman"/>
                <w:iCs/>
              </w:rPr>
            </w:pPr>
            <w:r w:rsidRPr="00496500">
              <w:rPr>
                <w:rFonts w:ascii="Times New Roman" w:eastAsia="Times New Roman" w:hAnsi="Times New Roman" w:cs="Times New Roman"/>
                <w:iCs/>
              </w:rPr>
              <w:t>АУД</w:t>
            </w:r>
          </w:p>
        </w:tc>
        <w:tc>
          <w:tcPr>
            <w:tcW w:w="7095" w:type="dxa"/>
            <w:vAlign w:val="center"/>
          </w:tcPr>
          <w:p w14:paraId="053ED7F5" w14:textId="77777777" w:rsidR="002C00B0" w:rsidRPr="00496500" w:rsidRDefault="002C00B0" w:rsidP="003B412E">
            <w:pPr>
              <w:widowControl w:val="0"/>
              <w:autoSpaceDE w:val="0"/>
              <w:autoSpaceDN w:val="0"/>
              <w:spacing w:after="120" w:line="240" w:lineRule="auto"/>
              <w:ind w:firstLine="57"/>
              <w:rPr>
                <w:rFonts w:ascii="Times New Roman" w:eastAsia="Times New Roman" w:hAnsi="Times New Roman" w:cs="Times New Roman"/>
                <w:iCs/>
              </w:rPr>
            </w:pPr>
            <w:r w:rsidRPr="00496500">
              <w:rPr>
                <w:rFonts w:ascii="Times New Roman" w:eastAsia="Times New Roman" w:hAnsi="Times New Roman" w:cs="Times New Roman"/>
                <w:iCs/>
              </w:rPr>
              <w:t>Акт за управление на данните</w:t>
            </w:r>
          </w:p>
        </w:tc>
      </w:tr>
      <w:tr w:rsidR="00AF1519" w:rsidRPr="00496500" w14:paraId="31998B56" w14:textId="77777777" w:rsidTr="00EF6F40">
        <w:trPr>
          <w:trHeight w:val="299"/>
        </w:trPr>
        <w:tc>
          <w:tcPr>
            <w:tcW w:w="1694" w:type="dxa"/>
            <w:vAlign w:val="center"/>
          </w:tcPr>
          <w:p w14:paraId="3CC9BDE7"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ДХЧО</w:t>
            </w:r>
          </w:p>
        </w:tc>
        <w:tc>
          <w:tcPr>
            <w:tcW w:w="7095" w:type="dxa"/>
            <w:vAlign w:val="center"/>
          </w:tcPr>
          <w:p w14:paraId="22870A0E"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Държавен</w:t>
            </w:r>
            <w:r w:rsidRPr="00496500">
              <w:rPr>
                <w:rFonts w:ascii="Times New Roman" w:eastAsia="Times New Roman" w:hAnsi="Times New Roman" w:cs="Times New Roman"/>
                <w:spacing w:val="-7"/>
              </w:rPr>
              <w:t xml:space="preserve"> </w:t>
            </w:r>
            <w:r w:rsidRPr="00496500">
              <w:rPr>
                <w:rFonts w:ascii="Times New Roman" w:eastAsia="Times New Roman" w:hAnsi="Times New Roman" w:cs="Times New Roman"/>
              </w:rPr>
              <w:t>хибриден</w:t>
            </w:r>
            <w:r w:rsidRPr="00496500">
              <w:rPr>
                <w:rFonts w:ascii="Times New Roman" w:eastAsia="Times New Roman" w:hAnsi="Times New Roman" w:cs="Times New Roman"/>
                <w:spacing w:val="-4"/>
              </w:rPr>
              <w:t xml:space="preserve"> </w:t>
            </w:r>
            <w:r w:rsidRPr="00496500">
              <w:rPr>
                <w:rFonts w:ascii="Times New Roman" w:eastAsia="Times New Roman" w:hAnsi="Times New Roman" w:cs="Times New Roman"/>
              </w:rPr>
              <w:t>частен</w:t>
            </w:r>
            <w:r w:rsidRPr="00496500">
              <w:rPr>
                <w:rFonts w:ascii="Times New Roman" w:eastAsia="Times New Roman" w:hAnsi="Times New Roman" w:cs="Times New Roman"/>
                <w:spacing w:val="-4"/>
              </w:rPr>
              <w:t xml:space="preserve"> </w:t>
            </w:r>
            <w:r w:rsidRPr="00496500">
              <w:rPr>
                <w:rFonts w:ascii="Times New Roman" w:eastAsia="Times New Roman" w:hAnsi="Times New Roman" w:cs="Times New Roman"/>
                <w:spacing w:val="-2"/>
              </w:rPr>
              <w:t>облак</w:t>
            </w:r>
          </w:p>
        </w:tc>
      </w:tr>
      <w:tr w:rsidR="00AF1519" w:rsidRPr="00496500" w14:paraId="7FB53245" w14:textId="77777777" w:rsidTr="00EF6F40">
        <w:trPr>
          <w:trHeight w:val="300"/>
        </w:trPr>
        <w:tc>
          <w:tcPr>
            <w:tcW w:w="1694" w:type="dxa"/>
            <w:vAlign w:val="center"/>
          </w:tcPr>
          <w:p w14:paraId="6A832A52"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ДЧ</w:t>
            </w:r>
          </w:p>
        </w:tc>
        <w:tc>
          <w:tcPr>
            <w:tcW w:w="7095" w:type="dxa"/>
            <w:vAlign w:val="center"/>
          </w:tcPr>
          <w:p w14:paraId="44FB81F3"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Държавите-членки на ЕК</w:t>
            </w:r>
          </w:p>
        </w:tc>
      </w:tr>
      <w:tr w:rsidR="00AF1519" w:rsidRPr="00496500" w14:paraId="7D96EF7D" w14:textId="77777777" w:rsidTr="00EF6F40">
        <w:trPr>
          <w:trHeight w:val="299"/>
        </w:trPr>
        <w:tc>
          <w:tcPr>
            <w:tcW w:w="1694" w:type="dxa"/>
            <w:vAlign w:val="center"/>
          </w:tcPr>
          <w:p w14:paraId="65568FF4"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ЕАУ</w:t>
            </w:r>
          </w:p>
        </w:tc>
        <w:tc>
          <w:tcPr>
            <w:tcW w:w="7095" w:type="dxa"/>
            <w:vAlign w:val="center"/>
          </w:tcPr>
          <w:p w14:paraId="44DD6C77"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Електронни</w:t>
            </w:r>
            <w:r w:rsidRPr="00496500">
              <w:rPr>
                <w:rFonts w:ascii="Times New Roman" w:eastAsia="Times New Roman" w:hAnsi="Times New Roman" w:cs="Times New Roman"/>
                <w:spacing w:val="-5"/>
              </w:rPr>
              <w:t xml:space="preserve"> </w:t>
            </w:r>
            <w:r w:rsidRPr="00496500">
              <w:rPr>
                <w:rFonts w:ascii="Times New Roman" w:eastAsia="Times New Roman" w:hAnsi="Times New Roman" w:cs="Times New Roman"/>
              </w:rPr>
              <w:t>административни</w:t>
            </w:r>
            <w:r w:rsidRPr="00496500">
              <w:rPr>
                <w:rFonts w:ascii="Times New Roman" w:eastAsia="Times New Roman" w:hAnsi="Times New Roman" w:cs="Times New Roman"/>
                <w:spacing w:val="-2"/>
              </w:rPr>
              <w:t xml:space="preserve"> услуги</w:t>
            </w:r>
          </w:p>
        </w:tc>
      </w:tr>
      <w:tr w:rsidR="00AF1519" w:rsidRPr="00496500" w14:paraId="0C353ECA" w14:textId="77777777" w:rsidTr="00EF6F40">
        <w:trPr>
          <w:trHeight w:val="302"/>
        </w:trPr>
        <w:tc>
          <w:tcPr>
            <w:tcW w:w="1694" w:type="dxa"/>
            <w:vAlign w:val="center"/>
          </w:tcPr>
          <w:p w14:paraId="226E7B95"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ЕЕСМ</w:t>
            </w:r>
          </w:p>
        </w:tc>
        <w:tc>
          <w:tcPr>
            <w:tcW w:w="7095" w:type="dxa"/>
            <w:vAlign w:val="center"/>
          </w:tcPr>
          <w:p w14:paraId="0387CFA2"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Единна електронна съобщителна мрежа</w:t>
            </w:r>
          </w:p>
        </w:tc>
      </w:tr>
      <w:tr w:rsidR="00AF1519" w:rsidRPr="00496500" w14:paraId="6B51BDA2" w14:textId="77777777" w:rsidTr="00EF6F40">
        <w:trPr>
          <w:trHeight w:val="300"/>
        </w:trPr>
        <w:tc>
          <w:tcPr>
            <w:tcW w:w="1694" w:type="dxa"/>
            <w:vAlign w:val="center"/>
          </w:tcPr>
          <w:p w14:paraId="71B6830D"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ЕК</w:t>
            </w:r>
          </w:p>
        </w:tc>
        <w:tc>
          <w:tcPr>
            <w:tcW w:w="7095" w:type="dxa"/>
            <w:vAlign w:val="center"/>
          </w:tcPr>
          <w:p w14:paraId="01CE885B"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Европейска комисия</w:t>
            </w:r>
          </w:p>
        </w:tc>
      </w:tr>
      <w:tr w:rsidR="00AF1519" w:rsidRPr="00496500" w14:paraId="6C874970" w14:textId="77777777" w:rsidTr="00EF6F40">
        <w:trPr>
          <w:trHeight w:val="551"/>
        </w:trPr>
        <w:tc>
          <w:tcPr>
            <w:tcW w:w="1694" w:type="dxa"/>
            <w:vAlign w:val="center"/>
          </w:tcPr>
          <w:p w14:paraId="39E4E0FF"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ЕПИР</w:t>
            </w:r>
          </w:p>
        </w:tc>
        <w:tc>
          <w:tcPr>
            <w:tcW w:w="7095" w:type="dxa"/>
            <w:vAlign w:val="center"/>
          </w:tcPr>
          <w:p w14:paraId="1C986BD5"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Единна политика за информационните ресурси на електронното</w:t>
            </w:r>
          </w:p>
          <w:p w14:paraId="1E6D9203"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управление на Република България</w:t>
            </w:r>
            <w:bookmarkStart w:id="0" w:name="_GoBack"/>
            <w:bookmarkEnd w:id="0"/>
          </w:p>
        </w:tc>
      </w:tr>
      <w:tr w:rsidR="009C2954" w:rsidRPr="00496500" w14:paraId="2D43397E" w14:textId="77777777" w:rsidTr="00EF6F40">
        <w:trPr>
          <w:trHeight w:val="551"/>
        </w:trPr>
        <w:tc>
          <w:tcPr>
            <w:tcW w:w="1694" w:type="dxa"/>
            <w:vAlign w:val="center"/>
          </w:tcPr>
          <w:p w14:paraId="1D19516A" w14:textId="77777777" w:rsidR="009C2954" w:rsidRPr="00496500" w:rsidRDefault="009C2954"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Calibri" w:hAnsi="Times New Roman" w:cs="Times New Roman"/>
              </w:rPr>
              <w:t>ЕПЦС</w:t>
            </w:r>
          </w:p>
        </w:tc>
        <w:tc>
          <w:tcPr>
            <w:tcW w:w="7095" w:type="dxa"/>
            <w:vAlign w:val="center"/>
          </w:tcPr>
          <w:p w14:paraId="6F550F92" w14:textId="77777777" w:rsidR="009C2954" w:rsidRPr="00496500" w:rsidRDefault="009C2954"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Европейски портфейл за цифрова самоличност</w:t>
            </w:r>
          </w:p>
        </w:tc>
      </w:tr>
      <w:tr w:rsidR="00AF1519" w:rsidRPr="00496500" w14:paraId="6C894C34" w14:textId="77777777" w:rsidTr="00EF6F40">
        <w:trPr>
          <w:trHeight w:val="302"/>
        </w:trPr>
        <w:tc>
          <w:tcPr>
            <w:tcW w:w="1694" w:type="dxa"/>
            <w:vAlign w:val="center"/>
          </w:tcPr>
          <w:p w14:paraId="07016E85"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ЕРИКС</w:t>
            </w:r>
          </w:p>
        </w:tc>
        <w:tc>
          <w:tcPr>
            <w:tcW w:w="7095" w:type="dxa"/>
            <w:vAlign w:val="center"/>
          </w:tcPr>
          <w:p w14:paraId="5CF98C54"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Екипи за реагиране при инциденти с компютърната сигурност</w:t>
            </w:r>
          </w:p>
        </w:tc>
      </w:tr>
      <w:tr w:rsidR="00AF1519" w:rsidRPr="00496500" w14:paraId="64EB30F8" w14:textId="77777777" w:rsidTr="00EF6F40">
        <w:trPr>
          <w:trHeight w:val="300"/>
        </w:trPr>
        <w:tc>
          <w:tcPr>
            <w:tcW w:w="1694" w:type="dxa"/>
            <w:vAlign w:val="center"/>
          </w:tcPr>
          <w:p w14:paraId="6A3D50FD"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ЕС</w:t>
            </w:r>
          </w:p>
        </w:tc>
        <w:tc>
          <w:tcPr>
            <w:tcW w:w="7095" w:type="dxa"/>
            <w:vAlign w:val="center"/>
          </w:tcPr>
          <w:p w14:paraId="4D58DB8B"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Европейски съюз</w:t>
            </w:r>
          </w:p>
        </w:tc>
      </w:tr>
      <w:tr w:rsidR="00AF1519" w:rsidRPr="00496500" w14:paraId="0C62ECD4" w14:textId="77777777" w:rsidTr="00EF6F40">
        <w:trPr>
          <w:trHeight w:val="300"/>
        </w:trPr>
        <w:tc>
          <w:tcPr>
            <w:tcW w:w="1694" w:type="dxa"/>
            <w:vAlign w:val="center"/>
          </w:tcPr>
          <w:p w14:paraId="2DC29341"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Calibri" w:hAnsi="Times New Roman" w:cs="Times New Roman"/>
              </w:rPr>
              <w:t>ЕУ</w:t>
            </w:r>
          </w:p>
        </w:tc>
        <w:tc>
          <w:tcPr>
            <w:tcW w:w="7095" w:type="dxa"/>
            <w:vAlign w:val="center"/>
          </w:tcPr>
          <w:p w14:paraId="1C97F371"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Електронна/-и услуга/-и</w:t>
            </w:r>
          </w:p>
        </w:tc>
      </w:tr>
      <w:tr w:rsidR="00AF1519" w:rsidRPr="00496500" w14:paraId="39F00C29" w14:textId="77777777" w:rsidTr="00EF6F40">
        <w:trPr>
          <w:trHeight w:val="299"/>
        </w:trPr>
        <w:tc>
          <w:tcPr>
            <w:tcW w:w="1694" w:type="dxa"/>
            <w:vAlign w:val="center"/>
          </w:tcPr>
          <w:p w14:paraId="4A242C06"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Е-управление</w:t>
            </w:r>
          </w:p>
        </w:tc>
        <w:tc>
          <w:tcPr>
            <w:tcW w:w="7095" w:type="dxa"/>
            <w:vAlign w:val="center"/>
          </w:tcPr>
          <w:p w14:paraId="68B9C60F"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Електронно управление</w:t>
            </w:r>
          </w:p>
        </w:tc>
      </w:tr>
      <w:tr w:rsidR="00AF1519" w:rsidRPr="00496500" w14:paraId="4DED8D3A" w14:textId="77777777" w:rsidTr="00EF6F40">
        <w:trPr>
          <w:trHeight w:val="302"/>
        </w:trPr>
        <w:tc>
          <w:tcPr>
            <w:tcW w:w="1694" w:type="dxa"/>
            <w:vAlign w:val="center"/>
          </w:tcPr>
          <w:p w14:paraId="490F4B26"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ЗАНН</w:t>
            </w:r>
          </w:p>
        </w:tc>
        <w:tc>
          <w:tcPr>
            <w:tcW w:w="7095" w:type="dxa"/>
            <w:vAlign w:val="center"/>
          </w:tcPr>
          <w:p w14:paraId="6AC2CADE"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Закон за административните нарушения и наказания</w:t>
            </w:r>
          </w:p>
        </w:tc>
      </w:tr>
      <w:tr w:rsidR="00AF1519" w:rsidRPr="00496500" w14:paraId="5BE6A883" w14:textId="77777777" w:rsidTr="00EF6F40">
        <w:trPr>
          <w:trHeight w:val="299"/>
        </w:trPr>
        <w:tc>
          <w:tcPr>
            <w:tcW w:w="1694" w:type="dxa"/>
            <w:vAlign w:val="center"/>
          </w:tcPr>
          <w:p w14:paraId="2D4FB719"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ЗЕИ</w:t>
            </w:r>
          </w:p>
        </w:tc>
        <w:tc>
          <w:tcPr>
            <w:tcW w:w="7095" w:type="dxa"/>
            <w:vAlign w:val="center"/>
          </w:tcPr>
          <w:p w14:paraId="6630096E"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Закон за електронната идентификация</w:t>
            </w:r>
          </w:p>
        </w:tc>
      </w:tr>
      <w:tr w:rsidR="00AF1519" w:rsidRPr="00496500" w14:paraId="5922BEB6" w14:textId="77777777" w:rsidTr="00EF6F40">
        <w:trPr>
          <w:trHeight w:val="299"/>
        </w:trPr>
        <w:tc>
          <w:tcPr>
            <w:tcW w:w="1694" w:type="dxa"/>
            <w:vAlign w:val="center"/>
          </w:tcPr>
          <w:p w14:paraId="3ADB847A"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ЗЕУ</w:t>
            </w:r>
          </w:p>
        </w:tc>
        <w:tc>
          <w:tcPr>
            <w:tcW w:w="7095" w:type="dxa"/>
            <w:vAlign w:val="center"/>
          </w:tcPr>
          <w:p w14:paraId="127622D3"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Закон за електронното управление</w:t>
            </w:r>
          </w:p>
        </w:tc>
      </w:tr>
      <w:tr w:rsidR="002C00B0" w:rsidRPr="00496500" w14:paraId="47751288" w14:textId="77777777" w:rsidTr="00EF6F40">
        <w:trPr>
          <w:trHeight w:val="299"/>
        </w:trPr>
        <w:tc>
          <w:tcPr>
            <w:tcW w:w="1694" w:type="dxa"/>
            <w:vAlign w:val="center"/>
          </w:tcPr>
          <w:p w14:paraId="24FB1F97" w14:textId="77777777" w:rsidR="002C00B0" w:rsidRPr="00496500" w:rsidRDefault="002C00B0"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ЗИД</w:t>
            </w:r>
          </w:p>
        </w:tc>
        <w:tc>
          <w:tcPr>
            <w:tcW w:w="7095" w:type="dxa"/>
            <w:vAlign w:val="center"/>
          </w:tcPr>
          <w:p w14:paraId="50F7A4AB" w14:textId="77777777" w:rsidR="002C00B0" w:rsidRPr="00496500" w:rsidRDefault="002C00B0"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Закон за изменение и допълнение</w:t>
            </w:r>
          </w:p>
        </w:tc>
      </w:tr>
      <w:tr w:rsidR="00AF1519" w:rsidRPr="00496500" w14:paraId="014FCDED" w14:textId="77777777" w:rsidTr="00EF6F40">
        <w:trPr>
          <w:trHeight w:val="302"/>
        </w:trPr>
        <w:tc>
          <w:tcPr>
            <w:tcW w:w="1694" w:type="dxa"/>
            <w:vAlign w:val="center"/>
          </w:tcPr>
          <w:p w14:paraId="7154C026"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ЗКС</w:t>
            </w:r>
          </w:p>
        </w:tc>
        <w:tc>
          <w:tcPr>
            <w:tcW w:w="7095" w:type="dxa"/>
            <w:vAlign w:val="center"/>
          </w:tcPr>
          <w:p w14:paraId="5B5C5C5A"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Закон за киберсигурност</w:t>
            </w:r>
          </w:p>
        </w:tc>
      </w:tr>
      <w:tr w:rsidR="00AF1519" w:rsidRPr="00496500" w14:paraId="64F1BAB5" w14:textId="77777777" w:rsidTr="00EF6F40">
        <w:trPr>
          <w:trHeight w:val="302"/>
        </w:trPr>
        <w:tc>
          <w:tcPr>
            <w:tcW w:w="1694" w:type="dxa"/>
            <w:vAlign w:val="center"/>
          </w:tcPr>
          <w:p w14:paraId="6D9BBFC8"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ИИ</w:t>
            </w:r>
          </w:p>
        </w:tc>
        <w:tc>
          <w:tcPr>
            <w:tcW w:w="7095" w:type="dxa"/>
            <w:vAlign w:val="center"/>
          </w:tcPr>
          <w:p w14:paraId="0B194ED3" w14:textId="726A152A"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Изкуствен интелект</w:t>
            </w:r>
          </w:p>
        </w:tc>
      </w:tr>
      <w:tr w:rsidR="00AF1519" w:rsidRPr="00496500" w14:paraId="6B5FFE87" w14:textId="77777777" w:rsidTr="00EF6F40">
        <w:trPr>
          <w:trHeight w:val="302"/>
        </w:trPr>
        <w:tc>
          <w:tcPr>
            <w:tcW w:w="1694" w:type="dxa"/>
            <w:vAlign w:val="center"/>
          </w:tcPr>
          <w:p w14:paraId="2894AB97"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ИТ</w:t>
            </w:r>
          </w:p>
        </w:tc>
        <w:tc>
          <w:tcPr>
            <w:tcW w:w="7095" w:type="dxa"/>
            <w:vAlign w:val="center"/>
          </w:tcPr>
          <w:p w14:paraId="6A8780AB" w14:textId="6ABAEE7B" w:rsidR="00AF1519" w:rsidRPr="00496500" w:rsidRDefault="00AF1519" w:rsidP="006F2793">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Информационни технологии</w:t>
            </w:r>
          </w:p>
        </w:tc>
      </w:tr>
      <w:tr w:rsidR="00AF1519" w:rsidRPr="00496500" w14:paraId="414949A5" w14:textId="77777777" w:rsidTr="00EF6F40">
        <w:trPr>
          <w:trHeight w:val="304"/>
        </w:trPr>
        <w:tc>
          <w:tcPr>
            <w:tcW w:w="1694" w:type="dxa"/>
            <w:vAlign w:val="center"/>
          </w:tcPr>
          <w:p w14:paraId="5CB47C26"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ИИСДА</w:t>
            </w:r>
          </w:p>
        </w:tc>
        <w:tc>
          <w:tcPr>
            <w:tcW w:w="7095" w:type="dxa"/>
            <w:vAlign w:val="center"/>
          </w:tcPr>
          <w:p w14:paraId="130BA86E"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Интегрирана информационна система на държавната администрация</w:t>
            </w:r>
          </w:p>
        </w:tc>
      </w:tr>
      <w:tr w:rsidR="00AF1519" w:rsidRPr="00496500" w14:paraId="62AAF20F" w14:textId="77777777" w:rsidTr="00EF6F40">
        <w:trPr>
          <w:trHeight w:val="299"/>
        </w:trPr>
        <w:tc>
          <w:tcPr>
            <w:tcW w:w="1694" w:type="dxa"/>
            <w:vAlign w:val="center"/>
          </w:tcPr>
          <w:p w14:paraId="339B15EF"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ИКТ</w:t>
            </w:r>
          </w:p>
        </w:tc>
        <w:tc>
          <w:tcPr>
            <w:tcW w:w="7095" w:type="dxa"/>
            <w:vAlign w:val="center"/>
          </w:tcPr>
          <w:p w14:paraId="5FA5473E"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Информационни и комуникационни технологии</w:t>
            </w:r>
          </w:p>
        </w:tc>
      </w:tr>
      <w:tr w:rsidR="00AF1519" w:rsidRPr="00496500" w14:paraId="6AE6D7B7" w14:textId="77777777" w:rsidTr="00EF6F40">
        <w:trPr>
          <w:trHeight w:val="299"/>
        </w:trPr>
        <w:tc>
          <w:tcPr>
            <w:tcW w:w="1694" w:type="dxa"/>
            <w:vAlign w:val="center"/>
          </w:tcPr>
          <w:p w14:paraId="53150FCD"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ИР</w:t>
            </w:r>
          </w:p>
        </w:tc>
        <w:tc>
          <w:tcPr>
            <w:tcW w:w="7095" w:type="dxa"/>
            <w:vAlign w:val="center"/>
          </w:tcPr>
          <w:p w14:paraId="6A0C09F4"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Информационни ресурси</w:t>
            </w:r>
          </w:p>
        </w:tc>
      </w:tr>
      <w:tr w:rsidR="00AF1519" w:rsidRPr="00496500" w14:paraId="773EDDC1" w14:textId="77777777" w:rsidTr="00EF6F40">
        <w:trPr>
          <w:trHeight w:val="299"/>
        </w:trPr>
        <w:tc>
          <w:tcPr>
            <w:tcW w:w="1694" w:type="dxa"/>
            <w:vAlign w:val="center"/>
          </w:tcPr>
          <w:p w14:paraId="34EE6DE9"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Calibri" w:hAnsi="Times New Roman" w:cs="Times New Roman"/>
              </w:rPr>
              <w:t>ИСЦИПР</w:t>
            </w:r>
          </w:p>
        </w:tc>
        <w:tc>
          <w:tcPr>
            <w:tcW w:w="7095" w:type="dxa"/>
            <w:vAlign w:val="center"/>
          </w:tcPr>
          <w:p w14:paraId="39FB42CF"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Информационната система за централизирано изграждане и поддържане на регистри</w:t>
            </w:r>
          </w:p>
        </w:tc>
      </w:tr>
      <w:tr w:rsidR="00AF1519" w:rsidRPr="00496500" w14:paraId="6EFFE570" w14:textId="77777777" w:rsidTr="00EF6F40">
        <w:trPr>
          <w:trHeight w:val="299"/>
        </w:trPr>
        <w:tc>
          <w:tcPr>
            <w:tcW w:w="1694" w:type="dxa"/>
            <w:vAlign w:val="center"/>
          </w:tcPr>
          <w:p w14:paraId="41CE3E28"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КЕП</w:t>
            </w:r>
          </w:p>
        </w:tc>
        <w:tc>
          <w:tcPr>
            <w:tcW w:w="7095" w:type="dxa"/>
            <w:vAlign w:val="center"/>
          </w:tcPr>
          <w:p w14:paraId="203366EA"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Квалифициран електронен подпис</w:t>
            </w:r>
          </w:p>
        </w:tc>
      </w:tr>
      <w:tr w:rsidR="00AF1519" w:rsidRPr="00496500" w14:paraId="6C3F5B31" w14:textId="77777777" w:rsidTr="00EF6F40">
        <w:trPr>
          <w:trHeight w:val="299"/>
        </w:trPr>
        <w:tc>
          <w:tcPr>
            <w:tcW w:w="1694" w:type="dxa"/>
            <w:vAlign w:val="center"/>
          </w:tcPr>
          <w:p w14:paraId="6A11EFFF"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Calibri" w:hAnsi="Times New Roman" w:cs="Times New Roman"/>
              </w:rPr>
              <w:t>КПЕ</w:t>
            </w:r>
          </w:p>
        </w:tc>
        <w:tc>
          <w:tcPr>
            <w:tcW w:w="7095" w:type="dxa"/>
            <w:vAlign w:val="center"/>
          </w:tcPr>
          <w:p w14:paraId="4D3102A5"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Ключов/-и показател/-и за ефективност</w:t>
            </w:r>
          </w:p>
        </w:tc>
      </w:tr>
      <w:tr w:rsidR="00AF1519" w:rsidRPr="00496500" w14:paraId="3264F4AC" w14:textId="77777777" w:rsidTr="00EF6F40">
        <w:trPr>
          <w:trHeight w:val="300"/>
        </w:trPr>
        <w:tc>
          <w:tcPr>
            <w:tcW w:w="1694" w:type="dxa"/>
            <w:vAlign w:val="center"/>
          </w:tcPr>
          <w:p w14:paraId="559A4C2E"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МЕУ</w:t>
            </w:r>
          </w:p>
        </w:tc>
        <w:tc>
          <w:tcPr>
            <w:tcW w:w="7095" w:type="dxa"/>
            <w:vAlign w:val="center"/>
          </w:tcPr>
          <w:p w14:paraId="1B695169"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Министерство на електронното управление</w:t>
            </w:r>
          </w:p>
        </w:tc>
      </w:tr>
      <w:tr w:rsidR="00AF1519" w:rsidRPr="00496500" w14:paraId="0C3F53CC" w14:textId="77777777" w:rsidTr="00EF6F40">
        <w:trPr>
          <w:trHeight w:val="299"/>
        </w:trPr>
        <w:tc>
          <w:tcPr>
            <w:tcW w:w="1694" w:type="dxa"/>
            <w:vAlign w:val="center"/>
          </w:tcPr>
          <w:p w14:paraId="660B47EB"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МИС</w:t>
            </w:r>
          </w:p>
        </w:tc>
        <w:tc>
          <w:tcPr>
            <w:tcW w:w="7095" w:type="dxa"/>
            <w:vAlign w:val="center"/>
          </w:tcPr>
          <w:p w14:paraId="59D2EF9E"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Мрежова и информационна сигурност</w:t>
            </w:r>
          </w:p>
        </w:tc>
      </w:tr>
      <w:tr w:rsidR="00AF1519" w:rsidRPr="00496500" w14:paraId="328DB56E" w14:textId="77777777" w:rsidTr="00EF6F40">
        <w:trPr>
          <w:trHeight w:val="299"/>
        </w:trPr>
        <w:tc>
          <w:tcPr>
            <w:tcW w:w="1694" w:type="dxa"/>
            <w:vAlign w:val="center"/>
          </w:tcPr>
          <w:p w14:paraId="747E72F3"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МС</w:t>
            </w:r>
          </w:p>
        </w:tc>
        <w:tc>
          <w:tcPr>
            <w:tcW w:w="7095" w:type="dxa"/>
            <w:vAlign w:val="center"/>
          </w:tcPr>
          <w:p w14:paraId="320CDD2C"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Министерски съвет</w:t>
            </w:r>
          </w:p>
        </w:tc>
      </w:tr>
      <w:tr w:rsidR="00AF1519" w:rsidRPr="00496500" w14:paraId="7F592B1F" w14:textId="77777777" w:rsidTr="00EF6F40">
        <w:trPr>
          <w:trHeight w:val="300"/>
        </w:trPr>
        <w:tc>
          <w:tcPr>
            <w:tcW w:w="1694" w:type="dxa"/>
            <w:vAlign w:val="center"/>
          </w:tcPr>
          <w:p w14:paraId="01760BA4"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МСП</w:t>
            </w:r>
          </w:p>
        </w:tc>
        <w:tc>
          <w:tcPr>
            <w:tcW w:w="7095" w:type="dxa"/>
            <w:vAlign w:val="center"/>
          </w:tcPr>
          <w:p w14:paraId="28A93B6A"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Малки и средни предприятия</w:t>
            </w:r>
          </w:p>
        </w:tc>
      </w:tr>
      <w:tr w:rsidR="00AF1519" w:rsidRPr="00496500" w14:paraId="787B79C0" w14:textId="77777777" w:rsidTr="00EF6F40">
        <w:trPr>
          <w:trHeight w:val="300"/>
        </w:trPr>
        <w:tc>
          <w:tcPr>
            <w:tcW w:w="1694" w:type="dxa"/>
            <w:vAlign w:val="center"/>
          </w:tcPr>
          <w:p w14:paraId="1AD832E5" w14:textId="77777777" w:rsidR="00AF1519" w:rsidRPr="00496500" w:rsidRDefault="00AF1519"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НАП</w:t>
            </w:r>
          </w:p>
        </w:tc>
        <w:tc>
          <w:tcPr>
            <w:tcW w:w="7095" w:type="dxa"/>
            <w:vAlign w:val="center"/>
          </w:tcPr>
          <w:p w14:paraId="73254957"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Национална агенция за приходите</w:t>
            </w:r>
          </w:p>
        </w:tc>
      </w:tr>
      <w:tr w:rsidR="001C7FCF" w:rsidRPr="00496500" w14:paraId="7B56C7EA" w14:textId="77777777" w:rsidTr="00EF6F40">
        <w:trPr>
          <w:trHeight w:val="300"/>
        </w:trPr>
        <w:tc>
          <w:tcPr>
            <w:tcW w:w="1694" w:type="dxa"/>
            <w:vAlign w:val="center"/>
          </w:tcPr>
          <w:p w14:paraId="3BB6DE8B" w14:textId="2B80BAB8" w:rsidR="001C7FCF" w:rsidRPr="00496500" w:rsidRDefault="001C7FCF" w:rsidP="003B412E">
            <w:pPr>
              <w:widowControl w:val="0"/>
              <w:autoSpaceDE w:val="0"/>
              <w:autoSpaceDN w:val="0"/>
              <w:spacing w:after="120" w:line="240" w:lineRule="auto"/>
              <w:ind w:firstLine="57"/>
              <w:rPr>
                <w:rFonts w:ascii="Times New Roman" w:eastAsia="Calibri" w:hAnsi="Times New Roman" w:cs="Times New Roman"/>
              </w:rPr>
            </w:pPr>
            <w:r>
              <w:rPr>
                <w:rFonts w:ascii="Times New Roman" w:eastAsia="Calibri" w:hAnsi="Times New Roman" w:cs="Times New Roman"/>
              </w:rPr>
              <w:lastRenderedPageBreak/>
              <w:t>НЗИС</w:t>
            </w:r>
          </w:p>
        </w:tc>
        <w:tc>
          <w:tcPr>
            <w:tcW w:w="7095" w:type="dxa"/>
            <w:vAlign w:val="center"/>
          </w:tcPr>
          <w:p w14:paraId="71844BA4" w14:textId="28AFB97C" w:rsidR="001C7FCF" w:rsidRPr="00496500" w:rsidRDefault="00AB7710" w:rsidP="003B412E">
            <w:pPr>
              <w:spacing w:after="120" w:line="240" w:lineRule="auto"/>
              <w:ind w:left="57"/>
              <w:rPr>
                <w:rFonts w:ascii="Times New Roman" w:eastAsia="Calibri" w:hAnsi="Times New Roman" w:cs="Times New Roman"/>
              </w:rPr>
            </w:pPr>
            <w:r>
              <w:rPr>
                <w:rFonts w:ascii="Times New Roman" w:eastAsia="Calibri" w:hAnsi="Times New Roman" w:cs="Times New Roman"/>
              </w:rPr>
              <w:t>Национална</w:t>
            </w:r>
            <w:r w:rsidR="001C7FCF">
              <w:rPr>
                <w:rFonts w:ascii="Times New Roman" w:eastAsia="Calibri" w:hAnsi="Times New Roman" w:cs="Times New Roman"/>
              </w:rPr>
              <w:t xml:space="preserve"> здравна информационна система</w:t>
            </w:r>
          </w:p>
        </w:tc>
      </w:tr>
      <w:tr w:rsidR="003C7585" w:rsidRPr="00496500" w14:paraId="5E916851" w14:textId="77777777" w:rsidTr="00EF6F40">
        <w:trPr>
          <w:trHeight w:val="300"/>
        </w:trPr>
        <w:tc>
          <w:tcPr>
            <w:tcW w:w="1694" w:type="dxa"/>
            <w:vAlign w:val="center"/>
          </w:tcPr>
          <w:p w14:paraId="33FAB15D" w14:textId="77777777" w:rsidR="003C7585" w:rsidRPr="00496500" w:rsidRDefault="003C7585"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НЗОК</w:t>
            </w:r>
          </w:p>
        </w:tc>
        <w:tc>
          <w:tcPr>
            <w:tcW w:w="7095" w:type="dxa"/>
            <w:vAlign w:val="center"/>
          </w:tcPr>
          <w:p w14:paraId="337304F1" w14:textId="77777777" w:rsidR="003C7585" w:rsidRPr="00496500" w:rsidRDefault="003C7585" w:rsidP="003C7585">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Национална здравно-осигурителна каса</w:t>
            </w:r>
          </w:p>
        </w:tc>
      </w:tr>
      <w:tr w:rsidR="00AF1519" w:rsidRPr="00496500" w14:paraId="771D9C3D" w14:textId="77777777" w:rsidTr="00EF6F40">
        <w:trPr>
          <w:trHeight w:val="300"/>
        </w:trPr>
        <w:tc>
          <w:tcPr>
            <w:tcW w:w="1694" w:type="dxa"/>
            <w:vAlign w:val="center"/>
          </w:tcPr>
          <w:p w14:paraId="0B5BD24E"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НКЦ</w:t>
            </w:r>
          </w:p>
        </w:tc>
        <w:tc>
          <w:tcPr>
            <w:tcW w:w="7095" w:type="dxa"/>
            <w:vAlign w:val="center"/>
          </w:tcPr>
          <w:p w14:paraId="5C9FBCDF"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Национален координационен център</w:t>
            </w:r>
          </w:p>
        </w:tc>
      </w:tr>
      <w:tr w:rsidR="00AF1519" w:rsidRPr="00496500" w14:paraId="53EEBE6B" w14:textId="77777777" w:rsidTr="00EF6F40">
        <w:trPr>
          <w:trHeight w:val="300"/>
        </w:trPr>
        <w:tc>
          <w:tcPr>
            <w:tcW w:w="1694" w:type="dxa"/>
            <w:vAlign w:val="center"/>
          </w:tcPr>
          <w:p w14:paraId="45FFB936"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НМИМИС</w:t>
            </w:r>
          </w:p>
        </w:tc>
        <w:tc>
          <w:tcPr>
            <w:tcW w:w="7095" w:type="dxa"/>
            <w:vAlign w:val="center"/>
          </w:tcPr>
          <w:p w14:paraId="7E711991"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Наредба за минималните изисквания за мрежова и информационна сигурност</w:t>
            </w:r>
          </w:p>
        </w:tc>
      </w:tr>
      <w:tr w:rsidR="00AF1519" w:rsidRPr="00496500" w14:paraId="4AC9E788" w14:textId="77777777" w:rsidTr="00EF6F40">
        <w:trPr>
          <w:trHeight w:val="300"/>
        </w:trPr>
        <w:tc>
          <w:tcPr>
            <w:tcW w:w="1694" w:type="dxa"/>
            <w:vAlign w:val="center"/>
          </w:tcPr>
          <w:p w14:paraId="090BFAB2"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НОИ</w:t>
            </w:r>
          </w:p>
        </w:tc>
        <w:tc>
          <w:tcPr>
            <w:tcW w:w="7095" w:type="dxa"/>
            <w:vAlign w:val="center"/>
          </w:tcPr>
          <w:p w14:paraId="2B9D40C1"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Национален осигурителен институт</w:t>
            </w:r>
          </w:p>
        </w:tc>
      </w:tr>
      <w:tr w:rsidR="00AF1519" w:rsidRPr="00496500" w14:paraId="0D12C718" w14:textId="77777777" w:rsidTr="00EF6F40">
        <w:trPr>
          <w:trHeight w:val="300"/>
        </w:trPr>
        <w:tc>
          <w:tcPr>
            <w:tcW w:w="1694" w:type="dxa"/>
            <w:vAlign w:val="center"/>
          </w:tcPr>
          <w:p w14:paraId="3EC427D2"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НОИИСРЕАУ</w:t>
            </w:r>
          </w:p>
        </w:tc>
        <w:tc>
          <w:tcPr>
            <w:tcW w:w="7095" w:type="dxa"/>
            <w:vAlign w:val="center"/>
          </w:tcPr>
          <w:p w14:paraId="06386DD9"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Наредба за общите изисквания към информационните системи,</w:t>
            </w:r>
          </w:p>
          <w:p w14:paraId="3DDAC70B"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регистрите и електронните административни услуги</w:t>
            </w:r>
          </w:p>
        </w:tc>
      </w:tr>
      <w:tr w:rsidR="00AF1519" w:rsidRPr="00496500" w14:paraId="577CB7A4" w14:textId="77777777" w:rsidTr="00EF6F40">
        <w:trPr>
          <w:trHeight w:val="300"/>
        </w:trPr>
        <w:tc>
          <w:tcPr>
            <w:tcW w:w="1694" w:type="dxa"/>
            <w:vAlign w:val="center"/>
          </w:tcPr>
          <w:p w14:paraId="246C8BE2" w14:textId="77777777" w:rsidR="00AF1519" w:rsidRPr="00496500" w:rsidRDefault="00AF1519"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НПВУ</w:t>
            </w:r>
          </w:p>
        </w:tc>
        <w:tc>
          <w:tcPr>
            <w:tcW w:w="7095" w:type="dxa"/>
            <w:vAlign w:val="center"/>
          </w:tcPr>
          <w:p w14:paraId="733F1E5C"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 xml:space="preserve">Национален план за възстановяване и устойчивост </w:t>
            </w:r>
          </w:p>
        </w:tc>
      </w:tr>
      <w:tr w:rsidR="00AF1519" w:rsidRPr="00496500" w14:paraId="73240333" w14:textId="77777777" w:rsidTr="00EF6F40">
        <w:trPr>
          <w:trHeight w:val="300"/>
        </w:trPr>
        <w:tc>
          <w:tcPr>
            <w:tcW w:w="1694" w:type="dxa"/>
            <w:vAlign w:val="center"/>
          </w:tcPr>
          <w:p w14:paraId="669DF11B" w14:textId="77777777" w:rsidR="00AF1519" w:rsidRPr="00496500" w:rsidRDefault="00AF1519"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НСИ</w:t>
            </w:r>
          </w:p>
        </w:tc>
        <w:tc>
          <w:tcPr>
            <w:tcW w:w="7095" w:type="dxa"/>
            <w:vAlign w:val="center"/>
          </w:tcPr>
          <w:p w14:paraId="5437938A"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Национален статистически институт</w:t>
            </w:r>
          </w:p>
        </w:tc>
      </w:tr>
      <w:tr w:rsidR="00AF1519" w:rsidRPr="00496500" w14:paraId="464B0536" w14:textId="77777777" w:rsidTr="00EF6F40">
        <w:trPr>
          <w:trHeight w:val="300"/>
        </w:trPr>
        <w:tc>
          <w:tcPr>
            <w:tcW w:w="1694" w:type="dxa"/>
            <w:vAlign w:val="center"/>
          </w:tcPr>
          <w:p w14:paraId="479BB536" w14:textId="77777777" w:rsidR="00AF1519" w:rsidRPr="00496500" w:rsidRDefault="00AF1519"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ООН</w:t>
            </w:r>
          </w:p>
        </w:tc>
        <w:tc>
          <w:tcPr>
            <w:tcW w:w="7095" w:type="dxa"/>
            <w:vAlign w:val="center"/>
          </w:tcPr>
          <w:p w14:paraId="3B83B1DB" w14:textId="77777777" w:rsidR="00AF1519" w:rsidRPr="00496500" w:rsidRDefault="00AF1519"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Организация на обединените нации</w:t>
            </w:r>
          </w:p>
        </w:tc>
      </w:tr>
      <w:tr w:rsidR="00A40AC7" w:rsidRPr="00496500" w14:paraId="7FBF5843" w14:textId="77777777" w:rsidTr="00EF6F40">
        <w:trPr>
          <w:trHeight w:val="300"/>
        </w:trPr>
        <w:tc>
          <w:tcPr>
            <w:tcW w:w="1694" w:type="dxa"/>
            <w:vAlign w:val="center"/>
          </w:tcPr>
          <w:p w14:paraId="4713BC9D"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ОРЗД</w:t>
            </w:r>
          </w:p>
        </w:tc>
        <w:tc>
          <w:tcPr>
            <w:tcW w:w="7095" w:type="dxa"/>
            <w:vAlign w:val="center"/>
          </w:tcPr>
          <w:p w14:paraId="5B379E43" w14:textId="205BD933" w:rsidR="00A40AC7" w:rsidRPr="00496500" w:rsidRDefault="00A40AC7" w:rsidP="006F2793">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Общ регламент за защита на данните</w:t>
            </w:r>
          </w:p>
        </w:tc>
      </w:tr>
      <w:tr w:rsidR="00A40AC7" w:rsidRPr="00496500" w14:paraId="7ED8445B" w14:textId="77777777" w:rsidTr="00EF6F40">
        <w:trPr>
          <w:trHeight w:val="299"/>
        </w:trPr>
        <w:tc>
          <w:tcPr>
            <w:tcW w:w="1694" w:type="dxa"/>
            <w:vAlign w:val="center"/>
          </w:tcPr>
          <w:p w14:paraId="6AAA0011"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ПЕУ</w:t>
            </w:r>
          </w:p>
        </w:tc>
        <w:tc>
          <w:tcPr>
            <w:tcW w:w="7095" w:type="dxa"/>
            <w:vAlign w:val="center"/>
          </w:tcPr>
          <w:p w14:paraId="16D18497" w14:textId="7EA83E4F" w:rsidR="00A40AC7" w:rsidRPr="00496500" w:rsidRDefault="00A40AC7" w:rsidP="006F2793">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Портал на електронното управление</w:t>
            </w:r>
          </w:p>
        </w:tc>
      </w:tr>
      <w:tr w:rsidR="00A40AC7" w:rsidRPr="00496500" w14:paraId="342E5263" w14:textId="77777777" w:rsidTr="00EF6F40">
        <w:trPr>
          <w:trHeight w:val="300"/>
        </w:trPr>
        <w:tc>
          <w:tcPr>
            <w:tcW w:w="1694" w:type="dxa"/>
            <w:vAlign w:val="center"/>
          </w:tcPr>
          <w:p w14:paraId="49C35D68"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ПИК</w:t>
            </w:r>
          </w:p>
        </w:tc>
        <w:tc>
          <w:tcPr>
            <w:tcW w:w="7095" w:type="dxa"/>
            <w:vAlign w:val="center"/>
          </w:tcPr>
          <w:p w14:paraId="66E32C7B"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Персонални идентификационни кодове</w:t>
            </w:r>
          </w:p>
        </w:tc>
      </w:tr>
      <w:tr w:rsidR="00A40AC7" w:rsidRPr="00496500" w14:paraId="253537E2" w14:textId="77777777" w:rsidTr="00EF6F40">
        <w:trPr>
          <w:trHeight w:val="300"/>
        </w:trPr>
        <w:tc>
          <w:tcPr>
            <w:tcW w:w="1694" w:type="dxa"/>
            <w:vAlign w:val="center"/>
          </w:tcPr>
          <w:p w14:paraId="701B626C"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РМС</w:t>
            </w:r>
          </w:p>
        </w:tc>
        <w:tc>
          <w:tcPr>
            <w:tcW w:w="7095" w:type="dxa"/>
            <w:vAlign w:val="center"/>
          </w:tcPr>
          <w:p w14:paraId="659BCDDB"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Решение на Министерския съвет</w:t>
            </w:r>
          </w:p>
        </w:tc>
      </w:tr>
      <w:tr w:rsidR="00A40AC7" w:rsidRPr="00496500" w14:paraId="363A1650" w14:textId="77777777" w:rsidTr="00EF6F40">
        <w:trPr>
          <w:trHeight w:val="300"/>
        </w:trPr>
        <w:tc>
          <w:tcPr>
            <w:tcW w:w="1694" w:type="dxa"/>
            <w:vAlign w:val="center"/>
          </w:tcPr>
          <w:p w14:paraId="05AD8D1B"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СЕОС</w:t>
            </w:r>
          </w:p>
        </w:tc>
        <w:tc>
          <w:tcPr>
            <w:tcW w:w="7095" w:type="dxa"/>
            <w:vAlign w:val="center"/>
          </w:tcPr>
          <w:p w14:paraId="6E0AFA88"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Среда за електронен обмен на съобщения</w:t>
            </w:r>
          </w:p>
        </w:tc>
      </w:tr>
      <w:tr w:rsidR="00604E9E" w:rsidRPr="00496500" w14:paraId="2DA79E84" w14:textId="77777777" w:rsidTr="00EF6F40">
        <w:trPr>
          <w:trHeight w:val="300"/>
        </w:trPr>
        <w:tc>
          <w:tcPr>
            <w:tcW w:w="1694" w:type="dxa"/>
            <w:vAlign w:val="center"/>
          </w:tcPr>
          <w:p w14:paraId="6D76CBE8" w14:textId="77777777" w:rsidR="00604E9E" w:rsidRPr="00496500" w:rsidRDefault="00604E9E"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Calibri" w:hAnsi="Times New Roman" w:cs="Times New Roman"/>
              </w:rPr>
              <w:t>СЕРИКС</w:t>
            </w:r>
          </w:p>
        </w:tc>
        <w:tc>
          <w:tcPr>
            <w:tcW w:w="7095" w:type="dxa"/>
            <w:vAlign w:val="center"/>
          </w:tcPr>
          <w:p w14:paraId="0179831D" w14:textId="77777777" w:rsidR="00604E9E" w:rsidRPr="00496500" w:rsidRDefault="00604E9E"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Секторни екипи за реагиране при инциденти с компютърната сигурност</w:t>
            </w:r>
            <w:r w:rsidRPr="00496500" w:rsidDel="00A916A8">
              <w:rPr>
                <w:rFonts w:ascii="Times New Roman" w:eastAsia="Calibri" w:hAnsi="Times New Roman" w:cs="Times New Roman"/>
              </w:rPr>
              <w:t xml:space="preserve"> </w:t>
            </w:r>
            <w:r w:rsidRPr="00496500">
              <w:rPr>
                <w:rFonts w:ascii="Times New Roman" w:eastAsia="Calibri" w:hAnsi="Times New Roman" w:cs="Times New Roman"/>
              </w:rPr>
              <w:t>към тях</w:t>
            </w:r>
          </w:p>
        </w:tc>
      </w:tr>
      <w:tr w:rsidR="00A40AC7" w:rsidRPr="00496500" w14:paraId="6D1D32A4" w14:textId="77777777" w:rsidTr="00EF6F40">
        <w:trPr>
          <w:trHeight w:val="300"/>
        </w:trPr>
        <w:tc>
          <w:tcPr>
            <w:tcW w:w="1694" w:type="dxa"/>
            <w:vAlign w:val="center"/>
          </w:tcPr>
          <w:p w14:paraId="12790387"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СОСП</w:t>
            </w:r>
          </w:p>
        </w:tc>
        <w:tc>
          <w:tcPr>
            <w:tcW w:w="7095" w:type="dxa"/>
            <w:vAlign w:val="center"/>
          </w:tcPr>
          <w:p w14:paraId="4788FB4A"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Съобщителен обект със специално предназначение</w:t>
            </w:r>
          </w:p>
        </w:tc>
      </w:tr>
      <w:tr w:rsidR="00A40AC7" w:rsidRPr="00496500" w14:paraId="53A44877" w14:textId="77777777" w:rsidTr="00EF6F40">
        <w:trPr>
          <w:trHeight w:val="300"/>
        </w:trPr>
        <w:tc>
          <w:tcPr>
            <w:tcW w:w="1694" w:type="dxa"/>
            <w:vAlign w:val="center"/>
          </w:tcPr>
          <w:p w14:paraId="142C9D31"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ССЕВ</w:t>
            </w:r>
          </w:p>
        </w:tc>
        <w:tc>
          <w:tcPr>
            <w:tcW w:w="7095" w:type="dxa"/>
            <w:vAlign w:val="center"/>
          </w:tcPr>
          <w:p w14:paraId="0E970B97"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Система за сигурно електронно връчване</w:t>
            </w:r>
          </w:p>
        </w:tc>
      </w:tr>
      <w:tr w:rsidR="00A40AC7" w:rsidRPr="00496500" w14:paraId="2652D6DC" w14:textId="77777777" w:rsidTr="00EF6F40">
        <w:trPr>
          <w:trHeight w:val="300"/>
        </w:trPr>
        <w:tc>
          <w:tcPr>
            <w:tcW w:w="1694" w:type="dxa"/>
            <w:vAlign w:val="center"/>
          </w:tcPr>
          <w:p w14:paraId="607CE84D" w14:textId="77777777" w:rsidR="00A40AC7" w:rsidRPr="00496500" w:rsidRDefault="00A40AC7" w:rsidP="003B412E">
            <w:pPr>
              <w:tabs>
                <w:tab w:val="left" w:pos="900"/>
              </w:tabs>
              <w:spacing w:after="120" w:line="240" w:lineRule="auto"/>
              <w:ind w:firstLine="57"/>
              <w:jc w:val="both"/>
              <w:rPr>
                <w:rFonts w:ascii="Times New Roman" w:eastAsia="Times New Roman" w:hAnsi="Times New Roman" w:cs="Times New Roman"/>
              </w:rPr>
            </w:pPr>
            <w:r w:rsidRPr="00496500">
              <w:rPr>
                <w:rFonts w:ascii="Times New Roman" w:eastAsia="Times New Roman" w:hAnsi="Times New Roman" w:cs="Times New Roman"/>
              </w:rPr>
              <w:t>ТСПЕ/OOTS</w:t>
            </w:r>
          </w:p>
        </w:tc>
        <w:tc>
          <w:tcPr>
            <w:tcW w:w="7095" w:type="dxa"/>
            <w:vAlign w:val="center"/>
          </w:tcPr>
          <w:p w14:paraId="32E8C178"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Техническа система, основана на принципа на еднократност/The Once Only Technical System</w:t>
            </w:r>
          </w:p>
        </w:tc>
      </w:tr>
      <w:tr w:rsidR="00A40AC7" w:rsidRPr="00496500" w14:paraId="2AFC6527" w14:textId="77777777" w:rsidTr="00EF6F40">
        <w:trPr>
          <w:trHeight w:val="300"/>
        </w:trPr>
        <w:tc>
          <w:tcPr>
            <w:tcW w:w="1694" w:type="dxa"/>
            <w:vAlign w:val="center"/>
          </w:tcPr>
          <w:p w14:paraId="53098D96"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ЦВПОС</w:t>
            </w:r>
          </w:p>
        </w:tc>
        <w:tc>
          <w:tcPr>
            <w:tcW w:w="7095" w:type="dxa"/>
            <w:vAlign w:val="center"/>
          </w:tcPr>
          <w:p w14:paraId="3089A143"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Централен виртуален ПОС терминал</w:t>
            </w:r>
          </w:p>
        </w:tc>
      </w:tr>
      <w:tr w:rsidR="00A40AC7" w:rsidRPr="00496500" w14:paraId="48BDAC3F" w14:textId="77777777" w:rsidTr="00EF6F40">
        <w:trPr>
          <w:trHeight w:val="300"/>
        </w:trPr>
        <w:tc>
          <w:tcPr>
            <w:tcW w:w="1694" w:type="dxa"/>
            <w:vAlign w:val="center"/>
          </w:tcPr>
          <w:p w14:paraId="2FC14C88"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API</w:t>
            </w:r>
          </w:p>
        </w:tc>
        <w:tc>
          <w:tcPr>
            <w:tcW w:w="7095" w:type="dxa"/>
            <w:vAlign w:val="center"/>
          </w:tcPr>
          <w:p w14:paraId="65A76F9D" w14:textId="77777777" w:rsidR="0063106E"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 xml:space="preserve">Application programming interface </w:t>
            </w:r>
          </w:p>
          <w:p w14:paraId="25A1BC33" w14:textId="2B187E06"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Приложен програмен интерфейс</w:t>
            </w:r>
          </w:p>
        </w:tc>
      </w:tr>
      <w:tr w:rsidR="00A40AC7" w:rsidRPr="00496500" w14:paraId="0D9FADED" w14:textId="77777777" w:rsidTr="00EF6F40">
        <w:trPr>
          <w:trHeight w:val="370"/>
        </w:trPr>
        <w:tc>
          <w:tcPr>
            <w:tcW w:w="1694" w:type="dxa"/>
            <w:vAlign w:val="center"/>
          </w:tcPr>
          <w:p w14:paraId="2F85BDD0"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CERT</w:t>
            </w:r>
          </w:p>
        </w:tc>
        <w:tc>
          <w:tcPr>
            <w:tcW w:w="7095" w:type="dxa"/>
            <w:vAlign w:val="center"/>
          </w:tcPr>
          <w:p w14:paraId="38CF8EA2"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Национален екип за реагиране при инциденти с компютърната сигурност</w:t>
            </w:r>
          </w:p>
        </w:tc>
      </w:tr>
      <w:tr w:rsidR="00A40AC7" w:rsidRPr="00496500" w14:paraId="41573E08" w14:textId="77777777" w:rsidTr="00EF6F40">
        <w:trPr>
          <w:trHeight w:val="300"/>
        </w:trPr>
        <w:tc>
          <w:tcPr>
            <w:tcW w:w="1694" w:type="dxa"/>
            <w:vAlign w:val="center"/>
          </w:tcPr>
          <w:p w14:paraId="41E0251B"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CESOP</w:t>
            </w:r>
          </w:p>
        </w:tc>
        <w:tc>
          <w:tcPr>
            <w:tcW w:w="7095" w:type="dxa"/>
            <w:vAlign w:val="center"/>
          </w:tcPr>
          <w:p w14:paraId="4EFC45A3"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 xml:space="preserve">Central Electronic System of Payment information </w:t>
            </w:r>
          </w:p>
          <w:p w14:paraId="3F086D55"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Централна електронна система с информация за плащанията (данни от доставчици на платежни услуги за трансгранични плащания)</w:t>
            </w:r>
          </w:p>
        </w:tc>
      </w:tr>
      <w:tr w:rsidR="00A40AC7" w:rsidRPr="00496500" w14:paraId="11B5FB79" w14:textId="77777777" w:rsidTr="00EF6F40">
        <w:trPr>
          <w:trHeight w:val="300"/>
        </w:trPr>
        <w:tc>
          <w:tcPr>
            <w:tcW w:w="1694" w:type="dxa"/>
            <w:vAlign w:val="center"/>
          </w:tcPr>
          <w:p w14:paraId="4AF37ED0"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DESI</w:t>
            </w:r>
          </w:p>
        </w:tc>
        <w:tc>
          <w:tcPr>
            <w:tcW w:w="7095" w:type="dxa"/>
            <w:vAlign w:val="center"/>
          </w:tcPr>
          <w:p w14:paraId="7A54DD75"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Digital Economy and Society Index</w:t>
            </w:r>
          </w:p>
          <w:p w14:paraId="24C0C0ED"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за навлизането на цифровите технологии в икономиката и обществото</w:t>
            </w:r>
          </w:p>
        </w:tc>
      </w:tr>
      <w:tr w:rsidR="00A40AC7" w:rsidRPr="00496500" w14:paraId="75CF3403" w14:textId="77777777" w:rsidTr="00EF6F40">
        <w:trPr>
          <w:trHeight w:val="300"/>
        </w:trPr>
        <w:tc>
          <w:tcPr>
            <w:tcW w:w="1694" w:type="dxa"/>
            <w:vAlign w:val="center"/>
          </w:tcPr>
          <w:p w14:paraId="0D7D0D5A"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 xml:space="preserve">EDIH </w:t>
            </w:r>
          </w:p>
        </w:tc>
        <w:tc>
          <w:tcPr>
            <w:tcW w:w="7095" w:type="dxa"/>
            <w:vAlign w:val="center"/>
          </w:tcPr>
          <w:p w14:paraId="77E272A3" w14:textId="77777777" w:rsidR="00A40AC7"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European Digital Innovation Hub</w:t>
            </w:r>
          </w:p>
          <w:p w14:paraId="1175F89C" w14:textId="76AAFFFF" w:rsidR="0063106E" w:rsidRPr="00496500" w:rsidRDefault="0063106E" w:rsidP="006F2793">
            <w:pPr>
              <w:spacing w:after="120" w:line="240" w:lineRule="auto"/>
              <w:ind w:left="57"/>
              <w:rPr>
                <w:rFonts w:ascii="Times New Roman" w:eastAsia="Calibri" w:hAnsi="Times New Roman" w:cs="Times New Roman"/>
              </w:rPr>
            </w:pPr>
            <w:r>
              <w:rPr>
                <w:rFonts w:ascii="Times New Roman" w:eastAsia="Calibri" w:hAnsi="Times New Roman" w:cs="Times New Roman"/>
              </w:rPr>
              <w:t>Европейски цифров инова</w:t>
            </w:r>
            <w:r w:rsidR="00FD66EE">
              <w:rPr>
                <w:rFonts w:ascii="Times New Roman" w:eastAsia="Calibri" w:hAnsi="Times New Roman" w:cs="Times New Roman"/>
              </w:rPr>
              <w:t>ционен</w:t>
            </w:r>
            <w:r>
              <w:rPr>
                <w:rFonts w:ascii="Times New Roman" w:eastAsia="Calibri" w:hAnsi="Times New Roman" w:cs="Times New Roman"/>
              </w:rPr>
              <w:t xml:space="preserve"> хъб</w:t>
            </w:r>
          </w:p>
        </w:tc>
      </w:tr>
      <w:tr w:rsidR="00A40AC7" w:rsidRPr="00496500" w14:paraId="7739635A" w14:textId="77777777" w:rsidTr="00EF6F40">
        <w:trPr>
          <w:trHeight w:val="300"/>
        </w:trPr>
        <w:tc>
          <w:tcPr>
            <w:tcW w:w="1694" w:type="dxa"/>
            <w:vAlign w:val="center"/>
          </w:tcPr>
          <w:p w14:paraId="290B51E6"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EGDI</w:t>
            </w:r>
          </w:p>
        </w:tc>
        <w:tc>
          <w:tcPr>
            <w:tcW w:w="7095" w:type="dxa"/>
            <w:vAlign w:val="center"/>
          </w:tcPr>
          <w:p w14:paraId="3251B34E"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E-Government Development Index</w:t>
            </w:r>
          </w:p>
          <w:p w14:paraId="03588D82"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на развитие на електронното управление</w:t>
            </w:r>
          </w:p>
        </w:tc>
      </w:tr>
      <w:tr w:rsidR="00A40AC7" w:rsidRPr="00496500" w14:paraId="2D62B66F" w14:textId="77777777" w:rsidTr="00EF6F40">
        <w:trPr>
          <w:trHeight w:val="276"/>
        </w:trPr>
        <w:tc>
          <w:tcPr>
            <w:tcW w:w="1694" w:type="dxa"/>
            <w:vAlign w:val="center"/>
          </w:tcPr>
          <w:p w14:paraId="6FA57D90"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ENISA</w:t>
            </w:r>
          </w:p>
        </w:tc>
        <w:tc>
          <w:tcPr>
            <w:tcW w:w="7095" w:type="dxa"/>
            <w:vAlign w:val="center"/>
          </w:tcPr>
          <w:p w14:paraId="3ACEDF8B"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Агенция на Европейския съюз за киберсигурност</w:t>
            </w:r>
          </w:p>
        </w:tc>
      </w:tr>
      <w:tr w:rsidR="00A40AC7" w:rsidRPr="00496500" w14:paraId="0BB9E501" w14:textId="77777777" w:rsidTr="00EF6F40">
        <w:trPr>
          <w:trHeight w:val="300"/>
        </w:trPr>
        <w:tc>
          <w:tcPr>
            <w:tcW w:w="1694" w:type="dxa"/>
            <w:vAlign w:val="center"/>
          </w:tcPr>
          <w:p w14:paraId="3EFD791F"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EPI</w:t>
            </w:r>
          </w:p>
        </w:tc>
        <w:tc>
          <w:tcPr>
            <w:tcW w:w="7095" w:type="dxa"/>
            <w:vAlign w:val="center"/>
          </w:tcPr>
          <w:p w14:paraId="1D1C67F7"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E-Participation Index</w:t>
            </w:r>
          </w:p>
          <w:p w14:paraId="65CD3011"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 за електронно участие</w:t>
            </w:r>
          </w:p>
        </w:tc>
      </w:tr>
      <w:tr w:rsidR="00A40AC7" w:rsidRPr="00496500" w14:paraId="68EC324E" w14:textId="77777777" w:rsidTr="00EF6F40">
        <w:trPr>
          <w:trHeight w:val="300"/>
        </w:trPr>
        <w:tc>
          <w:tcPr>
            <w:tcW w:w="1694" w:type="dxa"/>
            <w:vAlign w:val="center"/>
          </w:tcPr>
          <w:p w14:paraId="75930F42"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lastRenderedPageBreak/>
              <w:t>FTTP</w:t>
            </w:r>
          </w:p>
        </w:tc>
        <w:tc>
          <w:tcPr>
            <w:tcW w:w="7095" w:type="dxa"/>
            <w:vAlign w:val="center"/>
          </w:tcPr>
          <w:p w14:paraId="49FF6021" w14:textId="77777777" w:rsidR="00A40AC7"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Fibre to the Premises</w:t>
            </w:r>
          </w:p>
          <w:p w14:paraId="25BD4426" w14:textId="31636966" w:rsidR="0009707A" w:rsidRPr="00496500" w:rsidRDefault="0009707A" w:rsidP="003B412E">
            <w:pPr>
              <w:spacing w:after="120" w:line="240" w:lineRule="auto"/>
              <w:ind w:left="57"/>
              <w:rPr>
                <w:rFonts w:ascii="Times New Roman" w:eastAsia="Calibri" w:hAnsi="Times New Roman" w:cs="Times New Roman"/>
              </w:rPr>
            </w:pPr>
            <w:r w:rsidRPr="0009707A">
              <w:rPr>
                <w:rFonts w:ascii="Times New Roman" w:eastAsia="Calibri" w:hAnsi="Times New Roman" w:cs="Times New Roman"/>
              </w:rPr>
              <w:t>Оптично влакно до помещенията</w:t>
            </w:r>
          </w:p>
        </w:tc>
      </w:tr>
      <w:tr w:rsidR="00A40AC7" w:rsidRPr="00496500" w14:paraId="7A19E7B8" w14:textId="77777777" w:rsidTr="00EF6F40">
        <w:trPr>
          <w:trHeight w:val="300"/>
        </w:trPr>
        <w:tc>
          <w:tcPr>
            <w:tcW w:w="1694" w:type="dxa"/>
            <w:vAlign w:val="center"/>
          </w:tcPr>
          <w:p w14:paraId="4852C5A2"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GTCI</w:t>
            </w:r>
          </w:p>
        </w:tc>
        <w:tc>
          <w:tcPr>
            <w:tcW w:w="7095" w:type="dxa"/>
            <w:vAlign w:val="center"/>
          </w:tcPr>
          <w:p w14:paraId="2A74B5E3"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Global Talent Competitiveness Index</w:t>
            </w:r>
          </w:p>
          <w:p w14:paraId="5A729DBB"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Глобален индекс на конкурентоспособността на талантите</w:t>
            </w:r>
          </w:p>
        </w:tc>
      </w:tr>
      <w:tr w:rsidR="00A40AC7" w:rsidRPr="00496500" w14:paraId="6B173B2E" w14:textId="77777777" w:rsidTr="00EF6F40">
        <w:trPr>
          <w:trHeight w:val="300"/>
        </w:trPr>
        <w:tc>
          <w:tcPr>
            <w:tcW w:w="1694" w:type="dxa"/>
            <w:vAlign w:val="center"/>
          </w:tcPr>
          <w:p w14:paraId="4EDB8769"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HCI</w:t>
            </w:r>
          </w:p>
        </w:tc>
        <w:tc>
          <w:tcPr>
            <w:tcW w:w="7095" w:type="dxa"/>
            <w:vAlign w:val="center"/>
          </w:tcPr>
          <w:p w14:paraId="56E6B3DD"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Human Capital Index</w:t>
            </w:r>
          </w:p>
          <w:p w14:paraId="6B8F14A0"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„Човешки капитал“ (компонент на Индекса на развитие на електронното управление)</w:t>
            </w:r>
          </w:p>
        </w:tc>
      </w:tr>
      <w:tr w:rsidR="00A40AC7" w:rsidRPr="00496500" w14:paraId="181441BF" w14:textId="77777777" w:rsidTr="00EF6F40">
        <w:trPr>
          <w:trHeight w:val="300"/>
        </w:trPr>
        <w:tc>
          <w:tcPr>
            <w:tcW w:w="1694" w:type="dxa"/>
            <w:vAlign w:val="center"/>
          </w:tcPr>
          <w:p w14:paraId="754633B1"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IGF</w:t>
            </w:r>
          </w:p>
        </w:tc>
        <w:tc>
          <w:tcPr>
            <w:tcW w:w="7095" w:type="dxa"/>
            <w:vAlign w:val="center"/>
          </w:tcPr>
          <w:p w14:paraId="213A015E"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Internet Governance Forum</w:t>
            </w:r>
          </w:p>
          <w:p w14:paraId="49533490"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Форум за управление на Интернет</w:t>
            </w:r>
          </w:p>
        </w:tc>
      </w:tr>
      <w:tr w:rsidR="00A40AC7" w:rsidRPr="00496500" w14:paraId="669DB1F4" w14:textId="77777777" w:rsidTr="00EF6F40">
        <w:trPr>
          <w:trHeight w:val="300"/>
        </w:trPr>
        <w:tc>
          <w:tcPr>
            <w:tcW w:w="1694" w:type="dxa"/>
            <w:vAlign w:val="center"/>
          </w:tcPr>
          <w:p w14:paraId="5C2AF029"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INSAIT</w:t>
            </w:r>
          </w:p>
        </w:tc>
        <w:tc>
          <w:tcPr>
            <w:tcW w:w="7095" w:type="dxa"/>
            <w:vAlign w:val="center"/>
          </w:tcPr>
          <w:p w14:paraId="59589D03" w14:textId="77777777" w:rsidR="00A40AC7"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Institute for Computer Science, Artificial Intelligence and Technology</w:t>
            </w:r>
          </w:p>
          <w:p w14:paraId="764C4270" w14:textId="4E4268A5" w:rsidR="0009707A" w:rsidRPr="00496500" w:rsidRDefault="0009707A" w:rsidP="003B412E">
            <w:pPr>
              <w:spacing w:after="120" w:line="240" w:lineRule="auto"/>
              <w:ind w:left="57"/>
              <w:rPr>
                <w:rFonts w:ascii="Times New Roman" w:eastAsia="Calibri" w:hAnsi="Times New Roman" w:cs="Times New Roman"/>
              </w:rPr>
            </w:pPr>
            <w:r w:rsidRPr="00024AFE">
              <w:rPr>
                <w:rFonts w:ascii="Times New Roman" w:eastAsia="Calibri" w:hAnsi="Times New Roman" w:cs="Times New Roman"/>
              </w:rPr>
              <w:t>Институт за компютърни науки, изкуствен интелект и технологии</w:t>
            </w:r>
          </w:p>
        </w:tc>
      </w:tr>
      <w:tr w:rsidR="00A40AC7" w:rsidRPr="00496500" w14:paraId="385855A6" w14:textId="77777777" w:rsidTr="00EF6F40">
        <w:trPr>
          <w:trHeight w:val="300"/>
        </w:trPr>
        <w:tc>
          <w:tcPr>
            <w:tcW w:w="1694" w:type="dxa"/>
            <w:vAlign w:val="center"/>
          </w:tcPr>
          <w:p w14:paraId="4AC0D3CD"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 xml:space="preserve">LOSI </w:t>
            </w:r>
          </w:p>
        </w:tc>
        <w:tc>
          <w:tcPr>
            <w:tcW w:w="7095" w:type="dxa"/>
            <w:vAlign w:val="center"/>
          </w:tcPr>
          <w:p w14:paraId="628A4A78"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Local Online Services Index</w:t>
            </w:r>
          </w:p>
          <w:p w14:paraId="6E57C61E"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за електронните услуги на местно ниво</w:t>
            </w:r>
          </w:p>
        </w:tc>
      </w:tr>
      <w:tr w:rsidR="00604E9E" w:rsidRPr="00496500" w14:paraId="7DD0716C" w14:textId="77777777" w:rsidTr="00EF6F40">
        <w:trPr>
          <w:trHeight w:val="300"/>
        </w:trPr>
        <w:tc>
          <w:tcPr>
            <w:tcW w:w="1694" w:type="dxa"/>
            <w:vAlign w:val="center"/>
          </w:tcPr>
          <w:p w14:paraId="2FDA98BF" w14:textId="77777777" w:rsidR="00604E9E" w:rsidRPr="00496500" w:rsidRDefault="00604E9E"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hAnsi="Times New Roman" w:cs="Times New Roman"/>
                <w:sz w:val="24"/>
                <w:szCs w:val="24"/>
              </w:rPr>
              <w:t>NCCs</w:t>
            </w:r>
            <w:r w:rsidR="00610A20" w:rsidRPr="00496500">
              <w:rPr>
                <w:rFonts w:ascii="Times New Roman" w:hAnsi="Times New Roman" w:cs="Times New Roman"/>
                <w:sz w:val="24"/>
                <w:szCs w:val="24"/>
              </w:rPr>
              <w:t xml:space="preserve"> Network</w:t>
            </w:r>
          </w:p>
        </w:tc>
        <w:tc>
          <w:tcPr>
            <w:tcW w:w="7095" w:type="dxa"/>
            <w:vAlign w:val="center"/>
          </w:tcPr>
          <w:p w14:paraId="7022B040" w14:textId="77777777" w:rsidR="00604E9E" w:rsidRPr="00496500" w:rsidRDefault="00610A20" w:rsidP="003B412E">
            <w:pPr>
              <w:spacing w:after="120" w:line="240" w:lineRule="auto"/>
              <w:ind w:left="57"/>
              <w:rPr>
                <w:rFonts w:ascii="Times New Roman" w:eastAsia="Calibri" w:hAnsi="Times New Roman" w:cs="Times New Roman"/>
              </w:rPr>
            </w:pPr>
            <w:r w:rsidRPr="00496500">
              <w:rPr>
                <w:rFonts w:ascii="Times New Roman" w:hAnsi="Times New Roman" w:cs="Times New Roman"/>
                <w:sz w:val="24"/>
                <w:szCs w:val="24"/>
              </w:rPr>
              <w:t>Мрежа</w:t>
            </w:r>
            <w:r w:rsidR="00604E9E" w:rsidRPr="00496500">
              <w:rPr>
                <w:rFonts w:ascii="Times New Roman" w:hAnsi="Times New Roman" w:cs="Times New Roman"/>
                <w:sz w:val="24"/>
                <w:szCs w:val="24"/>
              </w:rPr>
              <w:t xml:space="preserve"> от национални координационни центрове</w:t>
            </w:r>
          </w:p>
        </w:tc>
      </w:tr>
      <w:tr w:rsidR="00A40AC7" w:rsidRPr="00496500" w14:paraId="1B6DF403" w14:textId="77777777" w:rsidTr="00EF6F40">
        <w:trPr>
          <w:trHeight w:val="300"/>
        </w:trPr>
        <w:tc>
          <w:tcPr>
            <w:tcW w:w="1694" w:type="dxa"/>
            <w:vAlign w:val="center"/>
          </w:tcPr>
          <w:p w14:paraId="409C24E9"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NRI</w:t>
            </w:r>
          </w:p>
        </w:tc>
        <w:tc>
          <w:tcPr>
            <w:tcW w:w="7095" w:type="dxa"/>
            <w:vAlign w:val="center"/>
          </w:tcPr>
          <w:p w14:paraId="4140CF0B"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 xml:space="preserve">Network Readiness Index </w:t>
            </w:r>
          </w:p>
          <w:p w14:paraId="6E53AF03"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за готовност на мрежата</w:t>
            </w:r>
          </w:p>
        </w:tc>
      </w:tr>
      <w:tr w:rsidR="00A40AC7" w:rsidRPr="00496500" w14:paraId="728EA918" w14:textId="77777777" w:rsidTr="00EF6F40">
        <w:trPr>
          <w:trHeight w:val="300"/>
        </w:trPr>
        <w:tc>
          <w:tcPr>
            <w:tcW w:w="1694" w:type="dxa"/>
            <w:vAlign w:val="center"/>
          </w:tcPr>
          <w:p w14:paraId="6436DC8C"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OSI</w:t>
            </w:r>
          </w:p>
        </w:tc>
        <w:tc>
          <w:tcPr>
            <w:tcW w:w="7095" w:type="dxa"/>
            <w:vAlign w:val="center"/>
          </w:tcPr>
          <w:p w14:paraId="27B7CF50"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 xml:space="preserve">Online Services Index </w:t>
            </w:r>
          </w:p>
          <w:p w14:paraId="5198EB7B"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„Електронни услуги“ (компонент на Индекса на развитие на електронното управление)</w:t>
            </w:r>
          </w:p>
        </w:tc>
      </w:tr>
      <w:tr w:rsidR="00A40AC7" w:rsidRPr="00496500" w14:paraId="268EA559" w14:textId="77777777" w:rsidTr="00EF6F40">
        <w:trPr>
          <w:trHeight w:val="299"/>
        </w:trPr>
        <w:tc>
          <w:tcPr>
            <w:tcW w:w="1694" w:type="dxa"/>
            <w:vAlign w:val="center"/>
          </w:tcPr>
          <w:p w14:paraId="65F9EEA2" w14:textId="77777777" w:rsidR="00A40AC7" w:rsidRPr="00496500" w:rsidRDefault="00A40AC7" w:rsidP="003B412E">
            <w:pPr>
              <w:widowControl w:val="0"/>
              <w:autoSpaceDE w:val="0"/>
              <w:autoSpaceDN w:val="0"/>
              <w:spacing w:after="120" w:line="240" w:lineRule="auto"/>
              <w:ind w:firstLine="57"/>
              <w:rPr>
                <w:rFonts w:ascii="Times New Roman" w:eastAsia="Times New Roman" w:hAnsi="Times New Roman" w:cs="Times New Roman"/>
              </w:rPr>
            </w:pPr>
            <w:r w:rsidRPr="00496500">
              <w:rPr>
                <w:rFonts w:ascii="Times New Roman" w:eastAsia="Times New Roman" w:hAnsi="Times New Roman" w:cs="Times New Roman"/>
              </w:rPr>
              <w:t>SSO</w:t>
            </w:r>
          </w:p>
        </w:tc>
        <w:tc>
          <w:tcPr>
            <w:tcW w:w="7095" w:type="dxa"/>
            <w:vAlign w:val="center"/>
          </w:tcPr>
          <w:p w14:paraId="6DED0509" w14:textId="77777777" w:rsidR="00A40AC7"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Single sign on</w:t>
            </w:r>
          </w:p>
          <w:p w14:paraId="4044B2DD" w14:textId="118933AB" w:rsidR="0009707A" w:rsidRPr="00496500" w:rsidRDefault="0009707A" w:rsidP="003B412E">
            <w:pPr>
              <w:spacing w:after="120" w:line="240" w:lineRule="auto"/>
              <w:ind w:left="57"/>
              <w:rPr>
                <w:rFonts w:ascii="Times New Roman" w:eastAsia="Calibri" w:hAnsi="Times New Roman" w:cs="Times New Roman"/>
              </w:rPr>
            </w:pPr>
            <w:r>
              <w:rPr>
                <w:rFonts w:ascii="Times New Roman" w:eastAsia="Calibri" w:hAnsi="Times New Roman" w:cs="Times New Roman"/>
              </w:rPr>
              <w:t>Д</w:t>
            </w:r>
            <w:r w:rsidRPr="00765780">
              <w:rPr>
                <w:rFonts w:ascii="Times New Roman" w:eastAsia="Calibri" w:hAnsi="Times New Roman" w:cs="Times New Roman"/>
              </w:rPr>
              <w:t>остъп с еднократна идентификация</w:t>
            </w:r>
          </w:p>
        </w:tc>
      </w:tr>
      <w:tr w:rsidR="00A40AC7" w:rsidRPr="00496500" w14:paraId="6F05B7B0" w14:textId="77777777" w:rsidTr="00EF6F40">
        <w:trPr>
          <w:trHeight w:val="300"/>
        </w:trPr>
        <w:tc>
          <w:tcPr>
            <w:tcW w:w="1694" w:type="dxa"/>
            <w:vAlign w:val="center"/>
          </w:tcPr>
          <w:p w14:paraId="496A11BC"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TII</w:t>
            </w:r>
          </w:p>
        </w:tc>
        <w:tc>
          <w:tcPr>
            <w:tcW w:w="7095" w:type="dxa"/>
            <w:vAlign w:val="center"/>
          </w:tcPr>
          <w:p w14:paraId="0537414D"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Telecommunications Infrastructure Index</w:t>
            </w:r>
          </w:p>
          <w:p w14:paraId="33D0DEF2" w14:textId="77777777" w:rsidR="00A40AC7" w:rsidRPr="00496500"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Индекс „Телекомуникационна инфраструктура“  (компонент на Индекса на развитие на електронното управление)</w:t>
            </w:r>
          </w:p>
        </w:tc>
      </w:tr>
      <w:tr w:rsidR="00A40AC7" w:rsidRPr="00496500" w14:paraId="53504598" w14:textId="77777777" w:rsidTr="00EF6F40">
        <w:trPr>
          <w:trHeight w:val="300"/>
        </w:trPr>
        <w:tc>
          <w:tcPr>
            <w:tcW w:w="1694" w:type="dxa"/>
            <w:vAlign w:val="center"/>
          </w:tcPr>
          <w:p w14:paraId="4964C99B" w14:textId="77777777" w:rsidR="00A40AC7" w:rsidRPr="00496500" w:rsidRDefault="00A40AC7" w:rsidP="003B412E">
            <w:pPr>
              <w:widowControl w:val="0"/>
              <w:autoSpaceDE w:val="0"/>
              <w:autoSpaceDN w:val="0"/>
              <w:spacing w:after="120" w:line="240" w:lineRule="auto"/>
              <w:ind w:firstLine="57"/>
              <w:rPr>
                <w:rFonts w:ascii="Times New Roman" w:eastAsia="Calibri" w:hAnsi="Times New Roman" w:cs="Times New Roman"/>
              </w:rPr>
            </w:pPr>
            <w:r w:rsidRPr="00496500">
              <w:rPr>
                <w:rFonts w:ascii="Times New Roman" w:eastAsia="Calibri" w:hAnsi="Times New Roman" w:cs="Times New Roman"/>
              </w:rPr>
              <w:t>VHCN</w:t>
            </w:r>
          </w:p>
        </w:tc>
        <w:tc>
          <w:tcPr>
            <w:tcW w:w="7095" w:type="dxa"/>
            <w:vAlign w:val="center"/>
          </w:tcPr>
          <w:p w14:paraId="17ECD3B0" w14:textId="77777777" w:rsidR="00A40AC7" w:rsidRDefault="00A40AC7" w:rsidP="003B412E">
            <w:pPr>
              <w:spacing w:after="120" w:line="240" w:lineRule="auto"/>
              <w:ind w:left="57"/>
              <w:rPr>
                <w:rFonts w:ascii="Times New Roman" w:eastAsia="Calibri" w:hAnsi="Times New Roman" w:cs="Times New Roman"/>
              </w:rPr>
            </w:pPr>
            <w:r w:rsidRPr="00496500">
              <w:rPr>
                <w:rFonts w:ascii="Times New Roman" w:eastAsia="Calibri" w:hAnsi="Times New Roman" w:cs="Times New Roman"/>
              </w:rPr>
              <w:t>Very High Capacity Network</w:t>
            </w:r>
          </w:p>
          <w:p w14:paraId="3A972416" w14:textId="52C5EE7D" w:rsidR="00C244BE" w:rsidRPr="00496500" w:rsidRDefault="00C244BE" w:rsidP="003B412E">
            <w:pPr>
              <w:spacing w:after="120" w:line="240" w:lineRule="auto"/>
              <w:ind w:left="57"/>
              <w:rPr>
                <w:rFonts w:ascii="Times New Roman" w:eastAsia="Calibri" w:hAnsi="Times New Roman" w:cs="Times New Roman"/>
              </w:rPr>
            </w:pPr>
            <w:r w:rsidRPr="00C244BE">
              <w:rPr>
                <w:rFonts w:ascii="Times New Roman" w:eastAsia="Calibri" w:hAnsi="Times New Roman" w:cs="Times New Roman"/>
                <w:lang w:val="en-US"/>
              </w:rPr>
              <w:t>Мрежа с много голям капацитет</w:t>
            </w:r>
          </w:p>
        </w:tc>
      </w:tr>
    </w:tbl>
    <w:p w14:paraId="498ABDBF" w14:textId="77777777" w:rsidR="003E3D95" w:rsidRPr="00496500" w:rsidRDefault="003E3D95" w:rsidP="003B412E">
      <w:pPr>
        <w:pStyle w:val="ListParagraph"/>
        <w:spacing w:after="120" w:line="240" w:lineRule="auto"/>
        <w:ind w:left="0"/>
        <w:contextualSpacing w:val="0"/>
        <w:rPr>
          <w:rFonts w:ascii="Times New Roman" w:hAnsi="Times New Roman" w:cs="Times New Roman"/>
          <w:sz w:val="24"/>
          <w:szCs w:val="24"/>
        </w:rPr>
      </w:pPr>
    </w:p>
    <w:p w14:paraId="6A9E26F2" w14:textId="77777777" w:rsidR="00A109CB" w:rsidRPr="00496500" w:rsidRDefault="00A109CB">
      <w:pPr>
        <w:rPr>
          <w:rFonts w:ascii="Times New Roman" w:hAnsi="Times New Roman" w:cs="Times New Roman"/>
          <w:sz w:val="24"/>
          <w:szCs w:val="24"/>
        </w:rPr>
      </w:pPr>
      <w:r w:rsidRPr="00496500">
        <w:rPr>
          <w:rFonts w:ascii="Times New Roman" w:hAnsi="Times New Roman" w:cs="Times New Roman"/>
          <w:sz w:val="24"/>
          <w:szCs w:val="24"/>
        </w:rPr>
        <w:br w:type="page"/>
      </w:r>
    </w:p>
    <w:p w14:paraId="5048F498" w14:textId="77777777" w:rsidR="003E3D95" w:rsidRPr="00496500" w:rsidRDefault="003E3D95" w:rsidP="003B412E">
      <w:pPr>
        <w:pStyle w:val="ListParagraph"/>
        <w:spacing w:after="120" w:line="240" w:lineRule="auto"/>
        <w:ind w:left="0"/>
        <w:contextualSpacing w:val="0"/>
        <w:rPr>
          <w:rFonts w:ascii="Times New Roman" w:hAnsi="Times New Roman" w:cs="Times New Roman"/>
          <w:sz w:val="24"/>
          <w:szCs w:val="24"/>
        </w:rPr>
      </w:pPr>
    </w:p>
    <w:p w14:paraId="19DC4D87" w14:textId="77777777" w:rsidR="004C66F4" w:rsidRPr="00496500" w:rsidRDefault="00A17DC3" w:rsidP="00600BA3">
      <w:pPr>
        <w:pStyle w:val="ListParagraph"/>
        <w:spacing w:after="120" w:line="240" w:lineRule="auto"/>
        <w:contextualSpacing w:val="0"/>
        <w:outlineLvl w:val="0"/>
        <w:rPr>
          <w:rFonts w:ascii="Times New Roman" w:hAnsi="Times New Roman" w:cs="Times New Roman"/>
          <w:b/>
          <w:color w:val="2E74B5" w:themeColor="accent1" w:themeShade="BF"/>
          <w:sz w:val="28"/>
          <w:szCs w:val="28"/>
        </w:rPr>
      </w:pPr>
      <w:bookmarkStart w:id="1" w:name="_Toc209084883"/>
      <w:r w:rsidRPr="00496500">
        <w:rPr>
          <w:rFonts w:ascii="Times New Roman" w:hAnsi="Times New Roman" w:cs="Times New Roman"/>
          <w:b/>
          <w:color w:val="2E74B5" w:themeColor="accent1" w:themeShade="BF"/>
          <w:sz w:val="28"/>
          <w:szCs w:val="28"/>
        </w:rPr>
        <w:t>Р</w:t>
      </w:r>
      <w:r w:rsidR="002479C0" w:rsidRPr="00496500">
        <w:rPr>
          <w:rFonts w:ascii="Times New Roman" w:hAnsi="Times New Roman" w:cs="Times New Roman"/>
          <w:b/>
          <w:color w:val="2E74B5" w:themeColor="accent1" w:themeShade="BF"/>
          <w:sz w:val="28"/>
          <w:szCs w:val="28"/>
        </w:rPr>
        <w:t>е</w:t>
      </w:r>
      <w:r w:rsidRPr="00496500">
        <w:rPr>
          <w:rFonts w:ascii="Times New Roman" w:hAnsi="Times New Roman" w:cs="Times New Roman"/>
          <w:b/>
          <w:color w:val="2E74B5" w:themeColor="accent1" w:themeShade="BF"/>
          <w:sz w:val="28"/>
          <w:szCs w:val="28"/>
        </w:rPr>
        <w:t>зюме</w:t>
      </w:r>
      <w:bookmarkEnd w:id="1"/>
    </w:p>
    <w:p w14:paraId="3396F382" w14:textId="1F24D53B" w:rsidR="009F7486" w:rsidRDefault="00DC1DC3" w:rsidP="00944711">
      <w:pPr>
        <w:pStyle w:val="ListParagraph"/>
        <w:spacing w:after="120" w:line="240" w:lineRule="auto"/>
        <w:ind w:left="4410" w:hanging="15"/>
        <w:contextualSpacing w:val="0"/>
        <w:jc w:val="both"/>
        <w:rPr>
          <w:rFonts w:ascii="Times New Roman" w:hAnsi="Times New Roman" w:cs="Times New Roman"/>
          <w:i/>
          <w:sz w:val="24"/>
          <w:szCs w:val="24"/>
        </w:rPr>
      </w:pPr>
      <w:r>
        <w:rPr>
          <w:rFonts w:ascii="Times New Roman" w:hAnsi="Times New Roman" w:cs="Times New Roman"/>
          <w:i/>
          <w:sz w:val="24"/>
          <w:szCs w:val="24"/>
        </w:rPr>
        <w:t>„</w:t>
      </w:r>
      <w:r w:rsidR="009F7486" w:rsidRPr="00496500">
        <w:rPr>
          <w:rFonts w:ascii="Times New Roman" w:hAnsi="Times New Roman" w:cs="Times New Roman"/>
          <w:i/>
          <w:sz w:val="24"/>
          <w:szCs w:val="24"/>
        </w:rPr>
        <w:t xml:space="preserve">76% от българските граждани оценяват, че </w:t>
      </w:r>
      <w:r w:rsidR="00DD4A73" w:rsidRPr="00496500">
        <w:rPr>
          <w:rFonts w:ascii="Times New Roman" w:hAnsi="Times New Roman" w:cs="Times New Roman"/>
          <w:i/>
          <w:sz w:val="24"/>
          <w:szCs w:val="24"/>
        </w:rPr>
        <w:t>цифровизацията</w:t>
      </w:r>
      <w:r w:rsidR="009F7486" w:rsidRPr="00496500">
        <w:rPr>
          <w:rFonts w:ascii="Times New Roman" w:hAnsi="Times New Roman" w:cs="Times New Roman"/>
          <w:i/>
          <w:sz w:val="24"/>
          <w:szCs w:val="24"/>
        </w:rPr>
        <w:t xml:space="preserve"> на </w:t>
      </w:r>
      <w:r w:rsidR="00526AB8" w:rsidRPr="00496500">
        <w:rPr>
          <w:rFonts w:ascii="Times New Roman" w:hAnsi="Times New Roman" w:cs="Times New Roman"/>
          <w:i/>
          <w:sz w:val="24"/>
          <w:szCs w:val="24"/>
        </w:rPr>
        <w:t>публични и частни услуги на ежедневна база улеснява техния живот</w:t>
      </w:r>
      <w:r>
        <w:rPr>
          <w:rFonts w:ascii="Times New Roman" w:hAnsi="Times New Roman" w:cs="Times New Roman"/>
          <w:i/>
          <w:sz w:val="24"/>
          <w:szCs w:val="24"/>
        </w:rPr>
        <w:t>“</w:t>
      </w:r>
      <w:r w:rsidR="00526AB8" w:rsidRPr="00496500">
        <w:rPr>
          <w:rFonts w:ascii="Times New Roman" w:hAnsi="Times New Roman" w:cs="Times New Roman"/>
          <w:i/>
          <w:sz w:val="24"/>
          <w:szCs w:val="24"/>
        </w:rPr>
        <w:t>.</w:t>
      </w:r>
      <w:r w:rsidR="009F7486" w:rsidRPr="00496500">
        <w:rPr>
          <w:rStyle w:val="FootnoteReference"/>
          <w:rFonts w:ascii="Times New Roman" w:hAnsi="Times New Roman" w:cs="Times New Roman"/>
          <w:i/>
          <w:sz w:val="24"/>
          <w:szCs w:val="24"/>
        </w:rPr>
        <w:footnoteReference w:id="1"/>
      </w:r>
    </w:p>
    <w:p w14:paraId="08ACCA96" w14:textId="77777777" w:rsidR="00405291" w:rsidRDefault="00405291" w:rsidP="00944711">
      <w:pPr>
        <w:pStyle w:val="ListParagraph"/>
        <w:spacing w:after="120" w:line="240" w:lineRule="auto"/>
        <w:ind w:left="4410" w:hanging="15"/>
        <w:contextualSpacing w:val="0"/>
        <w:jc w:val="both"/>
        <w:rPr>
          <w:rFonts w:ascii="Times New Roman" w:hAnsi="Times New Roman" w:cs="Times New Roman"/>
          <w:i/>
          <w:sz w:val="24"/>
          <w:szCs w:val="24"/>
        </w:rPr>
      </w:pPr>
    </w:p>
    <w:p w14:paraId="017AB3CF" w14:textId="77777777" w:rsidR="005F75C9" w:rsidRPr="00496500" w:rsidRDefault="0084260F"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Цифровите технологии и процесът на </w:t>
      </w:r>
      <w:r w:rsidR="00DD4A73" w:rsidRPr="00496500">
        <w:rPr>
          <w:rFonts w:ascii="Times New Roman" w:hAnsi="Times New Roman" w:cs="Times New Roman"/>
          <w:sz w:val="24"/>
          <w:szCs w:val="24"/>
        </w:rPr>
        <w:t>цифрова</w:t>
      </w:r>
      <w:r w:rsidRPr="00496500">
        <w:rPr>
          <w:rFonts w:ascii="Times New Roman" w:hAnsi="Times New Roman" w:cs="Times New Roman"/>
          <w:sz w:val="24"/>
          <w:szCs w:val="24"/>
        </w:rPr>
        <w:t xml:space="preserve"> трансформация се превръщат трайно в неизменна и устойчива основа на социално-икономическия и обществения живот, опазването на околната среда и постигането на климатична неутралност. Те предопределят устойчивия икономически растеж, конкурентоспособността и стабилната макроикономическа среда, и съответно имат ключово значение за социалното развитие, повишаването на жизнения стандарт и качеството на живот на населението.</w:t>
      </w:r>
      <w:r w:rsidR="005F75C9" w:rsidRPr="00496500">
        <w:rPr>
          <w:rFonts w:ascii="Times New Roman" w:hAnsi="Times New Roman" w:cs="Times New Roman"/>
          <w:sz w:val="24"/>
          <w:szCs w:val="24"/>
        </w:rPr>
        <w:t xml:space="preserve"> </w:t>
      </w:r>
    </w:p>
    <w:p w14:paraId="5B50C9A4" w14:textId="6A9073D2" w:rsidR="00775210" w:rsidRPr="00496500" w:rsidRDefault="005F75C9"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В периода на световната пандемия от коронавирус Република България направи осезаем завой по пътя на цифрова трансформация и поставянето на гражданина в центъра на всички процеси в цифровата среда</w:t>
      </w:r>
      <w:r w:rsidR="00DE30D3" w:rsidRPr="00496500">
        <w:rPr>
          <w:rFonts w:ascii="Times New Roman" w:hAnsi="Times New Roman" w:cs="Times New Roman"/>
          <w:sz w:val="24"/>
          <w:szCs w:val="24"/>
        </w:rPr>
        <w:t xml:space="preserve"> и публични услуги</w:t>
      </w:r>
      <w:r w:rsidRPr="00496500">
        <w:rPr>
          <w:rFonts w:ascii="Times New Roman" w:hAnsi="Times New Roman" w:cs="Times New Roman"/>
          <w:sz w:val="24"/>
          <w:szCs w:val="24"/>
        </w:rPr>
        <w:t xml:space="preserve">. </w:t>
      </w:r>
      <w:r w:rsidR="00684DF3" w:rsidRPr="004626F0">
        <w:rPr>
          <w:rFonts w:ascii="Times New Roman" w:hAnsi="Times New Roman" w:cs="Times New Roman"/>
          <w:sz w:val="24"/>
          <w:szCs w:val="24"/>
        </w:rPr>
        <w:t>О</w:t>
      </w:r>
      <w:r w:rsidR="002D4AB8" w:rsidRPr="004626F0">
        <w:rPr>
          <w:rFonts w:ascii="Times New Roman" w:hAnsi="Times New Roman" w:cs="Times New Roman"/>
          <w:sz w:val="24"/>
          <w:szCs w:val="24"/>
        </w:rPr>
        <w:t>тчитайки предизвикателствата на международната геополитическа и икономическа среда</w:t>
      </w:r>
      <w:r w:rsidR="00684DF3" w:rsidRPr="004626F0">
        <w:rPr>
          <w:rFonts w:ascii="Times New Roman" w:hAnsi="Times New Roman" w:cs="Times New Roman"/>
          <w:sz w:val="24"/>
          <w:szCs w:val="24"/>
        </w:rPr>
        <w:t>,</w:t>
      </w:r>
      <w:r w:rsidR="002D4AB8" w:rsidRPr="004626F0">
        <w:rPr>
          <w:rFonts w:ascii="Times New Roman" w:hAnsi="Times New Roman" w:cs="Times New Roman"/>
          <w:sz w:val="24"/>
          <w:szCs w:val="24"/>
        </w:rPr>
        <w:t xml:space="preserve"> </w:t>
      </w:r>
      <w:r w:rsidR="00644694" w:rsidRPr="004626F0">
        <w:rPr>
          <w:rFonts w:ascii="Times New Roman" w:hAnsi="Times New Roman" w:cs="Times New Roman"/>
          <w:sz w:val="24"/>
          <w:szCs w:val="24"/>
        </w:rPr>
        <w:t xml:space="preserve">страната </w:t>
      </w:r>
      <w:r w:rsidR="00684DF3" w:rsidRPr="004626F0">
        <w:rPr>
          <w:rFonts w:ascii="Times New Roman" w:hAnsi="Times New Roman" w:cs="Times New Roman"/>
          <w:sz w:val="24"/>
          <w:szCs w:val="24"/>
        </w:rPr>
        <w:t xml:space="preserve">следва да </w:t>
      </w:r>
      <w:r w:rsidR="00772F4C" w:rsidRPr="004626F0">
        <w:rPr>
          <w:rFonts w:ascii="Times New Roman" w:hAnsi="Times New Roman" w:cs="Times New Roman"/>
          <w:sz w:val="24"/>
          <w:szCs w:val="24"/>
        </w:rPr>
        <w:t>ускори процесите</w:t>
      </w:r>
      <w:r w:rsidR="00D66B9D" w:rsidRPr="004626F0">
        <w:rPr>
          <w:rFonts w:ascii="Times New Roman" w:hAnsi="Times New Roman" w:cs="Times New Roman"/>
          <w:sz w:val="24"/>
          <w:szCs w:val="24"/>
        </w:rPr>
        <w:t xml:space="preserve"> по</w:t>
      </w:r>
      <w:r w:rsidR="00772F4C" w:rsidRPr="004626F0">
        <w:rPr>
          <w:rFonts w:ascii="Times New Roman" w:hAnsi="Times New Roman" w:cs="Times New Roman"/>
          <w:sz w:val="24"/>
          <w:szCs w:val="24"/>
        </w:rPr>
        <w:t xml:space="preserve"> </w:t>
      </w:r>
      <w:r w:rsidR="00D66B9D" w:rsidRPr="004626F0">
        <w:rPr>
          <w:rFonts w:ascii="Times New Roman" w:hAnsi="Times New Roman" w:cs="Times New Roman"/>
          <w:sz w:val="24"/>
          <w:szCs w:val="24"/>
        </w:rPr>
        <w:t xml:space="preserve">цифровизация, особено в публиния сектор, които са </w:t>
      </w:r>
      <w:r w:rsidR="00644694" w:rsidRPr="004626F0">
        <w:rPr>
          <w:rFonts w:ascii="Times New Roman" w:hAnsi="Times New Roman" w:cs="Times New Roman"/>
          <w:sz w:val="24"/>
          <w:szCs w:val="24"/>
        </w:rPr>
        <w:t xml:space="preserve">в </w:t>
      </w:r>
      <w:r w:rsidR="002F0A75" w:rsidRPr="004626F0">
        <w:rPr>
          <w:rFonts w:ascii="Times New Roman" w:hAnsi="Times New Roman" w:cs="Times New Roman"/>
          <w:sz w:val="24"/>
          <w:szCs w:val="24"/>
        </w:rPr>
        <w:t>ос</w:t>
      </w:r>
      <w:r w:rsidR="00684DF3" w:rsidRPr="004626F0">
        <w:rPr>
          <w:rFonts w:ascii="Times New Roman" w:hAnsi="Times New Roman" w:cs="Times New Roman"/>
          <w:sz w:val="24"/>
          <w:szCs w:val="24"/>
        </w:rPr>
        <w:t xml:space="preserve">новата на </w:t>
      </w:r>
      <w:r w:rsidR="00214B92" w:rsidRPr="004626F0">
        <w:rPr>
          <w:rFonts w:ascii="Times New Roman" w:hAnsi="Times New Roman" w:cs="Times New Roman"/>
          <w:sz w:val="24"/>
          <w:szCs w:val="24"/>
        </w:rPr>
        <w:t xml:space="preserve">развитието на </w:t>
      </w:r>
      <w:r w:rsidR="00600BA3">
        <w:rPr>
          <w:rFonts w:ascii="Times New Roman" w:hAnsi="Times New Roman" w:cs="Times New Roman"/>
          <w:sz w:val="24"/>
          <w:szCs w:val="24"/>
        </w:rPr>
        <w:t xml:space="preserve">обществото </w:t>
      </w:r>
      <w:r w:rsidR="00214B92" w:rsidRPr="004626F0">
        <w:rPr>
          <w:rFonts w:ascii="Times New Roman" w:hAnsi="Times New Roman" w:cs="Times New Roman"/>
          <w:sz w:val="24"/>
          <w:szCs w:val="24"/>
        </w:rPr>
        <w:t xml:space="preserve">и </w:t>
      </w:r>
      <w:r w:rsidR="00A14020" w:rsidRPr="004626F0">
        <w:rPr>
          <w:rFonts w:ascii="Times New Roman" w:hAnsi="Times New Roman" w:cs="Times New Roman"/>
          <w:sz w:val="24"/>
          <w:szCs w:val="24"/>
        </w:rPr>
        <w:t>подо</w:t>
      </w:r>
      <w:r w:rsidRPr="004626F0">
        <w:rPr>
          <w:rFonts w:ascii="Times New Roman" w:hAnsi="Times New Roman" w:cs="Times New Roman"/>
          <w:sz w:val="24"/>
          <w:szCs w:val="24"/>
        </w:rPr>
        <w:t>бряването на качеството на живот</w:t>
      </w:r>
      <w:r w:rsidR="00600BA3">
        <w:rPr>
          <w:rFonts w:ascii="Times New Roman" w:hAnsi="Times New Roman" w:cs="Times New Roman"/>
          <w:sz w:val="24"/>
          <w:szCs w:val="24"/>
        </w:rPr>
        <w:t xml:space="preserve"> на отделния гражданин</w:t>
      </w:r>
      <w:r w:rsidRPr="004626F0">
        <w:rPr>
          <w:rFonts w:ascii="Times New Roman" w:hAnsi="Times New Roman" w:cs="Times New Roman"/>
          <w:sz w:val="24"/>
          <w:szCs w:val="24"/>
        </w:rPr>
        <w:t>.</w:t>
      </w:r>
      <w:r w:rsidR="00214B92" w:rsidRPr="004626F0">
        <w:rPr>
          <w:rFonts w:ascii="Times New Roman" w:hAnsi="Times New Roman" w:cs="Times New Roman"/>
          <w:sz w:val="24"/>
          <w:szCs w:val="24"/>
        </w:rPr>
        <w:t xml:space="preserve"> </w:t>
      </w:r>
      <w:r w:rsidR="00DD4A73" w:rsidRPr="004626F0">
        <w:rPr>
          <w:rFonts w:ascii="Times New Roman" w:hAnsi="Times New Roman" w:cs="Times New Roman"/>
          <w:sz w:val="24"/>
          <w:szCs w:val="24"/>
        </w:rPr>
        <w:t>Цифровизация</w:t>
      </w:r>
      <w:r w:rsidRPr="004626F0">
        <w:rPr>
          <w:rFonts w:ascii="Times New Roman" w:hAnsi="Times New Roman" w:cs="Times New Roman"/>
          <w:sz w:val="24"/>
          <w:szCs w:val="24"/>
        </w:rPr>
        <w:t>та</w:t>
      </w:r>
      <w:r w:rsidRPr="00496500">
        <w:rPr>
          <w:rFonts w:ascii="Times New Roman" w:hAnsi="Times New Roman" w:cs="Times New Roman"/>
          <w:sz w:val="24"/>
          <w:szCs w:val="24"/>
        </w:rPr>
        <w:t xml:space="preserve"> </w:t>
      </w:r>
      <w:r w:rsidR="008D62E3" w:rsidRPr="00496500">
        <w:rPr>
          <w:rFonts w:ascii="Times New Roman" w:hAnsi="Times New Roman" w:cs="Times New Roman"/>
          <w:sz w:val="24"/>
          <w:szCs w:val="24"/>
        </w:rPr>
        <w:t>следва</w:t>
      </w:r>
      <w:r w:rsidR="008E3C3E" w:rsidRPr="00496500">
        <w:rPr>
          <w:rFonts w:ascii="Times New Roman" w:hAnsi="Times New Roman" w:cs="Times New Roman"/>
          <w:sz w:val="24"/>
          <w:szCs w:val="24"/>
        </w:rPr>
        <w:t xml:space="preserve"> </w:t>
      </w:r>
      <w:r w:rsidRPr="00496500">
        <w:rPr>
          <w:rFonts w:ascii="Times New Roman" w:hAnsi="Times New Roman" w:cs="Times New Roman"/>
          <w:sz w:val="24"/>
          <w:szCs w:val="24"/>
        </w:rPr>
        <w:t>да се разбира, като един от фундаментите на</w:t>
      </w:r>
      <w:r w:rsidR="00214B92" w:rsidRPr="00496500">
        <w:rPr>
          <w:rFonts w:ascii="Times New Roman" w:hAnsi="Times New Roman" w:cs="Times New Roman"/>
          <w:sz w:val="24"/>
          <w:szCs w:val="24"/>
        </w:rPr>
        <w:t xml:space="preserve"> </w:t>
      </w:r>
      <w:r w:rsidR="00684DF3" w:rsidRPr="00496500">
        <w:rPr>
          <w:rFonts w:ascii="Times New Roman" w:hAnsi="Times New Roman" w:cs="Times New Roman"/>
          <w:sz w:val="24"/>
          <w:szCs w:val="24"/>
        </w:rPr>
        <w:t xml:space="preserve">правенето и изпълнението на политиките на държавно управление с цел тяхното поставяне на по-високо равнище, в унисон с европейските и световни тенденции, както и за постигане на устойчивост при </w:t>
      </w:r>
      <w:r w:rsidR="00B964CC" w:rsidRPr="00496500">
        <w:rPr>
          <w:rFonts w:ascii="Times New Roman" w:hAnsi="Times New Roman" w:cs="Times New Roman"/>
          <w:sz w:val="24"/>
          <w:szCs w:val="24"/>
        </w:rPr>
        <w:t>посрещане и справяне с предизвикателствата на непрекъснато променящата се среда.</w:t>
      </w:r>
    </w:p>
    <w:p w14:paraId="45547052" w14:textId="303B7F92" w:rsidR="00390C4A" w:rsidRPr="00496500" w:rsidRDefault="00B964CC"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Цифровата трансформация, като стратегически </w:t>
      </w:r>
      <w:r w:rsidR="0052248B" w:rsidRPr="00496500">
        <w:rPr>
          <w:rFonts w:ascii="Times New Roman" w:hAnsi="Times New Roman" w:cs="Times New Roman"/>
          <w:sz w:val="24"/>
          <w:szCs w:val="24"/>
        </w:rPr>
        <w:t xml:space="preserve">и хоризонтален </w:t>
      </w:r>
      <w:r w:rsidRPr="00496500">
        <w:rPr>
          <w:rFonts w:ascii="Times New Roman" w:hAnsi="Times New Roman" w:cs="Times New Roman"/>
          <w:sz w:val="24"/>
          <w:szCs w:val="24"/>
        </w:rPr>
        <w:t xml:space="preserve">процес, е заложена в </w:t>
      </w:r>
      <w:hyperlink r:id="rId9" w:history="1">
        <w:r w:rsidR="00390C4A" w:rsidRPr="00F11CC7">
          <w:rPr>
            <w:rStyle w:val="Hyperlink"/>
            <w:rFonts w:ascii="Times New Roman" w:hAnsi="Times New Roman" w:cs="Times New Roman"/>
            <w:sz w:val="24"/>
            <w:szCs w:val="24"/>
          </w:rPr>
          <w:t xml:space="preserve">Националната програма за развитие </w:t>
        </w:r>
        <w:r w:rsidRPr="00F11CC7">
          <w:rPr>
            <w:rStyle w:val="Hyperlink"/>
            <w:rFonts w:ascii="Times New Roman" w:hAnsi="Times New Roman" w:cs="Times New Roman"/>
            <w:sz w:val="24"/>
            <w:szCs w:val="24"/>
          </w:rPr>
          <w:t>„</w:t>
        </w:r>
        <w:r w:rsidR="002F618B" w:rsidRPr="00F11CC7">
          <w:rPr>
            <w:rStyle w:val="Hyperlink"/>
            <w:rFonts w:ascii="Times New Roman" w:hAnsi="Times New Roman" w:cs="Times New Roman"/>
            <w:sz w:val="24"/>
            <w:szCs w:val="24"/>
          </w:rPr>
          <w:t xml:space="preserve">България </w:t>
        </w:r>
        <w:r w:rsidR="00390C4A" w:rsidRPr="00F11CC7">
          <w:rPr>
            <w:rStyle w:val="Hyperlink"/>
            <w:rFonts w:ascii="Times New Roman" w:hAnsi="Times New Roman" w:cs="Times New Roman"/>
            <w:sz w:val="24"/>
            <w:szCs w:val="24"/>
          </w:rPr>
          <w:t>2030</w:t>
        </w:r>
      </w:hyperlink>
      <w:r w:rsidR="00F11CC7">
        <w:rPr>
          <w:rFonts w:ascii="Times New Roman" w:hAnsi="Times New Roman" w:cs="Times New Roman"/>
          <w:sz w:val="24"/>
          <w:szCs w:val="24"/>
        </w:rPr>
        <w:t>“</w:t>
      </w:r>
      <w:r w:rsidR="00390C4A" w:rsidRPr="00496500">
        <w:rPr>
          <w:rFonts w:ascii="Times New Roman" w:hAnsi="Times New Roman" w:cs="Times New Roman"/>
          <w:sz w:val="24"/>
          <w:szCs w:val="24"/>
        </w:rPr>
        <w:t xml:space="preserve"> (НПР </w:t>
      </w:r>
      <w:r w:rsidR="002F618B" w:rsidRPr="00496500">
        <w:rPr>
          <w:rFonts w:ascii="Times New Roman" w:hAnsi="Times New Roman" w:cs="Times New Roman"/>
          <w:sz w:val="24"/>
          <w:szCs w:val="24"/>
        </w:rPr>
        <w:t>Б</w:t>
      </w:r>
      <w:r w:rsidR="002F618B">
        <w:rPr>
          <w:rFonts w:ascii="Times New Roman" w:hAnsi="Times New Roman" w:cs="Times New Roman"/>
          <w:sz w:val="24"/>
          <w:szCs w:val="24"/>
        </w:rPr>
        <w:t>ългария</w:t>
      </w:r>
      <w:r w:rsidR="002F618B" w:rsidRPr="00496500">
        <w:rPr>
          <w:rFonts w:ascii="Times New Roman" w:hAnsi="Times New Roman" w:cs="Times New Roman"/>
          <w:sz w:val="24"/>
          <w:szCs w:val="24"/>
        </w:rPr>
        <w:t xml:space="preserve"> </w:t>
      </w:r>
      <w:r w:rsidR="00390C4A" w:rsidRPr="00496500">
        <w:rPr>
          <w:rFonts w:ascii="Times New Roman" w:hAnsi="Times New Roman" w:cs="Times New Roman"/>
          <w:sz w:val="24"/>
          <w:szCs w:val="24"/>
        </w:rPr>
        <w:t>2030)</w:t>
      </w:r>
      <w:r w:rsidRPr="00496500">
        <w:rPr>
          <w:rFonts w:ascii="Times New Roman" w:hAnsi="Times New Roman" w:cs="Times New Roman"/>
          <w:sz w:val="24"/>
          <w:szCs w:val="24"/>
          <w:vertAlign w:val="superscript"/>
        </w:rPr>
        <w:footnoteReference w:id="2"/>
      </w:r>
      <w:r w:rsidRPr="00496500">
        <w:rPr>
          <w:rFonts w:ascii="Times New Roman" w:hAnsi="Times New Roman" w:cs="Times New Roman"/>
          <w:sz w:val="24"/>
          <w:szCs w:val="24"/>
        </w:rPr>
        <w:t>, която представлява</w:t>
      </w:r>
      <w:r w:rsidR="00390C4A" w:rsidRPr="00496500">
        <w:rPr>
          <w:rFonts w:ascii="Times New Roman" w:hAnsi="Times New Roman" w:cs="Times New Roman"/>
          <w:sz w:val="24"/>
          <w:szCs w:val="24"/>
        </w:rPr>
        <w:t xml:space="preserve"> рамков стратегически документ от най-висок</w:t>
      </w:r>
      <w:r w:rsidRPr="00496500">
        <w:rPr>
          <w:rFonts w:ascii="Times New Roman" w:hAnsi="Times New Roman" w:cs="Times New Roman"/>
          <w:sz w:val="24"/>
          <w:szCs w:val="24"/>
        </w:rPr>
        <w:t>о</w:t>
      </w:r>
      <w:r w:rsidR="00390C4A" w:rsidRPr="00496500">
        <w:rPr>
          <w:rFonts w:ascii="Times New Roman" w:hAnsi="Times New Roman" w:cs="Times New Roman"/>
          <w:sz w:val="24"/>
          <w:szCs w:val="24"/>
        </w:rPr>
        <w:t xml:space="preserve"> </w:t>
      </w:r>
      <w:r w:rsidRPr="00496500">
        <w:rPr>
          <w:rFonts w:ascii="Times New Roman" w:hAnsi="Times New Roman" w:cs="Times New Roman"/>
          <w:sz w:val="24"/>
          <w:szCs w:val="24"/>
        </w:rPr>
        <w:t>ниво</w:t>
      </w:r>
      <w:r w:rsidR="00390C4A" w:rsidRPr="00496500">
        <w:rPr>
          <w:rFonts w:ascii="Times New Roman" w:hAnsi="Times New Roman" w:cs="Times New Roman"/>
          <w:sz w:val="24"/>
          <w:szCs w:val="24"/>
        </w:rPr>
        <w:t xml:space="preserve"> в йерархията на националните програмни документи</w:t>
      </w:r>
      <w:r w:rsidRPr="00496500">
        <w:rPr>
          <w:rFonts w:ascii="Times New Roman" w:hAnsi="Times New Roman" w:cs="Times New Roman"/>
          <w:sz w:val="24"/>
          <w:szCs w:val="24"/>
        </w:rPr>
        <w:t>. В него е определена</w:t>
      </w:r>
      <w:r w:rsidR="00390C4A" w:rsidRPr="00496500">
        <w:rPr>
          <w:rFonts w:ascii="Times New Roman" w:hAnsi="Times New Roman" w:cs="Times New Roman"/>
          <w:sz w:val="24"/>
          <w:szCs w:val="24"/>
        </w:rPr>
        <w:t xml:space="preserve"> визията и общите цели на политиките за развитие във всички сектори на държавното управление, включително техните териториални измерения. В документа </w:t>
      </w:r>
      <w:r w:rsidR="00094075" w:rsidRPr="00496500">
        <w:rPr>
          <w:rFonts w:ascii="Times New Roman" w:hAnsi="Times New Roman" w:cs="Times New Roman"/>
          <w:sz w:val="24"/>
          <w:szCs w:val="24"/>
        </w:rPr>
        <w:t xml:space="preserve">детайлно </w:t>
      </w:r>
      <w:r w:rsidRPr="00496500">
        <w:rPr>
          <w:rFonts w:ascii="Times New Roman" w:hAnsi="Times New Roman" w:cs="Times New Roman"/>
          <w:sz w:val="24"/>
          <w:szCs w:val="24"/>
        </w:rPr>
        <w:t>са</w:t>
      </w:r>
      <w:r w:rsidR="00390C4A" w:rsidRPr="00496500">
        <w:rPr>
          <w:rFonts w:ascii="Times New Roman" w:hAnsi="Times New Roman" w:cs="Times New Roman"/>
          <w:sz w:val="24"/>
          <w:szCs w:val="24"/>
        </w:rPr>
        <w:t xml:space="preserve"> опис</w:t>
      </w:r>
      <w:r w:rsidRPr="00496500">
        <w:rPr>
          <w:rFonts w:ascii="Times New Roman" w:hAnsi="Times New Roman" w:cs="Times New Roman"/>
          <w:sz w:val="24"/>
          <w:szCs w:val="24"/>
        </w:rPr>
        <w:t>ани</w:t>
      </w:r>
      <w:r w:rsidR="00390C4A" w:rsidRPr="00496500">
        <w:rPr>
          <w:rFonts w:ascii="Times New Roman" w:hAnsi="Times New Roman" w:cs="Times New Roman"/>
          <w:sz w:val="24"/>
          <w:szCs w:val="24"/>
        </w:rPr>
        <w:t xml:space="preserve"> областите на въздействие, които </w:t>
      </w:r>
      <w:r w:rsidRPr="00496500">
        <w:rPr>
          <w:rFonts w:ascii="Times New Roman" w:hAnsi="Times New Roman" w:cs="Times New Roman"/>
          <w:sz w:val="24"/>
          <w:szCs w:val="24"/>
        </w:rPr>
        <w:t>подлежат</w:t>
      </w:r>
      <w:r w:rsidR="00390C4A" w:rsidRPr="00496500">
        <w:rPr>
          <w:rFonts w:ascii="Times New Roman" w:hAnsi="Times New Roman" w:cs="Times New Roman"/>
          <w:sz w:val="24"/>
          <w:szCs w:val="24"/>
        </w:rPr>
        <w:t xml:space="preserve"> на целенасочени интервенции до 2030 г., съпътствани от индикатори за резултат, индикативен финансов ресурс</w:t>
      </w:r>
      <w:r w:rsidR="008F4E9C" w:rsidRPr="00496500">
        <w:rPr>
          <w:rFonts w:ascii="Times New Roman" w:hAnsi="Times New Roman" w:cs="Times New Roman"/>
          <w:sz w:val="24"/>
          <w:szCs w:val="24"/>
        </w:rPr>
        <w:t xml:space="preserve"> и </w:t>
      </w:r>
      <w:r w:rsidR="00390C4A" w:rsidRPr="00496500">
        <w:rPr>
          <w:rFonts w:ascii="Times New Roman" w:hAnsi="Times New Roman" w:cs="Times New Roman"/>
          <w:sz w:val="24"/>
          <w:szCs w:val="24"/>
        </w:rPr>
        <w:t>източници на финансиране.</w:t>
      </w:r>
      <w:r w:rsidRPr="00496500">
        <w:rPr>
          <w:rFonts w:ascii="Times New Roman" w:hAnsi="Times New Roman" w:cs="Times New Roman"/>
          <w:sz w:val="24"/>
          <w:szCs w:val="24"/>
        </w:rPr>
        <w:t xml:space="preserve"> </w:t>
      </w:r>
      <w:r w:rsidR="0052248B" w:rsidRPr="00496500">
        <w:rPr>
          <w:rFonts w:ascii="Times New Roman" w:hAnsi="Times New Roman" w:cs="Times New Roman"/>
          <w:sz w:val="24"/>
          <w:szCs w:val="24"/>
        </w:rPr>
        <w:t>Цифровизацията и изпълнението на различни мерки и интервенции за нейното постигане са предвидени във всичките 13 приоритета, а целенасочени такива за публична цифрова инфраструктура, свързаност и електронно управление са отделени в приоритети 8 „Цифрова свързаност“ и 10 „Институционална рамка“.</w:t>
      </w:r>
    </w:p>
    <w:p w14:paraId="5365D3A1" w14:textId="77777777" w:rsidR="00BB4BF2" w:rsidRPr="00496500" w:rsidRDefault="0074753A"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Постигането на по-високи нива на </w:t>
      </w:r>
      <w:r w:rsidR="00860569" w:rsidRPr="00496500">
        <w:rPr>
          <w:rFonts w:ascii="Times New Roman" w:hAnsi="Times New Roman" w:cs="Times New Roman"/>
          <w:sz w:val="24"/>
          <w:szCs w:val="24"/>
        </w:rPr>
        <w:t>цифрово</w:t>
      </w:r>
      <w:r w:rsidRPr="00496500">
        <w:rPr>
          <w:rFonts w:ascii="Times New Roman" w:hAnsi="Times New Roman" w:cs="Times New Roman"/>
          <w:sz w:val="24"/>
          <w:szCs w:val="24"/>
        </w:rPr>
        <w:t xml:space="preserve"> развитие ще допринесе за изпълнението на: </w:t>
      </w:r>
    </w:p>
    <w:p w14:paraId="0474992A" w14:textId="6C5B7694" w:rsidR="00BB4BF2" w:rsidRPr="00496500" w:rsidRDefault="0074753A" w:rsidP="00765780">
      <w:pPr>
        <w:pStyle w:val="ListParagraph"/>
        <w:numPr>
          <w:ilvl w:val="0"/>
          <w:numId w:val="216"/>
        </w:numPr>
        <w:tabs>
          <w:tab w:val="left" w:pos="993"/>
        </w:tabs>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основна цел 1 от НПР </w:t>
      </w:r>
      <w:r w:rsidR="00072547">
        <w:rPr>
          <w:rFonts w:ascii="Times New Roman" w:hAnsi="Times New Roman" w:cs="Times New Roman"/>
          <w:sz w:val="24"/>
          <w:szCs w:val="24"/>
        </w:rPr>
        <w:t>Б</w:t>
      </w:r>
      <w:r w:rsidR="00750E90" w:rsidRPr="00496500">
        <w:rPr>
          <w:rFonts w:ascii="Times New Roman" w:hAnsi="Times New Roman" w:cs="Times New Roman"/>
          <w:sz w:val="24"/>
          <w:szCs w:val="24"/>
        </w:rPr>
        <w:t xml:space="preserve">ългария </w:t>
      </w:r>
      <w:r w:rsidRPr="00496500">
        <w:rPr>
          <w:rFonts w:ascii="Times New Roman" w:hAnsi="Times New Roman" w:cs="Times New Roman"/>
          <w:sz w:val="24"/>
          <w:szCs w:val="24"/>
        </w:rPr>
        <w:t xml:space="preserve">2030, свързана с технологична трансформация на икономиката, повишаване на ресурсната ефективност и наваксване на изоставането в цифровизацията ѝ; </w:t>
      </w:r>
    </w:p>
    <w:p w14:paraId="0824934A" w14:textId="0E5A36B0" w:rsidR="00BB4BF2" w:rsidRPr="00496500" w:rsidRDefault="0074753A" w:rsidP="00765780">
      <w:pPr>
        <w:pStyle w:val="ListParagraph"/>
        <w:numPr>
          <w:ilvl w:val="0"/>
          <w:numId w:val="216"/>
        </w:numPr>
        <w:tabs>
          <w:tab w:val="left" w:pos="993"/>
        </w:tabs>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приоритет 8 </w:t>
      </w:r>
      <w:r w:rsidR="00BB4BF2" w:rsidRPr="00496500">
        <w:rPr>
          <w:rFonts w:ascii="Times New Roman" w:hAnsi="Times New Roman" w:cs="Times New Roman"/>
          <w:sz w:val="24"/>
          <w:szCs w:val="24"/>
        </w:rPr>
        <w:t>„</w:t>
      </w:r>
      <w:r w:rsidRPr="00496500">
        <w:rPr>
          <w:rFonts w:ascii="Times New Roman" w:hAnsi="Times New Roman" w:cs="Times New Roman"/>
          <w:sz w:val="24"/>
          <w:szCs w:val="24"/>
        </w:rPr>
        <w:t>Цифрова свързаност</w:t>
      </w:r>
      <w:r w:rsidR="00BB4BF2" w:rsidRPr="00496500">
        <w:rPr>
          <w:rFonts w:ascii="Times New Roman" w:hAnsi="Times New Roman" w:cs="Times New Roman"/>
          <w:sz w:val="24"/>
          <w:szCs w:val="24"/>
        </w:rPr>
        <w:t>“</w:t>
      </w:r>
      <w:r w:rsidRPr="00496500">
        <w:rPr>
          <w:rFonts w:ascii="Times New Roman" w:hAnsi="Times New Roman" w:cs="Times New Roman"/>
          <w:sz w:val="24"/>
          <w:szCs w:val="24"/>
        </w:rPr>
        <w:t xml:space="preserve">, като елемент от модерна и сигурна цифрова инфраструктура, изграждането на която е основен фокус на политиката до 2030 г., като </w:t>
      </w:r>
      <w:r w:rsidRPr="00496500">
        <w:rPr>
          <w:rFonts w:ascii="Times New Roman" w:hAnsi="Times New Roman" w:cs="Times New Roman"/>
          <w:sz w:val="24"/>
          <w:szCs w:val="24"/>
        </w:rPr>
        <w:lastRenderedPageBreak/>
        <w:t xml:space="preserve">основа за предлагане на повече услуги чрез цифрово управление и сътрудничество, електронни консултации и електронно взимане на решения; </w:t>
      </w:r>
    </w:p>
    <w:p w14:paraId="7E3325BE" w14:textId="48F5E6F9" w:rsidR="00BB4BF2" w:rsidRPr="00496500" w:rsidRDefault="0074753A" w:rsidP="00765780">
      <w:pPr>
        <w:pStyle w:val="ListParagraph"/>
        <w:numPr>
          <w:ilvl w:val="0"/>
          <w:numId w:val="216"/>
        </w:numPr>
        <w:tabs>
          <w:tab w:val="left" w:pos="993"/>
        </w:tabs>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приоритет 3 </w:t>
      </w:r>
      <w:r w:rsidR="00BB4BF2" w:rsidRPr="00496500">
        <w:rPr>
          <w:rFonts w:ascii="Times New Roman" w:hAnsi="Times New Roman" w:cs="Times New Roman"/>
          <w:sz w:val="24"/>
          <w:szCs w:val="24"/>
        </w:rPr>
        <w:t>„</w:t>
      </w:r>
      <w:r w:rsidRPr="00496500">
        <w:rPr>
          <w:rFonts w:ascii="Times New Roman" w:hAnsi="Times New Roman" w:cs="Times New Roman"/>
          <w:sz w:val="24"/>
          <w:szCs w:val="24"/>
        </w:rPr>
        <w:t>Интелигентна индустрия</w:t>
      </w:r>
      <w:r w:rsidR="00BB4BF2" w:rsidRPr="00496500">
        <w:rPr>
          <w:rFonts w:ascii="Times New Roman" w:hAnsi="Times New Roman" w:cs="Times New Roman"/>
          <w:sz w:val="24"/>
          <w:szCs w:val="24"/>
        </w:rPr>
        <w:t>“</w:t>
      </w:r>
      <w:r w:rsidRPr="00496500">
        <w:rPr>
          <w:rFonts w:ascii="Times New Roman" w:hAnsi="Times New Roman" w:cs="Times New Roman"/>
          <w:sz w:val="24"/>
          <w:szCs w:val="24"/>
        </w:rPr>
        <w:t>, целта на който е стимулиране на процеса на цифровизация на реалната икономика</w:t>
      </w:r>
      <w:r w:rsidR="00F11CC7">
        <w:rPr>
          <w:rFonts w:ascii="Times New Roman" w:hAnsi="Times New Roman" w:cs="Times New Roman"/>
          <w:sz w:val="24"/>
          <w:szCs w:val="24"/>
        </w:rPr>
        <w:t>, както и на</w:t>
      </w:r>
      <w:r w:rsidR="00600BA3">
        <w:rPr>
          <w:rFonts w:ascii="Times New Roman" w:hAnsi="Times New Roman" w:cs="Times New Roman"/>
          <w:sz w:val="24"/>
          <w:szCs w:val="24"/>
        </w:rPr>
        <w:t>:</w:t>
      </w:r>
    </w:p>
    <w:p w14:paraId="0B3BDC25" w14:textId="2A89BB8D" w:rsidR="0074753A" w:rsidRPr="00496500" w:rsidRDefault="0074753A" w:rsidP="00765780">
      <w:pPr>
        <w:pStyle w:val="ListParagraph"/>
        <w:numPr>
          <w:ilvl w:val="0"/>
          <w:numId w:val="216"/>
        </w:numPr>
        <w:tabs>
          <w:tab w:val="left" w:pos="993"/>
        </w:tabs>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приоритет 1 </w:t>
      </w:r>
      <w:r w:rsidR="00BB4BF2" w:rsidRPr="00496500">
        <w:rPr>
          <w:rFonts w:ascii="Times New Roman" w:hAnsi="Times New Roman" w:cs="Times New Roman"/>
          <w:sz w:val="24"/>
          <w:szCs w:val="24"/>
        </w:rPr>
        <w:t>„</w:t>
      </w:r>
      <w:r w:rsidRPr="00496500">
        <w:rPr>
          <w:rFonts w:ascii="Times New Roman" w:hAnsi="Times New Roman" w:cs="Times New Roman"/>
          <w:sz w:val="24"/>
          <w:szCs w:val="24"/>
        </w:rPr>
        <w:t>Образование и умения</w:t>
      </w:r>
      <w:r w:rsidR="00BB4BF2" w:rsidRPr="00496500">
        <w:rPr>
          <w:rFonts w:ascii="Times New Roman" w:hAnsi="Times New Roman" w:cs="Times New Roman"/>
          <w:sz w:val="24"/>
          <w:szCs w:val="24"/>
        </w:rPr>
        <w:t>“</w:t>
      </w:r>
      <w:r w:rsidRPr="00496500">
        <w:rPr>
          <w:rFonts w:ascii="Times New Roman" w:hAnsi="Times New Roman" w:cs="Times New Roman"/>
          <w:sz w:val="24"/>
          <w:szCs w:val="24"/>
        </w:rPr>
        <w:t xml:space="preserve"> чрез повишаване квалификацията </w:t>
      </w:r>
      <w:r w:rsidR="006314C8" w:rsidRPr="00496500">
        <w:rPr>
          <w:rFonts w:ascii="Times New Roman" w:hAnsi="Times New Roman" w:cs="Times New Roman"/>
          <w:sz w:val="24"/>
          <w:szCs w:val="24"/>
        </w:rPr>
        <w:t xml:space="preserve">в </w:t>
      </w:r>
      <w:r w:rsidRPr="00496500">
        <w:rPr>
          <w:rFonts w:ascii="Times New Roman" w:hAnsi="Times New Roman" w:cs="Times New Roman"/>
          <w:sz w:val="24"/>
          <w:szCs w:val="24"/>
        </w:rPr>
        <w:t>частния и публичния сектор.</w:t>
      </w:r>
    </w:p>
    <w:p w14:paraId="12791D22" w14:textId="564D019F" w:rsidR="005D3B8D" w:rsidRPr="004626F0" w:rsidRDefault="005D3B8D"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В </w:t>
      </w:r>
      <w:hyperlink r:id="rId10" w:history="1">
        <w:r w:rsidRPr="00496500">
          <w:rPr>
            <w:rStyle w:val="Hyperlink"/>
            <w:rFonts w:ascii="Times New Roman" w:hAnsi="Times New Roman" w:cs="Times New Roman"/>
            <w:sz w:val="24"/>
            <w:szCs w:val="24"/>
          </w:rPr>
          <w:t>Програмата за управление на Република България за периода 2025 – 2029 г.</w:t>
        </w:r>
      </w:hyperlink>
      <w:r w:rsidRPr="00496500">
        <w:rPr>
          <w:rFonts w:ascii="Times New Roman" w:hAnsi="Times New Roman" w:cs="Times New Roman"/>
          <w:sz w:val="24"/>
          <w:szCs w:val="24"/>
        </w:rPr>
        <w:t xml:space="preserve">, която изразява политическата визия и воля за развитие на страната през периода, </w:t>
      </w:r>
      <w:r w:rsidR="00860569" w:rsidRPr="00496500">
        <w:rPr>
          <w:rFonts w:ascii="Times New Roman" w:hAnsi="Times New Roman" w:cs="Times New Roman"/>
          <w:sz w:val="24"/>
          <w:szCs w:val="24"/>
        </w:rPr>
        <w:t>цифровата</w:t>
      </w:r>
      <w:r w:rsidRPr="00496500">
        <w:rPr>
          <w:rFonts w:ascii="Times New Roman" w:hAnsi="Times New Roman" w:cs="Times New Roman"/>
          <w:sz w:val="24"/>
          <w:szCs w:val="24"/>
        </w:rPr>
        <w:t xml:space="preserve"> трансформация на публичния сектор е изведена </w:t>
      </w:r>
      <w:r w:rsidR="00B5488E" w:rsidRPr="00496500">
        <w:rPr>
          <w:rFonts w:ascii="Times New Roman" w:hAnsi="Times New Roman" w:cs="Times New Roman"/>
          <w:sz w:val="24"/>
          <w:szCs w:val="24"/>
        </w:rPr>
        <w:t xml:space="preserve">хоризонтално </w:t>
      </w:r>
      <w:r w:rsidRPr="00496500">
        <w:rPr>
          <w:rFonts w:ascii="Times New Roman" w:hAnsi="Times New Roman" w:cs="Times New Roman"/>
          <w:sz w:val="24"/>
          <w:szCs w:val="24"/>
        </w:rPr>
        <w:t xml:space="preserve">като стратегическа цел за постигане, която ще осигури намаляването на административната тежест, повишаване на оперативната ефективност, ускорено предоставяне на цифрови услуги и подобряване на киберсигурността. Приоритетът „Електронно управление“ предвижда внедряване на интегрирани информационни системи, </w:t>
      </w:r>
      <w:r w:rsidR="008672B2" w:rsidRPr="00496500">
        <w:rPr>
          <w:rFonts w:ascii="Times New Roman" w:hAnsi="Times New Roman" w:cs="Times New Roman"/>
          <w:sz w:val="24"/>
          <w:szCs w:val="24"/>
        </w:rPr>
        <w:t>цифровизация</w:t>
      </w:r>
      <w:r w:rsidRPr="00496500">
        <w:rPr>
          <w:rFonts w:ascii="Times New Roman" w:hAnsi="Times New Roman" w:cs="Times New Roman"/>
          <w:sz w:val="24"/>
          <w:szCs w:val="24"/>
        </w:rPr>
        <w:t xml:space="preserve"> на административните процеси и изграждане на цифрова инфраструктура в публичния сектор. Същевременно, цифровата трансформация, като ангажираща реформа по изпълнението на Националния план за възстановяване и устойчивост</w:t>
      </w:r>
      <w:r w:rsidR="00B5488E" w:rsidRPr="00496500">
        <w:rPr>
          <w:rFonts w:ascii="Times New Roman" w:hAnsi="Times New Roman" w:cs="Times New Roman"/>
          <w:sz w:val="24"/>
          <w:szCs w:val="24"/>
        </w:rPr>
        <w:t xml:space="preserve"> (НПВУ)</w:t>
      </w:r>
      <w:r w:rsidRPr="00496500">
        <w:rPr>
          <w:rFonts w:ascii="Times New Roman" w:hAnsi="Times New Roman" w:cs="Times New Roman"/>
          <w:sz w:val="24"/>
          <w:szCs w:val="24"/>
        </w:rPr>
        <w:t>, е приоритетно залегнала в политиките за регионално развитие, правосъдие, транспорт, финанси, здравеопазване, земеделие, иновации и растеж, енергетика, младежта и спорта</w:t>
      </w:r>
      <w:r w:rsidR="009E79AA" w:rsidRPr="00496500">
        <w:rPr>
          <w:rFonts w:ascii="Times New Roman" w:hAnsi="Times New Roman" w:cs="Times New Roman"/>
          <w:sz w:val="24"/>
          <w:szCs w:val="24"/>
        </w:rPr>
        <w:t>. Това</w:t>
      </w:r>
      <w:r w:rsidRPr="00496500">
        <w:rPr>
          <w:rFonts w:ascii="Times New Roman" w:hAnsi="Times New Roman" w:cs="Times New Roman"/>
          <w:sz w:val="24"/>
          <w:szCs w:val="24"/>
        </w:rPr>
        <w:t xml:space="preserve"> </w:t>
      </w:r>
      <w:r w:rsidR="009E79AA" w:rsidRPr="00496500">
        <w:rPr>
          <w:rFonts w:ascii="Times New Roman" w:hAnsi="Times New Roman" w:cs="Times New Roman"/>
          <w:sz w:val="24"/>
          <w:szCs w:val="24"/>
        </w:rPr>
        <w:t>затвърждава</w:t>
      </w:r>
      <w:r w:rsidRPr="00496500">
        <w:rPr>
          <w:rFonts w:ascii="Times New Roman" w:hAnsi="Times New Roman" w:cs="Times New Roman"/>
          <w:sz w:val="24"/>
          <w:szCs w:val="24"/>
        </w:rPr>
        <w:t xml:space="preserve"> основополагаща роля</w:t>
      </w:r>
      <w:r w:rsidR="009E79AA" w:rsidRPr="00496500">
        <w:rPr>
          <w:rFonts w:ascii="Times New Roman" w:hAnsi="Times New Roman" w:cs="Times New Roman"/>
          <w:sz w:val="24"/>
          <w:szCs w:val="24"/>
        </w:rPr>
        <w:t xml:space="preserve"> на </w:t>
      </w:r>
      <w:r w:rsidR="009E79AA" w:rsidRPr="004626F0">
        <w:rPr>
          <w:rFonts w:ascii="Times New Roman" w:hAnsi="Times New Roman" w:cs="Times New Roman"/>
          <w:sz w:val="24"/>
          <w:szCs w:val="24"/>
        </w:rPr>
        <w:t>цифровия преход</w:t>
      </w:r>
      <w:r w:rsidRPr="004626F0">
        <w:rPr>
          <w:rFonts w:ascii="Times New Roman" w:hAnsi="Times New Roman" w:cs="Times New Roman"/>
          <w:sz w:val="24"/>
          <w:szCs w:val="24"/>
        </w:rPr>
        <w:t xml:space="preserve"> за създаване на добра и устойчива бизнес среда, успешно позициониране на страната в международен план и на световните пазари, постигане на ефективен социален диалог и териториално социално-икономическо развитие.</w:t>
      </w:r>
    </w:p>
    <w:p w14:paraId="4B5F62D7" w14:textId="75F01E65" w:rsidR="0016182E" w:rsidRPr="00496500" w:rsidRDefault="0016182E" w:rsidP="003B412E">
      <w:pPr>
        <w:pStyle w:val="ListParagraph"/>
        <w:spacing w:after="120" w:line="240" w:lineRule="auto"/>
        <w:ind w:left="0" w:firstLine="720"/>
        <w:contextualSpacing w:val="0"/>
        <w:jc w:val="both"/>
        <w:rPr>
          <w:rFonts w:ascii="Times New Roman" w:hAnsi="Times New Roman" w:cs="Times New Roman"/>
          <w:sz w:val="24"/>
          <w:szCs w:val="24"/>
        </w:rPr>
      </w:pPr>
      <w:r w:rsidRPr="004626F0">
        <w:rPr>
          <w:rFonts w:ascii="Times New Roman" w:hAnsi="Times New Roman" w:cs="Times New Roman"/>
          <w:sz w:val="24"/>
          <w:szCs w:val="24"/>
        </w:rPr>
        <w:t>За постигане на общностните цели на цифровото десетилетие, заложени в Европейската политическа програма „Цифрово десетилетие“ до 2030 г.</w:t>
      </w:r>
      <w:r w:rsidRPr="004626F0">
        <w:rPr>
          <w:rFonts w:ascii="Times New Roman" w:hAnsi="Times New Roman" w:cs="Times New Roman"/>
          <w:sz w:val="24"/>
          <w:szCs w:val="24"/>
          <w:vertAlign w:val="superscript"/>
        </w:rPr>
        <w:footnoteReference w:id="3"/>
      </w:r>
      <w:r w:rsidRPr="004626F0">
        <w:rPr>
          <w:rFonts w:ascii="Times New Roman" w:hAnsi="Times New Roman" w:cs="Times New Roman"/>
          <w:sz w:val="24"/>
          <w:szCs w:val="24"/>
        </w:rPr>
        <w:t>, се изготви Национална пътна карта за цифрова трансформация, като същата е приложение към актуализирания стратегически документ „Цифрова трансформация на България за периода 2024</w:t>
      </w:r>
      <w:r w:rsidR="00CE580E">
        <w:rPr>
          <w:rFonts w:ascii="Times New Roman" w:hAnsi="Times New Roman" w:cs="Times New Roman"/>
          <w:sz w:val="24"/>
          <w:szCs w:val="24"/>
        </w:rPr>
        <w:sym w:font="Symbol" w:char="F02D"/>
      </w:r>
      <w:r w:rsidRPr="004626F0">
        <w:rPr>
          <w:rFonts w:ascii="Times New Roman" w:hAnsi="Times New Roman" w:cs="Times New Roman"/>
          <w:sz w:val="24"/>
          <w:szCs w:val="24"/>
        </w:rPr>
        <w:t>2030 г.“, приет през април 2024 г.</w:t>
      </w:r>
      <w:r w:rsidR="00957BF4" w:rsidRPr="004626F0">
        <w:rPr>
          <w:rFonts w:ascii="Times New Roman" w:hAnsi="Times New Roman" w:cs="Times New Roman"/>
          <w:sz w:val="24"/>
          <w:szCs w:val="24"/>
        </w:rPr>
        <w:t xml:space="preserve"> Документът отразява стратегическата визия на страната ни за цифровата трансформация, определя националните</w:t>
      </w:r>
      <w:r w:rsidR="00996DCC" w:rsidRPr="004626F0">
        <w:rPr>
          <w:rFonts w:ascii="Times New Roman" w:hAnsi="Times New Roman" w:cs="Times New Roman"/>
          <w:sz w:val="24"/>
          <w:szCs w:val="24"/>
        </w:rPr>
        <w:t xml:space="preserve"> цифрови</w:t>
      </w:r>
      <w:r w:rsidR="00957BF4" w:rsidRPr="00496500">
        <w:rPr>
          <w:rFonts w:ascii="Times New Roman" w:hAnsi="Times New Roman" w:cs="Times New Roman"/>
          <w:sz w:val="24"/>
          <w:szCs w:val="24"/>
        </w:rPr>
        <w:t xml:space="preserve"> цели в съответствие с европейските и </w:t>
      </w:r>
      <w:r w:rsidR="00960FB1" w:rsidRPr="00496500">
        <w:rPr>
          <w:rFonts w:ascii="Times New Roman" w:hAnsi="Times New Roman" w:cs="Times New Roman"/>
          <w:sz w:val="24"/>
          <w:szCs w:val="24"/>
        </w:rPr>
        <w:t xml:space="preserve">очертава </w:t>
      </w:r>
      <w:r w:rsidR="00960FB1" w:rsidRPr="00765780">
        <w:rPr>
          <w:rFonts w:ascii="Times New Roman" w:hAnsi="Times New Roman" w:cs="Times New Roman"/>
          <w:sz w:val="24"/>
          <w:szCs w:val="24"/>
        </w:rPr>
        <w:t xml:space="preserve">националните прогнозни траектории </w:t>
      </w:r>
      <w:r w:rsidR="00960FB1" w:rsidRPr="00496500">
        <w:rPr>
          <w:rFonts w:ascii="Times New Roman" w:hAnsi="Times New Roman" w:cs="Times New Roman"/>
          <w:sz w:val="24"/>
          <w:szCs w:val="24"/>
        </w:rPr>
        <w:t xml:space="preserve">за проследяване на напредъка по цифрова трансформация </w:t>
      </w:r>
      <w:r w:rsidR="00960FB1" w:rsidRPr="00765780">
        <w:rPr>
          <w:rFonts w:ascii="Times New Roman" w:hAnsi="Times New Roman" w:cs="Times New Roman"/>
          <w:sz w:val="24"/>
          <w:szCs w:val="24"/>
        </w:rPr>
        <w:t xml:space="preserve">на България </w:t>
      </w:r>
      <w:r w:rsidR="00957BF4" w:rsidRPr="00496500">
        <w:rPr>
          <w:rFonts w:ascii="Times New Roman" w:hAnsi="Times New Roman" w:cs="Times New Roman"/>
          <w:sz w:val="24"/>
          <w:szCs w:val="24"/>
        </w:rPr>
        <w:t>за периода до 2030 година.</w:t>
      </w:r>
      <w:r w:rsidR="00960FB1" w:rsidRPr="00496500">
        <w:rPr>
          <w:rFonts w:ascii="Times New Roman" w:hAnsi="Times New Roman" w:cs="Times New Roman"/>
          <w:sz w:val="24"/>
          <w:szCs w:val="24"/>
        </w:rPr>
        <w:t xml:space="preserve"> Траекториите се основават на </w:t>
      </w:r>
      <w:r w:rsidR="00960FB1" w:rsidRPr="00765780">
        <w:rPr>
          <w:rFonts w:ascii="Times New Roman" w:hAnsi="Times New Roman" w:cs="Times New Roman"/>
          <w:sz w:val="24"/>
          <w:szCs w:val="24"/>
        </w:rPr>
        <w:t>основните планирани, приети и прилагани политики, мерки и действия</w:t>
      </w:r>
      <w:r w:rsidR="00960FB1" w:rsidRPr="00496500">
        <w:rPr>
          <w:rFonts w:ascii="Times New Roman" w:hAnsi="Times New Roman" w:cs="Times New Roman"/>
          <w:sz w:val="24"/>
          <w:szCs w:val="24"/>
        </w:rPr>
        <w:t xml:space="preserve">, срокове, необходимо финансиране и източници на финансиране, </w:t>
      </w:r>
      <w:r w:rsidR="00960FB1" w:rsidRPr="00765780">
        <w:rPr>
          <w:rFonts w:ascii="Times New Roman" w:hAnsi="Times New Roman" w:cs="Times New Roman"/>
          <w:sz w:val="24"/>
          <w:szCs w:val="24"/>
        </w:rPr>
        <w:t xml:space="preserve">които допринасят за постигането на общите </w:t>
      </w:r>
      <w:r w:rsidR="00960FB1" w:rsidRPr="00496500">
        <w:rPr>
          <w:rFonts w:ascii="Times New Roman" w:hAnsi="Times New Roman" w:cs="Times New Roman"/>
          <w:sz w:val="24"/>
          <w:szCs w:val="24"/>
        </w:rPr>
        <w:t>европейски и на националните</w:t>
      </w:r>
      <w:r w:rsidR="00960FB1" w:rsidRPr="00765780">
        <w:rPr>
          <w:rFonts w:ascii="Times New Roman" w:hAnsi="Times New Roman" w:cs="Times New Roman"/>
          <w:sz w:val="24"/>
          <w:szCs w:val="24"/>
        </w:rPr>
        <w:t xml:space="preserve"> цифровите цели.</w:t>
      </w:r>
    </w:p>
    <w:p w14:paraId="255FA281" w14:textId="77777777" w:rsidR="00C96CAE" w:rsidRPr="00496500" w:rsidRDefault="00C96CAE" w:rsidP="003B412E">
      <w:pPr>
        <w:pStyle w:val="ListParagraph"/>
        <w:spacing w:after="120" w:line="240" w:lineRule="auto"/>
        <w:ind w:left="0" w:firstLine="709"/>
        <w:contextualSpacing w:val="0"/>
        <w:jc w:val="both"/>
        <w:rPr>
          <w:rFonts w:ascii="Times New Roman" w:hAnsi="Times New Roman" w:cs="Times New Roman"/>
          <w:bCs/>
          <w:sz w:val="24"/>
          <w:szCs w:val="24"/>
        </w:rPr>
      </w:pPr>
      <w:r w:rsidRPr="00496500">
        <w:rPr>
          <w:rFonts w:ascii="Times New Roman" w:hAnsi="Times New Roman" w:cs="Times New Roman"/>
          <w:sz w:val="24"/>
          <w:szCs w:val="24"/>
        </w:rPr>
        <w:t>Настоящият аналитичен доклад описва текущото състояние на цифровата трансформация в Република България към 30.06.2025 г.</w:t>
      </w:r>
      <w:r w:rsidR="00A2474E" w:rsidRPr="00496500">
        <w:rPr>
          <w:rFonts w:ascii="Times New Roman" w:hAnsi="Times New Roman" w:cs="Times New Roman"/>
          <w:sz w:val="24"/>
          <w:szCs w:val="24"/>
        </w:rPr>
        <w:t xml:space="preserve"> и предпоставките за нейното случване,</w:t>
      </w:r>
      <w:r w:rsidRPr="00496500">
        <w:rPr>
          <w:rFonts w:ascii="Times New Roman" w:hAnsi="Times New Roman" w:cs="Times New Roman"/>
          <w:sz w:val="24"/>
          <w:szCs w:val="24"/>
        </w:rPr>
        <w:t xml:space="preserve"> като оценява напредъка, предизвикателствата и потенциални възможности в ключови направления, в съответствие с европейската политическа програма „Цифрово десетилетие“ до 2030 г., стратегическите приоритети и цели на страната и </w:t>
      </w:r>
      <w:r w:rsidRPr="00496500">
        <w:rPr>
          <w:rFonts w:ascii="Times New Roman" w:hAnsi="Times New Roman" w:cs="Times New Roman"/>
          <w:bCs/>
          <w:sz w:val="24"/>
          <w:szCs w:val="24"/>
        </w:rPr>
        <w:t xml:space="preserve">цифровите принципи и права, установени с </w:t>
      </w:r>
      <w:hyperlink r:id="rId11" w:history="1">
        <w:r w:rsidRPr="00496500">
          <w:rPr>
            <w:rStyle w:val="Hyperlink"/>
            <w:rFonts w:ascii="Times New Roman" w:hAnsi="Times New Roman" w:cs="Times New Roman"/>
            <w:bCs/>
            <w:sz w:val="24"/>
            <w:szCs w:val="24"/>
          </w:rPr>
          <w:t>европейската декларация относно цифровите права и принципи за цифровото десетилетие</w:t>
        </w:r>
      </w:hyperlink>
      <w:r w:rsidRPr="00496500">
        <w:rPr>
          <w:rFonts w:ascii="Times New Roman" w:hAnsi="Times New Roman" w:cs="Times New Roman"/>
          <w:bCs/>
          <w:sz w:val="24"/>
          <w:szCs w:val="24"/>
        </w:rPr>
        <w:t xml:space="preserve">. Разгледани са значимите фактори (политически, икономически, </w:t>
      </w:r>
      <w:r w:rsidR="00CC2C02" w:rsidRPr="00496500">
        <w:rPr>
          <w:rFonts w:ascii="Times New Roman" w:hAnsi="Times New Roman" w:cs="Times New Roman"/>
          <w:bCs/>
          <w:sz w:val="24"/>
          <w:szCs w:val="24"/>
        </w:rPr>
        <w:t>социални, технологични, правн</w:t>
      </w:r>
      <w:r w:rsidRPr="00496500">
        <w:rPr>
          <w:rFonts w:ascii="Times New Roman" w:hAnsi="Times New Roman" w:cs="Times New Roman"/>
          <w:bCs/>
          <w:sz w:val="24"/>
          <w:szCs w:val="24"/>
        </w:rPr>
        <w:t xml:space="preserve">и), които се отразяват върху развитието на цифровата среда. </w:t>
      </w:r>
    </w:p>
    <w:p w14:paraId="60EA04E1" w14:textId="17CB01B4" w:rsidR="00C96CAE" w:rsidRPr="00496500" w:rsidRDefault="00C96CAE" w:rsidP="003B412E">
      <w:pPr>
        <w:pStyle w:val="ListParagraph"/>
        <w:spacing w:after="120" w:line="240" w:lineRule="auto"/>
        <w:ind w:left="0" w:firstLine="709"/>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Aнализът е изготвен в рамките на работна група, създадена със Заповед №МЕУ-7472/22.05.2025 г. за изготвяне на анализ на състоянието на цифровата трансформация в Република България към 30.06.2025 г. и се основава на национални, европейски и други международни стратегически документи и доклади за развитието на електронното управление и </w:t>
      </w:r>
      <w:r w:rsidR="008672B2" w:rsidRPr="00496500">
        <w:rPr>
          <w:rFonts w:ascii="Times New Roman" w:hAnsi="Times New Roman" w:cs="Times New Roman"/>
          <w:sz w:val="24"/>
          <w:szCs w:val="24"/>
        </w:rPr>
        <w:t>цифровата</w:t>
      </w:r>
      <w:r w:rsidRPr="00496500">
        <w:rPr>
          <w:rFonts w:ascii="Times New Roman" w:hAnsi="Times New Roman" w:cs="Times New Roman"/>
          <w:sz w:val="24"/>
          <w:szCs w:val="24"/>
        </w:rPr>
        <w:t xml:space="preserve"> трансформация, на данни от Националния статистически институт </w:t>
      </w:r>
      <w:r w:rsidR="00B5488E" w:rsidRPr="00496500">
        <w:rPr>
          <w:rFonts w:ascii="Times New Roman" w:hAnsi="Times New Roman" w:cs="Times New Roman"/>
          <w:sz w:val="24"/>
          <w:szCs w:val="24"/>
        </w:rPr>
        <w:lastRenderedPageBreak/>
        <w:t xml:space="preserve">(НСИ) </w:t>
      </w:r>
      <w:r w:rsidRPr="00496500">
        <w:rPr>
          <w:rFonts w:ascii="Times New Roman" w:hAnsi="Times New Roman" w:cs="Times New Roman"/>
          <w:sz w:val="24"/>
          <w:szCs w:val="24"/>
        </w:rPr>
        <w:t>и Евростат и на информация, събрана чрез проучване на официални международни и национални портали и електронни страници.</w:t>
      </w:r>
      <w:r w:rsidR="008F6E04" w:rsidRPr="00496500">
        <w:rPr>
          <w:rFonts w:ascii="Times New Roman" w:hAnsi="Times New Roman" w:cs="Times New Roman"/>
          <w:sz w:val="24"/>
          <w:szCs w:val="24"/>
        </w:rPr>
        <w:t xml:space="preserve"> </w:t>
      </w:r>
      <w:r w:rsidR="00B5488E" w:rsidRPr="00496500">
        <w:rPr>
          <w:rFonts w:ascii="Times New Roman" w:hAnsi="Times New Roman" w:cs="Times New Roman"/>
          <w:sz w:val="24"/>
          <w:szCs w:val="24"/>
        </w:rPr>
        <w:t>Д</w:t>
      </w:r>
      <w:r w:rsidR="008F6E04" w:rsidRPr="00496500">
        <w:rPr>
          <w:rFonts w:ascii="Times New Roman" w:hAnsi="Times New Roman" w:cs="Times New Roman"/>
          <w:sz w:val="24"/>
          <w:szCs w:val="24"/>
        </w:rPr>
        <w:t>оклад</w:t>
      </w:r>
      <w:r w:rsidR="00B5488E" w:rsidRPr="00496500">
        <w:rPr>
          <w:rFonts w:ascii="Times New Roman" w:hAnsi="Times New Roman" w:cs="Times New Roman"/>
          <w:sz w:val="24"/>
          <w:szCs w:val="24"/>
        </w:rPr>
        <w:t>ът</w:t>
      </w:r>
      <w:r w:rsidR="008F6E04" w:rsidRPr="00496500">
        <w:rPr>
          <w:rFonts w:ascii="Times New Roman" w:hAnsi="Times New Roman" w:cs="Times New Roman"/>
          <w:sz w:val="24"/>
          <w:szCs w:val="24"/>
        </w:rPr>
        <w:t xml:space="preserve"> завършва със систематизиран преглед на силните и слабите страни, възможностите и з</w:t>
      </w:r>
      <w:r w:rsidR="008672B2" w:rsidRPr="00496500">
        <w:rPr>
          <w:rFonts w:ascii="Times New Roman" w:hAnsi="Times New Roman" w:cs="Times New Roman"/>
          <w:sz w:val="24"/>
          <w:szCs w:val="24"/>
        </w:rPr>
        <w:t>аплахите за осъществяването на цифровата</w:t>
      </w:r>
      <w:r w:rsidR="008F6E04" w:rsidRPr="00496500">
        <w:rPr>
          <w:rFonts w:ascii="Times New Roman" w:hAnsi="Times New Roman" w:cs="Times New Roman"/>
          <w:sz w:val="24"/>
          <w:szCs w:val="24"/>
        </w:rPr>
        <w:t xml:space="preserve"> трансформация в Република България.</w:t>
      </w:r>
    </w:p>
    <w:p w14:paraId="0CCA19A9" w14:textId="77777777" w:rsidR="00347393" w:rsidRPr="00496500" w:rsidRDefault="00347393" w:rsidP="003B412E">
      <w:pPr>
        <w:pStyle w:val="ListParagraph"/>
        <w:spacing w:after="120" w:line="240" w:lineRule="auto"/>
        <w:ind w:left="0" w:firstLine="720"/>
        <w:contextualSpacing w:val="0"/>
        <w:jc w:val="both"/>
        <w:rPr>
          <w:rFonts w:ascii="Times New Roman" w:hAnsi="Times New Roman" w:cs="Times New Roman"/>
          <w:sz w:val="24"/>
          <w:szCs w:val="24"/>
        </w:rPr>
      </w:pPr>
    </w:p>
    <w:p w14:paraId="40472DC7" w14:textId="77777777" w:rsidR="0080488F" w:rsidRPr="00496500" w:rsidRDefault="0080488F" w:rsidP="003B412E">
      <w:pPr>
        <w:pStyle w:val="ListParagraph"/>
        <w:numPr>
          <w:ilvl w:val="0"/>
          <w:numId w:val="10"/>
        </w:numPr>
        <w:spacing w:after="120" w:line="240" w:lineRule="auto"/>
        <w:contextualSpacing w:val="0"/>
        <w:outlineLvl w:val="0"/>
        <w:rPr>
          <w:rFonts w:ascii="Times New Roman" w:hAnsi="Times New Roman" w:cs="Times New Roman"/>
          <w:b/>
          <w:color w:val="2E74B5" w:themeColor="accent1" w:themeShade="BF"/>
          <w:sz w:val="28"/>
          <w:szCs w:val="28"/>
        </w:rPr>
      </w:pPr>
      <w:bookmarkStart w:id="2" w:name="_Toc209084884"/>
      <w:r w:rsidRPr="00496500">
        <w:rPr>
          <w:rFonts w:ascii="Times New Roman" w:hAnsi="Times New Roman" w:cs="Times New Roman"/>
          <w:b/>
          <w:color w:val="2E74B5" w:themeColor="accent1" w:themeShade="BF"/>
          <w:sz w:val="28"/>
          <w:szCs w:val="28"/>
        </w:rPr>
        <w:t>Оценка на социално-икономически фактори, свързани с търсенето и предлагането на цифрови услуги</w:t>
      </w:r>
      <w:bookmarkEnd w:id="2"/>
    </w:p>
    <w:p w14:paraId="48FA41D6" w14:textId="177DDA10" w:rsidR="00496500" w:rsidRDefault="00466FB3" w:rsidP="003B412E">
      <w:pPr>
        <w:spacing w:after="120" w:line="240" w:lineRule="auto"/>
        <w:ind w:firstLine="709"/>
        <w:jc w:val="both"/>
        <w:rPr>
          <w:rFonts w:ascii="Times New Roman" w:hAnsi="Times New Roman" w:cs="Times New Roman"/>
          <w:sz w:val="24"/>
          <w:szCs w:val="24"/>
        </w:rPr>
      </w:pPr>
      <w:r w:rsidRPr="00496500">
        <w:rPr>
          <w:rFonts w:ascii="Times New Roman" w:hAnsi="Times New Roman" w:cs="Times New Roman"/>
          <w:sz w:val="24"/>
          <w:szCs w:val="24"/>
        </w:rPr>
        <w:t>Цифровата трансф</w:t>
      </w:r>
      <w:r w:rsidR="001977F8">
        <w:rPr>
          <w:rFonts w:ascii="Times New Roman" w:hAnsi="Times New Roman" w:cs="Times New Roman"/>
          <w:sz w:val="24"/>
          <w:szCs w:val="24"/>
        </w:rPr>
        <w:t>о</w:t>
      </w:r>
      <w:r w:rsidRPr="00496500">
        <w:rPr>
          <w:rFonts w:ascii="Times New Roman" w:hAnsi="Times New Roman" w:cs="Times New Roman"/>
          <w:sz w:val="24"/>
          <w:szCs w:val="24"/>
        </w:rPr>
        <w:t>рм</w:t>
      </w:r>
      <w:r w:rsidR="001977F8">
        <w:rPr>
          <w:rFonts w:ascii="Times New Roman" w:hAnsi="Times New Roman" w:cs="Times New Roman"/>
          <w:sz w:val="24"/>
          <w:szCs w:val="24"/>
        </w:rPr>
        <w:t>а</w:t>
      </w:r>
      <w:r w:rsidRPr="00496500">
        <w:rPr>
          <w:rFonts w:ascii="Times New Roman" w:hAnsi="Times New Roman" w:cs="Times New Roman"/>
          <w:sz w:val="24"/>
          <w:szCs w:val="24"/>
        </w:rPr>
        <w:t>ция</w:t>
      </w:r>
      <w:r w:rsidR="004E13E4">
        <w:rPr>
          <w:rFonts w:ascii="Times New Roman" w:hAnsi="Times New Roman" w:cs="Times New Roman"/>
          <w:sz w:val="24"/>
          <w:szCs w:val="24"/>
        </w:rPr>
        <w:t xml:space="preserve"> (цифровизация, цифров преход)</w:t>
      </w:r>
      <w:r w:rsidRPr="00496500">
        <w:rPr>
          <w:rFonts w:ascii="Times New Roman" w:hAnsi="Times New Roman" w:cs="Times New Roman"/>
          <w:sz w:val="24"/>
          <w:szCs w:val="24"/>
        </w:rPr>
        <w:t xml:space="preserve"> представялва процес, който е в основата на развитието и радикалната промяна на държавите политики</w:t>
      </w:r>
      <w:r w:rsidR="00496500">
        <w:rPr>
          <w:rFonts w:ascii="Times New Roman" w:hAnsi="Times New Roman" w:cs="Times New Roman"/>
          <w:sz w:val="24"/>
          <w:szCs w:val="24"/>
        </w:rPr>
        <w:t xml:space="preserve"> и тяхното управление и осъществяване; на</w:t>
      </w:r>
      <w:r w:rsidRPr="00496500">
        <w:rPr>
          <w:rFonts w:ascii="Times New Roman" w:hAnsi="Times New Roman" w:cs="Times New Roman"/>
          <w:sz w:val="24"/>
          <w:szCs w:val="24"/>
        </w:rPr>
        <w:t xml:space="preserve"> </w:t>
      </w:r>
      <w:r w:rsidR="00496500">
        <w:rPr>
          <w:rFonts w:ascii="Times New Roman" w:hAnsi="Times New Roman" w:cs="Times New Roman"/>
          <w:sz w:val="24"/>
          <w:szCs w:val="24"/>
        </w:rPr>
        <w:t xml:space="preserve">публичния и частния сектор и бизнес процесите, които се реализират в тях; на </w:t>
      </w:r>
      <w:r w:rsidRPr="00496500">
        <w:rPr>
          <w:rFonts w:ascii="Times New Roman" w:hAnsi="Times New Roman" w:cs="Times New Roman"/>
          <w:sz w:val="24"/>
          <w:szCs w:val="24"/>
        </w:rPr>
        <w:t>социално-ико</w:t>
      </w:r>
      <w:r w:rsidR="00531ED9" w:rsidRPr="00496500">
        <w:rPr>
          <w:rFonts w:ascii="Times New Roman" w:hAnsi="Times New Roman" w:cs="Times New Roman"/>
          <w:sz w:val="24"/>
          <w:szCs w:val="24"/>
        </w:rPr>
        <w:t>н</w:t>
      </w:r>
      <w:r w:rsidRPr="00496500">
        <w:rPr>
          <w:rFonts w:ascii="Times New Roman" w:hAnsi="Times New Roman" w:cs="Times New Roman"/>
          <w:sz w:val="24"/>
          <w:szCs w:val="24"/>
        </w:rPr>
        <w:t>омическия живот</w:t>
      </w:r>
      <w:r w:rsidR="00496500">
        <w:rPr>
          <w:rFonts w:ascii="Times New Roman" w:hAnsi="Times New Roman" w:cs="Times New Roman"/>
          <w:sz w:val="24"/>
          <w:szCs w:val="24"/>
        </w:rPr>
        <w:t xml:space="preserve"> и повишаването на неговото качество за гражданите. Този процес обхваща три стълба: електрон</w:t>
      </w:r>
      <w:r w:rsidR="001977F8">
        <w:rPr>
          <w:rFonts w:ascii="Times New Roman" w:hAnsi="Times New Roman" w:cs="Times New Roman"/>
          <w:sz w:val="24"/>
          <w:szCs w:val="24"/>
        </w:rPr>
        <w:t>н</w:t>
      </w:r>
      <w:r w:rsidR="00496500">
        <w:rPr>
          <w:rFonts w:ascii="Times New Roman" w:hAnsi="Times New Roman" w:cs="Times New Roman"/>
          <w:sz w:val="24"/>
          <w:szCs w:val="24"/>
        </w:rPr>
        <w:t>о управле</w:t>
      </w:r>
      <w:r w:rsidR="001977F8">
        <w:rPr>
          <w:rFonts w:ascii="Times New Roman" w:hAnsi="Times New Roman" w:cs="Times New Roman"/>
          <w:sz w:val="24"/>
          <w:szCs w:val="24"/>
        </w:rPr>
        <w:t>н</w:t>
      </w:r>
      <w:r w:rsidR="00496500">
        <w:rPr>
          <w:rFonts w:ascii="Times New Roman" w:hAnsi="Times New Roman" w:cs="Times New Roman"/>
          <w:sz w:val="24"/>
          <w:szCs w:val="24"/>
        </w:rPr>
        <w:t xml:space="preserve">ие, информационни технологии и информационно общество. </w:t>
      </w:r>
    </w:p>
    <w:p w14:paraId="417FF320" w14:textId="0BE5079E" w:rsidR="00466FB3" w:rsidRPr="00496500" w:rsidRDefault="00496500" w:rsidP="00496500">
      <w:pPr>
        <w:spacing w:after="120" w:line="240" w:lineRule="auto"/>
        <w:ind w:firstLine="709"/>
        <w:jc w:val="both"/>
        <w:rPr>
          <w:rFonts w:ascii="Times New Roman" w:hAnsi="Times New Roman" w:cs="Times New Roman"/>
          <w:sz w:val="24"/>
          <w:szCs w:val="24"/>
        </w:rPr>
      </w:pPr>
      <w:r w:rsidRPr="00765780">
        <w:rPr>
          <w:rFonts w:ascii="Times New Roman" w:hAnsi="Times New Roman" w:cs="Times New Roman"/>
          <w:sz w:val="24"/>
          <w:szCs w:val="24"/>
        </w:rPr>
        <w:t>Електронното управление е реализиране от административните органи, органите на съдебната власт, лицата, осъществяващи публични функции, и организациите, предоставящи обществени услуги, на правните взаимовръзки, административни процеси и услуги и на взаимодействието с потребителите чрез използване на информационни и комуникационни технологии, осигуряващи по–високо ниво на ефективност на управлението.</w:t>
      </w:r>
      <w:r w:rsidR="00481CBA">
        <w:rPr>
          <w:rFonts w:ascii="Times New Roman" w:hAnsi="Times New Roman" w:cs="Times New Roman"/>
          <w:sz w:val="24"/>
          <w:szCs w:val="24"/>
        </w:rPr>
        <w:t xml:space="preserve"> </w:t>
      </w:r>
      <w:r w:rsidRPr="00765780">
        <w:rPr>
          <w:rFonts w:ascii="Times New Roman" w:hAnsi="Times New Roman" w:cs="Times New Roman"/>
          <w:sz w:val="24"/>
          <w:szCs w:val="24"/>
        </w:rPr>
        <w:t>Електронното управление е основната платформа за цифрова трансформация на публичните институции, за повишаване на качеството на административните услуги, за преминаването към рационални електронни процеси на функциониране и управление в публичния сектор и за достъп по електронен път на информацията, с която ра</w:t>
      </w:r>
      <w:r w:rsidR="00EE321F">
        <w:rPr>
          <w:rFonts w:ascii="Times New Roman" w:hAnsi="Times New Roman" w:cs="Times New Roman"/>
          <w:sz w:val="24"/>
          <w:szCs w:val="24"/>
        </w:rPr>
        <w:t>зполагат публичните институции.</w:t>
      </w:r>
    </w:p>
    <w:p w14:paraId="05B40CC7" w14:textId="1B430580" w:rsidR="0080488F" w:rsidRPr="00496500" w:rsidRDefault="0080488F" w:rsidP="003B412E">
      <w:pPr>
        <w:spacing w:after="120" w:line="240" w:lineRule="auto"/>
        <w:ind w:firstLine="709"/>
        <w:jc w:val="both"/>
        <w:rPr>
          <w:rFonts w:ascii="Times New Roman" w:hAnsi="Times New Roman" w:cs="Times New Roman"/>
          <w:sz w:val="24"/>
          <w:szCs w:val="24"/>
        </w:rPr>
      </w:pPr>
      <w:r w:rsidRPr="00496500">
        <w:rPr>
          <w:rFonts w:ascii="Times New Roman" w:hAnsi="Times New Roman" w:cs="Times New Roman"/>
          <w:sz w:val="24"/>
          <w:szCs w:val="24"/>
        </w:rPr>
        <w:t>Оценката на средата, в която се развива електронното управление</w:t>
      </w:r>
      <w:r w:rsidR="008F4E9C" w:rsidRPr="00496500">
        <w:rPr>
          <w:rFonts w:ascii="Times New Roman" w:hAnsi="Times New Roman" w:cs="Times New Roman"/>
          <w:sz w:val="24"/>
          <w:szCs w:val="24"/>
        </w:rPr>
        <w:t xml:space="preserve">, </w:t>
      </w:r>
      <w:r w:rsidRPr="00496500">
        <w:rPr>
          <w:rFonts w:ascii="Times New Roman" w:hAnsi="Times New Roman" w:cs="Times New Roman"/>
          <w:sz w:val="24"/>
          <w:szCs w:val="24"/>
        </w:rPr>
        <w:t xml:space="preserve">показва, че България е поставила стабилни основи за изграждането на </w:t>
      </w:r>
      <w:r w:rsidR="008F4E9C" w:rsidRPr="00496500">
        <w:rPr>
          <w:rFonts w:ascii="Times New Roman" w:hAnsi="Times New Roman" w:cs="Times New Roman"/>
          <w:sz w:val="24"/>
          <w:szCs w:val="24"/>
        </w:rPr>
        <w:t xml:space="preserve">компонентите на своята </w:t>
      </w:r>
      <w:r w:rsidR="008672B2" w:rsidRPr="00496500">
        <w:rPr>
          <w:rFonts w:ascii="Times New Roman" w:hAnsi="Times New Roman" w:cs="Times New Roman"/>
          <w:sz w:val="24"/>
          <w:szCs w:val="24"/>
        </w:rPr>
        <w:t>цифрова</w:t>
      </w:r>
      <w:r w:rsidRPr="00496500">
        <w:rPr>
          <w:rFonts w:ascii="Times New Roman" w:hAnsi="Times New Roman" w:cs="Times New Roman"/>
          <w:sz w:val="24"/>
          <w:szCs w:val="24"/>
        </w:rPr>
        <w:t xml:space="preserve"> екосистема и през го</w:t>
      </w:r>
      <w:r w:rsidR="0069192B" w:rsidRPr="00496500">
        <w:rPr>
          <w:rFonts w:ascii="Times New Roman" w:hAnsi="Times New Roman" w:cs="Times New Roman"/>
          <w:sz w:val="24"/>
          <w:szCs w:val="24"/>
        </w:rPr>
        <w:t>д</w:t>
      </w:r>
      <w:r w:rsidRPr="00496500">
        <w:rPr>
          <w:rFonts w:ascii="Times New Roman" w:hAnsi="Times New Roman" w:cs="Times New Roman"/>
          <w:sz w:val="24"/>
          <w:szCs w:val="24"/>
        </w:rPr>
        <w:t xml:space="preserve">ините е реализирала съществени стъпки в </w:t>
      </w:r>
      <w:r w:rsidR="00B5488E" w:rsidRPr="00496500">
        <w:rPr>
          <w:rFonts w:ascii="Times New Roman" w:hAnsi="Times New Roman" w:cs="Times New Roman"/>
          <w:sz w:val="24"/>
          <w:szCs w:val="24"/>
        </w:rPr>
        <w:t xml:space="preserve">развитието </w:t>
      </w:r>
      <w:r w:rsidRPr="00496500">
        <w:rPr>
          <w:rFonts w:ascii="Times New Roman" w:hAnsi="Times New Roman" w:cs="Times New Roman"/>
          <w:sz w:val="24"/>
          <w:szCs w:val="24"/>
        </w:rPr>
        <w:t>им (покритие на страната с високоскоростен интернет, включително чрез мобилни мрежи</w:t>
      </w:r>
      <w:r w:rsidR="00A06A65" w:rsidRPr="00496500">
        <w:rPr>
          <w:rFonts w:ascii="Times New Roman" w:hAnsi="Times New Roman" w:cs="Times New Roman"/>
          <w:sz w:val="24"/>
          <w:szCs w:val="24"/>
        </w:rPr>
        <w:t xml:space="preserve"> (добре развит телекомуникационен сектор)</w:t>
      </w:r>
      <w:r w:rsidRPr="00496500">
        <w:rPr>
          <w:rFonts w:ascii="Times New Roman" w:hAnsi="Times New Roman" w:cs="Times New Roman"/>
          <w:sz w:val="24"/>
          <w:szCs w:val="24"/>
        </w:rPr>
        <w:t xml:space="preserve"> и осигуряване на лесен достъп до него; предоставяне на услуги по електронен път от най-високо ниво, включително електронно плащане; междурегистров обмен на данни в публичния сектор; </w:t>
      </w:r>
      <w:r w:rsidR="00B5488E" w:rsidRPr="00496500">
        <w:rPr>
          <w:rFonts w:ascii="Times New Roman" w:hAnsi="Times New Roman" w:cs="Times New Roman"/>
          <w:sz w:val="24"/>
          <w:szCs w:val="24"/>
        </w:rPr>
        <w:t xml:space="preserve">нотифицирана на европейско ниво </w:t>
      </w:r>
      <w:r w:rsidR="00A06A65" w:rsidRPr="00496500">
        <w:rPr>
          <w:rFonts w:ascii="Times New Roman" w:hAnsi="Times New Roman" w:cs="Times New Roman"/>
          <w:sz w:val="24"/>
          <w:szCs w:val="24"/>
        </w:rPr>
        <w:t xml:space="preserve">обща схема за електронна идентификация, </w:t>
      </w:r>
      <w:r w:rsidRPr="00496500">
        <w:rPr>
          <w:rFonts w:ascii="Times New Roman" w:hAnsi="Times New Roman" w:cs="Times New Roman"/>
          <w:sz w:val="24"/>
          <w:szCs w:val="24"/>
        </w:rPr>
        <w:t xml:space="preserve">електронно здравно досие; </w:t>
      </w:r>
      <w:r w:rsidR="009D59C5" w:rsidRPr="00496500">
        <w:rPr>
          <w:rFonts w:ascii="Times New Roman" w:hAnsi="Times New Roman" w:cs="Times New Roman"/>
          <w:sz w:val="24"/>
          <w:szCs w:val="24"/>
        </w:rPr>
        <w:t xml:space="preserve">електронно данъчно и осигурително обслужване на бизнеса; </w:t>
      </w:r>
      <w:r w:rsidRPr="00496500">
        <w:rPr>
          <w:rFonts w:ascii="Times New Roman" w:hAnsi="Times New Roman" w:cs="Times New Roman"/>
          <w:sz w:val="24"/>
          <w:szCs w:val="24"/>
        </w:rPr>
        <w:t>електронен междуведомствен документооборот в администрацията; надеждна и сигурна киберзащита</w:t>
      </w:r>
      <w:r w:rsidR="00B5488E" w:rsidRPr="00496500">
        <w:rPr>
          <w:rFonts w:ascii="Times New Roman" w:hAnsi="Times New Roman" w:cs="Times New Roman"/>
          <w:sz w:val="24"/>
          <w:szCs w:val="24"/>
        </w:rPr>
        <w:t xml:space="preserve">; </w:t>
      </w:r>
      <w:r w:rsidR="00352863" w:rsidRPr="00496500">
        <w:rPr>
          <w:rFonts w:ascii="Times New Roman" w:hAnsi="Times New Roman" w:cs="Times New Roman"/>
          <w:sz w:val="24"/>
          <w:szCs w:val="24"/>
        </w:rPr>
        <w:t>и други</w:t>
      </w:r>
      <w:r w:rsidRPr="00496500">
        <w:rPr>
          <w:rFonts w:ascii="Times New Roman" w:hAnsi="Times New Roman" w:cs="Times New Roman"/>
          <w:sz w:val="24"/>
          <w:szCs w:val="24"/>
        </w:rPr>
        <w:t xml:space="preserve">). </w:t>
      </w:r>
    </w:p>
    <w:p w14:paraId="675AEDD5" w14:textId="77777777" w:rsidR="000E2768" w:rsidRPr="00496500" w:rsidRDefault="000E2768" w:rsidP="000E2768">
      <w:pPr>
        <w:rPr>
          <w:rFonts w:ascii="Times New Roman" w:hAnsi="Times New Roman" w:cs="Times New Roman"/>
          <w:b/>
          <w:sz w:val="24"/>
          <w:szCs w:val="24"/>
        </w:rPr>
      </w:pPr>
      <w:r w:rsidRPr="00496500">
        <w:rPr>
          <w:rFonts w:ascii="Times New Roman" w:hAnsi="Times New Roman" w:cs="Times New Roman"/>
          <w:b/>
          <w:sz w:val="24"/>
          <w:szCs w:val="24"/>
        </w:rPr>
        <w:t>Политически фактори</w:t>
      </w:r>
    </w:p>
    <w:p w14:paraId="2662DF6B" w14:textId="04A62426" w:rsidR="000E2768" w:rsidRPr="00496500" w:rsidRDefault="000E2768" w:rsidP="000E2768">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През последните пет години България преминава през силно динамичен политически живот. Въпреки честата смяна на правителства, включително шест служебни от общо девет, процесите по развитие на електронното управление</w:t>
      </w:r>
      <w:r w:rsidR="00B92833" w:rsidRPr="00496500">
        <w:rPr>
          <w:rFonts w:ascii="Times New Roman" w:hAnsi="Times New Roman" w:cs="Times New Roman"/>
          <w:sz w:val="24"/>
          <w:szCs w:val="24"/>
        </w:rPr>
        <w:t>, като основа</w:t>
      </w:r>
      <w:r w:rsidR="00C75223">
        <w:rPr>
          <w:rFonts w:ascii="Times New Roman" w:hAnsi="Times New Roman" w:cs="Times New Roman"/>
          <w:sz w:val="24"/>
          <w:szCs w:val="24"/>
        </w:rPr>
        <w:t xml:space="preserve"> на</w:t>
      </w:r>
      <w:r w:rsidRPr="00496500">
        <w:rPr>
          <w:rFonts w:ascii="Times New Roman" w:hAnsi="Times New Roman" w:cs="Times New Roman"/>
          <w:sz w:val="24"/>
          <w:szCs w:val="24"/>
        </w:rPr>
        <w:t xml:space="preserve"> </w:t>
      </w:r>
      <w:r w:rsidR="008672B2" w:rsidRPr="00496500">
        <w:rPr>
          <w:rFonts w:ascii="Times New Roman" w:hAnsi="Times New Roman" w:cs="Times New Roman"/>
          <w:sz w:val="24"/>
          <w:szCs w:val="24"/>
        </w:rPr>
        <w:t>цифрова</w:t>
      </w:r>
      <w:r w:rsidR="00B92833" w:rsidRPr="00496500">
        <w:rPr>
          <w:rFonts w:ascii="Times New Roman" w:hAnsi="Times New Roman" w:cs="Times New Roman"/>
          <w:sz w:val="24"/>
          <w:szCs w:val="24"/>
        </w:rPr>
        <w:t>та</w:t>
      </w:r>
      <w:r w:rsidRPr="00496500">
        <w:rPr>
          <w:rFonts w:ascii="Times New Roman" w:hAnsi="Times New Roman" w:cs="Times New Roman"/>
          <w:sz w:val="24"/>
          <w:szCs w:val="24"/>
        </w:rPr>
        <w:t xml:space="preserve"> трансформация остават приоритетни за всички управления, запазват своя ход и макар и бавно, но устойчиво реализират напредък по определени цели и показатели на национално, европейско и международно ниво.</w:t>
      </w:r>
    </w:p>
    <w:p w14:paraId="3A21D9F2" w14:textId="77777777" w:rsidR="000E2768" w:rsidRPr="00496500" w:rsidRDefault="000E2768" w:rsidP="000E2768">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Нестабилната политическа среда оказва най-съществено влияние върху финансирането на мерки и инвестиции за развитие на </w:t>
      </w:r>
      <w:r w:rsidR="008672B2" w:rsidRPr="00496500">
        <w:rPr>
          <w:rFonts w:ascii="Times New Roman" w:hAnsi="Times New Roman" w:cs="Times New Roman"/>
          <w:sz w:val="24"/>
          <w:szCs w:val="24"/>
        </w:rPr>
        <w:t>цифровата</w:t>
      </w:r>
      <w:r w:rsidRPr="00496500">
        <w:rPr>
          <w:rFonts w:ascii="Times New Roman" w:hAnsi="Times New Roman" w:cs="Times New Roman"/>
          <w:sz w:val="24"/>
          <w:szCs w:val="24"/>
        </w:rPr>
        <w:t xml:space="preserve"> екосистема на страната и изграждането и поддържането на експертния капацитет за успешното реализиране на </w:t>
      </w:r>
      <w:r w:rsidR="008672B2" w:rsidRPr="00496500">
        <w:rPr>
          <w:rFonts w:ascii="Times New Roman" w:hAnsi="Times New Roman" w:cs="Times New Roman"/>
          <w:sz w:val="24"/>
          <w:szCs w:val="24"/>
        </w:rPr>
        <w:t>цифровата</w:t>
      </w:r>
      <w:r w:rsidRPr="00496500">
        <w:rPr>
          <w:rFonts w:ascii="Times New Roman" w:hAnsi="Times New Roman" w:cs="Times New Roman"/>
          <w:sz w:val="24"/>
          <w:szCs w:val="24"/>
        </w:rPr>
        <w:t xml:space="preserve"> трансформация. </w:t>
      </w:r>
    </w:p>
    <w:p w14:paraId="3FB2FD18" w14:textId="50436682" w:rsidR="000E2768" w:rsidRPr="00496500" w:rsidRDefault="000E2768" w:rsidP="000E2768">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За осъществяване на цялостна координация, сътрудничество и консултация при разработването, провеждането, мониторинга и оценката на държавната политика в областта на цифровата трансформация в Република България, с Постановление </w:t>
      </w:r>
      <w:r w:rsidR="00C75223">
        <w:rPr>
          <w:rFonts w:ascii="Times New Roman" w:hAnsi="Times New Roman" w:cs="Times New Roman"/>
          <w:sz w:val="24"/>
          <w:szCs w:val="24"/>
        </w:rPr>
        <w:t xml:space="preserve">на Министерския </w:t>
      </w:r>
      <w:r w:rsidR="00C75223">
        <w:rPr>
          <w:rFonts w:ascii="Times New Roman" w:hAnsi="Times New Roman" w:cs="Times New Roman"/>
          <w:sz w:val="24"/>
          <w:szCs w:val="24"/>
        </w:rPr>
        <w:lastRenderedPageBreak/>
        <w:t xml:space="preserve">съвет </w:t>
      </w:r>
      <w:r w:rsidR="009D688F">
        <w:rPr>
          <w:rFonts w:ascii="Times New Roman" w:hAnsi="Times New Roman" w:cs="Times New Roman"/>
          <w:sz w:val="24"/>
          <w:szCs w:val="24"/>
          <w:lang w:val="en-US"/>
        </w:rPr>
        <w:t>(</w:t>
      </w:r>
      <w:r w:rsidR="009D688F">
        <w:rPr>
          <w:rFonts w:ascii="Times New Roman" w:hAnsi="Times New Roman" w:cs="Times New Roman"/>
          <w:sz w:val="24"/>
          <w:szCs w:val="24"/>
        </w:rPr>
        <w:t>ПМС</w:t>
      </w:r>
      <w:r w:rsidR="009D688F">
        <w:rPr>
          <w:rFonts w:ascii="Times New Roman" w:hAnsi="Times New Roman" w:cs="Times New Roman"/>
          <w:sz w:val="24"/>
          <w:szCs w:val="24"/>
          <w:lang w:val="en-US"/>
        </w:rPr>
        <w:t xml:space="preserve">) </w:t>
      </w:r>
      <w:r w:rsidR="00C75223" w:rsidRPr="00C75223">
        <w:rPr>
          <w:rFonts w:ascii="Times New Roman" w:hAnsi="Times New Roman" w:cs="Times New Roman"/>
          <w:sz w:val="24"/>
          <w:szCs w:val="24"/>
        </w:rPr>
        <w:t xml:space="preserve">№ 38 от 29 март 2022 г. </w:t>
      </w:r>
      <w:r w:rsidRPr="00496500">
        <w:rPr>
          <w:rFonts w:ascii="Times New Roman" w:hAnsi="Times New Roman" w:cs="Times New Roman"/>
          <w:sz w:val="24"/>
          <w:szCs w:val="24"/>
        </w:rPr>
        <w:t xml:space="preserve">е създаден </w:t>
      </w:r>
      <w:r w:rsidR="00C75223" w:rsidRPr="00765780">
        <w:rPr>
          <w:rFonts w:ascii="Times New Roman" w:hAnsi="Times New Roman" w:cs="Times New Roman"/>
          <w:sz w:val="24"/>
          <w:szCs w:val="24"/>
        </w:rPr>
        <w:t>Съвет за електронно управление</w:t>
      </w:r>
      <w:r w:rsidR="009D688F">
        <w:rPr>
          <w:rFonts w:ascii="Times New Roman" w:hAnsi="Times New Roman" w:cs="Times New Roman"/>
          <w:sz w:val="24"/>
          <w:szCs w:val="24"/>
        </w:rPr>
        <w:t>,</w:t>
      </w:r>
      <w:r w:rsidR="00C75223" w:rsidRPr="00496500">
        <w:rPr>
          <w:rFonts w:ascii="Times New Roman" w:hAnsi="Times New Roman" w:cs="Times New Roman"/>
          <w:sz w:val="24"/>
          <w:szCs w:val="24"/>
        </w:rPr>
        <w:t xml:space="preserve"> </w:t>
      </w:r>
      <w:r w:rsidR="00C75223">
        <w:rPr>
          <w:rFonts w:ascii="Times New Roman" w:hAnsi="Times New Roman" w:cs="Times New Roman"/>
          <w:sz w:val="24"/>
          <w:szCs w:val="24"/>
        </w:rPr>
        <w:t>преименуван</w:t>
      </w:r>
      <w:r w:rsidR="009D688F">
        <w:rPr>
          <w:rFonts w:ascii="Times New Roman" w:hAnsi="Times New Roman" w:cs="Times New Roman"/>
          <w:sz w:val="24"/>
          <w:szCs w:val="24"/>
        </w:rPr>
        <w:t xml:space="preserve"> с ПМС </w:t>
      </w:r>
      <w:r w:rsidR="009D688F" w:rsidRPr="00496500">
        <w:rPr>
          <w:rFonts w:ascii="Times New Roman" w:hAnsi="Times New Roman" w:cs="Times New Roman"/>
          <w:sz w:val="24"/>
          <w:szCs w:val="24"/>
        </w:rPr>
        <w:t xml:space="preserve">№ 60 от 19 април 2023 г. </w:t>
      </w:r>
      <w:r w:rsidR="00C75223">
        <w:rPr>
          <w:rFonts w:ascii="Times New Roman" w:hAnsi="Times New Roman" w:cs="Times New Roman"/>
          <w:sz w:val="24"/>
          <w:szCs w:val="24"/>
        </w:rPr>
        <w:t xml:space="preserve">на </w:t>
      </w:r>
      <w:r w:rsidRPr="00496500">
        <w:rPr>
          <w:rFonts w:ascii="Times New Roman" w:hAnsi="Times New Roman" w:cs="Times New Roman"/>
          <w:sz w:val="24"/>
          <w:szCs w:val="24"/>
        </w:rPr>
        <w:t>Съвет по цифровото десетилетие, чийто председател е министърът на електронното управление. Основната му цел е да гарантира ефективното и качествено участие на България в разработването, изпълнението и отчитането на мерките и дейностите, свързани с Европейската политическа програма „Цифрово десетилетие“ до 2030 г</w:t>
      </w:r>
      <w:r w:rsidR="00333D13" w:rsidRPr="00496500">
        <w:rPr>
          <w:rFonts w:ascii="Times New Roman" w:hAnsi="Times New Roman" w:cs="Times New Roman"/>
          <w:sz w:val="24"/>
          <w:szCs w:val="24"/>
        </w:rPr>
        <w:t>одина</w:t>
      </w:r>
      <w:r w:rsidRPr="00496500">
        <w:rPr>
          <w:rFonts w:ascii="Times New Roman" w:hAnsi="Times New Roman" w:cs="Times New Roman"/>
          <w:sz w:val="24"/>
          <w:szCs w:val="24"/>
        </w:rPr>
        <w:t>.</w:t>
      </w:r>
    </w:p>
    <w:p w14:paraId="50A455F0" w14:textId="77777777" w:rsidR="000E2768" w:rsidRPr="00496500" w:rsidRDefault="000E2768" w:rsidP="000E2768">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Устойчивото развитие на </w:t>
      </w:r>
      <w:r w:rsidR="008672B2" w:rsidRPr="00496500">
        <w:rPr>
          <w:rFonts w:ascii="Times New Roman" w:hAnsi="Times New Roman" w:cs="Times New Roman"/>
          <w:sz w:val="24"/>
          <w:szCs w:val="24"/>
        </w:rPr>
        <w:t>ц</w:t>
      </w:r>
      <w:r w:rsidR="00370A43" w:rsidRPr="00496500">
        <w:rPr>
          <w:rFonts w:ascii="Times New Roman" w:hAnsi="Times New Roman" w:cs="Times New Roman"/>
          <w:sz w:val="24"/>
          <w:szCs w:val="24"/>
        </w:rPr>
        <w:t>ифрови</w:t>
      </w:r>
      <w:r w:rsidR="008672B2" w:rsidRPr="00496500">
        <w:rPr>
          <w:rFonts w:ascii="Times New Roman" w:hAnsi="Times New Roman" w:cs="Times New Roman"/>
          <w:sz w:val="24"/>
          <w:szCs w:val="24"/>
        </w:rPr>
        <w:t>зацията</w:t>
      </w:r>
      <w:r w:rsidRPr="00496500">
        <w:rPr>
          <w:rFonts w:ascii="Times New Roman" w:hAnsi="Times New Roman" w:cs="Times New Roman"/>
          <w:sz w:val="24"/>
          <w:szCs w:val="24"/>
        </w:rPr>
        <w:t xml:space="preserve"> в България изисква активност, ангажираност, последователност и координация в действията и отговорностите на всички заинтересовани страни.</w:t>
      </w:r>
    </w:p>
    <w:p w14:paraId="4B81B852" w14:textId="77777777" w:rsidR="000E2768" w:rsidRPr="00496500" w:rsidRDefault="000E2768" w:rsidP="000E2768">
      <w:pPr>
        <w:rPr>
          <w:rFonts w:ascii="Times New Roman" w:hAnsi="Times New Roman" w:cs="Times New Roman"/>
          <w:b/>
          <w:sz w:val="24"/>
          <w:szCs w:val="24"/>
        </w:rPr>
      </w:pPr>
      <w:r w:rsidRPr="00496500">
        <w:rPr>
          <w:rFonts w:ascii="Times New Roman" w:hAnsi="Times New Roman" w:cs="Times New Roman"/>
          <w:b/>
          <w:sz w:val="24"/>
          <w:szCs w:val="24"/>
        </w:rPr>
        <w:t>Икономически фактори</w:t>
      </w:r>
    </w:p>
    <w:p w14:paraId="4A88FD5A" w14:textId="3CFDF2E4" w:rsidR="000E2768" w:rsidRPr="00496500" w:rsidRDefault="000E2768" w:rsidP="000E2768">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Съгласно доклада на Световна банка „Електронното управление в България: пътят, изминат до 2020 г. и развитие в бъдещето“</w:t>
      </w:r>
      <w:r w:rsidR="008410BE">
        <w:rPr>
          <w:rStyle w:val="FootnoteReference"/>
          <w:rFonts w:ascii="Times New Roman" w:hAnsi="Times New Roman" w:cs="Times New Roman"/>
          <w:sz w:val="24"/>
          <w:szCs w:val="24"/>
        </w:rPr>
        <w:footnoteReference w:id="4"/>
      </w:r>
      <w:r w:rsidRPr="00496500">
        <w:rPr>
          <w:rFonts w:ascii="Times New Roman" w:hAnsi="Times New Roman" w:cs="Times New Roman"/>
          <w:sz w:val="24"/>
          <w:szCs w:val="24"/>
        </w:rPr>
        <w:t xml:space="preserve"> през последните две десетилетия България измина дълъг път към изграждането на модерно електронно управление, което използва успешно възможностите на цифровите технологии за подобряване на ефективността на вътрешните си функции и за предоставяне на по-качествени услуги за гражданите и за бизнеса. Въпреки това, инвестициите, които страната прави в електронно управление</w:t>
      </w:r>
      <w:r w:rsidR="00370A43" w:rsidRPr="00496500">
        <w:rPr>
          <w:rFonts w:ascii="Times New Roman" w:hAnsi="Times New Roman" w:cs="Times New Roman"/>
          <w:sz w:val="24"/>
          <w:szCs w:val="24"/>
        </w:rPr>
        <w:t>, поставяйки основите за</w:t>
      </w:r>
      <w:r w:rsidRPr="00496500">
        <w:rPr>
          <w:rFonts w:ascii="Times New Roman" w:hAnsi="Times New Roman" w:cs="Times New Roman"/>
          <w:sz w:val="24"/>
          <w:szCs w:val="24"/>
        </w:rPr>
        <w:t xml:space="preserve"> </w:t>
      </w:r>
      <w:r w:rsidR="00370A43" w:rsidRPr="00496500">
        <w:rPr>
          <w:rFonts w:ascii="Times New Roman" w:hAnsi="Times New Roman" w:cs="Times New Roman"/>
          <w:sz w:val="24"/>
          <w:szCs w:val="24"/>
        </w:rPr>
        <w:t>цифровизация на публичния сектор</w:t>
      </w:r>
      <w:r w:rsidR="001D6711">
        <w:rPr>
          <w:rFonts w:ascii="Times New Roman" w:hAnsi="Times New Roman" w:cs="Times New Roman"/>
          <w:sz w:val="24"/>
          <w:szCs w:val="24"/>
        </w:rPr>
        <w:t>,</w:t>
      </w:r>
      <w:r w:rsidRPr="00496500">
        <w:rPr>
          <w:rFonts w:ascii="Times New Roman" w:hAnsi="Times New Roman" w:cs="Times New Roman"/>
          <w:sz w:val="24"/>
          <w:szCs w:val="24"/>
        </w:rPr>
        <w:t xml:space="preserve"> са много по-ниски в сравнение с разходите, които другите държави</w:t>
      </w:r>
      <w:r w:rsidR="001E5FB8">
        <w:rPr>
          <w:rFonts w:ascii="Times New Roman" w:hAnsi="Times New Roman" w:cs="Times New Roman"/>
          <w:sz w:val="24"/>
          <w:szCs w:val="24"/>
        </w:rPr>
        <w:t xml:space="preserve"> </w:t>
      </w:r>
      <w:r w:rsidR="001E5FB8">
        <w:rPr>
          <w:rFonts w:ascii="Times New Roman" w:hAnsi="Times New Roman" w:cs="Times New Roman"/>
          <w:sz w:val="24"/>
          <w:szCs w:val="24"/>
        </w:rPr>
        <w:sym w:font="Symbol" w:char="F02D"/>
      </w:r>
      <w:r w:rsidR="001E5FB8">
        <w:rPr>
          <w:rFonts w:ascii="Times New Roman" w:hAnsi="Times New Roman" w:cs="Times New Roman"/>
          <w:sz w:val="24"/>
          <w:szCs w:val="24"/>
        </w:rPr>
        <w:t xml:space="preserve"> </w:t>
      </w:r>
      <w:r w:rsidRPr="00496500">
        <w:rPr>
          <w:rFonts w:ascii="Times New Roman" w:hAnsi="Times New Roman" w:cs="Times New Roman"/>
          <w:sz w:val="24"/>
          <w:szCs w:val="24"/>
        </w:rPr>
        <w:t xml:space="preserve">членки от ЕС и Организацията за икономическо сътрудничество и развитие (ОИСР) правят в тази област и съответно тя не успява да достигне равнищата на </w:t>
      </w:r>
      <w:r w:rsidR="00370A43" w:rsidRPr="00496500">
        <w:rPr>
          <w:rFonts w:ascii="Times New Roman" w:hAnsi="Times New Roman" w:cs="Times New Roman"/>
          <w:sz w:val="24"/>
          <w:szCs w:val="24"/>
        </w:rPr>
        <w:t>цифровизация</w:t>
      </w:r>
      <w:r w:rsidRPr="00496500">
        <w:rPr>
          <w:rFonts w:ascii="Times New Roman" w:hAnsi="Times New Roman" w:cs="Times New Roman"/>
          <w:sz w:val="24"/>
          <w:szCs w:val="24"/>
        </w:rPr>
        <w:t xml:space="preserve"> в по-напредналите икономики. Общите разходи по политика „електронно управление“, които страната прави на годишна база за 2024 г. и които са предвидени да направи за 2025 г. са около 1% от всички държавни разходи. </w:t>
      </w:r>
    </w:p>
    <w:p w14:paraId="046C3E31" w14:textId="600F77EC" w:rsidR="000E2768" w:rsidRPr="00496500" w:rsidRDefault="000E2768" w:rsidP="00370A43">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Съгласно </w:t>
      </w:r>
      <w:hyperlink r:id="rId12" w:history="1">
        <w:r w:rsidRPr="00496500">
          <w:rPr>
            <w:rStyle w:val="Hyperlink"/>
            <w:rFonts w:ascii="Times New Roman" w:hAnsi="Times New Roman" w:cs="Times New Roman"/>
            <w:sz w:val="24"/>
            <w:szCs w:val="24"/>
          </w:rPr>
          <w:t xml:space="preserve">Доклада за състоянието на </w:t>
        </w:r>
        <w:r w:rsidR="00605124">
          <w:rPr>
            <w:rStyle w:val="Hyperlink"/>
            <w:rFonts w:ascii="Times New Roman" w:hAnsi="Times New Roman" w:cs="Times New Roman"/>
            <w:sz w:val="24"/>
            <w:szCs w:val="24"/>
          </w:rPr>
          <w:t>Ц</w:t>
        </w:r>
        <w:r w:rsidRPr="00496500">
          <w:rPr>
            <w:rStyle w:val="Hyperlink"/>
            <w:rFonts w:ascii="Times New Roman" w:hAnsi="Times New Roman" w:cs="Times New Roman"/>
            <w:sz w:val="24"/>
            <w:szCs w:val="24"/>
          </w:rPr>
          <w:t>ифровото десетилетие през 2025 г. за България</w:t>
        </w:r>
      </w:hyperlink>
      <w:r w:rsidRPr="00496500">
        <w:rPr>
          <w:rStyle w:val="FootnoteReference"/>
          <w:rFonts w:ascii="Times New Roman" w:hAnsi="Times New Roman" w:cs="Times New Roman"/>
          <w:sz w:val="24"/>
          <w:szCs w:val="24"/>
        </w:rPr>
        <w:t xml:space="preserve"> </w:t>
      </w:r>
      <w:r w:rsidRPr="00496500">
        <w:rPr>
          <w:rStyle w:val="FootnoteReference"/>
          <w:rFonts w:ascii="Times New Roman" w:hAnsi="Times New Roman" w:cs="Times New Roman"/>
          <w:sz w:val="24"/>
          <w:szCs w:val="24"/>
        </w:rPr>
        <w:footnoteReference w:id="5"/>
      </w:r>
      <w:r w:rsidRPr="00496500">
        <w:rPr>
          <w:rStyle w:val="Hyperlink"/>
          <w:rFonts w:ascii="Times New Roman" w:hAnsi="Times New Roman" w:cs="Times New Roman"/>
          <w:sz w:val="24"/>
          <w:szCs w:val="24"/>
        </w:rPr>
        <w:t xml:space="preserve"> </w:t>
      </w:r>
      <w:r w:rsidRPr="004626F0">
        <w:rPr>
          <w:rFonts w:ascii="Times New Roman" w:hAnsi="Times New Roman" w:cs="Times New Roman"/>
          <w:sz w:val="24"/>
          <w:szCs w:val="24"/>
        </w:rPr>
        <w:t>България следва да</w:t>
      </w:r>
      <w:r w:rsidRPr="00496500">
        <w:rPr>
          <w:rFonts w:ascii="Times New Roman" w:hAnsi="Times New Roman" w:cs="Times New Roman"/>
          <w:sz w:val="24"/>
          <w:szCs w:val="24"/>
        </w:rPr>
        <w:t xml:space="preserve"> разпределя 23% от общия бюджет по </w:t>
      </w:r>
      <w:r w:rsidR="009549C9" w:rsidRPr="00A92244">
        <w:rPr>
          <w:rFonts w:ascii="Times New Roman" w:hAnsi="Times New Roman" w:cs="Times New Roman"/>
          <w:sz w:val="24"/>
          <w:szCs w:val="24"/>
        </w:rPr>
        <w:t>НПВУ</w:t>
      </w:r>
      <w:r w:rsidRPr="00A92244">
        <w:rPr>
          <w:rFonts w:ascii="Times New Roman" w:hAnsi="Times New Roman" w:cs="Times New Roman"/>
          <w:sz w:val="24"/>
          <w:szCs w:val="24"/>
        </w:rPr>
        <w:t xml:space="preserve"> за цифрови</w:t>
      </w:r>
      <w:r w:rsidRPr="00496500">
        <w:rPr>
          <w:rFonts w:ascii="Times New Roman" w:hAnsi="Times New Roman" w:cs="Times New Roman"/>
          <w:sz w:val="24"/>
          <w:szCs w:val="24"/>
        </w:rPr>
        <w:t xml:space="preserve"> технологии и </w:t>
      </w:r>
      <w:r w:rsidR="00AA68D1" w:rsidRPr="00496500">
        <w:rPr>
          <w:rFonts w:ascii="Times New Roman" w:hAnsi="Times New Roman" w:cs="Times New Roman"/>
          <w:sz w:val="24"/>
          <w:szCs w:val="24"/>
        </w:rPr>
        <w:t>цифровизация</w:t>
      </w:r>
      <w:r w:rsidRPr="00496500">
        <w:rPr>
          <w:rFonts w:ascii="Times New Roman" w:hAnsi="Times New Roman" w:cs="Times New Roman"/>
          <w:sz w:val="24"/>
          <w:szCs w:val="24"/>
        </w:rPr>
        <w:t xml:space="preserve">. Също така, в рамките на политиката за сближаване могат да бъдат инвестирани 1,3 милиарда евро, представляващи 12% от общото финансиране за страната по линия на политиката на сближаване, за постигане на напредък в цифровата трансформация на България. </w:t>
      </w:r>
      <w:r w:rsidR="00370A43" w:rsidRPr="00496500">
        <w:rPr>
          <w:rFonts w:ascii="Times New Roman" w:hAnsi="Times New Roman" w:cs="Times New Roman"/>
          <w:sz w:val="24"/>
          <w:szCs w:val="24"/>
        </w:rPr>
        <w:t>На практика, страната използва преобладаващо външно финансиране за постигане на заложените цели в областта на цифровизацията.</w:t>
      </w:r>
    </w:p>
    <w:p w14:paraId="214EAEBF" w14:textId="062036CA" w:rsidR="00493DDB" w:rsidRPr="004C5C5B" w:rsidRDefault="00B312C2" w:rsidP="004C5C5B">
      <w:pPr>
        <w:pStyle w:val="ListParagraph"/>
        <w:spacing w:before="120"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rPr>
        <w:t xml:space="preserve">В </w:t>
      </w:r>
      <w:hyperlink r:id="rId13" w:history="1">
        <w:r w:rsidRPr="00496500">
          <w:rPr>
            <w:rStyle w:val="Hyperlink"/>
            <w:rFonts w:ascii="Times New Roman" w:hAnsi="Times New Roman" w:cs="Times New Roman"/>
            <w:sz w:val="24"/>
            <w:szCs w:val="24"/>
          </w:rPr>
          <w:t>Доклада за България в рамките на Европейския семестър за 2024 г</w:t>
        </w:r>
      </w:hyperlink>
      <w:r w:rsidRPr="00496500">
        <w:rPr>
          <w:rFonts w:ascii="Times New Roman" w:hAnsi="Times New Roman" w:cs="Times New Roman"/>
          <w:sz w:val="24"/>
          <w:szCs w:val="24"/>
        </w:rPr>
        <w:t>.</w:t>
      </w:r>
      <w:r w:rsidRPr="00496500">
        <w:rPr>
          <w:rStyle w:val="FootnoteReference"/>
          <w:rFonts w:ascii="Times New Roman" w:hAnsi="Times New Roman" w:cs="Times New Roman"/>
          <w:sz w:val="24"/>
          <w:szCs w:val="24"/>
        </w:rPr>
        <w:footnoteReference w:id="6"/>
      </w:r>
      <w:r w:rsidRPr="00496500">
        <w:rPr>
          <w:rFonts w:ascii="Times New Roman" w:hAnsi="Times New Roman" w:cs="Times New Roman"/>
          <w:b/>
          <w:sz w:val="24"/>
          <w:szCs w:val="24"/>
        </w:rPr>
        <w:t xml:space="preserve"> </w:t>
      </w:r>
      <w:r w:rsidRPr="00496500">
        <w:rPr>
          <w:rFonts w:ascii="Times New Roman" w:hAnsi="Times New Roman" w:cs="Times New Roman"/>
          <w:sz w:val="24"/>
          <w:szCs w:val="24"/>
        </w:rPr>
        <w:t xml:space="preserve">цифровите технологии са определени като един от ключовите инструменти за справяне с настоящите структурни предизвикателства, преодоляване на стратегическите зависимости, подобряване на киберсигурността, нарастване на добавената стойност и увеличаване на икономическата ефективност. На национално ниво, </w:t>
      </w:r>
      <w:r w:rsidR="008441D5" w:rsidRPr="00496500">
        <w:rPr>
          <w:rFonts w:ascii="Times New Roman" w:hAnsi="Times New Roman" w:cs="Times New Roman"/>
          <w:sz w:val="24"/>
          <w:szCs w:val="24"/>
        </w:rPr>
        <w:t>обаче,</w:t>
      </w:r>
      <w:r w:rsidRPr="00496500">
        <w:rPr>
          <w:rFonts w:ascii="Times New Roman" w:hAnsi="Times New Roman" w:cs="Times New Roman"/>
          <w:sz w:val="24"/>
          <w:szCs w:val="24"/>
        </w:rPr>
        <w:t xml:space="preserve"> се отчита забавяне на процесите на дигитализация в предприятията, основна част от които все още не са постигнали равнището на Индустрия 4.0. </w:t>
      </w:r>
      <w:r w:rsidR="004C5C5B">
        <w:rPr>
          <w:rFonts w:ascii="Times New Roman" w:hAnsi="Times New Roman" w:cs="Times New Roman"/>
          <w:sz w:val="24"/>
          <w:szCs w:val="24"/>
        </w:rPr>
        <w:t xml:space="preserve">Съгласно данни на </w:t>
      </w:r>
      <w:r w:rsidR="00C43669" w:rsidRPr="00C43669">
        <w:rPr>
          <w:rFonts w:ascii="Times New Roman" w:hAnsi="Times New Roman" w:cs="Times New Roman"/>
          <w:sz w:val="24"/>
          <w:szCs w:val="24"/>
        </w:rPr>
        <w:t xml:space="preserve">Националния статистически институт </w:t>
      </w:r>
      <w:r w:rsidR="00C43669">
        <w:rPr>
          <w:rFonts w:ascii="Times New Roman" w:hAnsi="Times New Roman" w:cs="Times New Roman"/>
          <w:sz w:val="24"/>
          <w:szCs w:val="24"/>
        </w:rPr>
        <w:t>(</w:t>
      </w:r>
      <w:r w:rsidR="004C5C5B">
        <w:rPr>
          <w:rFonts w:ascii="Times New Roman" w:hAnsi="Times New Roman" w:cs="Times New Roman"/>
          <w:sz w:val="24"/>
          <w:szCs w:val="24"/>
        </w:rPr>
        <w:t>НСИ</w:t>
      </w:r>
      <w:r w:rsidR="00C43669">
        <w:rPr>
          <w:rFonts w:ascii="Times New Roman" w:hAnsi="Times New Roman" w:cs="Times New Roman"/>
          <w:sz w:val="24"/>
          <w:szCs w:val="24"/>
        </w:rPr>
        <w:t>)</w:t>
      </w:r>
      <w:r w:rsidR="004C5C5B">
        <w:rPr>
          <w:rFonts w:ascii="Times New Roman" w:hAnsi="Times New Roman" w:cs="Times New Roman"/>
          <w:sz w:val="24"/>
          <w:szCs w:val="24"/>
        </w:rPr>
        <w:t xml:space="preserve"> за 2024 г.,</w:t>
      </w:r>
      <w:r w:rsidR="004E13E4">
        <w:rPr>
          <w:rFonts w:ascii="Times New Roman" w:hAnsi="Times New Roman" w:cs="Times New Roman"/>
          <w:sz w:val="24"/>
          <w:szCs w:val="24"/>
        </w:rPr>
        <w:t xml:space="preserve"> </w:t>
      </w:r>
      <w:r w:rsidR="00566C77" w:rsidRPr="00496500">
        <w:rPr>
          <w:rFonts w:ascii="Times New Roman" w:hAnsi="Times New Roman" w:cs="Times New Roman"/>
          <w:sz w:val="24"/>
          <w:szCs w:val="24"/>
        </w:rPr>
        <w:t>96</w:t>
      </w:r>
      <w:r w:rsidR="007E2578">
        <w:rPr>
          <w:rFonts w:ascii="Times New Roman" w:hAnsi="Times New Roman" w:cs="Times New Roman"/>
          <w:sz w:val="24"/>
          <w:szCs w:val="24"/>
        </w:rPr>
        <w:t>,</w:t>
      </w:r>
      <w:r w:rsidR="00566C77" w:rsidRPr="00496500">
        <w:rPr>
          <w:rFonts w:ascii="Times New Roman" w:hAnsi="Times New Roman" w:cs="Times New Roman"/>
          <w:sz w:val="24"/>
          <w:szCs w:val="24"/>
        </w:rPr>
        <w:t>4%</w:t>
      </w:r>
      <w:r w:rsidR="004C5C5B">
        <w:rPr>
          <w:rFonts w:ascii="Times New Roman" w:hAnsi="Times New Roman" w:cs="Times New Roman"/>
          <w:sz w:val="24"/>
          <w:szCs w:val="24"/>
        </w:rPr>
        <w:t>,</w:t>
      </w:r>
      <w:r w:rsidR="00566C77" w:rsidRPr="00496500">
        <w:rPr>
          <w:rFonts w:ascii="Times New Roman" w:hAnsi="Times New Roman" w:cs="Times New Roman"/>
          <w:sz w:val="24"/>
          <w:szCs w:val="24"/>
        </w:rPr>
        <w:t xml:space="preserve"> от предприятията имат достъп до Интернет, но едва 15</w:t>
      </w:r>
      <w:r w:rsidR="007E2578">
        <w:rPr>
          <w:rFonts w:ascii="Times New Roman" w:hAnsi="Times New Roman" w:cs="Times New Roman"/>
          <w:sz w:val="24"/>
          <w:szCs w:val="24"/>
        </w:rPr>
        <w:t>,</w:t>
      </w:r>
      <w:r w:rsidR="00566C77" w:rsidRPr="00496500">
        <w:rPr>
          <w:rFonts w:ascii="Times New Roman" w:hAnsi="Times New Roman" w:cs="Times New Roman"/>
          <w:sz w:val="24"/>
          <w:szCs w:val="24"/>
        </w:rPr>
        <w:t>1% използва</w:t>
      </w:r>
      <w:r w:rsidR="004C5C5B">
        <w:rPr>
          <w:rFonts w:ascii="Times New Roman" w:hAnsi="Times New Roman" w:cs="Times New Roman"/>
          <w:sz w:val="24"/>
          <w:szCs w:val="24"/>
        </w:rPr>
        <w:t>т</w:t>
      </w:r>
      <w:r w:rsidR="00566C77" w:rsidRPr="00496500">
        <w:rPr>
          <w:rFonts w:ascii="Times New Roman" w:hAnsi="Times New Roman" w:cs="Times New Roman"/>
          <w:sz w:val="24"/>
          <w:szCs w:val="24"/>
        </w:rPr>
        <w:t xml:space="preserve"> възможностите на онлайн </w:t>
      </w:r>
      <w:r w:rsidR="00236EE9">
        <w:rPr>
          <w:rFonts w:ascii="Times New Roman" w:hAnsi="Times New Roman" w:cs="Times New Roman"/>
          <w:sz w:val="24"/>
          <w:szCs w:val="24"/>
        </w:rPr>
        <w:t>продажбите</w:t>
      </w:r>
      <w:r w:rsidR="00566C77" w:rsidRPr="00496500">
        <w:rPr>
          <w:rFonts w:ascii="Times New Roman" w:hAnsi="Times New Roman" w:cs="Times New Roman"/>
          <w:sz w:val="24"/>
          <w:szCs w:val="24"/>
        </w:rPr>
        <w:t xml:space="preserve">. Силно ограничен е и обменът на данни в и между предприятията, като за 2023 г. </w:t>
      </w:r>
      <w:r w:rsidR="00333D13" w:rsidRPr="00496500">
        <w:rPr>
          <w:rFonts w:ascii="Times New Roman" w:hAnsi="Times New Roman" w:cs="Times New Roman"/>
          <w:sz w:val="24"/>
          <w:szCs w:val="24"/>
        </w:rPr>
        <w:t xml:space="preserve">при </w:t>
      </w:r>
      <w:r w:rsidR="00566C77" w:rsidRPr="00496500">
        <w:rPr>
          <w:rFonts w:ascii="Times New Roman" w:hAnsi="Times New Roman" w:cs="Times New Roman"/>
          <w:sz w:val="24"/>
          <w:szCs w:val="24"/>
        </w:rPr>
        <w:t>96</w:t>
      </w:r>
      <w:r w:rsidR="007E2578">
        <w:rPr>
          <w:rFonts w:ascii="Times New Roman" w:hAnsi="Times New Roman" w:cs="Times New Roman"/>
          <w:sz w:val="24"/>
          <w:szCs w:val="24"/>
        </w:rPr>
        <w:t>,</w:t>
      </w:r>
      <w:r w:rsidR="00566C77" w:rsidRPr="00496500">
        <w:rPr>
          <w:rFonts w:ascii="Times New Roman" w:hAnsi="Times New Roman" w:cs="Times New Roman"/>
          <w:sz w:val="24"/>
          <w:szCs w:val="24"/>
        </w:rPr>
        <w:t xml:space="preserve">3% с достъп до </w:t>
      </w:r>
      <w:r w:rsidR="00493DDB" w:rsidRPr="00493DDB">
        <w:rPr>
          <w:rFonts w:ascii="Times New Roman" w:hAnsi="Times New Roman" w:cs="Times New Roman"/>
          <w:sz w:val="24"/>
          <w:szCs w:val="24"/>
        </w:rPr>
        <w:t>интернет, едва 10</w:t>
      </w:r>
      <w:r w:rsidR="007E2578">
        <w:rPr>
          <w:rFonts w:ascii="Times New Roman" w:hAnsi="Times New Roman" w:cs="Times New Roman"/>
          <w:sz w:val="24"/>
          <w:szCs w:val="24"/>
        </w:rPr>
        <w:t>,</w:t>
      </w:r>
      <w:r w:rsidR="00493DDB" w:rsidRPr="00493DDB">
        <w:rPr>
          <w:rFonts w:ascii="Times New Roman" w:hAnsi="Times New Roman" w:cs="Times New Roman"/>
          <w:sz w:val="24"/>
          <w:szCs w:val="24"/>
        </w:rPr>
        <w:t>5% ползват софтуер за управление на връзките с клиентите си и само 17</w:t>
      </w:r>
      <w:r w:rsidR="007E2578">
        <w:rPr>
          <w:rFonts w:ascii="Times New Roman" w:hAnsi="Times New Roman" w:cs="Times New Roman"/>
          <w:sz w:val="24"/>
          <w:szCs w:val="24"/>
        </w:rPr>
        <w:t>,</w:t>
      </w:r>
      <w:r w:rsidR="00493DDB" w:rsidRPr="00493DDB">
        <w:rPr>
          <w:rFonts w:ascii="Times New Roman" w:hAnsi="Times New Roman" w:cs="Times New Roman"/>
          <w:sz w:val="24"/>
          <w:szCs w:val="24"/>
        </w:rPr>
        <w:t xml:space="preserve">5% </w:t>
      </w:r>
      <w:r w:rsidR="00493DDB" w:rsidRPr="004C5C5B">
        <w:rPr>
          <w:rFonts w:ascii="Times New Roman" w:hAnsi="Times New Roman" w:cs="Times New Roman"/>
          <w:sz w:val="24"/>
          <w:szCs w:val="24"/>
        </w:rPr>
        <w:t>използват платени компютърни услуги в облак</w:t>
      </w:r>
      <w:r w:rsidR="00493DDB" w:rsidRPr="00493DDB">
        <w:rPr>
          <w:rFonts w:ascii="Times New Roman" w:hAnsi="Times New Roman" w:cs="Times New Roman"/>
          <w:sz w:val="24"/>
          <w:szCs w:val="24"/>
        </w:rPr>
        <w:t>.</w:t>
      </w:r>
      <w:r w:rsidR="00493DDB">
        <w:rPr>
          <w:rFonts w:ascii="Times New Roman" w:hAnsi="Times New Roman" w:cs="Times New Roman"/>
          <w:sz w:val="24"/>
          <w:szCs w:val="24"/>
        </w:rPr>
        <w:t xml:space="preserve"> </w:t>
      </w:r>
      <w:r w:rsidR="00493DDB" w:rsidRPr="00024AFE">
        <w:rPr>
          <w:rFonts w:ascii="Times New Roman" w:hAnsi="Times New Roman" w:cs="Times New Roman"/>
          <w:sz w:val="24"/>
          <w:szCs w:val="24"/>
        </w:rPr>
        <w:t>Въпреки отчетенето</w:t>
      </w:r>
      <w:r w:rsidR="00024AFE" w:rsidRPr="00765780">
        <w:rPr>
          <w:rFonts w:ascii="Times New Roman" w:hAnsi="Times New Roman" w:cs="Times New Roman"/>
          <w:sz w:val="24"/>
          <w:szCs w:val="24"/>
        </w:rPr>
        <w:t xml:space="preserve"> съществено</w:t>
      </w:r>
      <w:r w:rsidR="00493DDB" w:rsidRPr="00024AFE">
        <w:rPr>
          <w:rFonts w:ascii="Times New Roman" w:hAnsi="Times New Roman" w:cs="Times New Roman"/>
          <w:sz w:val="24"/>
          <w:szCs w:val="24"/>
        </w:rPr>
        <w:t xml:space="preserve"> нарастване за 2024 г. спрямо 2023 г. в броя на предприятията, които използват технологии с изкуствен интелект</w:t>
      </w:r>
      <w:r w:rsidR="00764E2E">
        <w:rPr>
          <w:rFonts w:ascii="Times New Roman" w:hAnsi="Times New Roman" w:cs="Times New Roman"/>
          <w:sz w:val="24"/>
          <w:szCs w:val="24"/>
        </w:rPr>
        <w:t xml:space="preserve"> (ИИ)</w:t>
      </w:r>
      <w:r w:rsidR="00493DDB" w:rsidRPr="00024AFE">
        <w:rPr>
          <w:rFonts w:ascii="Times New Roman" w:hAnsi="Times New Roman" w:cs="Times New Roman"/>
          <w:sz w:val="24"/>
          <w:szCs w:val="24"/>
        </w:rPr>
        <w:t>, техният дял от всички предприятия остава изключително нисък – съответно 6</w:t>
      </w:r>
      <w:r w:rsidR="007E2578">
        <w:rPr>
          <w:rFonts w:ascii="Times New Roman" w:hAnsi="Times New Roman" w:cs="Times New Roman"/>
          <w:sz w:val="24"/>
          <w:szCs w:val="24"/>
        </w:rPr>
        <w:t>,</w:t>
      </w:r>
      <w:r w:rsidR="00493DDB" w:rsidRPr="00024AFE">
        <w:rPr>
          <w:rFonts w:ascii="Times New Roman" w:hAnsi="Times New Roman" w:cs="Times New Roman"/>
          <w:sz w:val="24"/>
          <w:szCs w:val="24"/>
        </w:rPr>
        <w:t>5% и 3</w:t>
      </w:r>
      <w:r w:rsidR="007E2578">
        <w:rPr>
          <w:rFonts w:ascii="Times New Roman" w:hAnsi="Times New Roman" w:cs="Times New Roman"/>
          <w:sz w:val="24"/>
          <w:szCs w:val="24"/>
        </w:rPr>
        <w:t>,</w:t>
      </w:r>
      <w:r w:rsidR="00493DDB" w:rsidRPr="00024AFE">
        <w:rPr>
          <w:rFonts w:ascii="Times New Roman" w:hAnsi="Times New Roman" w:cs="Times New Roman"/>
          <w:sz w:val="24"/>
          <w:szCs w:val="24"/>
        </w:rPr>
        <w:t>6%.</w:t>
      </w:r>
    </w:p>
    <w:p w14:paraId="479A7EC5" w14:textId="755BD75D" w:rsidR="00B312C2" w:rsidRPr="00496500" w:rsidRDefault="00B312C2" w:rsidP="00493DDB">
      <w:pPr>
        <w:pStyle w:val="ListParagraph"/>
        <w:spacing w:before="120" w:after="120" w:line="240" w:lineRule="auto"/>
        <w:ind w:left="0" w:firstLine="720"/>
        <w:contextualSpacing w:val="0"/>
        <w:jc w:val="both"/>
        <w:rPr>
          <w:rFonts w:ascii="Times New Roman" w:hAnsi="Times New Roman" w:cs="Times New Roman"/>
          <w:sz w:val="24"/>
          <w:szCs w:val="24"/>
        </w:rPr>
      </w:pPr>
    </w:p>
    <w:p w14:paraId="0CFE2269" w14:textId="77777777" w:rsidR="00DA57E3" w:rsidRPr="00496500" w:rsidRDefault="00DA57E3" w:rsidP="003B412E">
      <w:pPr>
        <w:spacing w:after="120" w:line="240" w:lineRule="auto"/>
        <w:rPr>
          <w:rFonts w:ascii="Times New Roman" w:hAnsi="Times New Roman" w:cs="Times New Roman"/>
          <w:b/>
          <w:sz w:val="24"/>
          <w:szCs w:val="24"/>
        </w:rPr>
      </w:pPr>
      <w:r w:rsidRPr="00496500">
        <w:rPr>
          <w:rFonts w:ascii="Times New Roman" w:hAnsi="Times New Roman" w:cs="Times New Roman"/>
          <w:b/>
          <w:sz w:val="24"/>
          <w:szCs w:val="24"/>
        </w:rPr>
        <w:t>Социални фактори</w:t>
      </w:r>
    </w:p>
    <w:p w14:paraId="0C7ADDA1" w14:textId="2EEF9BCD"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Изпълнението на целите за намаляване на бедността и социалното изключване е тясно свързано с икономическото развитие, динамиката на протичащите социално-икономически процеси в страната и активното участие </w:t>
      </w:r>
      <w:r w:rsidR="00493DDB">
        <w:rPr>
          <w:rFonts w:ascii="Times New Roman" w:hAnsi="Times New Roman" w:cs="Times New Roman"/>
          <w:sz w:val="24"/>
          <w:szCs w:val="24"/>
        </w:rPr>
        <w:t xml:space="preserve">на гражданите, биснеса и неправителствения сектор </w:t>
      </w:r>
      <w:r w:rsidRPr="00496500">
        <w:rPr>
          <w:rFonts w:ascii="Times New Roman" w:hAnsi="Times New Roman" w:cs="Times New Roman"/>
          <w:sz w:val="24"/>
          <w:szCs w:val="24"/>
        </w:rPr>
        <w:t>в новопротичащите цифрови процеси. България е сред държавите, в които рискът от бедност за населението е над средното равнище за ЕС. Освен липсата на икономическа активност и участие на пазара на труда, другият основен фактор, увеличаващ риска за попадане в групата на бедните за преобладаващата част от населението, е базисната и функционална грамотност на населението.</w:t>
      </w:r>
      <w:r w:rsidR="00492906" w:rsidRPr="00496500">
        <w:rPr>
          <w:rFonts w:ascii="Times New Roman" w:hAnsi="Times New Roman" w:cs="Times New Roman"/>
          <w:sz w:val="24"/>
          <w:szCs w:val="24"/>
        </w:rPr>
        <w:t xml:space="preserve"> Съгласно Програмата за международна оценка на ученици PISA</w:t>
      </w:r>
      <w:r w:rsidR="00492906" w:rsidRPr="00496500">
        <w:rPr>
          <w:rStyle w:val="FootnoteReference"/>
          <w:rFonts w:ascii="Times New Roman" w:hAnsi="Times New Roman" w:cs="Times New Roman"/>
          <w:sz w:val="24"/>
          <w:szCs w:val="24"/>
        </w:rPr>
        <w:footnoteReference w:id="7"/>
      </w:r>
      <w:r w:rsidR="00492906" w:rsidRPr="00496500">
        <w:rPr>
          <w:rFonts w:ascii="Times New Roman" w:hAnsi="Times New Roman" w:cs="Times New Roman"/>
          <w:sz w:val="24"/>
          <w:szCs w:val="24"/>
        </w:rPr>
        <w:t xml:space="preserve"> на ОИРС, която се провежда на всеки три години, за 2023 г. България се нарежда на последно място в ЕС по функционална грамотност на своите ученици.</w:t>
      </w:r>
      <w:r w:rsidRPr="00496500">
        <w:rPr>
          <w:rFonts w:ascii="Times New Roman" w:hAnsi="Times New Roman" w:cs="Times New Roman"/>
          <w:sz w:val="24"/>
          <w:szCs w:val="24"/>
        </w:rPr>
        <w:t xml:space="preserve"> Успешната </w:t>
      </w:r>
      <w:r w:rsidR="00370A43" w:rsidRPr="00496500">
        <w:rPr>
          <w:rFonts w:ascii="Times New Roman" w:hAnsi="Times New Roman" w:cs="Times New Roman"/>
          <w:sz w:val="24"/>
          <w:szCs w:val="24"/>
        </w:rPr>
        <w:t>цифрова</w:t>
      </w:r>
      <w:r w:rsidRPr="00496500">
        <w:rPr>
          <w:rFonts w:ascii="Times New Roman" w:hAnsi="Times New Roman" w:cs="Times New Roman"/>
          <w:sz w:val="24"/>
          <w:szCs w:val="24"/>
        </w:rPr>
        <w:t xml:space="preserve"> трансформация е в пряко пропорционална зависимост от нивото на образование и грамотност на населението. </w:t>
      </w:r>
    </w:p>
    <w:p w14:paraId="609527E7" w14:textId="002ED99F" w:rsidR="003E44C3" w:rsidRPr="00496500" w:rsidRDefault="001B0F02"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Подходът</w:t>
      </w:r>
      <w:r w:rsidR="003E44C3" w:rsidRPr="00496500">
        <w:rPr>
          <w:rFonts w:ascii="Times New Roman" w:hAnsi="Times New Roman" w:cs="Times New Roman"/>
          <w:sz w:val="24"/>
          <w:szCs w:val="24"/>
        </w:rPr>
        <w:t xml:space="preserve"> на България към </w:t>
      </w:r>
      <w:r w:rsidR="00370A43" w:rsidRPr="00496500">
        <w:rPr>
          <w:rFonts w:ascii="Times New Roman" w:hAnsi="Times New Roman" w:cs="Times New Roman"/>
          <w:sz w:val="24"/>
          <w:szCs w:val="24"/>
        </w:rPr>
        <w:t>цифрово</w:t>
      </w:r>
      <w:r w:rsidR="003E44C3" w:rsidRPr="00496500">
        <w:rPr>
          <w:rFonts w:ascii="Times New Roman" w:hAnsi="Times New Roman" w:cs="Times New Roman"/>
          <w:sz w:val="24"/>
          <w:szCs w:val="24"/>
        </w:rPr>
        <w:t xml:space="preserve"> приобщаване е обещаващ</w:t>
      </w:r>
      <w:r w:rsidR="00493DDB">
        <w:rPr>
          <w:rFonts w:ascii="Times New Roman" w:hAnsi="Times New Roman" w:cs="Times New Roman"/>
          <w:sz w:val="24"/>
          <w:szCs w:val="24"/>
        </w:rPr>
        <w:t xml:space="preserve"> предвид</w:t>
      </w:r>
      <w:r w:rsidR="003E44C3" w:rsidRPr="00496500">
        <w:rPr>
          <w:rFonts w:ascii="Times New Roman" w:hAnsi="Times New Roman" w:cs="Times New Roman"/>
          <w:sz w:val="24"/>
          <w:szCs w:val="24"/>
        </w:rPr>
        <w:t xml:space="preserve"> целенасочени инвестиции в образование, </w:t>
      </w:r>
      <w:r w:rsidR="00AA68D1" w:rsidRPr="00496500">
        <w:rPr>
          <w:rFonts w:ascii="Times New Roman" w:hAnsi="Times New Roman" w:cs="Times New Roman"/>
          <w:sz w:val="24"/>
          <w:szCs w:val="24"/>
        </w:rPr>
        <w:t>цифрова</w:t>
      </w:r>
      <w:r w:rsidR="003E44C3" w:rsidRPr="00496500">
        <w:rPr>
          <w:rFonts w:ascii="Times New Roman" w:hAnsi="Times New Roman" w:cs="Times New Roman"/>
          <w:sz w:val="24"/>
          <w:szCs w:val="24"/>
        </w:rPr>
        <w:t xml:space="preserve"> инфраструктура и подобрения в цифровизацията на </w:t>
      </w:r>
      <w:r w:rsidR="00D14F33" w:rsidRPr="00496500">
        <w:rPr>
          <w:rFonts w:ascii="Times New Roman" w:hAnsi="Times New Roman" w:cs="Times New Roman"/>
          <w:sz w:val="24"/>
          <w:szCs w:val="24"/>
        </w:rPr>
        <w:t xml:space="preserve">публичните </w:t>
      </w:r>
      <w:r w:rsidR="003E44C3" w:rsidRPr="00496500">
        <w:rPr>
          <w:rFonts w:ascii="Times New Roman" w:hAnsi="Times New Roman" w:cs="Times New Roman"/>
          <w:sz w:val="24"/>
          <w:szCs w:val="24"/>
        </w:rPr>
        <w:t xml:space="preserve">услуги както за бизнеса, така и за гражданите. Въпреки текущите и добре насочени мерки, </w:t>
      </w:r>
      <w:r w:rsidRPr="00496500">
        <w:rPr>
          <w:rFonts w:ascii="Times New Roman" w:hAnsi="Times New Roman" w:cs="Times New Roman"/>
          <w:sz w:val="24"/>
          <w:szCs w:val="24"/>
        </w:rPr>
        <w:t>страната</w:t>
      </w:r>
      <w:r w:rsidR="003E44C3" w:rsidRPr="00496500">
        <w:rPr>
          <w:rFonts w:ascii="Times New Roman" w:hAnsi="Times New Roman" w:cs="Times New Roman"/>
          <w:sz w:val="24"/>
          <w:szCs w:val="24"/>
        </w:rPr>
        <w:t xml:space="preserve"> </w:t>
      </w:r>
      <w:r w:rsidR="00DB5468">
        <w:rPr>
          <w:rFonts w:ascii="Times New Roman" w:hAnsi="Times New Roman" w:cs="Times New Roman"/>
          <w:sz w:val="24"/>
          <w:szCs w:val="24"/>
        </w:rPr>
        <w:t xml:space="preserve">напредва бавно и </w:t>
      </w:r>
      <w:r w:rsidR="003E44C3" w:rsidRPr="00496500">
        <w:rPr>
          <w:rFonts w:ascii="Times New Roman" w:hAnsi="Times New Roman" w:cs="Times New Roman"/>
          <w:sz w:val="24"/>
          <w:szCs w:val="24"/>
        </w:rPr>
        <w:t>все още е изправена пред множество образов</w:t>
      </w:r>
      <w:r w:rsidRPr="00496500">
        <w:rPr>
          <w:rFonts w:ascii="Times New Roman" w:hAnsi="Times New Roman" w:cs="Times New Roman"/>
          <w:sz w:val="24"/>
          <w:szCs w:val="24"/>
        </w:rPr>
        <w:t>ателни предизвикателства, включващи</w:t>
      </w:r>
      <w:r w:rsidR="003E44C3" w:rsidRPr="00496500">
        <w:rPr>
          <w:rFonts w:ascii="Times New Roman" w:hAnsi="Times New Roman" w:cs="Times New Roman"/>
          <w:sz w:val="24"/>
          <w:szCs w:val="24"/>
        </w:rPr>
        <w:t xml:space="preserve"> </w:t>
      </w:r>
      <w:r w:rsidR="00FA2D5C">
        <w:rPr>
          <w:rFonts w:ascii="Times New Roman" w:hAnsi="Times New Roman" w:cs="Times New Roman"/>
          <w:sz w:val="24"/>
          <w:szCs w:val="24"/>
        </w:rPr>
        <w:t xml:space="preserve">развитие и изграждане на </w:t>
      </w:r>
      <w:r w:rsidR="003E44C3" w:rsidRPr="00496500">
        <w:rPr>
          <w:rFonts w:ascii="Times New Roman" w:hAnsi="Times New Roman" w:cs="Times New Roman"/>
          <w:sz w:val="24"/>
          <w:szCs w:val="24"/>
        </w:rPr>
        <w:t xml:space="preserve">цифрови умения, </w:t>
      </w:r>
      <w:r w:rsidR="00FA2D5C">
        <w:rPr>
          <w:rFonts w:ascii="Times New Roman" w:hAnsi="Times New Roman" w:cs="Times New Roman"/>
          <w:sz w:val="24"/>
          <w:szCs w:val="24"/>
        </w:rPr>
        <w:t>преодоляване на</w:t>
      </w:r>
      <w:r w:rsidR="00FA2D5C" w:rsidRPr="00496500">
        <w:rPr>
          <w:rFonts w:ascii="Times New Roman" w:hAnsi="Times New Roman" w:cs="Times New Roman"/>
          <w:sz w:val="24"/>
          <w:szCs w:val="24"/>
        </w:rPr>
        <w:t xml:space="preserve"> </w:t>
      </w:r>
      <w:r w:rsidR="00370A43" w:rsidRPr="00496500">
        <w:rPr>
          <w:rFonts w:ascii="Times New Roman" w:hAnsi="Times New Roman" w:cs="Times New Roman"/>
          <w:sz w:val="24"/>
          <w:szCs w:val="24"/>
        </w:rPr>
        <w:t>цифрово</w:t>
      </w:r>
      <w:r w:rsidR="00FA2D5C">
        <w:rPr>
          <w:rFonts w:ascii="Times New Roman" w:hAnsi="Times New Roman" w:cs="Times New Roman"/>
          <w:sz w:val="24"/>
          <w:szCs w:val="24"/>
        </w:rPr>
        <w:t>то</w:t>
      </w:r>
      <w:r w:rsidR="003E44C3" w:rsidRPr="00496500">
        <w:rPr>
          <w:rFonts w:ascii="Times New Roman" w:hAnsi="Times New Roman" w:cs="Times New Roman"/>
          <w:sz w:val="24"/>
          <w:szCs w:val="24"/>
        </w:rPr>
        <w:t xml:space="preserve"> </w:t>
      </w:r>
      <w:r w:rsidRPr="00496500">
        <w:rPr>
          <w:rFonts w:ascii="Times New Roman" w:hAnsi="Times New Roman" w:cs="Times New Roman"/>
          <w:sz w:val="24"/>
          <w:szCs w:val="24"/>
        </w:rPr>
        <w:t>изключване</w:t>
      </w:r>
      <w:r w:rsidR="003E44C3" w:rsidRPr="00496500">
        <w:rPr>
          <w:rFonts w:ascii="Times New Roman" w:hAnsi="Times New Roman" w:cs="Times New Roman"/>
          <w:sz w:val="24"/>
          <w:szCs w:val="24"/>
        </w:rPr>
        <w:t xml:space="preserve"> и липса</w:t>
      </w:r>
      <w:r w:rsidR="00FA2D5C">
        <w:rPr>
          <w:rFonts w:ascii="Times New Roman" w:hAnsi="Times New Roman" w:cs="Times New Roman"/>
          <w:sz w:val="24"/>
          <w:szCs w:val="24"/>
        </w:rPr>
        <w:t>та</w:t>
      </w:r>
      <w:r w:rsidR="003E44C3" w:rsidRPr="00496500">
        <w:rPr>
          <w:rFonts w:ascii="Times New Roman" w:hAnsi="Times New Roman" w:cs="Times New Roman"/>
          <w:sz w:val="24"/>
          <w:szCs w:val="24"/>
        </w:rPr>
        <w:t xml:space="preserve"> на</w:t>
      </w:r>
      <w:r w:rsidR="00FA2D5C">
        <w:rPr>
          <w:rFonts w:ascii="Times New Roman" w:hAnsi="Times New Roman" w:cs="Times New Roman"/>
          <w:sz w:val="24"/>
          <w:szCs w:val="24"/>
        </w:rPr>
        <w:t xml:space="preserve"> достатъчен</w:t>
      </w:r>
      <w:r w:rsidR="003E44C3" w:rsidRPr="00496500">
        <w:rPr>
          <w:rFonts w:ascii="Times New Roman" w:hAnsi="Times New Roman" w:cs="Times New Roman"/>
          <w:sz w:val="24"/>
          <w:szCs w:val="24"/>
        </w:rPr>
        <w:t xml:space="preserve"> капацитет за научни изследвания</w:t>
      </w:r>
      <w:r w:rsidR="00F03D42" w:rsidRPr="00496500">
        <w:rPr>
          <w:rFonts w:ascii="Times New Roman" w:hAnsi="Times New Roman" w:cs="Times New Roman"/>
          <w:sz w:val="24"/>
          <w:szCs w:val="24"/>
        </w:rPr>
        <w:t xml:space="preserve"> в областта</w:t>
      </w:r>
      <w:r w:rsidR="003E44C3" w:rsidRPr="00496500">
        <w:rPr>
          <w:rFonts w:ascii="Times New Roman" w:hAnsi="Times New Roman" w:cs="Times New Roman"/>
          <w:sz w:val="24"/>
          <w:szCs w:val="24"/>
        </w:rPr>
        <w:t>.</w:t>
      </w:r>
    </w:p>
    <w:p w14:paraId="5528AE85" w14:textId="77777777" w:rsidR="00DA57E3" w:rsidRPr="00496500" w:rsidRDefault="00DA57E3" w:rsidP="003B412E">
      <w:pPr>
        <w:spacing w:after="120" w:line="240" w:lineRule="auto"/>
        <w:rPr>
          <w:rFonts w:ascii="Times New Roman" w:hAnsi="Times New Roman" w:cs="Times New Roman"/>
          <w:b/>
          <w:sz w:val="24"/>
          <w:szCs w:val="24"/>
        </w:rPr>
      </w:pPr>
      <w:r w:rsidRPr="00496500">
        <w:rPr>
          <w:rFonts w:ascii="Times New Roman" w:hAnsi="Times New Roman" w:cs="Times New Roman"/>
          <w:b/>
          <w:sz w:val="24"/>
          <w:szCs w:val="24"/>
        </w:rPr>
        <w:t>Технологични фактори</w:t>
      </w:r>
    </w:p>
    <w:p w14:paraId="14BC09D9" w14:textId="5F61F003"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Оперативната съвместимост между информационните системи, регистри, софтуерни платформи и продукти представлява най-често прилаганият критерий за разработването и ефективното функциониране на различните цифрови решения. Това е способността на информационните системи да обработват, съхраняват и обменят електронни документи и данни помежду си, използвайки единни технологични стандарти и процеси</w:t>
      </w:r>
      <w:r w:rsidRPr="00496500">
        <w:rPr>
          <w:rFonts w:ascii="Times New Roman" w:hAnsi="Times New Roman" w:cs="Times New Roman"/>
          <w:sz w:val="24"/>
          <w:szCs w:val="24"/>
          <w:vertAlign w:val="superscript"/>
        </w:rPr>
        <w:footnoteReference w:id="8"/>
      </w:r>
      <w:r w:rsidRPr="00496500">
        <w:rPr>
          <w:rFonts w:ascii="Times New Roman" w:hAnsi="Times New Roman" w:cs="Times New Roman"/>
          <w:sz w:val="24"/>
          <w:szCs w:val="24"/>
        </w:rPr>
        <w:t xml:space="preserve">. Тя е предпоставката за реализацията и на трансграничните електронни услуги. Поради това, конкретните цели за </w:t>
      </w:r>
      <w:r w:rsidR="00AA68D1" w:rsidRPr="00496500">
        <w:rPr>
          <w:rFonts w:ascii="Times New Roman" w:hAnsi="Times New Roman" w:cs="Times New Roman"/>
          <w:sz w:val="24"/>
          <w:szCs w:val="24"/>
        </w:rPr>
        <w:t>цифрова</w:t>
      </w:r>
      <w:r w:rsidRPr="00496500">
        <w:rPr>
          <w:rFonts w:ascii="Times New Roman" w:hAnsi="Times New Roman" w:cs="Times New Roman"/>
          <w:sz w:val="24"/>
          <w:szCs w:val="24"/>
        </w:rPr>
        <w:t xml:space="preserve"> трансформация ще бъдат постигнати, ако приоритетно се предприемат действия по проектирането, интегрирането и стриктното прилагане на мерките за оперативна съвместимост. Все още са налице области от публичния сектор, в които липсват инициативи за оперативна съвместимост, като </w:t>
      </w:r>
      <w:r w:rsidRPr="00A92244">
        <w:rPr>
          <w:rFonts w:ascii="Times New Roman" w:hAnsi="Times New Roman" w:cs="Times New Roman"/>
          <w:sz w:val="24"/>
          <w:szCs w:val="24"/>
        </w:rPr>
        <w:t xml:space="preserve">например </w:t>
      </w:r>
      <w:r w:rsidR="00B57AAF" w:rsidRPr="00A92244">
        <w:rPr>
          <w:rFonts w:ascii="Times New Roman" w:hAnsi="Times New Roman" w:cs="Times New Roman"/>
          <w:sz w:val="24"/>
          <w:szCs w:val="24"/>
        </w:rPr>
        <w:t xml:space="preserve">секторът на </w:t>
      </w:r>
      <w:r w:rsidRPr="00A92244">
        <w:rPr>
          <w:rFonts w:ascii="Times New Roman" w:hAnsi="Times New Roman" w:cs="Times New Roman"/>
          <w:sz w:val="24"/>
          <w:szCs w:val="24"/>
        </w:rPr>
        <w:t>з</w:t>
      </w:r>
      <w:r w:rsidRPr="00496500">
        <w:rPr>
          <w:rFonts w:ascii="Times New Roman" w:hAnsi="Times New Roman" w:cs="Times New Roman"/>
          <w:sz w:val="24"/>
          <w:szCs w:val="24"/>
        </w:rPr>
        <w:t>дравеопазването</w:t>
      </w:r>
      <w:r w:rsidRPr="00496500">
        <w:rPr>
          <w:rFonts w:ascii="Times New Roman" w:hAnsi="Times New Roman" w:cs="Times New Roman"/>
          <w:sz w:val="24"/>
          <w:szCs w:val="24"/>
          <w:vertAlign w:val="superscript"/>
        </w:rPr>
        <w:footnoteReference w:id="9"/>
      </w:r>
      <w:r w:rsidR="00B57AAF">
        <w:rPr>
          <w:rFonts w:ascii="Times New Roman" w:hAnsi="Times New Roman" w:cs="Times New Roman"/>
          <w:sz w:val="24"/>
          <w:szCs w:val="24"/>
        </w:rPr>
        <w:t>.</w:t>
      </w:r>
    </w:p>
    <w:p w14:paraId="0CD28208" w14:textId="2596B642"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Министерство на електронното управление приключи проект за създаване на Национална рамка за оперативна съвместимост (НРОС), която е в съответствие с Европейската рамка за оперативна съвместимост. Към НРОС е разработена Референтната архитектура за оперативна съвместимост (РАОС), съответстваща на Европейската референтна архитектура EIRA версия 5.0. РАОС съдържа четири измерения на оперативната съвместимост: правн</w:t>
      </w:r>
      <w:r w:rsidR="00FA2D5C">
        <w:rPr>
          <w:rFonts w:ascii="Times New Roman" w:hAnsi="Times New Roman" w:cs="Times New Roman"/>
          <w:sz w:val="24"/>
          <w:szCs w:val="24"/>
        </w:rPr>
        <w:t>а</w:t>
      </w:r>
      <w:r w:rsidRPr="00496500">
        <w:rPr>
          <w:rFonts w:ascii="Times New Roman" w:hAnsi="Times New Roman" w:cs="Times New Roman"/>
          <w:sz w:val="24"/>
          <w:szCs w:val="24"/>
        </w:rPr>
        <w:t>, организационн</w:t>
      </w:r>
      <w:r w:rsidR="00FA2D5C">
        <w:rPr>
          <w:rFonts w:ascii="Times New Roman" w:hAnsi="Times New Roman" w:cs="Times New Roman"/>
          <w:sz w:val="24"/>
          <w:szCs w:val="24"/>
        </w:rPr>
        <w:t>а</w:t>
      </w:r>
      <w:r w:rsidRPr="00496500">
        <w:rPr>
          <w:rFonts w:ascii="Times New Roman" w:hAnsi="Times New Roman" w:cs="Times New Roman"/>
          <w:sz w:val="24"/>
          <w:szCs w:val="24"/>
        </w:rPr>
        <w:t>, семантичн</w:t>
      </w:r>
      <w:r w:rsidR="00FA2D5C">
        <w:rPr>
          <w:rFonts w:ascii="Times New Roman" w:hAnsi="Times New Roman" w:cs="Times New Roman"/>
          <w:sz w:val="24"/>
          <w:szCs w:val="24"/>
        </w:rPr>
        <w:t>а</w:t>
      </w:r>
      <w:r w:rsidRPr="00496500">
        <w:rPr>
          <w:rFonts w:ascii="Times New Roman" w:hAnsi="Times New Roman" w:cs="Times New Roman"/>
          <w:sz w:val="24"/>
          <w:szCs w:val="24"/>
        </w:rPr>
        <w:t xml:space="preserve"> и техническ</w:t>
      </w:r>
      <w:r w:rsidR="00FA2D5C">
        <w:rPr>
          <w:rFonts w:ascii="Times New Roman" w:hAnsi="Times New Roman" w:cs="Times New Roman"/>
          <w:sz w:val="24"/>
          <w:szCs w:val="24"/>
        </w:rPr>
        <w:t>а,</w:t>
      </w:r>
      <w:r w:rsidRPr="00496500">
        <w:rPr>
          <w:rFonts w:ascii="Times New Roman" w:hAnsi="Times New Roman" w:cs="Times New Roman"/>
          <w:sz w:val="24"/>
          <w:szCs w:val="24"/>
        </w:rPr>
        <w:t xml:space="preserve"> и дава общ понятиен апарат, така че да се постигне общо разбиране какво е необходимо да се реализира във всички области от публичния сектор, за да се осигури повсеместна оперативна съвместимост.</w:t>
      </w:r>
    </w:p>
    <w:p w14:paraId="02D3293A" w14:textId="77777777"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Оперативната съвместимост на данните, въвеждането на стандарти, процедури и общи решения, както и цифровизацията и интеграцията на ключови регистри, като основен носител на данни в публичния сектор в България към момента, са в основата на цифровото </w:t>
      </w:r>
      <w:r w:rsidRPr="00496500">
        <w:rPr>
          <w:rFonts w:ascii="Times New Roman" w:hAnsi="Times New Roman" w:cs="Times New Roman"/>
          <w:sz w:val="24"/>
          <w:szCs w:val="24"/>
        </w:rPr>
        <w:lastRenderedPageBreak/>
        <w:t>взаимодействие в публичния сектор между гражданите, бизнеса, научните и академичните среди, неправителствения сектор и администрацията.</w:t>
      </w:r>
    </w:p>
    <w:p w14:paraId="79E15202" w14:textId="21DAD380" w:rsidR="00DA57E3"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Въпреки осезаемия положителен ефект и напредъка от всички реализирани във времето инициативи в областта на електронното управление, цифровизацията във всички сфери на живота, особено в публичния сектор, както в европейски, така и в световен мащаб, продължава да изпреварва нивото и тенденциите на развитие в България. В глобален план съществено напредва разпространената парадигма за </w:t>
      </w:r>
      <w:r w:rsidR="00370A43" w:rsidRPr="00496500">
        <w:rPr>
          <w:rFonts w:ascii="Times New Roman" w:hAnsi="Times New Roman" w:cs="Times New Roman"/>
          <w:sz w:val="24"/>
          <w:szCs w:val="24"/>
        </w:rPr>
        <w:t>цифрово</w:t>
      </w:r>
      <w:r w:rsidRPr="00496500">
        <w:rPr>
          <w:rFonts w:ascii="Times New Roman" w:hAnsi="Times New Roman" w:cs="Times New Roman"/>
          <w:sz w:val="24"/>
          <w:szCs w:val="24"/>
        </w:rPr>
        <w:t>то общество, в което функционират управлението и икономиката, базирани на данните.</w:t>
      </w:r>
    </w:p>
    <w:p w14:paraId="71E42C42" w14:textId="4B418C37" w:rsidR="00965BA5" w:rsidRPr="00496500" w:rsidRDefault="00965BA5" w:rsidP="003B412E">
      <w:pPr>
        <w:spacing w:after="120" w:line="240" w:lineRule="auto"/>
        <w:ind w:firstLine="720"/>
        <w:jc w:val="both"/>
        <w:rPr>
          <w:rFonts w:ascii="Times New Roman" w:hAnsi="Times New Roman" w:cs="Times New Roman"/>
          <w:sz w:val="24"/>
          <w:szCs w:val="24"/>
        </w:rPr>
      </w:pPr>
      <w:r w:rsidRPr="00965BA5">
        <w:rPr>
          <w:rFonts w:ascii="Times New Roman" w:hAnsi="Times New Roman" w:cs="Times New Roman"/>
          <w:sz w:val="24"/>
          <w:szCs w:val="24"/>
        </w:rPr>
        <w:t xml:space="preserve">България </w:t>
      </w:r>
      <w:r>
        <w:rPr>
          <w:rFonts w:ascii="Times New Roman" w:hAnsi="Times New Roman" w:cs="Times New Roman"/>
          <w:sz w:val="24"/>
          <w:szCs w:val="24"/>
        </w:rPr>
        <w:t>постига</w:t>
      </w:r>
      <w:r w:rsidRPr="00965BA5">
        <w:rPr>
          <w:rFonts w:ascii="Times New Roman" w:hAnsi="Times New Roman" w:cs="Times New Roman"/>
          <w:sz w:val="24"/>
          <w:szCs w:val="24"/>
        </w:rPr>
        <w:t xml:space="preserve"> </w:t>
      </w:r>
      <w:r>
        <w:rPr>
          <w:rFonts w:ascii="Times New Roman" w:hAnsi="Times New Roman" w:cs="Times New Roman"/>
          <w:sz w:val="24"/>
          <w:szCs w:val="24"/>
        </w:rPr>
        <w:t>слабозадоволителни</w:t>
      </w:r>
      <w:r w:rsidRPr="00965BA5">
        <w:rPr>
          <w:rFonts w:ascii="Times New Roman" w:hAnsi="Times New Roman" w:cs="Times New Roman"/>
          <w:sz w:val="24"/>
          <w:szCs w:val="24"/>
        </w:rPr>
        <w:t xml:space="preserve"> резултати </w:t>
      </w:r>
      <w:r>
        <w:rPr>
          <w:rFonts w:ascii="Times New Roman" w:hAnsi="Times New Roman" w:cs="Times New Roman"/>
          <w:sz w:val="24"/>
          <w:szCs w:val="24"/>
        </w:rPr>
        <w:t xml:space="preserve">по отношеие на създаването и използването на </w:t>
      </w:r>
      <w:r w:rsidR="00C418E8">
        <w:rPr>
          <w:rFonts w:ascii="Times New Roman" w:hAnsi="Times New Roman" w:cs="Times New Roman"/>
          <w:sz w:val="24"/>
          <w:szCs w:val="24"/>
        </w:rPr>
        <w:t>н</w:t>
      </w:r>
      <w:r>
        <w:rPr>
          <w:rFonts w:ascii="Times New Roman" w:hAnsi="Times New Roman" w:cs="Times New Roman"/>
          <w:sz w:val="24"/>
          <w:szCs w:val="24"/>
        </w:rPr>
        <w:t xml:space="preserve">ови технологии </w:t>
      </w:r>
      <w:r w:rsidR="00B57AAF">
        <w:rPr>
          <w:rFonts w:ascii="Times New Roman" w:hAnsi="Times New Roman" w:cs="Times New Roman"/>
          <w:sz w:val="24"/>
          <w:szCs w:val="24"/>
        </w:rPr>
        <w:sym w:font="Symbol" w:char="F02D"/>
      </w:r>
      <w:r>
        <w:rPr>
          <w:rFonts w:ascii="Times New Roman" w:hAnsi="Times New Roman" w:cs="Times New Roman"/>
          <w:sz w:val="24"/>
          <w:szCs w:val="24"/>
        </w:rPr>
        <w:t xml:space="preserve"> </w:t>
      </w:r>
      <w:r w:rsidRPr="00965BA5">
        <w:rPr>
          <w:rFonts w:ascii="Times New Roman" w:hAnsi="Times New Roman" w:cs="Times New Roman"/>
          <w:sz w:val="24"/>
          <w:szCs w:val="24"/>
        </w:rPr>
        <w:t xml:space="preserve">облачни технологии, </w:t>
      </w:r>
      <w:r>
        <w:rPr>
          <w:rFonts w:ascii="Times New Roman" w:hAnsi="Times New Roman" w:cs="Times New Roman"/>
          <w:sz w:val="24"/>
          <w:szCs w:val="24"/>
        </w:rPr>
        <w:t xml:space="preserve">технологии за </w:t>
      </w:r>
      <w:r w:rsidRPr="00965BA5">
        <w:rPr>
          <w:rFonts w:ascii="Times New Roman" w:hAnsi="Times New Roman" w:cs="Times New Roman"/>
          <w:sz w:val="24"/>
          <w:szCs w:val="24"/>
        </w:rPr>
        <w:t xml:space="preserve">анализ на данни и технологии за изкуствен интелект. </w:t>
      </w:r>
      <w:r>
        <w:rPr>
          <w:rFonts w:ascii="Times New Roman" w:hAnsi="Times New Roman" w:cs="Times New Roman"/>
          <w:sz w:val="24"/>
          <w:szCs w:val="24"/>
        </w:rPr>
        <w:t>Страната</w:t>
      </w:r>
      <w:r w:rsidRPr="00965BA5">
        <w:rPr>
          <w:rFonts w:ascii="Times New Roman" w:hAnsi="Times New Roman" w:cs="Times New Roman"/>
          <w:sz w:val="24"/>
          <w:szCs w:val="24"/>
        </w:rPr>
        <w:t xml:space="preserve"> изостава значително от средните стойности за ЕС и в трите области.</w:t>
      </w:r>
    </w:p>
    <w:p w14:paraId="541422EB" w14:textId="77777777" w:rsidR="00DA57E3" w:rsidRPr="00496500" w:rsidRDefault="00DA57E3" w:rsidP="003B412E">
      <w:pPr>
        <w:spacing w:after="120" w:line="240" w:lineRule="auto"/>
        <w:rPr>
          <w:rFonts w:ascii="Times New Roman" w:hAnsi="Times New Roman" w:cs="Times New Roman"/>
          <w:b/>
          <w:sz w:val="24"/>
          <w:szCs w:val="24"/>
        </w:rPr>
      </w:pPr>
      <w:r w:rsidRPr="00496500">
        <w:rPr>
          <w:rFonts w:ascii="Times New Roman" w:hAnsi="Times New Roman" w:cs="Times New Roman"/>
          <w:b/>
          <w:sz w:val="24"/>
          <w:szCs w:val="24"/>
        </w:rPr>
        <w:t>Нормативна рамка</w:t>
      </w:r>
    </w:p>
    <w:p w14:paraId="238C7C72" w14:textId="2CACEDC0"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Динамиката на средата и развитието на процесите на цифрова трансформация определят активната работа по създаване, допълнение и изменение на законодателството, касаещо електронното управление и цифровите процеси. Само Законът за електронното управление (ЗЕУ) е изменян и допълван </w:t>
      </w:r>
      <w:r w:rsidR="00995345">
        <w:rPr>
          <w:rFonts w:ascii="Times New Roman" w:hAnsi="Times New Roman" w:cs="Times New Roman"/>
          <w:sz w:val="24"/>
          <w:szCs w:val="24"/>
        </w:rPr>
        <w:t>шест</w:t>
      </w:r>
      <w:r w:rsidR="00995345" w:rsidRPr="00496500">
        <w:rPr>
          <w:rFonts w:ascii="Times New Roman" w:hAnsi="Times New Roman" w:cs="Times New Roman"/>
          <w:sz w:val="24"/>
          <w:szCs w:val="24"/>
        </w:rPr>
        <w:t xml:space="preserve"> </w:t>
      </w:r>
      <w:r w:rsidR="008D62E3" w:rsidRPr="00496500">
        <w:rPr>
          <w:rFonts w:ascii="Times New Roman" w:hAnsi="Times New Roman" w:cs="Times New Roman"/>
          <w:sz w:val="24"/>
          <w:szCs w:val="24"/>
        </w:rPr>
        <w:t xml:space="preserve">пъти </w:t>
      </w:r>
      <w:r w:rsidRPr="00496500">
        <w:rPr>
          <w:rFonts w:ascii="Times New Roman" w:hAnsi="Times New Roman" w:cs="Times New Roman"/>
          <w:sz w:val="24"/>
          <w:szCs w:val="24"/>
        </w:rPr>
        <w:t xml:space="preserve">през последните пет години. С последните си </w:t>
      </w:r>
      <w:r w:rsidR="008D62E3" w:rsidRPr="00496500">
        <w:rPr>
          <w:rFonts w:ascii="Times New Roman" w:hAnsi="Times New Roman" w:cs="Times New Roman"/>
          <w:sz w:val="24"/>
          <w:szCs w:val="24"/>
        </w:rPr>
        <w:t>промени</w:t>
      </w:r>
      <w:r w:rsidRPr="00496500">
        <w:rPr>
          <w:rFonts w:ascii="Times New Roman" w:hAnsi="Times New Roman" w:cs="Times New Roman"/>
          <w:sz w:val="24"/>
          <w:szCs w:val="24"/>
        </w:rPr>
        <w:t xml:space="preserve"> той урежда изисквания към структурата и функционалностите на електронните регистри на административните органи, одита на системата за сигурно електронно връчване, реда за заявяване и използване на регистър чрез системата за централизирано изграждане на регистри, стандартите и реда за използване на споделените ресурси на електронното управление.</w:t>
      </w:r>
    </w:p>
    <w:p w14:paraId="5F8EEA8B" w14:textId="065B082E"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От друга страна, честите промени в политическия живот водят до забавяне в </w:t>
      </w:r>
      <w:r w:rsidR="005850FD" w:rsidRPr="00496500">
        <w:rPr>
          <w:rFonts w:ascii="Times New Roman" w:hAnsi="Times New Roman" w:cs="Times New Roman"/>
          <w:sz w:val="24"/>
          <w:szCs w:val="24"/>
        </w:rPr>
        <w:t xml:space="preserve">прилагането </w:t>
      </w:r>
      <w:r w:rsidRPr="00496500">
        <w:rPr>
          <w:rFonts w:ascii="Times New Roman" w:hAnsi="Times New Roman" w:cs="Times New Roman"/>
          <w:sz w:val="24"/>
          <w:szCs w:val="24"/>
        </w:rPr>
        <w:t xml:space="preserve">и </w:t>
      </w:r>
      <w:r w:rsidR="005850FD" w:rsidRPr="00496500">
        <w:rPr>
          <w:rFonts w:ascii="Times New Roman" w:hAnsi="Times New Roman" w:cs="Times New Roman"/>
          <w:sz w:val="24"/>
          <w:szCs w:val="24"/>
        </w:rPr>
        <w:t>транспонирането</w:t>
      </w:r>
      <w:r w:rsidR="005850FD" w:rsidRPr="00496500" w:rsidDel="005850FD">
        <w:rPr>
          <w:rFonts w:ascii="Times New Roman" w:hAnsi="Times New Roman" w:cs="Times New Roman"/>
          <w:sz w:val="24"/>
          <w:szCs w:val="24"/>
        </w:rPr>
        <w:t xml:space="preserve"> </w:t>
      </w:r>
      <w:r w:rsidRPr="00496500">
        <w:rPr>
          <w:rFonts w:ascii="Times New Roman" w:hAnsi="Times New Roman" w:cs="Times New Roman"/>
          <w:sz w:val="24"/>
          <w:szCs w:val="24"/>
        </w:rPr>
        <w:t>на множество законодателни актове на европейско ниво (</w:t>
      </w:r>
      <w:r w:rsidR="00496719" w:rsidRPr="00496500">
        <w:rPr>
          <w:rFonts w:ascii="Times New Roman" w:hAnsi="Times New Roman" w:cs="Times New Roman"/>
          <w:sz w:val="24"/>
          <w:szCs w:val="24"/>
        </w:rPr>
        <w:t xml:space="preserve">например </w:t>
      </w:r>
      <w:r w:rsidRPr="00496500">
        <w:rPr>
          <w:rFonts w:ascii="Times New Roman" w:hAnsi="Times New Roman" w:cs="Times New Roman"/>
          <w:sz w:val="24"/>
          <w:szCs w:val="24"/>
        </w:rPr>
        <w:t>Акт за управление на данните</w:t>
      </w:r>
      <w:r w:rsidRPr="00496500">
        <w:rPr>
          <w:rFonts w:ascii="Times New Roman" w:hAnsi="Times New Roman" w:cs="Times New Roman"/>
          <w:sz w:val="24"/>
          <w:szCs w:val="24"/>
          <w:vertAlign w:val="superscript"/>
        </w:rPr>
        <w:footnoteReference w:id="10"/>
      </w:r>
      <w:r w:rsidRPr="00496500">
        <w:rPr>
          <w:rFonts w:ascii="Times New Roman" w:hAnsi="Times New Roman" w:cs="Times New Roman"/>
          <w:sz w:val="24"/>
          <w:szCs w:val="24"/>
        </w:rPr>
        <w:t>, Директива (ЕС) 2019/1024 на Европейския парламент и на Съвета от 20 юни 2019 година относно отворените данни и повторното използване на информацията от обществения сектор, Директива (ЕС) 2022/2555 на Европейския парламент и на Съвета от 14 декември 2022 година относно мерки за високо общо ниво на киберсигурност в Съюза, за изменение на Регламент (ЕС) № 910/2014 и Директива (ЕС) 2018/1972 и за отмяна на Директива (ЕС) 2016/1148 (Директива МИС 2)).</w:t>
      </w:r>
    </w:p>
    <w:p w14:paraId="08C8BB21" w14:textId="0129BB71"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Редица основополагащи процеси за реалното случване на </w:t>
      </w:r>
      <w:r w:rsidR="00AA68D1" w:rsidRPr="00496500">
        <w:rPr>
          <w:rFonts w:ascii="Times New Roman" w:hAnsi="Times New Roman" w:cs="Times New Roman"/>
          <w:sz w:val="24"/>
          <w:szCs w:val="24"/>
        </w:rPr>
        <w:t>цифрова</w:t>
      </w:r>
      <w:r w:rsidRPr="00496500">
        <w:rPr>
          <w:rFonts w:ascii="Times New Roman" w:hAnsi="Times New Roman" w:cs="Times New Roman"/>
          <w:sz w:val="24"/>
          <w:szCs w:val="24"/>
        </w:rPr>
        <w:t>та трансформация зависят от регулациите на по-вис</w:t>
      </w:r>
      <w:r w:rsidR="00AA68D1" w:rsidRPr="00496500">
        <w:rPr>
          <w:rFonts w:ascii="Times New Roman" w:hAnsi="Times New Roman" w:cs="Times New Roman"/>
          <w:sz w:val="24"/>
          <w:szCs w:val="24"/>
        </w:rPr>
        <w:t>о</w:t>
      </w:r>
      <w:r w:rsidRPr="00496500">
        <w:rPr>
          <w:rFonts w:ascii="Times New Roman" w:hAnsi="Times New Roman" w:cs="Times New Roman"/>
          <w:sz w:val="24"/>
          <w:szCs w:val="24"/>
        </w:rPr>
        <w:t>ко</w:t>
      </w:r>
      <w:r w:rsidR="00B440F9">
        <w:rPr>
          <w:rFonts w:ascii="Times New Roman" w:hAnsi="Times New Roman" w:cs="Times New Roman"/>
          <w:sz w:val="24"/>
          <w:szCs w:val="24"/>
        </w:rPr>
        <w:t>,</w:t>
      </w:r>
      <w:r w:rsidRPr="00496500">
        <w:rPr>
          <w:rFonts w:ascii="Times New Roman" w:hAnsi="Times New Roman" w:cs="Times New Roman"/>
          <w:sz w:val="24"/>
          <w:szCs w:val="24"/>
        </w:rPr>
        <w:t xml:space="preserve"> европейско ниво и следва да бъдат съобразени с прилагането на законодателството във всички държави членки. Пример за това е обменът на информация, която съдържа лични данни</w:t>
      </w:r>
      <w:r w:rsidR="00B05C98">
        <w:rPr>
          <w:rFonts w:ascii="Times New Roman" w:hAnsi="Times New Roman" w:cs="Times New Roman"/>
          <w:sz w:val="24"/>
          <w:szCs w:val="24"/>
        </w:rPr>
        <w:t>,</w:t>
      </w:r>
      <w:r w:rsidRPr="00496500">
        <w:rPr>
          <w:rFonts w:ascii="Times New Roman" w:hAnsi="Times New Roman" w:cs="Times New Roman"/>
          <w:sz w:val="24"/>
          <w:szCs w:val="24"/>
        </w:rPr>
        <w:t xml:space="preserve"> и който следва да се подчинява на принципите, залегнали в Регламент (ЕС) 2016/679 относно защитата на физическите лица във връзка с обработването на лични данни и относно свободното движение на такива данни (Общ регламент за защита на данните,</w:t>
      </w:r>
      <w:r w:rsidR="00CC2C02" w:rsidRPr="00496500">
        <w:rPr>
          <w:rFonts w:ascii="Times New Roman" w:hAnsi="Times New Roman" w:cs="Times New Roman"/>
          <w:sz w:val="24"/>
          <w:szCs w:val="24"/>
        </w:rPr>
        <w:t xml:space="preserve"> </w:t>
      </w:r>
      <w:r w:rsidRPr="00496500">
        <w:rPr>
          <w:rFonts w:ascii="Times New Roman" w:hAnsi="Times New Roman" w:cs="Times New Roman"/>
          <w:sz w:val="24"/>
          <w:szCs w:val="24"/>
        </w:rPr>
        <w:t xml:space="preserve">ОРЗД). В немалко случаи ОРЗД поражда допълнителна административна тежест, която гражданите понасят, като цена за сигурността на техните лични данни. Същевременно, някои национални </w:t>
      </w:r>
      <w:r w:rsidR="005A35DB">
        <w:rPr>
          <w:rFonts w:ascii="Times New Roman" w:hAnsi="Times New Roman" w:cs="Times New Roman"/>
          <w:sz w:val="24"/>
          <w:szCs w:val="24"/>
        </w:rPr>
        <w:t xml:space="preserve">нормативни </w:t>
      </w:r>
      <w:r w:rsidRPr="00496500">
        <w:rPr>
          <w:rFonts w:ascii="Times New Roman" w:hAnsi="Times New Roman" w:cs="Times New Roman"/>
          <w:sz w:val="24"/>
          <w:szCs w:val="24"/>
        </w:rPr>
        <w:t>актове, например в областта на здравеопазването (Закон за здравето), съдържат специални разпоредби във връзка със защита на личните данни на гражданите, но липсват регламентации по отношение на възможностите гражданите сами да управляват своите данни.</w:t>
      </w:r>
    </w:p>
    <w:p w14:paraId="17BF924B" w14:textId="77777777"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С оглед на горепосоченото, друг пример за обща регулация на европейско ниво е използването на сигурни средства за електронна идентификация и автентикация, предвидени в Регламент (ЕС) № 910/2014</w:t>
      </w:r>
      <w:r w:rsidRPr="00496500">
        <w:rPr>
          <w:rFonts w:ascii="Times New Roman" w:hAnsi="Times New Roman" w:cs="Times New Roman"/>
          <w:sz w:val="24"/>
          <w:szCs w:val="24"/>
          <w:vertAlign w:val="superscript"/>
        </w:rPr>
        <w:footnoteReference w:id="11"/>
      </w:r>
      <w:r w:rsidRPr="00496500">
        <w:rPr>
          <w:rFonts w:ascii="Times New Roman" w:hAnsi="Times New Roman" w:cs="Times New Roman"/>
          <w:sz w:val="24"/>
          <w:szCs w:val="24"/>
        </w:rPr>
        <w:t xml:space="preserve"> на Европейския парламент и на Съвета от 23 </w:t>
      </w:r>
      <w:r w:rsidRPr="00496500">
        <w:rPr>
          <w:rFonts w:ascii="Times New Roman" w:hAnsi="Times New Roman" w:cs="Times New Roman"/>
          <w:sz w:val="24"/>
          <w:szCs w:val="24"/>
        </w:rPr>
        <w:lastRenderedPageBreak/>
        <w:t xml:space="preserve">юли 2014 година относно електронната идентификация и удостоверителните услуги при електронни трансакции на вътрешния пазар. Регламентът урежда условията, при които признати средства за електронна идентификация могат да се използват от гражданите за онлайн достъп до </w:t>
      </w:r>
      <w:r w:rsidR="00D14F33" w:rsidRPr="00496500">
        <w:rPr>
          <w:rFonts w:ascii="Times New Roman" w:hAnsi="Times New Roman" w:cs="Times New Roman"/>
          <w:sz w:val="24"/>
          <w:szCs w:val="24"/>
        </w:rPr>
        <w:t xml:space="preserve">публични </w:t>
      </w:r>
      <w:r w:rsidRPr="00496500">
        <w:rPr>
          <w:rFonts w:ascii="Times New Roman" w:hAnsi="Times New Roman" w:cs="Times New Roman"/>
          <w:sz w:val="24"/>
          <w:szCs w:val="24"/>
        </w:rPr>
        <w:t>услуги в различните държави членки. Разнопосочните практики на изпълнение на изискванията на Регламента в различните държави членки, включително от гледна точка на времевото внедряване на националните схеми за идентификация, възпрепятстват пълноценното реализиране и ползване на трансграничните цифрови услуги.</w:t>
      </w:r>
    </w:p>
    <w:p w14:paraId="2B5C0EA8" w14:textId="56572636" w:rsidR="00DA57E3" w:rsidRPr="00496500" w:rsidRDefault="00DA57E3"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В световен план данните вече се определят като ключов капитал за обществата. Наличието на все повече цифрови данни и подобряването на начина, по който те се събират, налага</w:t>
      </w:r>
      <w:r w:rsidR="00496719" w:rsidRPr="00496500">
        <w:rPr>
          <w:rFonts w:ascii="Times New Roman" w:hAnsi="Times New Roman" w:cs="Times New Roman"/>
          <w:sz w:val="24"/>
          <w:szCs w:val="24"/>
        </w:rPr>
        <w:t>т</w:t>
      </w:r>
      <w:r w:rsidRPr="00496500">
        <w:rPr>
          <w:rFonts w:ascii="Times New Roman" w:hAnsi="Times New Roman" w:cs="Times New Roman"/>
          <w:sz w:val="24"/>
          <w:szCs w:val="24"/>
        </w:rPr>
        <w:t xml:space="preserve"> на европейско ниво създаването на специфична нормативна рамка, която от своя страна следва с бързи темпове да се адаптира и приложи на национално ниво. </w:t>
      </w:r>
      <w:r w:rsidR="00496719" w:rsidRPr="00496500">
        <w:rPr>
          <w:rFonts w:ascii="Times New Roman" w:hAnsi="Times New Roman" w:cs="Times New Roman"/>
          <w:sz w:val="24"/>
          <w:szCs w:val="24"/>
        </w:rPr>
        <w:t xml:space="preserve">Например </w:t>
      </w:r>
      <w:r w:rsidRPr="00496500">
        <w:rPr>
          <w:rFonts w:ascii="Times New Roman" w:hAnsi="Times New Roman" w:cs="Times New Roman"/>
          <w:sz w:val="24"/>
          <w:szCs w:val="24"/>
        </w:rPr>
        <w:t xml:space="preserve">Регламент (ЕС) № 2022/868 на Европейския парламент и на Съвета от 30 май 2022 г. относно европейска рамка за управление на данните и за изменение на Регламент (ЕС) № 2018/1724 (Акт за управление на данните) и Регламент (ЕС) № 2023/2854 на Европейския парламент и на Съвета от 13 декември 2023 г. относно хармонизирани правила за справедлив достъп до данни и за тяхното използване и за изменение на Регламент (ЕС) 2017/2394 и Директива (ЕС) 2020/1828 (Акт за данните) имат пряко (непосредствено) действие във всички държави </w:t>
      </w:r>
      <w:r w:rsidR="00B05C98">
        <w:rPr>
          <w:rFonts w:ascii="Times New Roman" w:hAnsi="Times New Roman" w:cs="Times New Roman"/>
          <w:sz w:val="24"/>
          <w:szCs w:val="24"/>
        </w:rPr>
        <w:sym w:font="Symbol" w:char="F02D"/>
      </w:r>
      <w:r w:rsidR="00B05C98">
        <w:rPr>
          <w:rFonts w:ascii="Times New Roman" w:hAnsi="Times New Roman" w:cs="Times New Roman"/>
          <w:sz w:val="24"/>
          <w:szCs w:val="24"/>
        </w:rPr>
        <w:t xml:space="preserve"> </w:t>
      </w:r>
      <w:r w:rsidRPr="00496500">
        <w:rPr>
          <w:rFonts w:ascii="Times New Roman" w:hAnsi="Times New Roman" w:cs="Times New Roman"/>
          <w:sz w:val="24"/>
          <w:szCs w:val="24"/>
        </w:rPr>
        <w:t>членки на ЕС</w:t>
      </w:r>
      <w:r w:rsidR="00B05C98">
        <w:rPr>
          <w:rFonts w:ascii="Times New Roman" w:hAnsi="Times New Roman" w:cs="Times New Roman"/>
          <w:sz w:val="24"/>
          <w:szCs w:val="24"/>
        </w:rPr>
        <w:t>,</w:t>
      </w:r>
      <w:r w:rsidRPr="00496500">
        <w:rPr>
          <w:rFonts w:ascii="Times New Roman" w:hAnsi="Times New Roman" w:cs="Times New Roman"/>
          <w:sz w:val="24"/>
          <w:szCs w:val="24"/>
        </w:rPr>
        <w:t xml:space="preserve"> от деня на влизането си в сила. Въпреки това непосредствено действие, държавите членки имат задължението да осигурят и гарантират прилагането им в тяхната цялост. И в двата регламента на държавите членки са предоставени възможности за избор на най-подходящите мерки за съответната национална правна и институционална система.</w:t>
      </w:r>
    </w:p>
    <w:p w14:paraId="05AAFA7B" w14:textId="77777777" w:rsidR="000E2768" w:rsidRPr="00496500" w:rsidRDefault="000E2768" w:rsidP="003B412E">
      <w:pPr>
        <w:spacing w:after="120" w:line="240" w:lineRule="auto"/>
        <w:ind w:firstLine="720"/>
        <w:jc w:val="both"/>
        <w:rPr>
          <w:rFonts w:ascii="Times New Roman" w:hAnsi="Times New Roman" w:cs="Times New Roman"/>
          <w:sz w:val="24"/>
          <w:szCs w:val="24"/>
        </w:rPr>
      </w:pPr>
    </w:p>
    <w:p w14:paraId="0B58040C" w14:textId="48F7C5BC" w:rsidR="003E17D3" w:rsidRPr="00496500" w:rsidRDefault="003E17D3" w:rsidP="003B412E">
      <w:pPr>
        <w:pStyle w:val="ListParagraph"/>
        <w:numPr>
          <w:ilvl w:val="0"/>
          <w:numId w:val="10"/>
        </w:numPr>
        <w:spacing w:after="120" w:line="240" w:lineRule="auto"/>
        <w:contextualSpacing w:val="0"/>
        <w:outlineLvl w:val="0"/>
        <w:rPr>
          <w:rFonts w:ascii="Times New Roman" w:hAnsi="Times New Roman" w:cs="Times New Roman"/>
          <w:b/>
          <w:color w:val="2E74B5" w:themeColor="accent1" w:themeShade="BF"/>
          <w:sz w:val="28"/>
          <w:szCs w:val="28"/>
        </w:rPr>
      </w:pPr>
      <w:bookmarkStart w:id="3" w:name="_Toc209084885"/>
      <w:r w:rsidRPr="00496500">
        <w:rPr>
          <w:rFonts w:ascii="Times New Roman" w:hAnsi="Times New Roman" w:cs="Times New Roman"/>
          <w:b/>
          <w:color w:val="2E74B5" w:themeColor="accent1" w:themeShade="BF"/>
          <w:sz w:val="28"/>
          <w:szCs w:val="28"/>
        </w:rPr>
        <w:t>Настоящо положение на цифровизацията в Р</w:t>
      </w:r>
      <w:r w:rsidR="005A35DB">
        <w:rPr>
          <w:rFonts w:ascii="Times New Roman" w:hAnsi="Times New Roman" w:cs="Times New Roman"/>
          <w:b/>
          <w:color w:val="2E74B5" w:themeColor="accent1" w:themeShade="BF"/>
          <w:sz w:val="28"/>
          <w:szCs w:val="28"/>
        </w:rPr>
        <w:t>епублика</w:t>
      </w:r>
      <w:r w:rsidRPr="00496500">
        <w:rPr>
          <w:rFonts w:ascii="Times New Roman" w:hAnsi="Times New Roman" w:cs="Times New Roman"/>
          <w:b/>
          <w:color w:val="2E74B5" w:themeColor="accent1" w:themeShade="BF"/>
          <w:sz w:val="28"/>
          <w:szCs w:val="28"/>
        </w:rPr>
        <w:t xml:space="preserve"> България</w:t>
      </w:r>
      <w:bookmarkEnd w:id="3"/>
    </w:p>
    <w:p w14:paraId="4A9FFF26" w14:textId="096FF484" w:rsidR="00A87078" w:rsidRPr="00496500" w:rsidRDefault="00D44A38"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В </w:t>
      </w:r>
      <w:hyperlink r:id="rId14" w:history="1">
        <w:r w:rsidR="00491D83" w:rsidRPr="00496500">
          <w:rPr>
            <w:rStyle w:val="Hyperlink"/>
            <w:rFonts w:ascii="Times New Roman" w:hAnsi="Times New Roman" w:cs="Times New Roman"/>
            <w:sz w:val="24"/>
            <w:szCs w:val="24"/>
          </w:rPr>
          <w:t>доклада на Организацията на обединените нации (ООН)</w:t>
        </w:r>
      </w:hyperlink>
      <w:r w:rsidR="0071777E" w:rsidRPr="00496500">
        <w:rPr>
          <w:rStyle w:val="FootnoteReference"/>
          <w:rFonts w:ascii="Times New Roman" w:hAnsi="Times New Roman" w:cs="Times New Roman"/>
          <w:sz w:val="24"/>
          <w:szCs w:val="24"/>
        </w:rPr>
        <w:footnoteReference w:id="12"/>
      </w:r>
      <w:r w:rsidR="00491D83" w:rsidRPr="00496500">
        <w:rPr>
          <w:rFonts w:ascii="Times New Roman" w:hAnsi="Times New Roman" w:cs="Times New Roman"/>
          <w:sz w:val="24"/>
          <w:szCs w:val="24"/>
        </w:rPr>
        <w:t xml:space="preserve"> </w:t>
      </w:r>
      <w:r w:rsidR="0071777E" w:rsidRPr="00496500">
        <w:rPr>
          <w:rFonts w:ascii="Times New Roman" w:hAnsi="Times New Roman" w:cs="Times New Roman"/>
          <w:sz w:val="24"/>
          <w:szCs w:val="24"/>
        </w:rPr>
        <w:t xml:space="preserve">от проучване на електронното управление </w:t>
      </w:r>
      <w:r w:rsidR="00DE39BB" w:rsidRPr="00496500">
        <w:rPr>
          <w:rFonts w:ascii="Times New Roman" w:hAnsi="Times New Roman" w:cs="Times New Roman"/>
          <w:sz w:val="24"/>
          <w:szCs w:val="24"/>
        </w:rPr>
        <w:t>през</w:t>
      </w:r>
      <w:r w:rsidR="0071777E" w:rsidRPr="00496500">
        <w:rPr>
          <w:rFonts w:ascii="Times New Roman" w:hAnsi="Times New Roman" w:cs="Times New Roman"/>
          <w:sz w:val="24"/>
          <w:szCs w:val="24"/>
        </w:rPr>
        <w:t xml:space="preserve"> 2024 г. България е включена в групата на страните с много висок индекс на развитие на електронното управление</w:t>
      </w:r>
      <w:r w:rsidR="00230D03" w:rsidRPr="00496500">
        <w:rPr>
          <w:rFonts w:ascii="Times New Roman" w:hAnsi="Times New Roman" w:cs="Times New Roman"/>
          <w:sz w:val="24"/>
          <w:szCs w:val="24"/>
        </w:rPr>
        <w:t xml:space="preserve"> (EGDI)</w:t>
      </w:r>
      <w:r w:rsidR="00DE39BB" w:rsidRPr="00496500">
        <w:rPr>
          <w:rFonts w:ascii="Times New Roman" w:hAnsi="Times New Roman" w:cs="Times New Roman"/>
          <w:sz w:val="24"/>
          <w:szCs w:val="24"/>
        </w:rPr>
        <w:t xml:space="preserve"> и заема 55-то място от общо 193-те </w:t>
      </w:r>
      <w:r w:rsidR="0039639C">
        <w:rPr>
          <w:rFonts w:ascii="Times New Roman" w:hAnsi="Times New Roman" w:cs="Times New Roman"/>
          <w:sz w:val="24"/>
          <w:szCs w:val="24"/>
        </w:rPr>
        <w:t xml:space="preserve">държави, </w:t>
      </w:r>
      <w:r w:rsidR="00DE39BB" w:rsidRPr="00496500">
        <w:rPr>
          <w:rFonts w:ascii="Times New Roman" w:hAnsi="Times New Roman" w:cs="Times New Roman"/>
          <w:sz w:val="24"/>
          <w:szCs w:val="24"/>
        </w:rPr>
        <w:t>членки на ООН</w:t>
      </w:r>
      <w:r w:rsidR="0071777E" w:rsidRPr="00496500">
        <w:rPr>
          <w:rFonts w:ascii="Times New Roman" w:hAnsi="Times New Roman" w:cs="Times New Roman"/>
          <w:sz w:val="24"/>
          <w:szCs w:val="24"/>
        </w:rPr>
        <w:t xml:space="preserve">. </w:t>
      </w:r>
      <w:r w:rsidR="00230D03" w:rsidRPr="00496500">
        <w:rPr>
          <w:rFonts w:ascii="Times New Roman" w:hAnsi="Times New Roman" w:cs="Times New Roman"/>
          <w:sz w:val="24"/>
          <w:szCs w:val="24"/>
        </w:rPr>
        <w:t xml:space="preserve">Индексът </w:t>
      </w:r>
      <w:r w:rsidR="00E2486E" w:rsidRPr="00496500">
        <w:rPr>
          <w:rFonts w:ascii="Times New Roman" w:hAnsi="Times New Roman" w:cs="Times New Roman"/>
          <w:sz w:val="24"/>
          <w:szCs w:val="24"/>
        </w:rPr>
        <w:t>е утвърден</w:t>
      </w:r>
      <w:r w:rsidR="00BB579B" w:rsidRPr="00496500">
        <w:rPr>
          <w:rFonts w:ascii="Times New Roman" w:hAnsi="Times New Roman" w:cs="Times New Roman"/>
          <w:sz w:val="24"/>
          <w:szCs w:val="24"/>
        </w:rPr>
        <w:t xml:space="preserve"> </w:t>
      </w:r>
      <w:r w:rsidR="00A30A1E" w:rsidRPr="00496500">
        <w:rPr>
          <w:rFonts w:ascii="Times New Roman" w:hAnsi="Times New Roman" w:cs="Times New Roman"/>
          <w:sz w:val="24"/>
          <w:szCs w:val="24"/>
        </w:rPr>
        <w:t xml:space="preserve">на глобално ниво </w:t>
      </w:r>
      <w:r w:rsidR="00BB579B" w:rsidRPr="00496500">
        <w:rPr>
          <w:rFonts w:ascii="Times New Roman" w:hAnsi="Times New Roman" w:cs="Times New Roman"/>
          <w:sz w:val="24"/>
          <w:szCs w:val="24"/>
        </w:rPr>
        <w:t>като количествен съставен показател за</w:t>
      </w:r>
      <w:r w:rsidR="00A30A1E" w:rsidRPr="00496500">
        <w:rPr>
          <w:rFonts w:ascii="Times New Roman" w:hAnsi="Times New Roman" w:cs="Times New Roman"/>
          <w:sz w:val="24"/>
          <w:szCs w:val="24"/>
        </w:rPr>
        <w:t xml:space="preserve"> </w:t>
      </w:r>
      <w:r w:rsidR="00BB579B" w:rsidRPr="00496500">
        <w:rPr>
          <w:rFonts w:ascii="Times New Roman" w:hAnsi="Times New Roman" w:cs="Times New Roman"/>
          <w:sz w:val="24"/>
          <w:szCs w:val="24"/>
        </w:rPr>
        <w:t>ефективност</w:t>
      </w:r>
      <w:r w:rsidR="00A30A1E" w:rsidRPr="00496500">
        <w:rPr>
          <w:rFonts w:ascii="Times New Roman" w:hAnsi="Times New Roman" w:cs="Times New Roman"/>
          <w:sz w:val="24"/>
          <w:szCs w:val="24"/>
        </w:rPr>
        <w:t xml:space="preserve"> и съпоставимост</w:t>
      </w:r>
      <w:r w:rsidR="00BB579B" w:rsidRPr="00496500">
        <w:rPr>
          <w:rFonts w:ascii="Times New Roman" w:hAnsi="Times New Roman" w:cs="Times New Roman"/>
          <w:sz w:val="24"/>
          <w:szCs w:val="24"/>
        </w:rPr>
        <w:t xml:space="preserve">, способен да </w:t>
      </w:r>
      <w:r w:rsidR="00A30A1E" w:rsidRPr="00496500">
        <w:rPr>
          <w:rFonts w:ascii="Times New Roman" w:hAnsi="Times New Roman" w:cs="Times New Roman"/>
          <w:sz w:val="24"/>
          <w:szCs w:val="24"/>
        </w:rPr>
        <w:t>определя</w:t>
      </w:r>
      <w:r w:rsidR="00BB579B" w:rsidRPr="00496500">
        <w:rPr>
          <w:rFonts w:ascii="Times New Roman" w:hAnsi="Times New Roman" w:cs="Times New Roman"/>
          <w:sz w:val="24"/>
          <w:szCs w:val="24"/>
        </w:rPr>
        <w:t xml:space="preserve"> нива и </w:t>
      </w:r>
      <w:r w:rsidR="00A30A1E" w:rsidRPr="00496500">
        <w:rPr>
          <w:rFonts w:ascii="Times New Roman" w:hAnsi="Times New Roman" w:cs="Times New Roman"/>
          <w:sz w:val="24"/>
          <w:szCs w:val="24"/>
        </w:rPr>
        <w:t xml:space="preserve">съставя </w:t>
      </w:r>
      <w:r w:rsidR="00BB579B" w:rsidRPr="00496500">
        <w:rPr>
          <w:rFonts w:ascii="Times New Roman" w:hAnsi="Times New Roman" w:cs="Times New Roman"/>
          <w:sz w:val="24"/>
          <w:szCs w:val="24"/>
        </w:rPr>
        <w:t xml:space="preserve">класации </w:t>
      </w:r>
      <w:r w:rsidR="00A30A1E" w:rsidRPr="00496500">
        <w:rPr>
          <w:rFonts w:ascii="Times New Roman" w:hAnsi="Times New Roman" w:cs="Times New Roman"/>
          <w:sz w:val="24"/>
          <w:szCs w:val="24"/>
        </w:rPr>
        <w:t>за</w:t>
      </w:r>
      <w:r w:rsidR="00BB579B" w:rsidRPr="00496500">
        <w:rPr>
          <w:rFonts w:ascii="Times New Roman" w:hAnsi="Times New Roman" w:cs="Times New Roman"/>
          <w:sz w:val="24"/>
          <w:szCs w:val="24"/>
        </w:rPr>
        <w:t xml:space="preserve"> </w:t>
      </w:r>
      <w:r w:rsidR="00A30A1E" w:rsidRPr="00496500">
        <w:rPr>
          <w:rFonts w:ascii="Times New Roman" w:hAnsi="Times New Roman" w:cs="Times New Roman"/>
          <w:sz w:val="24"/>
          <w:szCs w:val="24"/>
        </w:rPr>
        <w:t>цифровото</w:t>
      </w:r>
      <w:r w:rsidR="00BB579B" w:rsidRPr="00496500">
        <w:rPr>
          <w:rFonts w:ascii="Times New Roman" w:hAnsi="Times New Roman" w:cs="Times New Roman"/>
          <w:sz w:val="24"/>
          <w:szCs w:val="24"/>
        </w:rPr>
        <w:t xml:space="preserve"> развитие в</w:t>
      </w:r>
      <w:r w:rsidR="00A30A1E" w:rsidRPr="00496500">
        <w:rPr>
          <w:rFonts w:ascii="Times New Roman" w:hAnsi="Times New Roman" w:cs="Times New Roman"/>
          <w:sz w:val="24"/>
          <w:szCs w:val="24"/>
        </w:rPr>
        <w:t>ъв</w:t>
      </w:r>
      <w:r w:rsidR="00BB579B" w:rsidRPr="00496500">
        <w:rPr>
          <w:rFonts w:ascii="Times New Roman" w:hAnsi="Times New Roman" w:cs="Times New Roman"/>
          <w:sz w:val="24"/>
          <w:szCs w:val="24"/>
        </w:rPr>
        <w:t xml:space="preserve"> </w:t>
      </w:r>
      <w:r w:rsidR="00A30A1E" w:rsidRPr="00496500">
        <w:rPr>
          <w:rFonts w:ascii="Times New Roman" w:hAnsi="Times New Roman" w:cs="Times New Roman"/>
          <w:sz w:val="24"/>
          <w:szCs w:val="24"/>
        </w:rPr>
        <w:t xml:space="preserve">всички </w:t>
      </w:r>
      <w:r w:rsidR="00BB579B" w:rsidRPr="00496500">
        <w:rPr>
          <w:rFonts w:ascii="Times New Roman" w:hAnsi="Times New Roman" w:cs="Times New Roman"/>
          <w:sz w:val="24"/>
          <w:szCs w:val="24"/>
        </w:rPr>
        <w:t>държави</w:t>
      </w:r>
      <w:r w:rsidR="005F75C9" w:rsidRPr="00496500">
        <w:rPr>
          <w:rFonts w:ascii="Times New Roman" w:hAnsi="Times New Roman" w:cs="Times New Roman"/>
          <w:sz w:val="24"/>
          <w:szCs w:val="24"/>
        </w:rPr>
        <w:t xml:space="preserve"> </w:t>
      </w:r>
      <w:r w:rsidR="00BB579B" w:rsidRPr="00496500">
        <w:rPr>
          <w:rFonts w:ascii="Times New Roman" w:hAnsi="Times New Roman" w:cs="Times New Roman"/>
          <w:sz w:val="24"/>
          <w:szCs w:val="24"/>
        </w:rPr>
        <w:t>членки</w:t>
      </w:r>
      <w:r w:rsidR="00A30A1E" w:rsidRPr="00496500">
        <w:rPr>
          <w:rFonts w:ascii="Times New Roman" w:hAnsi="Times New Roman" w:cs="Times New Roman"/>
          <w:sz w:val="24"/>
          <w:szCs w:val="24"/>
        </w:rPr>
        <w:t>, както</w:t>
      </w:r>
      <w:r w:rsidR="00BB579B" w:rsidRPr="00496500">
        <w:rPr>
          <w:rFonts w:ascii="Times New Roman" w:hAnsi="Times New Roman" w:cs="Times New Roman"/>
          <w:sz w:val="24"/>
          <w:szCs w:val="24"/>
        </w:rPr>
        <w:t xml:space="preserve"> и да </w:t>
      </w:r>
      <w:r w:rsidR="00A30A1E" w:rsidRPr="00496500">
        <w:rPr>
          <w:rFonts w:ascii="Times New Roman" w:hAnsi="Times New Roman" w:cs="Times New Roman"/>
          <w:sz w:val="24"/>
          <w:szCs w:val="24"/>
        </w:rPr>
        <w:t>оценява</w:t>
      </w:r>
      <w:r w:rsidR="00BB579B" w:rsidRPr="00496500">
        <w:rPr>
          <w:rFonts w:ascii="Times New Roman" w:hAnsi="Times New Roman" w:cs="Times New Roman"/>
          <w:sz w:val="24"/>
          <w:szCs w:val="24"/>
        </w:rPr>
        <w:t xml:space="preserve"> тенденции</w:t>
      </w:r>
      <w:r w:rsidR="00A30A1E" w:rsidRPr="00496500">
        <w:rPr>
          <w:rFonts w:ascii="Times New Roman" w:hAnsi="Times New Roman" w:cs="Times New Roman"/>
          <w:sz w:val="24"/>
          <w:szCs w:val="24"/>
        </w:rPr>
        <w:t>те в областта</w:t>
      </w:r>
      <w:r w:rsidR="00BB579B" w:rsidRPr="00496500">
        <w:rPr>
          <w:rFonts w:ascii="Times New Roman" w:hAnsi="Times New Roman" w:cs="Times New Roman"/>
          <w:sz w:val="24"/>
          <w:szCs w:val="24"/>
        </w:rPr>
        <w:t>.</w:t>
      </w:r>
      <w:r w:rsidR="00CA6AB6" w:rsidRPr="00496500">
        <w:rPr>
          <w:rFonts w:ascii="Times New Roman" w:hAnsi="Times New Roman" w:cs="Times New Roman"/>
          <w:sz w:val="24"/>
          <w:szCs w:val="24"/>
        </w:rPr>
        <w:t xml:space="preserve"> </w:t>
      </w:r>
      <w:r w:rsidR="009200BB" w:rsidRPr="00496500">
        <w:rPr>
          <w:rFonts w:ascii="Times New Roman" w:hAnsi="Times New Roman" w:cs="Times New Roman"/>
          <w:sz w:val="24"/>
          <w:szCs w:val="24"/>
        </w:rPr>
        <w:t xml:space="preserve">На национално ниво EGDI изследва три компонента, като общата им крайна оценка за България се покачва спрямо 2022 г. с </w:t>
      </w:r>
      <w:r w:rsidR="00E2486E" w:rsidRPr="00496500">
        <w:rPr>
          <w:rFonts w:ascii="Times New Roman" w:hAnsi="Times New Roman" w:cs="Times New Roman"/>
          <w:sz w:val="24"/>
          <w:szCs w:val="24"/>
        </w:rPr>
        <w:t>4,9%</w:t>
      </w:r>
      <w:r w:rsidR="009200BB" w:rsidRPr="00496500">
        <w:rPr>
          <w:rFonts w:ascii="Times New Roman" w:hAnsi="Times New Roman" w:cs="Times New Roman"/>
          <w:sz w:val="24"/>
          <w:szCs w:val="24"/>
        </w:rPr>
        <w:t xml:space="preserve"> до 0,8145. </w:t>
      </w:r>
      <w:r w:rsidR="002D4904" w:rsidRPr="00496500">
        <w:rPr>
          <w:rFonts w:ascii="Times New Roman" w:hAnsi="Times New Roman" w:cs="Times New Roman"/>
          <w:sz w:val="24"/>
          <w:szCs w:val="24"/>
        </w:rPr>
        <w:t xml:space="preserve">Страната отбелязва значителен напредък </w:t>
      </w:r>
      <w:r w:rsidR="00C51064" w:rsidRPr="00496500">
        <w:rPr>
          <w:rFonts w:ascii="Times New Roman" w:hAnsi="Times New Roman" w:cs="Times New Roman"/>
          <w:sz w:val="24"/>
          <w:szCs w:val="24"/>
        </w:rPr>
        <w:t xml:space="preserve">за две години </w:t>
      </w:r>
      <w:r w:rsidR="002D4904" w:rsidRPr="00496500">
        <w:rPr>
          <w:rFonts w:ascii="Times New Roman" w:hAnsi="Times New Roman" w:cs="Times New Roman"/>
          <w:sz w:val="24"/>
          <w:szCs w:val="24"/>
        </w:rPr>
        <w:t xml:space="preserve">с </w:t>
      </w:r>
      <w:r w:rsidR="003518E9" w:rsidRPr="00496500">
        <w:rPr>
          <w:rFonts w:ascii="Times New Roman" w:hAnsi="Times New Roman" w:cs="Times New Roman"/>
          <w:sz w:val="24"/>
          <w:szCs w:val="24"/>
        </w:rPr>
        <w:t>близо 15%</w:t>
      </w:r>
      <w:r w:rsidR="002D4904" w:rsidRPr="00496500">
        <w:rPr>
          <w:rFonts w:ascii="Times New Roman" w:hAnsi="Times New Roman" w:cs="Times New Roman"/>
          <w:sz w:val="24"/>
          <w:szCs w:val="24"/>
        </w:rPr>
        <w:t xml:space="preserve"> по компонента „Телекомуникационна инфраструктура“, отчитайки из</w:t>
      </w:r>
      <w:r w:rsidR="003518E9" w:rsidRPr="00496500">
        <w:rPr>
          <w:rFonts w:ascii="Times New Roman" w:hAnsi="Times New Roman" w:cs="Times New Roman"/>
          <w:sz w:val="24"/>
          <w:szCs w:val="24"/>
        </w:rPr>
        <w:t>ползването на интернет, мобилни устройства и безжична мрежа, както и наличието на широколентов достъп</w:t>
      </w:r>
      <w:r w:rsidR="00DE1983" w:rsidRPr="00496500">
        <w:rPr>
          <w:rStyle w:val="FootnoteReference"/>
          <w:rFonts w:ascii="Times New Roman" w:hAnsi="Times New Roman" w:cs="Times New Roman"/>
          <w:sz w:val="24"/>
          <w:szCs w:val="24"/>
        </w:rPr>
        <w:footnoteReference w:id="13"/>
      </w:r>
      <w:r w:rsidR="003518E9" w:rsidRPr="00496500">
        <w:rPr>
          <w:rFonts w:ascii="Times New Roman" w:hAnsi="Times New Roman" w:cs="Times New Roman"/>
          <w:sz w:val="24"/>
          <w:szCs w:val="24"/>
        </w:rPr>
        <w:t>.</w:t>
      </w:r>
      <w:r w:rsidR="00C3140D" w:rsidRPr="00496500">
        <w:rPr>
          <w:rFonts w:ascii="Times New Roman" w:hAnsi="Times New Roman" w:cs="Times New Roman"/>
          <w:sz w:val="24"/>
          <w:szCs w:val="24"/>
        </w:rPr>
        <w:t xml:space="preserve"> </w:t>
      </w:r>
      <w:r w:rsidR="006405BD" w:rsidRPr="00496500">
        <w:rPr>
          <w:rFonts w:ascii="Times New Roman" w:hAnsi="Times New Roman" w:cs="Times New Roman"/>
          <w:sz w:val="24"/>
          <w:szCs w:val="24"/>
        </w:rPr>
        <w:t xml:space="preserve">С 9% се покачва и оценката </w:t>
      </w:r>
      <w:r w:rsidR="005B5BED" w:rsidRPr="00496500">
        <w:rPr>
          <w:rFonts w:ascii="Times New Roman" w:hAnsi="Times New Roman" w:cs="Times New Roman"/>
          <w:sz w:val="24"/>
          <w:szCs w:val="24"/>
        </w:rPr>
        <w:t xml:space="preserve">на страната по компонент „Електронни услуги“, където се отчитат ключовите показатели по отношение на електронното управление, а именно институционалната рамка </w:t>
      </w:r>
      <w:r w:rsidR="00EF5642" w:rsidRPr="00496500">
        <w:rPr>
          <w:rFonts w:ascii="Times New Roman" w:hAnsi="Times New Roman" w:cs="Times New Roman"/>
          <w:sz w:val="24"/>
          <w:szCs w:val="24"/>
        </w:rPr>
        <w:t>з</w:t>
      </w:r>
      <w:r w:rsidR="005B5BED" w:rsidRPr="00496500">
        <w:rPr>
          <w:rFonts w:ascii="Times New Roman" w:hAnsi="Times New Roman" w:cs="Times New Roman"/>
          <w:sz w:val="24"/>
          <w:szCs w:val="24"/>
        </w:rPr>
        <w:t xml:space="preserve">а предоставяне на публичните услуги, </w:t>
      </w:r>
      <w:r w:rsidR="00EF5642" w:rsidRPr="00496500">
        <w:rPr>
          <w:rFonts w:ascii="Times New Roman" w:hAnsi="Times New Roman" w:cs="Times New Roman"/>
          <w:sz w:val="24"/>
          <w:szCs w:val="24"/>
        </w:rPr>
        <w:t>самият процес по предоставяне</w:t>
      </w:r>
      <w:r w:rsidR="00E2486E" w:rsidRPr="00496500">
        <w:rPr>
          <w:rFonts w:ascii="Times New Roman" w:hAnsi="Times New Roman" w:cs="Times New Roman"/>
          <w:sz w:val="24"/>
          <w:szCs w:val="24"/>
        </w:rPr>
        <w:t xml:space="preserve">то им и съответните налични технологии за него. С малко над 8% е по-ниска оценката за България по </w:t>
      </w:r>
      <w:r w:rsidR="00130D18" w:rsidRPr="00496500">
        <w:rPr>
          <w:rFonts w:ascii="Times New Roman" w:hAnsi="Times New Roman" w:cs="Times New Roman"/>
          <w:sz w:val="24"/>
          <w:szCs w:val="24"/>
        </w:rPr>
        <w:t>компонента „Човешки капитал“</w:t>
      </w:r>
      <w:r w:rsidR="00B5279A" w:rsidRPr="00496500">
        <w:rPr>
          <w:rFonts w:ascii="Times New Roman" w:hAnsi="Times New Roman" w:cs="Times New Roman"/>
          <w:sz w:val="24"/>
          <w:szCs w:val="24"/>
        </w:rPr>
        <w:t xml:space="preserve"> спрямо проучването от 2022 г.</w:t>
      </w:r>
      <w:r w:rsidR="00DE1983" w:rsidRPr="00496500">
        <w:rPr>
          <w:rFonts w:ascii="Times New Roman" w:hAnsi="Times New Roman" w:cs="Times New Roman"/>
          <w:sz w:val="24"/>
          <w:szCs w:val="24"/>
        </w:rPr>
        <w:t xml:space="preserve"> В сравнение с останалите два компонента, този е комплексен, включвайки наблюдения и оценка на по-широкоспектърни показатели, като свойствени за ЕУ са </w:t>
      </w:r>
      <w:r w:rsidR="00DE1983" w:rsidRPr="00496500">
        <w:rPr>
          <w:rFonts w:ascii="Times New Roman" w:hAnsi="Times New Roman" w:cs="Times New Roman"/>
          <w:i/>
          <w:sz w:val="24"/>
          <w:szCs w:val="24"/>
        </w:rPr>
        <w:t>„грамотност в е-управление“</w:t>
      </w:r>
      <w:r w:rsidR="00DE1983" w:rsidRPr="00496500">
        <w:rPr>
          <w:rStyle w:val="FootnoteReference"/>
          <w:rFonts w:ascii="Times New Roman" w:hAnsi="Times New Roman" w:cs="Times New Roman"/>
          <w:sz w:val="24"/>
          <w:szCs w:val="24"/>
        </w:rPr>
        <w:footnoteReference w:id="14"/>
      </w:r>
      <w:r w:rsidR="00DE1983" w:rsidRPr="00496500">
        <w:rPr>
          <w:rFonts w:ascii="Times New Roman" w:hAnsi="Times New Roman" w:cs="Times New Roman"/>
          <w:sz w:val="24"/>
          <w:szCs w:val="24"/>
        </w:rPr>
        <w:t xml:space="preserve"> и </w:t>
      </w:r>
      <w:r w:rsidR="00DE1983" w:rsidRPr="00496500">
        <w:rPr>
          <w:rFonts w:ascii="Times New Roman" w:hAnsi="Times New Roman" w:cs="Times New Roman"/>
          <w:i/>
          <w:sz w:val="24"/>
          <w:szCs w:val="24"/>
        </w:rPr>
        <w:t>„коефици</w:t>
      </w:r>
      <w:r w:rsidR="005D609F" w:rsidRPr="00496500">
        <w:rPr>
          <w:rFonts w:ascii="Times New Roman" w:hAnsi="Times New Roman" w:cs="Times New Roman"/>
          <w:i/>
          <w:sz w:val="24"/>
          <w:szCs w:val="24"/>
        </w:rPr>
        <w:t>ент на възрастова грамотност“</w:t>
      </w:r>
      <w:r w:rsidR="005D609F" w:rsidRPr="00496500">
        <w:rPr>
          <w:rFonts w:ascii="Times New Roman" w:hAnsi="Times New Roman" w:cs="Times New Roman"/>
          <w:sz w:val="24"/>
          <w:szCs w:val="24"/>
        </w:rPr>
        <w:t xml:space="preserve">. </w:t>
      </w:r>
    </w:p>
    <w:p w14:paraId="770C36E2" w14:textId="77777777" w:rsidR="00203A65" w:rsidRPr="004626F0" w:rsidRDefault="00203A65"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В </w:t>
      </w:r>
      <w:r w:rsidR="00B4291D" w:rsidRPr="00496500">
        <w:rPr>
          <w:rFonts w:ascii="Times New Roman" w:hAnsi="Times New Roman" w:cs="Times New Roman"/>
          <w:sz w:val="24"/>
          <w:szCs w:val="24"/>
        </w:rPr>
        <w:t>доклада</w:t>
      </w:r>
      <w:r w:rsidR="00B5279A" w:rsidRPr="00496500">
        <w:rPr>
          <w:rFonts w:ascii="Times New Roman" w:hAnsi="Times New Roman" w:cs="Times New Roman"/>
          <w:sz w:val="24"/>
          <w:szCs w:val="24"/>
        </w:rPr>
        <w:t xml:space="preserve"> на ООН</w:t>
      </w:r>
      <w:r w:rsidR="00B4291D" w:rsidRPr="00496500">
        <w:rPr>
          <w:rFonts w:ascii="Times New Roman" w:hAnsi="Times New Roman" w:cs="Times New Roman"/>
          <w:sz w:val="24"/>
          <w:szCs w:val="24"/>
        </w:rPr>
        <w:t xml:space="preserve">, също така, се разглежда и Индексът за електронно участие, измерващ </w:t>
      </w:r>
      <w:r w:rsidR="008269E6" w:rsidRPr="00496500">
        <w:rPr>
          <w:rFonts w:ascii="Times New Roman" w:hAnsi="Times New Roman" w:cs="Times New Roman"/>
          <w:sz w:val="24"/>
          <w:szCs w:val="24"/>
        </w:rPr>
        <w:t xml:space="preserve">онлайн предоставянето на </w:t>
      </w:r>
      <w:r w:rsidR="008269E6" w:rsidRPr="00496500">
        <w:rPr>
          <w:rFonts w:ascii="Times New Roman" w:hAnsi="Times New Roman" w:cs="Times New Roman"/>
          <w:i/>
          <w:sz w:val="24"/>
          <w:szCs w:val="24"/>
        </w:rPr>
        <w:t>обществена информация</w:t>
      </w:r>
      <w:r w:rsidR="008269E6" w:rsidRPr="00496500">
        <w:rPr>
          <w:rFonts w:ascii="Times New Roman" w:hAnsi="Times New Roman" w:cs="Times New Roman"/>
          <w:sz w:val="24"/>
          <w:szCs w:val="24"/>
        </w:rPr>
        <w:t xml:space="preserve">, </w:t>
      </w:r>
      <w:r w:rsidR="008269E6" w:rsidRPr="00496500">
        <w:rPr>
          <w:rFonts w:ascii="Times New Roman" w:hAnsi="Times New Roman" w:cs="Times New Roman"/>
          <w:i/>
          <w:sz w:val="24"/>
          <w:szCs w:val="24"/>
        </w:rPr>
        <w:t>електронни консултации</w:t>
      </w:r>
      <w:r w:rsidR="008269E6" w:rsidRPr="00496500">
        <w:rPr>
          <w:rFonts w:ascii="Times New Roman" w:hAnsi="Times New Roman" w:cs="Times New Roman"/>
          <w:sz w:val="24"/>
          <w:szCs w:val="24"/>
        </w:rPr>
        <w:t xml:space="preserve"> и </w:t>
      </w:r>
      <w:r w:rsidR="008269E6" w:rsidRPr="00496500">
        <w:rPr>
          <w:rFonts w:ascii="Times New Roman" w:hAnsi="Times New Roman" w:cs="Times New Roman"/>
          <w:i/>
          <w:sz w:val="24"/>
          <w:szCs w:val="24"/>
        </w:rPr>
        <w:t>електронно вземане на решения</w:t>
      </w:r>
      <w:r w:rsidR="008269E6" w:rsidRPr="00496500">
        <w:rPr>
          <w:rFonts w:ascii="Times New Roman" w:hAnsi="Times New Roman" w:cs="Times New Roman"/>
          <w:sz w:val="24"/>
          <w:szCs w:val="24"/>
        </w:rPr>
        <w:t xml:space="preserve">, основно чрез портали за електронно управление и други </w:t>
      </w:r>
      <w:r w:rsidR="008269E6" w:rsidRPr="00496500">
        <w:rPr>
          <w:rFonts w:ascii="Times New Roman" w:hAnsi="Times New Roman" w:cs="Times New Roman"/>
          <w:sz w:val="24"/>
          <w:szCs w:val="24"/>
        </w:rPr>
        <w:lastRenderedPageBreak/>
        <w:t xml:space="preserve">официални електронни страници на административните органи. Индексът следи и за равния електронен достъп на различните групи от обществото. Оценката за България по отношение на </w:t>
      </w:r>
      <w:r w:rsidR="008269E6" w:rsidRPr="00496500">
        <w:rPr>
          <w:rFonts w:ascii="Times New Roman" w:hAnsi="Times New Roman" w:cs="Times New Roman"/>
          <w:i/>
          <w:sz w:val="24"/>
          <w:szCs w:val="24"/>
        </w:rPr>
        <w:t>електронното участие</w:t>
      </w:r>
      <w:r w:rsidR="008269E6" w:rsidRPr="00496500">
        <w:rPr>
          <w:rFonts w:ascii="Times New Roman" w:hAnsi="Times New Roman" w:cs="Times New Roman"/>
          <w:sz w:val="24"/>
          <w:szCs w:val="24"/>
        </w:rPr>
        <w:t xml:space="preserve"> спрямо 2022 г. се понижава с 9%, </w:t>
      </w:r>
      <w:r w:rsidR="008269E6" w:rsidRPr="004626F0">
        <w:rPr>
          <w:rFonts w:ascii="Times New Roman" w:hAnsi="Times New Roman" w:cs="Times New Roman"/>
          <w:sz w:val="24"/>
          <w:szCs w:val="24"/>
        </w:rPr>
        <w:t xml:space="preserve">като тясно място се явяват процесите по </w:t>
      </w:r>
      <w:r w:rsidR="008269E6" w:rsidRPr="004626F0">
        <w:rPr>
          <w:rFonts w:ascii="Times New Roman" w:hAnsi="Times New Roman" w:cs="Times New Roman"/>
          <w:i/>
          <w:sz w:val="24"/>
          <w:szCs w:val="24"/>
        </w:rPr>
        <w:t>електронни консултации</w:t>
      </w:r>
      <w:r w:rsidR="008269E6" w:rsidRPr="004626F0">
        <w:rPr>
          <w:rFonts w:ascii="Times New Roman" w:hAnsi="Times New Roman" w:cs="Times New Roman"/>
          <w:sz w:val="24"/>
          <w:szCs w:val="24"/>
        </w:rPr>
        <w:t xml:space="preserve"> и </w:t>
      </w:r>
      <w:r w:rsidR="008269E6" w:rsidRPr="004626F0">
        <w:rPr>
          <w:rFonts w:ascii="Times New Roman" w:hAnsi="Times New Roman" w:cs="Times New Roman"/>
          <w:i/>
          <w:sz w:val="24"/>
          <w:szCs w:val="24"/>
        </w:rPr>
        <w:t>електронно вземане на решения</w:t>
      </w:r>
      <w:r w:rsidR="008269E6" w:rsidRPr="004626F0">
        <w:rPr>
          <w:rFonts w:ascii="Times New Roman" w:hAnsi="Times New Roman" w:cs="Times New Roman"/>
          <w:sz w:val="24"/>
          <w:szCs w:val="24"/>
        </w:rPr>
        <w:t>.</w:t>
      </w:r>
    </w:p>
    <w:p w14:paraId="2AA27364" w14:textId="1A37C403" w:rsidR="00591AD2" w:rsidRPr="004626F0" w:rsidRDefault="008269E6" w:rsidP="003B412E">
      <w:pPr>
        <w:pStyle w:val="ListParagraph"/>
        <w:spacing w:after="120" w:line="240" w:lineRule="auto"/>
        <w:ind w:left="0" w:firstLine="720"/>
        <w:contextualSpacing w:val="0"/>
        <w:jc w:val="both"/>
        <w:rPr>
          <w:rFonts w:ascii="Times New Roman" w:hAnsi="Times New Roman" w:cs="Times New Roman"/>
          <w:sz w:val="24"/>
          <w:szCs w:val="24"/>
        </w:rPr>
      </w:pPr>
      <w:r w:rsidRPr="004626F0">
        <w:rPr>
          <w:rFonts w:ascii="Times New Roman" w:hAnsi="Times New Roman" w:cs="Times New Roman"/>
          <w:sz w:val="24"/>
          <w:szCs w:val="24"/>
        </w:rPr>
        <w:t>От 2024 г. в проучването на ООН за електронно управление се включва и нов индекс – Индекс за електронните услуги на местно ниво</w:t>
      </w:r>
      <w:r w:rsidR="00591AD2" w:rsidRPr="004626F0">
        <w:rPr>
          <w:rFonts w:ascii="Times New Roman" w:hAnsi="Times New Roman" w:cs="Times New Roman"/>
          <w:sz w:val="24"/>
          <w:szCs w:val="24"/>
        </w:rPr>
        <w:t xml:space="preserve"> (LOSI)</w:t>
      </w:r>
      <w:r w:rsidRPr="004626F0">
        <w:rPr>
          <w:rFonts w:ascii="Times New Roman" w:hAnsi="Times New Roman" w:cs="Times New Roman"/>
          <w:sz w:val="24"/>
          <w:szCs w:val="24"/>
        </w:rPr>
        <w:t>.</w:t>
      </w:r>
      <w:r w:rsidR="00D4143A" w:rsidRPr="004626F0">
        <w:rPr>
          <w:rFonts w:ascii="Times New Roman" w:hAnsi="Times New Roman" w:cs="Times New Roman"/>
          <w:sz w:val="24"/>
          <w:szCs w:val="24"/>
        </w:rPr>
        <w:t xml:space="preserve"> Той е въведен, за да се оценят възможностите за </w:t>
      </w:r>
      <w:r w:rsidR="00370A43" w:rsidRPr="004626F0">
        <w:rPr>
          <w:rFonts w:ascii="Times New Roman" w:hAnsi="Times New Roman" w:cs="Times New Roman"/>
          <w:sz w:val="24"/>
          <w:szCs w:val="24"/>
        </w:rPr>
        <w:t>цифрово</w:t>
      </w:r>
      <w:r w:rsidR="00D4143A" w:rsidRPr="004626F0">
        <w:rPr>
          <w:rFonts w:ascii="Times New Roman" w:hAnsi="Times New Roman" w:cs="Times New Roman"/>
          <w:sz w:val="24"/>
          <w:szCs w:val="24"/>
        </w:rPr>
        <w:t xml:space="preserve"> управление на градовете по целия свят. За 2024 г. е оценен най-населеният град във всяка от 193-те държави</w:t>
      </w:r>
      <w:r w:rsidR="0039639C">
        <w:rPr>
          <w:rFonts w:ascii="Times New Roman" w:hAnsi="Times New Roman" w:cs="Times New Roman"/>
          <w:sz w:val="24"/>
          <w:szCs w:val="24"/>
        </w:rPr>
        <w:t>,</w:t>
      </w:r>
      <w:r w:rsidR="00ED6944">
        <w:rPr>
          <w:rFonts w:ascii="Times New Roman" w:hAnsi="Times New Roman" w:cs="Times New Roman"/>
          <w:sz w:val="24"/>
          <w:szCs w:val="24"/>
        </w:rPr>
        <w:t xml:space="preserve"> </w:t>
      </w:r>
      <w:r w:rsidR="00D4143A" w:rsidRPr="004626F0">
        <w:rPr>
          <w:rFonts w:ascii="Times New Roman" w:hAnsi="Times New Roman" w:cs="Times New Roman"/>
          <w:sz w:val="24"/>
          <w:szCs w:val="24"/>
        </w:rPr>
        <w:t xml:space="preserve">членки на ООН. Град София e класиран в групата на градовете с много високи стойности на индекса, заедно с градове, като Торонто (Канада) и Доха (Катар) и изпреварва градове, като Амстердам (Кралство Нидерландия), Осло (Норвегия), Сидни (Австралия), Люксембург </w:t>
      </w:r>
      <w:r w:rsidR="005A35DB" w:rsidRPr="004626F0">
        <w:rPr>
          <w:rFonts w:ascii="Times New Roman" w:hAnsi="Times New Roman" w:cs="Times New Roman"/>
          <w:sz w:val="24"/>
          <w:szCs w:val="24"/>
          <w:lang w:val="en-US"/>
        </w:rPr>
        <w:t>(</w:t>
      </w:r>
      <w:r w:rsidR="005A35DB" w:rsidRPr="004626F0">
        <w:rPr>
          <w:rFonts w:ascii="Times New Roman" w:hAnsi="Times New Roman" w:cs="Times New Roman"/>
          <w:sz w:val="24"/>
          <w:szCs w:val="24"/>
        </w:rPr>
        <w:t>Люксембург</w:t>
      </w:r>
      <w:r w:rsidR="005A35DB" w:rsidRPr="004626F0">
        <w:rPr>
          <w:rFonts w:ascii="Times New Roman" w:hAnsi="Times New Roman" w:cs="Times New Roman"/>
          <w:sz w:val="24"/>
          <w:szCs w:val="24"/>
          <w:lang w:val="en-US"/>
        </w:rPr>
        <w:t>)</w:t>
      </w:r>
      <w:r w:rsidR="005A35DB" w:rsidRPr="004626F0">
        <w:rPr>
          <w:rFonts w:ascii="Times New Roman" w:hAnsi="Times New Roman" w:cs="Times New Roman"/>
          <w:sz w:val="24"/>
          <w:szCs w:val="24"/>
        </w:rPr>
        <w:t xml:space="preserve"> </w:t>
      </w:r>
      <w:r w:rsidR="00591AD2" w:rsidRPr="004626F0">
        <w:rPr>
          <w:rFonts w:ascii="Times New Roman" w:hAnsi="Times New Roman" w:cs="Times New Roman"/>
          <w:sz w:val="24"/>
          <w:szCs w:val="24"/>
        </w:rPr>
        <w:t>и Тел Авив (Израел). Сравнителен анализ на резултатите от EGDI и LOSI показва, че националните портали продължават да се представят по-добре от градските портали и електронни страници. Съществуват значителни различия между двете категории по отношение на развитието им, което показва необходимостта от целенасочени усилия за подобряване на местното електронно управление</w:t>
      </w:r>
      <w:r w:rsidR="00B5279A" w:rsidRPr="004626F0">
        <w:rPr>
          <w:rFonts w:ascii="Times New Roman" w:hAnsi="Times New Roman" w:cs="Times New Roman"/>
          <w:sz w:val="24"/>
          <w:szCs w:val="24"/>
        </w:rPr>
        <w:t>, повишаване на цифровата грамотност в малките населени места</w:t>
      </w:r>
      <w:r w:rsidR="00591AD2" w:rsidRPr="004626F0">
        <w:rPr>
          <w:rFonts w:ascii="Times New Roman" w:hAnsi="Times New Roman" w:cs="Times New Roman"/>
          <w:sz w:val="24"/>
          <w:szCs w:val="24"/>
        </w:rPr>
        <w:t xml:space="preserve"> и подкрепа за </w:t>
      </w:r>
      <w:r w:rsidR="00FB4002" w:rsidRPr="004626F0">
        <w:rPr>
          <w:rFonts w:ascii="Times New Roman" w:hAnsi="Times New Roman" w:cs="Times New Roman"/>
          <w:sz w:val="24"/>
          <w:szCs w:val="24"/>
        </w:rPr>
        <w:t>цифрова</w:t>
      </w:r>
      <w:r w:rsidR="00591AD2" w:rsidRPr="004626F0">
        <w:rPr>
          <w:rFonts w:ascii="Times New Roman" w:hAnsi="Times New Roman" w:cs="Times New Roman"/>
          <w:sz w:val="24"/>
          <w:szCs w:val="24"/>
        </w:rPr>
        <w:t xml:space="preserve">та трансформация на </w:t>
      </w:r>
      <w:r w:rsidR="00B5279A" w:rsidRPr="004626F0">
        <w:rPr>
          <w:rFonts w:ascii="Times New Roman" w:hAnsi="Times New Roman" w:cs="Times New Roman"/>
          <w:sz w:val="24"/>
          <w:szCs w:val="24"/>
        </w:rPr>
        <w:t>местната общност.</w:t>
      </w:r>
    </w:p>
    <w:p w14:paraId="35317D66" w14:textId="78CB6995" w:rsidR="008269E6" w:rsidRPr="00496500" w:rsidRDefault="00591AD2" w:rsidP="003B412E">
      <w:pPr>
        <w:pStyle w:val="ListParagraph"/>
        <w:spacing w:after="120" w:line="240" w:lineRule="auto"/>
        <w:ind w:left="0" w:firstLine="720"/>
        <w:contextualSpacing w:val="0"/>
        <w:jc w:val="both"/>
        <w:rPr>
          <w:rFonts w:ascii="Times New Roman" w:hAnsi="Times New Roman" w:cs="Times New Roman"/>
          <w:sz w:val="24"/>
          <w:szCs w:val="24"/>
        </w:rPr>
      </w:pPr>
      <w:r w:rsidRPr="004626F0">
        <w:rPr>
          <w:rFonts w:ascii="Times New Roman" w:hAnsi="Times New Roman" w:cs="Times New Roman"/>
          <w:sz w:val="24"/>
          <w:szCs w:val="24"/>
        </w:rPr>
        <w:t>Въпреки, че в проучването на ООН за 2024 г. България слиза в класацията от 52</w:t>
      </w:r>
      <w:r w:rsidR="00FF03D0" w:rsidRPr="004626F0">
        <w:rPr>
          <w:rFonts w:ascii="Times New Roman" w:hAnsi="Times New Roman" w:cs="Times New Roman"/>
          <w:sz w:val="24"/>
          <w:szCs w:val="24"/>
        </w:rPr>
        <w:t>-ро</w:t>
      </w:r>
      <w:r w:rsidRPr="004626F0">
        <w:rPr>
          <w:rFonts w:ascii="Times New Roman" w:hAnsi="Times New Roman" w:cs="Times New Roman"/>
          <w:sz w:val="24"/>
          <w:szCs w:val="24"/>
        </w:rPr>
        <w:t xml:space="preserve"> спрямо 2022 г. до 55</w:t>
      </w:r>
      <w:r w:rsidR="00FF03D0" w:rsidRPr="004626F0">
        <w:rPr>
          <w:rFonts w:ascii="Times New Roman" w:hAnsi="Times New Roman" w:cs="Times New Roman"/>
          <w:sz w:val="24"/>
          <w:szCs w:val="24"/>
        </w:rPr>
        <w:t>-то</w:t>
      </w:r>
      <w:r w:rsidRPr="004626F0">
        <w:rPr>
          <w:rFonts w:ascii="Times New Roman" w:hAnsi="Times New Roman" w:cs="Times New Roman"/>
          <w:sz w:val="24"/>
          <w:szCs w:val="24"/>
        </w:rPr>
        <w:t xml:space="preserve"> място, то, по същество, оценката </w:t>
      </w:r>
      <w:r w:rsidR="00FF6F31" w:rsidRPr="004626F0">
        <w:rPr>
          <w:rFonts w:ascii="Times New Roman" w:hAnsi="Times New Roman" w:cs="Times New Roman"/>
          <w:sz w:val="24"/>
          <w:szCs w:val="24"/>
        </w:rPr>
        <w:t xml:space="preserve">ѝ </w:t>
      </w:r>
      <w:r w:rsidRPr="004626F0">
        <w:rPr>
          <w:rFonts w:ascii="Times New Roman" w:hAnsi="Times New Roman" w:cs="Times New Roman"/>
          <w:sz w:val="24"/>
          <w:szCs w:val="24"/>
        </w:rPr>
        <w:t xml:space="preserve">се покачва, което означава общо подобряване на националната екосистема за електронно управление и готовност на страната за същинска </w:t>
      </w:r>
      <w:r w:rsidR="00AA68D1" w:rsidRPr="004626F0">
        <w:rPr>
          <w:rFonts w:ascii="Times New Roman" w:hAnsi="Times New Roman" w:cs="Times New Roman"/>
          <w:sz w:val="24"/>
          <w:szCs w:val="24"/>
        </w:rPr>
        <w:t>цифрова</w:t>
      </w:r>
      <w:r w:rsidRPr="004626F0">
        <w:rPr>
          <w:rFonts w:ascii="Times New Roman" w:hAnsi="Times New Roman" w:cs="Times New Roman"/>
          <w:sz w:val="24"/>
          <w:szCs w:val="24"/>
        </w:rPr>
        <w:t xml:space="preserve"> трансформация. Разликата в класиранията е по-скоро техническа, дължаща се на промяна в методологията за оценка на някои от</w:t>
      </w:r>
      <w:r w:rsidRPr="00496500">
        <w:rPr>
          <w:rFonts w:ascii="Times New Roman" w:hAnsi="Times New Roman" w:cs="Times New Roman"/>
          <w:sz w:val="24"/>
          <w:szCs w:val="24"/>
        </w:rPr>
        <w:t xml:space="preserve"> изследваните показатели, както и на включването на нови такива.</w:t>
      </w:r>
    </w:p>
    <w:p w14:paraId="46A48321" w14:textId="77777777" w:rsidR="00530C69" w:rsidRPr="00496500" w:rsidRDefault="00866F88"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Съгласно</w:t>
      </w:r>
      <w:r w:rsidR="00530C69" w:rsidRPr="00496500">
        <w:rPr>
          <w:rFonts w:ascii="Times New Roman" w:hAnsi="Times New Roman" w:cs="Times New Roman"/>
          <w:sz w:val="24"/>
          <w:szCs w:val="24"/>
        </w:rPr>
        <w:t xml:space="preserve"> един от водещите глобални индекси -</w:t>
      </w:r>
      <w:r w:rsidRPr="00496500">
        <w:rPr>
          <w:rFonts w:ascii="Times New Roman" w:hAnsi="Times New Roman" w:cs="Times New Roman"/>
          <w:sz w:val="24"/>
          <w:szCs w:val="24"/>
        </w:rPr>
        <w:t xml:space="preserve"> </w:t>
      </w:r>
      <w:hyperlink r:id="rId15" w:history="1">
        <w:r w:rsidR="00530C69" w:rsidRPr="00496500">
          <w:rPr>
            <w:rStyle w:val="Hyperlink"/>
            <w:rFonts w:ascii="Times New Roman" w:hAnsi="Times New Roman" w:cs="Times New Roman"/>
            <w:sz w:val="24"/>
            <w:szCs w:val="24"/>
          </w:rPr>
          <w:t>Индекса за готовност на мрежата</w:t>
        </w:r>
      </w:hyperlink>
      <w:r w:rsidRPr="00496500">
        <w:rPr>
          <w:rStyle w:val="FootnoteReference"/>
          <w:rFonts w:ascii="Times New Roman" w:hAnsi="Times New Roman" w:cs="Times New Roman"/>
          <w:sz w:val="24"/>
          <w:szCs w:val="24"/>
        </w:rPr>
        <w:footnoteReference w:id="15"/>
      </w:r>
      <w:r w:rsidR="000A733D" w:rsidRPr="00496500">
        <w:rPr>
          <w:rFonts w:ascii="Times New Roman" w:hAnsi="Times New Roman" w:cs="Times New Roman"/>
          <w:sz w:val="24"/>
          <w:szCs w:val="24"/>
        </w:rPr>
        <w:t>,</w:t>
      </w:r>
      <w:r w:rsidRPr="00496500">
        <w:rPr>
          <w:rFonts w:ascii="Times New Roman" w:hAnsi="Times New Roman" w:cs="Times New Roman"/>
          <w:sz w:val="24"/>
          <w:szCs w:val="24"/>
        </w:rPr>
        <w:t xml:space="preserve"> който измерва </w:t>
      </w:r>
      <w:r w:rsidR="00530C69" w:rsidRPr="00496500">
        <w:rPr>
          <w:rFonts w:ascii="Times New Roman" w:hAnsi="Times New Roman" w:cs="Times New Roman"/>
          <w:sz w:val="24"/>
          <w:szCs w:val="24"/>
        </w:rPr>
        <w:t xml:space="preserve">приложението и въздействието на информационните и комуникационните технологии (ИКТ) в икономиките по света – </w:t>
      </w:r>
      <w:r w:rsidR="00454570" w:rsidRPr="00496500">
        <w:rPr>
          <w:rFonts w:ascii="Times New Roman" w:hAnsi="Times New Roman" w:cs="Times New Roman"/>
          <w:sz w:val="24"/>
          <w:szCs w:val="24"/>
        </w:rPr>
        <w:t xml:space="preserve">за 2024 г. </w:t>
      </w:r>
      <w:r w:rsidR="00530C69" w:rsidRPr="00496500">
        <w:rPr>
          <w:rFonts w:ascii="Times New Roman" w:hAnsi="Times New Roman" w:cs="Times New Roman"/>
          <w:sz w:val="24"/>
          <w:szCs w:val="24"/>
        </w:rPr>
        <w:t>България заема 55-то</w:t>
      </w:r>
      <w:r w:rsidR="00454570" w:rsidRPr="00496500">
        <w:rPr>
          <w:rFonts w:ascii="Times New Roman" w:hAnsi="Times New Roman" w:cs="Times New Roman"/>
          <w:sz w:val="24"/>
          <w:szCs w:val="24"/>
        </w:rPr>
        <w:t xml:space="preserve"> място от 133 оценени икономики. Най-добре страната се представя по отношение на </w:t>
      </w:r>
      <w:r w:rsidR="003B26FC" w:rsidRPr="00496500">
        <w:rPr>
          <w:rFonts w:ascii="Times New Roman" w:hAnsi="Times New Roman" w:cs="Times New Roman"/>
          <w:i/>
          <w:sz w:val="24"/>
          <w:szCs w:val="24"/>
        </w:rPr>
        <w:t>нормативната рамка в областта на ИКТ</w:t>
      </w:r>
      <w:r w:rsidR="000363F4" w:rsidRPr="00496500">
        <w:rPr>
          <w:rFonts w:ascii="Times New Roman" w:hAnsi="Times New Roman" w:cs="Times New Roman"/>
          <w:sz w:val="24"/>
          <w:szCs w:val="24"/>
        </w:rPr>
        <w:t xml:space="preserve"> (32-ро място)</w:t>
      </w:r>
      <w:r w:rsidR="003B26FC" w:rsidRPr="00496500">
        <w:rPr>
          <w:rFonts w:ascii="Times New Roman" w:hAnsi="Times New Roman" w:cs="Times New Roman"/>
          <w:sz w:val="24"/>
          <w:szCs w:val="24"/>
        </w:rPr>
        <w:t xml:space="preserve">, като дори е посочена за лидер по показателя за </w:t>
      </w:r>
      <w:r w:rsidR="003B26FC" w:rsidRPr="00496500">
        <w:rPr>
          <w:rFonts w:ascii="Times New Roman" w:hAnsi="Times New Roman" w:cs="Times New Roman"/>
          <w:i/>
          <w:sz w:val="24"/>
          <w:szCs w:val="24"/>
        </w:rPr>
        <w:t>законодателство, свързано с електронната търговия</w:t>
      </w:r>
      <w:r w:rsidR="003B26FC" w:rsidRPr="00496500">
        <w:rPr>
          <w:rFonts w:ascii="Times New Roman" w:hAnsi="Times New Roman" w:cs="Times New Roman"/>
          <w:sz w:val="24"/>
          <w:szCs w:val="24"/>
        </w:rPr>
        <w:t xml:space="preserve">. Също така, добре се представя и по показателите за </w:t>
      </w:r>
      <w:r w:rsidR="00F30416" w:rsidRPr="00496500">
        <w:rPr>
          <w:rFonts w:ascii="Times New Roman" w:hAnsi="Times New Roman" w:cs="Times New Roman"/>
          <w:i/>
          <w:sz w:val="24"/>
          <w:szCs w:val="24"/>
        </w:rPr>
        <w:t xml:space="preserve">базова </w:t>
      </w:r>
      <w:r w:rsidR="000363F4" w:rsidRPr="00496500">
        <w:rPr>
          <w:rFonts w:ascii="Times New Roman" w:hAnsi="Times New Roman" w:cs="Times New Roman"/>
          <w:i/>
          <w:sz w:val="24"/>
          <w:szCs w:val="24"/>
        </w:rPr>
        <w:t>грамотност на населението над 18 години</w:t>
      </w:r>
      <w:r w:rsidR="000363F4" w:rsidRPr="00496500">
        <w:rPr>
          <w:rFonts w:ascii="Times New Roman" w:hAnsi="Times New Roman" w:cs="Times New Roman"/>
          <w:sz w:val="24"/>
          <w:szCs w:val="24"/>
        </w:rPr>
        <w:t xml:space="preserve"> (28-мо място), </w:t>
      </w:r>
      <w:r w:rsidR="000363F4" w:rsidRPr="00496500">
        <w:rPr>
          <w:rFonts w:ascii="Times New Roman" w:hAnsi="Times New Roman" w:cs="Times New Roman"/>
          <w:i/>
          <w:sz w:val="24"/>
          <w:szCs w:val="24"/>
        </w:rPr>
        <w:t>развитие на хранилища</w:t>
      </w:r>
      <w:r w:rsidR="000363F4" w:rsidRPr="00496500">
        <w:rPr>
          <w:rFonts w:ascii="Times New Roman" w:hAnsi="Times New Roman" w:cs="Times New Roman"/>
          <w:sz w:val="24"/>
          <w:szCs w:val="24"/>
        </w:rPr>
        <w:t xml:space="preserve"> (34-то място), </w:t>
      </w:r>
      <w:r w:rsidR="003B26FC" w:rsidRPr="00496500">
        <w:rPr>
          <w:rFonts w:ascii="Times New Roman" w:hAnsi="Times New Roman" w:cs="Times New Roman"/>
          <w:i/>
          <w:sz w:val="24"/>
          <w:szCs w:val="24"/>
        </w:rPr>
        <w:t>достъп</w:t>
      </w:r>
      <w:r w:rsidR="00C16719" w:rsidRPr="00496500">
        <w:rPr>
          <w:rFonts w:ascii="Times New Roman" w:hAnsi="Times New Roman" w:cs="Times New Roman"/>
          <w:i/>
          <w:sz w:val="24"/>
          <w:szCs w:val="24"/>
        </w:rPr>
        <w:t xml:space="preserve"> до </w:t>
      </w:r>
      <w:r w:rsidR="0049290C" w:rsidRPr="00496500">
        <w:rPr>
          <w:rFonts w:ascii="Times New Roman" w:hAnsi="Times New Roman" w:cs="Times New Roman"/>
          <w:i/>
          <w:sz w:val="24"/>
          <w:szCs w:val="24"/>
        </w:rPr>
        <w:t>ИКТ</w:t>
      </w:r>
      <w:r w:rsidR="000363F4" w:rsidRPr="00496500">
        <w:rPr>
          <w:rFonts w:ascii="Times New Roman" w:hAnsi="Times New Roman" w:cs="Times New Roman"/>
          <w:sz w:val="24"/>
          <w:szCs w:val="24"/>
        </w:rPr>
        <w:t xml:space="preserve"> (43-то място) и</w:t>
      </w:r>
      <w:r w:rsidR="0049290C" w:rsidRPr="00496500">
        <w:rPr>
          <w:rFonts w:ascii="Times New Roman" w:hAnsi="Times New Roman" w:cs="Times New Roman"/>
          <w:sz w:val="24"/>
          <w:szCs w:val="24"/>
        </w:rPr>
        <w:t xml:space="preserve"> </w:t>
      </w:r>
      <w:r w:rsidR="0049290C" w:rsidRPr="00496500">
        <w:rPr>
          <w:rFonts w:ascii="Times New Roman" w:hAnsi="Times New Roman" w:cs="Times New Roman"/>
          <w:i/>
          <w:sz w:val="24"/>
          <w:szCs w:val="24"/>
        </w:rPr>
        <w:t>разработване на мобилни приложения</w:t>
      </w:r>
      <w:r w:rsidR="000363F4" w:rsidRPr="00496500">
        <w:rPr>
          <w:rFonts w:ascii="Times New Roman" w:hAnsi="Times New Roman" w:cs="Times New Roman"/>
          <w:sz w:val="24"/>
          <w:szCs w:val="24"/>
        </w:rPr>
        <w:t xml:space="preserve"> (45-то място)</w:t>
      </w:r>
      <w:r w:rsidR="0049290C" w:rsidRPr="00496500">
        <w:rPr>
          <w:rFonts w:ascii="Times New Roman" w:hAnsi="Times New Roman" w:cs="Times New Roman"/>
          <w:sz w:val="24"/>
          <w:szCs w:val="24"/>
        </w:rPr>
        <w:t>.</w:t>
      </w:r>
      <w:r w:rsidR="000363F4" w:rsidRPr="00496500">
        <w:rPr>
          <w:rFonts w:ascii="Times New Roman" w:hAnsi="Times New Roman" w:cs="Times New Roman"/>
          <w:sz w:val="24"/>
          <w:szCs w:val="24"/>
        </w:rPr>
        <w:t xml:space="preserve"> България е поставена на средни позиции по показателите за </w:t>
      </w:r>
      <w:r w:rsidR="000363F4" w:rsidRPr="00496500">
        <w:rPr>
          <w:rFonts w:ascii="Times New Roman" w:hAnsi="Times New Roman" w:cs="Times New Roman"/>
          <w:i/>
          <w:sz w:val="24"/>
          <w:szCs w:val="24"/>
        </w:rPr>
        <w:t>електронни услуги на правителството</w:t>
      </w:r>
      <w:r w:rsidR="000363F4" w:rsidRPr="00496500">
        <w:rPr>
          <w:rFonts w:ascii="Times New Roman" w:hAnsi="Times New Roman" w:cs="Times New Roman"/>
          <w:sz w:val="24"/>
          <w:szCs w:val="24"/>
        </w:rPr>
        <w:t xml:space="preserve"> (64-то място), </w:t>
      </w:r>
      <w:r w:rsidR="000363F4" w:rsidRPr="00496500">
        <w:rPr>
          <w:rFonts w:ascii="Times New Roman" w:hAnsi="Times New Roman" w:cs="Times New Roman"/>
          <w:i/>
          <w:sz w:val="24"/>
          <w:szCs w:val="24"/>
        </w:rPr>
        <w:t xml:space="preserve">използване на социалните мрежи </w:t>
      </w:r>
      <w:r w:rsidR="000363F4" w:rsidRPr="00496500">
        <w:rPr>
          <w:rFonts w:ascii="Times New Roman" w:hAnsi="Times New Roman" w:cs="Times New Roman"/>
          <w:sz w:val="24"/>
          <w:szCs w:val="24"/>
        </w:rPr>
        <w:t xml:space="preserve">(64-то място), </w:t>
      </w:r>
      <w:r w:rsidR="00F30416" w:rsidRPr="00496500">
        <w:rPr>
          <w:rFonts w:ascii="Times New Roman" w:hAnsi="Times New Roman" w:cs="Times New Roman"/>
          <w:i/>
          <w:sz w:val="24"/>
          <w:szCs w:val="24"/>
        </w:rPr>
        <w:t>ИКТ умения в образователната система</w:t>
      </w:r>
      <w:r w:rsidR="00F30416" w:rsidRPr="00496500">
        <w:rPr>
          <w:rFonts w:ascii="Times New Roman" w:hAnsi="Times New Roman" w:cs="Times New Roman"/>
          <w:sz w:val="24"/>
          <w:szCs w:val="24"/>
        </w:rPr>
        <w:t xml:space="preserve"> (70-то място), </w:t>
      </w:r>
      <w:r w:rsidR="000363F4" w:rsidRPr="00496500">
        <w:rPr>
          <w:rFonts w:ascii="Times New Roman" w:hAnsi="Times New Roman" w:cs="Times New Roman"/>
          <w:i/>
          <w:sz w:val="24"/>
          <w:szCs w:val="24"/>
        </w:rPr>
        <w:t>изкуствен интелект</w:t>
      </w:r>
      <w:r w:rsidR="000363F4" w:rsidRPr="00496500">
        <w:rPr>
          <w:rFonts w:ascii="Times New Roman" w:hAnsi="Times New Roman" w:cs="Times New Roman"/>
          <w:sz w:val="24"/>
          <w:szCs w:val="24"/>
        </w:rPr>
        <w:t xml:space="preserve"> (71-во място) и </w:t>
      </w:r>
      <w:r w:rsidR="000363F4" w:rsidRPr="00496500">
        <w:rPr>
          <w:rFonts w:ascii="Times New Roman" w:hAnsi="Times New Roman" w:cs="Times New Roman"/>
          <w:i/>
          <w:sz w:val="24"/>
          <w:szCs w:val="24"/>
        </w:rPr>
        <w:t>разходи за софтуер</w:t>
      </w:r>
      <w:r w:rsidR="000363F4" w:rsidRPr="00496500">
        <w:rPr>
          <w:rFonts w:ascii="Times New Roman" w:hAnsi="Times New Roman" w:cs="Times New Roman"/>
          <w:sz w:val="24"/>
          <w:szCs w:val="24"/>
        </w:rPr>
        <w:t xml:space="preserve"> (76-то място). </w:t>
      </w:r>
      <w:r w:rsidR="00D44A38" w:rsidRPr="00496500">
        <w:rPr>
          <w:rFonts w:ascii="Times New Roman" w:hAnsi="Times New Roman" w:cs="Times New Roman"/>
          <w:sz w:val="24"/>
          <w:szCs w:val="24"/>
        </w:rPr>
        <w:t xml:space="preserve">Според Индекса е необходимо предприемането на съществени мерки в областта на </w:t>
      </w:r>
      <w:r w:rsidR="00D44A38" w:rsidRPr="00496500">
        <w:rPr>
          <w:rFonts w:ascii="Times New Roman" w:hAnsi="Times New Roman" w:cs="Times New Roman"/>
          <w:i/>
          <w:sz w:val="24"/>
          <w:szCs w:val="24"/>
        </w:rPr>
        <w:t>киберсигурността</w:t>
      </w:r>
      <w:r w:rsidR="00D44A38" w:rsidRPr="00496500">
        <w:rPr>
          <w:rFonts w:ascii="Times New Roman" w:hAnsi="Times New Roman" w:cs="Times New Roman"/>
          <w:sz w:val="24"/>
          <w:szCs w:val="24"/>
        </w:rPr>
        <w:t xml:space="preserve"> (83-то място) и </w:t>
      </w:r>
      <w:r w:rsidR="00D44A38" w:rsidRPr="00496500">
        <w:rPr>
          <w:rFonts w:ascii="Times New Roman" w:hAnsi="Times New Roman" w:cs="Times New Roman"/>
          <w:i/>
          <w:sz w:val="24"/>
          <w:szCs w:val="24"/>
        </w:rPr>
        <w:t>употребата на ИКТ от бизнеса</w:t>
      </w:r>
      <w:r w:rsidR="00D44A38" w:rsidRPr="00496500">
        <w:rPr>
          <w:rFonts w:ascii="Times New Roman" w:hAnsi="Times New Roman" w:cs="Times New Roman"/>
          <w:sz w:val="24"/>
          <w:szCs w:val="24"/>
        </w:rPr>
        <w:t xml:space="preserve"> (88-мо място).</w:t>
      </w:r>
    </w:p>
    <w:p w14:paraId="304750FF" w14:textId="532D869D" w:rsidR="00F5133B" w:rsidRPr="00496500" w:rsidRDefault="00F5133B"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Изследването </w:t>
      </w:r>
      <w:hyperlink r:id="rId16" w:history="1">
        <w:r w:rsidRPr="00496500">
          <w:rPr>
            <w:rStyle w:val="Hyperlink"/>
            <w:rFonts w:ascii="Times New Roman" w:eastAsia="Calibri" w:hAnsi="Times New Roman" w:cs="Times New Roman"/>
            <w:sz w:val="24"/>
            <w:szCs w:val="24"/>
          </w:rPr>
          <w:t>„Бенчмарк за електронно управление” 2025</w:t>
        </w:r>
      </w:hyperlink>
      <w:r w:rsidRPr="00496500">
        <w:rPr>
          <w:rFonts w:ascii="Times New Roman" w:eastAsia="Calibri" w:hAnsi="Times New Roman" w:cs="Times New Roman"/>
          <w:i/>
          <w:sz w:val="24"/>
          <w:szCs w:val="24"/>
        </w:rPr>
        <w:t xml:space="preserve"> </w:t>
      </w:r>
      <w:r w:rsidRPr="00496500">
        <w:rPr>
          <w:rFonts w:ascii="Times New Roman" w:eastAsia="Calibri" w:hAnsi="Times New Roman" w:cs="Times New Roman"/>
          <w:sz w:val="24"/>
          <w:szCs w:val="24"/>
        </w:rPr>
        <w:t xml:space="preserve">(eGovernment Benchmark 2025) предоставя цялостна оценка на цифровизацията на </w:t>
      </w:r>
      <w:r w:rsidR="00D14F33" w:rsidRPr="00496500">
        <w:rPr>
          <w:rFonts w:ascii="Times New Roman" w:eastAsia="Calibri" w:hAnsi="Times New Roman" w:cs="Times New Roman"/>
          <w:sz w:val="24"/>
          <w:szCs w:val="24"/>
        </w:rPr>
        <w:t xml:space="preserve">публичните </w:t>
      </w:r>
      <w:r w:rsidRPr="00496500">
        <w:rPr>
          <w:rFonts w:ascii="Times New Roman" w:eastAsia="Calibri" w:hAnsi="Times New Roman" w:cs="Times New Roman"/>
          <w:sz w:val="24"/>
          <w:szCs w:val="24"/>
        </w:rPr>
        <w:t>услуги в Европа. Изследването проследява напредъка, постигнат от публични администрации</w:t>
      </w:r>
      <w:r w:rsidR="00021BFB" w:rsidRPr="00496500">
        <w:rPr>
          <w:rFonts w:ascii="Times New Roman" w:eastAsia="Calibri" w:hAnsi="Times New Roman" w:cs="Times New Roman"/>
          <w:sz w:val="24"/>
          <w:szCs w:val="24"/>
        </w:rPr>
        <w:t xml:space="preserve"> в европейските страни</w:t>
      </w:r>
      <w:r w:rsidRPr="00496500">
        <w:rPr>
          <w:rFonts w:ascii="Times New Roman" w:eastAsia="Calibri" w:hAnsi="Times New Roman" w:cs="Times New Roman"/>
          <w:sz w:val="24"/>
          <w:szCs w:val="24"/>
        </w:rPr>
        <w:t xml:space="preserve"> в предоставянето на онлайн услуги </w:t>
      </w:r>
      <w:r w:rsidR="00B31B11" w:rsidRPr="00496500">
        <w:rPr>
          <w:rFonts w:ascii="Times New Roman" w:eastAsia="Calibri" w:hAnsi="Times New Roman" w:cs="Times New Roman"/>
          <w:sz w:val="24"/>
          <w:szCs w:val="24"/>
        </w:rPr>
        <w:t xml:space="preserve">за </w:t>
      </w:r>
      <w:r w:rsidRPr="00496500">
        <w:rPr>
          <w:rFonts w:ascii="Times New Roman" w:eastAsia="Calibri" w:hAnsi="Times New Roman" w:cs="Times New Roman"/>
          <w:sz w:val="24"/>
          <w:szCs w:val="24"/>
        </w:rPr>
        <w:t>гражданите и бизнеса, и по-конкретно, напредъка към постигането на целта за цифровото десетилетие за предоставяне на всички ключови услуги от публичния сектор онлайн до 2030 г</w:t>
      </w:r>
      <w:r w:rsidR="00FF03D0" w:rsidRPr="00496500">
        <w:rPr>
          <w:rFonts w:ascii="Times New Roman" w:eastAsia="Calibri" w:hAnsi="Times New Roman" w:cs="Times New Roman"/>
          <w:sz w:val="24"/>
          <w:szCs w:val="24"/>
        </w:rPr>
        <w:t>одина</w:t>
      </w:r>
      <w:r w:rsidRPr="00496500">
        <w:rPr>
          <w:rFonts w:ascii="Times New Roman" w:eastAsia="Calibri" w:hAnsi="Times New Roman" w:cs="Times New Roman"/>
          <w:sz w:val="24"/>
          <w:szCs w:val="24"/>
        </w:rPr>
        <w:t xml:space="preserve">. Проследяват се два от ключовите показатели за ефективност (КПЕ) на политическата програма „Цифрово десетилетие“ </w:t>
      </w:r>
      <w:r w:rsidR="00FF6F31">
        <w:rPr>
          <w:rFonts w:ascii="Times New Roman" w:eastAsia="Calibri" w:hAnsi="Times New Roman" w:cs="Times New Roman"/>
          <w:sz w:val="24"/>
          <w:szCs w:val="24"/>
        </w:rPr>
        <w:t xml:space="preserve">до </w:t>
      </w:r>
      <w:r w:rsidRPr="00496500">
        <w:rPr>
          <w:rFonts w:ascii="Times New Roman" w:eastAsia="Calibri" w:hAnsi="Times New Roman" w:cs="Times New Roman"/>
          <w:sz w:val="24"/>
          <w:szCs w:val="24"/>
        </w:rPr>
        <w:t>2030</w:t>
      </w:r>
      <w:r w:rsidR="00FF6F31">
        <w:rPr>
          <w:rFonts w:ascii="Times New Roman" w:eastAsia="Calibri" w:hAnsi="Times New Roman" w:cs="Times New Roman"/>
          <w:sz w:val="24"/>
          <w:szCs w:val="24"/>
        </w:rPr>
        <w:t xml:space="preserve"> г.</w:t>
      </w:r>
      <w:r w:rsidRPr="00496500">
        <w:rPr>
          <w:rFonts w:ascii="Times New Roman" w:eastAsia="Calibri" w:hAnsi="Times New Roman" w:cs="Times New Roman"/>
          <w:sz w:val="24"/>
          <w:szCs w:val="24"/>
        </w:rPr>
        <w:t xml:space="preserve">: </w:t>
      </w:r>
      <w:r w:rsidR="00B31B11" w:rsidRPr="00496500">
        <w:rPr>
          <w:rFonts w:ascii="Times New Roman" w:eastAsia="Calibri" w:hAnsi="Times New Roman" w:cs="Times New Roman"/>
          <w:i/>
          <w:iCs/>
          <w:sz w:val="24"/>
          <w:szCs w:val="24"/>
        </w:rPr>
        <w:t xml:space="preserve">предоставяне </w:t>
      </w:r>
      <w:r w:rsidRPr="00496500">
        <w:rPr>
          <w:rFonts w:ascii="Times New Roman" w:eastAsia="Calibri" w:hAnsi="Times New Roman" w:cs="Times New Roman"/>
          <w:i/>
          <w:iCs/>
          <w:sz w:val="24"/>
          <w:szCs w:val="24"/>
        </w:rPr>
        <w:t xml:space="preserve">онлайн на ключови </w:t>
      </w:r>
      <w:r w:rsidR="00A101D1" w:rsidRPr="00496500">
        <w:rPr>
          <w:rFonts w:ascii="Times New Roman" w:eastAsia="Calibri" w:hAnsi="Times New Roman" w:cs="Times New Roman"/>
          <w:i/>
          <w:iCs/>
          <w:sz w:val="24"/>
          <w:szCs w:val="24"/>
        </w:rPr>
        <w:t>публични</w:t>
      </w:r>
      <w:r w:rsidRPr="00496500">
        <w:rPr>
          <w:rFonts w:ascii="Times New Roman" w:eastAsia="Calibri" w:hAnsi="Times New Roman" w:cs="Times New Roman"/>
          <w:i/>
          <w:iCs/>
          <w:sz w:val="24"/>
          <w:szCs w:val="24"/>
        </w:rPr>
        <w:t xml:space="preserve"> услуги за гражданите</w:t>
      </w:r>
      <w:r w:rsidRPr="00496500">
        <w:rPr>
          <w:rFonts w:ascii="Times New Roman" w:eastAsia="Calibri" w:hAnsi="Times New Roman" w:cs="Times New Roman"/>
          <w:sz w:val="24"/>
          <w:szCs w:val="24"/>
        </w:rPr>
        <w:t xml:space="preserve"> и </w:t>
      </w:r>
      <w:r w:rsidRPr="00496500">
        <w:rPr>
          <w:rFonts w:ascii="Times New Roman" w:eastAsia="Calibri" w:hAnsi="Times New Roman" w:cs="Times New Roman"/>
          <w:i/>
          <w:iCs/>
          <w:sz w:val="24"/>
          <w:szCs w:val="24"/>
        </w:rPr>
        <w:t xml:space="preserve">предоставяне онлайн на ключови </w:t>
      </w:r>
      <w:r w:rsidR="00A101D1" w:rsidRPr="00496500">
        <w:rPr>
          <w:rFonts w:ascii="Times New Roman" w:eastAsia="Calibri" w:hAnsi="Times New Roman" w:cs="Times New Roman"/>
          <w:i/>
          <w:iCs/>
          <w:sz w:val="24"/>
          <w:szCs w:val="24"/>
        </w:rPr>
        <w:t>публични</w:t>
      </w:r>
      <w:r w:rsidRPr="00496500">
        <w:rPr>
          <w:rFonts w:ascii="Times New Roman" w:eastAsia="Calibri" w:hAnsi="Times New Roman" w:cs="Times New Roman"/>
          <w:i/>
          <w:iCs/>
          <w:sz w:val="24"/>
          <w:szCs w:val="24"/>
        </w:rPr>
        <w:t xml:space="preserve"> услуги за бизнеса</w:t>
      </w:r>
      <w:r w:rsidR="00FF6F31">
        <w:rPr>
          <w:rFonts w:ascii="Times New Roman" w:eastAsia="Calibri" w:hAnsi="Times New Roman" w:cs="Times New Roman"/>
          <w:i/>
          <w:iCs/>
          <w:sz w:val="24"/>
          <w:szCs w:val="24"/>
        </w:rPr>
        <w:t>/предприятията</w:t>
      </w:r>
      <w:r w:rsidRPr="00496500">
        <w:rPr>
          <w:rFonts w:ascii="Times New Roman" w:eastAsia="Calibri" w:hAnsi="Times New Roman" w:cs="Times New Roman"/>
          <w:i/>
          <w:iCs/>
          <w:sz w:val="24"/>
          <w:szCs w:val="24"/>
        </w:rPr>
        <w:t>.</w:t>
      </w:r>
      <w:r w:rsidRPr="00496500">
        <w:rPr>
          <w:rFonts w:ascii="Times New Roman" w:eastAsia="Calibri" w:hAnsi="Times New Roman" w:cs="Times New Roman"/>
          <w:sz w:val="24"/>
          <w:szCs w:val="24"/>
        </w:rPr>
        <w:t xml:space="preserve"> </w:t>
      </w:r>
    </w:p>
    <w:p w14:paraId="3AFB0F78" w14:textId="0058BC0A" w:rsidR="00F5133B" w:rsidRPr="00496500" w:rsidRDefault="00F5133B"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Тазгодишното проучване се основава на актуализирана методика, в съответствие с настоящите приоритети на политиката. С адаптираната рамка се определя ежегодно </w:t>
      </w:r>
      <w:r w:rsidRPr="00496500">
        <w:rPr>
          <w:rFonts w:ascii="Times New Roman" w:eastAsia="Calibri" w:hAnsi="Times New Roman" w:cs="Times New Roman"/>
          <w:sz w:val="24"/>
          <w:szCs w:val="24"/>
        </w:rPr>
        <w:lastRenderedPageBreak/>
        <w:t xml:space="preserve">оценяване на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 xml:space="preserve">те услуги, свързани с всички 9 </w:t>
      </w:r>
      <w:r w:rsidR="00B31B11" w:rsidRPr="00496500">
        <w:rPr>
          <w:rFonts w:ascii="Times New Roman" w:eastAsia="Calibri" w:hAnsi="Times New Roman" w:cs="Times New Roman"/>
          <w:sz w:val="24"/>
          <w:szCs w:val="24"/>
        </w:rPr>
        <w:t>събития от живота</w:t>
      </w:r>
      <w:r w:rsidRPr="00496500">
        <w:rPr>
          <w:rFonts w:ascii="Times New Roman" w:eastAsia="Calibri" w:hAnsi="Times New Roman" w:cs="Times New Roman"/>
          <w:sz w:val="24"/>
          <w:szCs w:val="24"/>
        </w:rPr>
        <w:t>, по три ключови измерения - предоставяне на онлайн услуги (online service delivery), знаци за оперативна съвместимост (interoperability signifiers) и удобни за ползване портали (user-friendly portals). Обхванатите събития</w:t>
      </w:r>
      <w:r w:rsidR="00B31B11" w:rsidRPr="00496500">
        <w:rPr>
          <w:rFonts w:ascii="Times New Roman" w:eastAsia="Calibri" w:hAnsi="Times New Roman" w:cs="Times New Roman"/>
          <w:sz w:val="24"/>
          <w:szCs w:val="24"/>
        </w:rPr>
        <w:t xml:space="preserve"> от живота</w:t>
      </w:r>
      <w:r w:rsidRPr="00496500">
        <w:rPr>
          <w:rFonts w:ascii="Times New Roman" w:eastAsia="Calibri" w:hAnsi="Times New Roman" w:cs="Times New Roman"/>
          <w:sz w:val="24"/>
          <w:szCs w:val="24"/>
        </w:rPr>
        <w:t xml:space="preserve"> за гражданите са: преместване, транспорт, започване на процедура за искове с малък материален интерес, семейство, </w:t>
      </w:r>
      <w:r w:rsidR="00981EA5">
        <w:rPr>
          <w:rFonts w:ascii="Times New Roman" w:eastAsia="Calibri" w:hAnsi="Times New Roman" w:cs="Times New Roman"/>
          <w:sz w:val="24"/>
          <w:szCs w:val="24"/>
        </w:rPr>
        <w:t>професионално развитие</w:t>
      </w:r>
      <w:r w:rsidRPr="00496500">
        <w:rPr>
          <w:rFonts w:ascii="Times New Roman" w:eastAsia="Calibri" w:hAnsi="Times New Roman" w:cs="Times New Roman"/>
          <w:sz w:val="24"/>
          <w:szCs w:val="24"/>
        </w:rPr>
        <w:t xml:space="preserve">, </w:t>
      </w:r>
      <w:r w:rsidR="00FF6F31">
        <w:rPr>
          <w:rFonts w:ascii="Times New Roman" w:eastAsia="Calibri" w:hAnsi="Times New Roman" w:cs="Times New Roman"/>
          <w:sz w:val="24"/>
          <w:szCs w:val="24"/>
        </w:rPr>
        <w:t>образование</w:t>
      </w:r>
      <w:r w:rsidRPr="00496500">
        <w:rPr>
          <w:rFonts w:ascii="Times New Roman" w:eastAsia="Calibri" w:hAnsi="Times New Roman" w:cs="Times New Roman"/>
          <w:sz w:val="24"/>
          <w:szCs w:val="24"/>
        </w:rPr>
        <w:t xml:space="preserve">, здравеопазване, а за бизнеса - започване на </w:t>
      </w:r>
      <w:r w:rsidR="00FF6F31">
        <w:rPr>
          <w:rFonts w:ascii="Times New Roman" w:eastAsia="Calibri" w:hAnsi="Times New Roman" w:cs="Times New Roman"/>
          <w:sz w:val="24"/>
          <w:szCs w:val="24"/>
        </w:rPr>
        <w:t>стопанска дейност</w:t>
      </w:r>
      <w:r w:rsidR="00FF6F31" w:rsidRPr="00496500">
        <w:rPr>
          <w:rFonts w:ascii="Times New Roman" w:eastAsia="Calibri" w:hAnsi="Times New Roman" w:cs="Times New Roman"/>
          <w:sz w:val="24"/>
          <w:szCs w:val="24"/>
        </w:rPr>
        <w:t xml:space="preserve"> </w:t>
      </w:r>
      <w:r w:rsidRPr="00496500">
        <w:rPr>
          <w:rFonts w:ascii="Times New Roman" w:eastAsia="Calibri" w:hAnsi="Times New Roman" w:cs="Times New Roman"/>
          <w:sz w:val="24"/>
          <w:szCs w:val="24"/>
        </w:rPr>
        <w:t xml:space="preserve">и извършване на редовни </w:t>
      </w:r>
      <w:r w:rsidR="00FF6F31">
        <w:rPr>
          <w:rFonts w:ascii="Times New Roman" w:eastAsia="Calibri" w:hAnsi="Times New Roman" w:cs="Times New Roman"/>
          <w:sz w:val="24"/>
          <w:szCs w:val="24"/>
        </w:rPr>
        <w:t>стопански</w:t>
      </w:r>
      <w:r w:rsidR="00FF6F31" w:rsidRPr="00496500">
        <w:rPr>
          <w:rFonts w:ascii="Times New Roman" w:eastAsia="Calibri" w:hAnsi="Times New Roman" w:cs="Times New Roman"/>
          <w:sz w:val="24"/>
          <w:szCs w:val="24"/>
        </w:rPr>
        <w:t xml:space="preserve"> </w:t>
      </w:r>
      <w:r w:rsidRPr="00496500">
        <w:rPr>
          <w:rFonts w:ascii="Times New Roman" w:eastAsia="Calibri" w:hAnsi="Times New Roman" w:cs="Times New Roman"/>
          <w:sz w:val="24"/>
          <w:szCs w:val="24"/>
        </w:rPr>
        <w:t>операции</w:t>
      </w:r>
      <w:r w:rsidR="00FF6F31">
        <w:rPr>
          <w:rFonts w:ascii="Times New Roman" w:eastAsia="Calibri" w:hAnsi="Times New Roman" w:cs="Times New Roman"/>
          <w:sz w:val="24"/>
          <w:szCs w:val="24"/>
        </w:rPr>
        <w:t>, които могат да бъдат осъществявани изцяло онлайн</w:t>
      </w:r>
      <w:r w:rsidRPr="00496500">
        <w:rPr>
          <w:rFonts w:ascii="Times New Roman" w:eastAsia="Calibri" w:hAnsi="Times New Roman" w:cs="Times New Roman"/>
          <w:sz w:val="24"/>
          <w:szCs w:val="24"/>
        </w:rPr>
        <w:t>.</w:t>
      </w:r>
    </w:p>
    <w:p w14:paraId="4C8D3759" w14:textId="03132F4E" w:rsidR="00F5133B" w:rsidRPr="00496500" w:rsidRDefault="00F5133B"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Съгласно данните от </w:t>
      </w:r>
      <w:hyperlink r:id="rId17" w:history="1">
        <w:r w:rsidRPr="00496500">
          <w:rPr>
            <w:rFonts w:ascii="Times New Roman" w:eastAsia="Calibri" w:hAnsi="Times New Roman" w:cs="Times New Roman"/>
            <w:color w:val="0563C1"/>
            <w:sz w:val="24"/>
            <w:szCs w:val="24"/>
            <w:u w:val="single"/>
          </w:rPr>
          <w:t>eGovernment Benchmark 2025</w:t>
        </w:r>
      </w:hyperlink>
      <w:r w:rsidRPr="00496500">
        <w:rPr>
          <w:rFonts w:ascii="Times New Roman" w:eastAsia="Calibri" w:hAnsi="Times New Roman" w:cs="Times New Roman"/>
          <w:sz w:val="24"/>
          <w:szCs w:val="24"/>
        </w:rPr>
        <w:t xml:space="preserve">, продължава устойчивият напредък на страната по отношение на цифровите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 xml:space="preserve"> услуги за бизнеса. Постигнатата стойност (94</w:t>
      </w:r>
      <w:r w:rsidR="007E2578">
        <w:rPr>
          <w:rFonts w:ascii="Times New Roman" w:eastAsia="Calibri" w:hAnsi="Times New Roman" w:cs="Times New Roman"/>
          <w:sz w:val="24"/>
          <w:szCs w:val="24"/>
        </w:rPr>
        <w:t>,</w:t>
      </w:r>
      <w:r w:rsidRPr="00496500">
        <w:rPr>
          <w:rFonts w:ascii="Times New Roman" w:eastAsia="Calibri" w:hAnsi="Times New Roman" w:cs="Times New Roman"/>
          <w:sz w:val="24"/>
          <w:szCs w:val="24"/>
        </w:rPr>
        <w:t>04) е значително над средната за ЕС (86</w:t>
      </w:r>
      <w:r w:rsidR="007E2578">
        <w:rPr>
          <w:rFonts w:ascii="Times New Roman" w:eastAsia="Calibri" w:hAnsi="Times New Roman" w:cs="Times New Roman"/>
          <w:sz w:val="24"/>
          <w:szCs w:val="24"/>
        </w:rPr>
        <w:t>,</w:t>
      </w:r>
      <w:r w:rsidRPr="00496500">
        <w:rPr>
          <w:rFonts w:ascii="Times New Roman" w:eastAsia="Calibri" w:hAnsi="Times New Roman" w:cs="Times New Roman"/>
          <w:sz w:val="24"/>
          <w:szCs w:val="24"/>
        </w:rPr>
        <w:t>23) и нарежда България на осмо място сред страните членки</w:t>
      </w:r>
      <w:r w:rsidR="007E2578">
        <w:rPr>
          <w:rFonts w:ascii="Times New Roman" w:eastAsia="Calibri" w:hAnsi="Times New Roman" w:cs="Times New Roman"/>
          <w:sz w:val="24"/>
          <w:szCs w:val="24"/>
        </w:rPr>
        <w:t>,</w:t>
      </w:r>
      <w:r w:rsidRPr="00496500">
        <w:rPr>
          <w:rFonts w:ascii="Times New Roman" w:eastAsia="Calibri" w:hAnsi="Times New Roman" w:cs="Times New Roman"/>
          <w:sz w:val="24"/>
          <w:szCs w:val="24"/>
        </w:rPr>
        <w:t xml:space="preserve"> Резултатите по отношение на цифровите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 xml:space="preserve"> услуги за гражданите</w:t>
      </w:r>
      <w:r w:rsidR="00BC7FB9" w:rsidRPr="00496500">
        <w:rPr>
          <w:rFonts w:ascii="Times New Roman" w:eastAsia="Calibri" w:hAnsi="Times New Roman" w:cs="Times New Roman"/>
          <w:sz w:val="24"/>
          <w:szCs w:val="24"/>
        </w:rPr>
        <w:t>,</w:t>
      </w:r>
      <w:r w:rsidRPr="00496500">
        <w:rPr>
          <w:rFonts w:ascii="Times New Roman" w:eastAsia="Calibri" w:hAnsi="Times New Roman" w:cs="Times New Roman"/>
          <w:sz w:val="24"/>
          <w:szCs w:val="24"/>
        </w:rPr>
        <w:t xml:space="preserve"> обаче</w:t>
      </w:r>
      <w:r w:rsidR="00BC7FB9" w:rsidRPr="00496500">
        <w:rPr>
          <w:rFonts w:ascii="Times New Roman" w:eastAsia="Calibri" w:hAnsi="Times New Roman" w:cs="Times New Roman"/>
          <w:sz w:val="24"/>
          <w:szCs w:val="24"/>
        </w:rPr>
        <w:t>,</w:t>
      </w:r>
      <w:r w:rsidRPr="00496500">
        <w:rPr>
          <w:rFonts w:ascii="Times New Roman" w:eastAsia="Calibri" w:hAnsi="Times New Roman" w:cs="Times New Roman"/>
          <w:sz w:val="24"/>
          <w:szCs w:val="24"/>
        </w:rPr>
        <w:t xml:space="preserve"> </w:t>
      </w:r>
      <w:r w:rsidRPr="004626F0">
        <w:rPr>
          <w:rFonts w:ascii="Times New Roman" w:eastAsia="Calibri" w:hAnsi="Times New Roman" w:cs="Times New Roman"/>
          <w:sz w:val="24"/>
          <w:szCs w:val="24"/>
        </w:rPr>
        <w:t>са много</w:t>
      </w:r>
      <w:r w:rsidRPr="00496500">
        <w:rPr>
          <w:rFonts w:ascii="Times New Roman" w:eastAsia="Calibri" w:hAnsi="Times New Roman" w:cs="Times New Roman"/>
          <w:sz w:val="24"/>
          <w:szCs w:val="24"/>
        </w:rPr>
        <w:t xml:space="preserve"> под средните за ЕС (67</w:t>
      </w:r>
      <w:r w:rsidR="007E2578">
        <w:rPr>
          <w:rFonts w:ascii="Times New Roman" w:eastAsia="Calibri" w:hAnsi="Times New Roman" w:cs="Times New Roman"/>
          <w:sz w:val="24"/>
          <w:szCs w:val="24"/>
        </w:rPr>
        <w:t>,</w:t>
      </w:r>
      <w:r w:rsidRPr="00496500">
        <w:rPr>
          <w:rFonts w:ascii="Times New Roman" w:eastAsia="Calibri" w:hAnsi="Times New Roman" w:cs="Times New Roman"/>
          <w:sz w:val="24"/>
          <w:szCs w:val="24"/>
        </w:rPr>
        <w:t>98 спрямо 82</w:t>
      </w:r>
      <w:r w:rsidR="007E2578">
        <w:rPr>
          <w:rFonts w:ascii="Times New Roman" w:eastAsia="Calibri" w:hAnsi="Times New Roman" w:cs="Times New Roman"/>
          <w:sz w:val="24"/>
          <w:szCs w:val="24"/>
        </w:rPr>
        <w:t>,</w:t>
      </w:r>
      <w:r w:rsidRPr="00496500">
        <w:rPr>
          <w:rFonts w:ascii="Times New Roman" w:eastAsia="Calibri" w:hAnsi="Times New Roman" w:cs="Times New Roman"/>
          <w:sz w:val="24"/>
          <w:szCs w:val="24"/>
        </w:rPr>
        <w:t>32)</w:t>
      </w:r>
      <w:r w:rsidR="00BC7FB9" w:rsidRPr="00496500">
        <w:rPr>
          <w:rFonts w:ascii="Times New Roman" w:eastAsia="Calibri" w:hAnsi="Times New Roman" w:cs="Times New Roman"/>
          <w:sz w:val="24"/>
          <w:szCs w:val="24"/>
        </w:rPr>
        <w:t>,</w:t>
      </w:r>
      <w:r w:rsidRPr="00496500">
        <w:rPr>
          <w:rFonts w:ascii="Times New Roman" w:eastAsia="Calibri" w:hAnsi="Times New Roman" w:cs="Times New Roman"/>
          <w:sz w:val="24"/>
          <w:szCs w:val="24"/>
        </w:rPr>
        <w:t xml:space="preserve"> като се отбелязва незначителен годишен напредък (0</w:t>
      </w:r>
      <w:r w:rsidR="007E2578">
        <w:rPr>
          <w:rFonts w:ascii="Times New Roman" w:eastAsia="Calibri" w:hAnsi="Times New Roman" w:cs="Times New Roman"/>
          <w:sz w:val="24"/>
          <w:szCs w:val="24"/>
        </w:rPr>
        <w:t>,</w:t>
      </w:r>
      <w:r w:rsidRPr="00496500">
        <w:rPr>
          <w:rFonts w:ascii="Times New Roman" w:eastAsia="Calibri" w:hAnsi="Times New Roman" w:cs="Times New Roman"/>
          <w:sz w:val="24"/>
          <w:szCs w:val="24"/>
        </w:rPr>
        <w:t xml:space="preserve">8%). </w:t>
      </w:r>
    </w:p>
    <w:p w14:paraId="6091397B" w14:textId="67326C13" w:rsidR="00F5133B" w:rsidRPr="00496500" w:rsidRDefault="00F5133B"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В допълнение към двата КПЕ за </w:t>
      </w:r>
      <w:r w:rsidR="00FF6F31">
        <w:rPr>
          <w:rFonts w:ascii="Times New Roman" w:eastAsia="Calibri" w:hAnsi="Times New Roman" w:cs="Times New Roman"/>
          <w:sz w:val="24"/>
          <w:szCs w:val="24"/>
        </w:rPr>
        <w:t>Ц</w:t>
      </w:r>
      <w:r w:rsidRPr="00496500">
        <w:rPr>
          <w:rFonts w:ascii="Times New Roman" w:eastAsia="Calibri" w:hAnsi="Times New Roman" w:cs="Times New Roman"/>
          <w:sz w:val="24"/>
          <w:szCs w:val="24"/>
        </w:rPr>
        <w:t xml:space="preserve">ифровото десетилетие, още четири спомагателни показателя предоставят информация за това колко лесно и безопасно потребителите могат да имат достъп до и да използват онлайн правителствени услуги: По отношение на показател </w:t>
      </w:r>
      <w:r w:rsidRPr="00496500">
        <w:rPr>
          <w:rFonts w:ascii="Times New Roman" w:eastAsia="Calibri" w:hAnsi="Times New Roman" w:cs="Times New Roman"/>
          <w:i/>
          <w:sz w:val="24"/>
          <w:szCs w:val="24"/>
        </w:rPr>
        <w:t>предварително попълнени формуляри</w:t>
      </w:r>
      <w:r w:rsidRPr="00496500">
        <w:rPr>
          <w:rFonts w:ascii="Times New Roman" w:eastAsia="Calibri" w:hAnsi="Times New Roman" w:cs="Times New Roman"/>
          <w:sz w:val="24"/>
          <w:szCs w:val="24"/>
        </w:rPr>
        <w:t xml:space="preserve"> (попълнени данни за потребителя, които вече са известни на публичните администрации, в онлайн формуляри), запазва се положителната тенденция, като стойността за страната е по-висока от средната за ЕС (74 спрямо 71). По показател </w:t>
      </w:r>
      <w:r w:rsidRPr="00496500">
        <w:rPr>
          <w:rFonts w:ascii="Times New Roman" w:eastAsia="Calibri" w:hAnsi="Times New Roman" w:cs="Times New Roman"/>
          <w:i/>
          <w:sz w:val="24"/>
          <w:szCs w:val="24"/>
        </w:rPr>
        <w:t>прозрачност</w:t>
      </w:r>
      <w:r w:rsidRPr="00496500">
        <w:rPr>
          <w:rFonts w:ascii="Times New Roman" w:eastAsia="Calibri" w:hAnsi="Times New Roman" w:cs="Times New Roman"/>
          <w:sz w:val="24"/>
          <w:szCs w:val="24"/>
        </w:rPr>
        <w:t xml:space="preserve">, който измерва степента, в която процесите на цифрови услуги са прозрачни, услугите са проектирани с участието на гражданите и потребителите могат да управляват личните си данни, постигнатият от България резултат е под средната стойност за ЕС (59 спрямо 69). Макар и висока, стойността за страната по показател </w:t>
      </w:r>
      <w:r w:rsidRPr="00496500">
        <w:rPr>
          <w:rFonts w:ascii="Times New Roman" w:eastAsia="Calibri" w:hAnsi="Times New Roman" w:cs="Times New Roman"/>
          <w:i/>
          <w:iCs/>
          <w:sz w:val="24"/>
          <w:szCs w:val="24"/>
        </w:rPr>
        <w:t xml:space="preserve">удобство при използване на мобилни устройства, </w:t>
      </w:r>
      <w:r w:rsidRPr="00496500">
        <w:rPr>
          <w:rFonts w:ascii="Times New Roman" w:eastAsia="Calibri" w:hAnsi="Times New Roman" w:cs="Times New Roman"/>
          <w:sz w:val="24"/>
          <w:szCs w:val="24"/>
        </w:rPr>
        <w:t xml:space="preserve">измерващ дела на услугите, които се предоставят чрез удобен за мобилни устройства интерфейс, също остава под средната за ЕС (91 спрямо 96). България постига стойност, еднаква със средната стойност за ЕС (89) по показател </w:t>
      </w:r>
      <w:r w:rsidRPr="00496500">
        <w:rPr>
          <w:rFonts w:ascii="Times New Roman" w:eastAsia="Calibri" w:hAnsi="Times New Roman" w:cs="Times New Roman"/>
          <w:i/>
          <w:sz w:val="24"/>
          <w:szCs w:val="24"/>
        </w:rPr>
        <w:t>поддръжка за потребителя</w:t>
      </w:r>
      <w:r w:rsidRPr="00496500">
        <w:rPr>
          <w:rFonts w:ascii="Times New Roman" w:eastAsia="Calibri" w:hAnsi="Times New Roman" w:cs="Times New Roman"/>
          <w:sz w:val="24"/>
          <w:szCs w:val="24"/>
        </w:rPr>
        <w:t xml:space="preserve"> - онлайн подпомагане, помощни функции и механизми за обратна връзка.</w:t>
      </w:r>
    </w:p>
    <w:p w14:paraId="3E570FF5" w14:textId="7A9F1197" w:rsidR="00D91047" w:rsidRPr="00496500" w:rsidRDefault="00D91047"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По отношение на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 xml:space="preserve">те услуги за гражданите, най-добър резултат за 2024 г. страната </w:t>
      </w:r>
      <w:r w:rsidR="00FC67C6" w:rsidRPr="00496500">
        <w:rPr>
          <w:rFonts w:ascii="Times New Roman" w:eastAsia="Calibri" w:hAnsi="Times New Roman" w:cs="Times New Roman"/>
          <w:sz w:val="24"/>
          <w:szCs w:val="24"/>
        </w:rPr>
        <w:t>постига</w:t>
      </w:r>
      <w:r w:rsidRPr="00496500">
        <w:rPr>
          <w:rFonts w:ascii="Times New Roman" w:eastAsia="Calibri" w:hAnsi="Times New Roman" w:cs="Times New Roman"/>
          <w:sz w:val="24"/>
          <w:szCs w:val="24"/>
        </w:rPr>
        <w:t xml:space="preserve"> за събитието „Транспорт“ (90 спрямо средната стойност 91 за ЕС). Следват събитията „Преместване“ (</w:t>
      </w:r>
      <w:r w:rsidR="003558C2" w:rsidRPr="00496500">
        <w:rPr>
          <w:rFonts w:ascii="Times New Roman" w:eastAsia="Calibri" w:hAnsi="Times New Roman" w:cs="Times New Roman"/>
          <w:sz w:val="24"/>
          <w:szCs w:val="24"/>
        </w:rPr>
        <w:t>стойност</w:t>
      </w:r>
      <w:r w:rsidRPr="00496500">
        <w:rPr>
          <w:rFonts w:ascii="Times New Roman" w:eastAsia="Calibri" w:hAnsi="Times New Roman" w:cs="Times New Roman"/>
          <w:sz w:val="24"/>
          <w:szCs w:val="24"/>
        </w:rPr>
        <w:t xml:space="preserve"> 85 спрямо средна стойност 87 за ЕС), „</w:t>
      </w:r>
      <w:r w:rsidR="00981EA5">
        <w:rPr>
          <w:rFonts w:ascii="Times New Roman" w:eastAsia="Calibri" w:hAnsi="Times New Roman" w:cs="Times New Roman"/>
          <w:sz w:val="24"/>
          <w:szCs w:val="24"/>
        </w:rPr>
        <w:t>Образование</w:t>
      </w:r>
      <w:r w:rsidRPr="00496500">
        <w:rPr>
          <w:rFonts w:ascii="Times New Roman" w:eastAsia="Calibri" w:hAnsi="Times New Roman" w:cs="Times New Roman"/>
          <w:sz w:val="24"/>
          <w:szCs w:val="24"/>
        </w:rPr>
        <w:t>“ и „Здравеопазване“ (</w:t>
      </w:r>
      <w:r w:rsidR="003558C2" w:rsidRPr="00496500">
        <w:rPr>
          <w:rFonts w:ascii="Times New Roman" w:eastAsia="Calibri" w:hAnsi="Times New Roman" w:cs="Times New Roman"/>
          <w:sz w:val="24"/>
          <w:szCs w:val="24"/>
        </w:rPr>
        <w:t>стойност</w:t>
      </w:r>
      <w:r w:rsidRPr="00496500">
        <w:rPr>
          <w:rFonts w:ascii="Times New Roman" w:eastAsia="Calibri" w:hAnsi="Times New Roman" w:cs="Times New Roman"/>
          <w:sz w:val="24"/>
          <w:szCs w:val="24"/>
        </w:rPr>
        <w:t xml:space="preserve"> 70 спрямо средни стойности за ЕС съответно 86 и 71). По отношение на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 xml:space="preserve">те услуги за </w:t>
      </w:r>
      <w:r w:rsidR="006314C8" w:rsidRPr="00496500">
        <w:rPr>
          <w:rFonts w:ascii="Times New Roman" w:eastAsia="Calibri" w:hAnsi="Times New Roman" w:cs="Times New Roman"/>
          <w:sz w:val="24"/>
          <w:szCs w:val="24"/>
        </w:rPr>
        <w:t>бизнеса</w:t>
      </w:r>
      <w:r w:rsidRPr="00496500">
        <w:rPr>
          <w:rFonts w:ascii="Times New Roman" w:eastAsia="Calibri" w:hAnsi="Times New Roman" w:cs="Times New Roman"/>
          <w:sz w:val="24"/>
          <w:szCs w:val="24"/>
        </w:rPr>
        <w:t xml:space="preserve">, събитието „Извършване на редовни </w:t>
      </w:r>
      <w:r w:rsidR="00981EA5">
        <w:rPr>
          <w:rFonts w:ascii="Times New Roman" w:eastAsia="Calibri" w:hAnsi="Times New Roman" w:cs="Times New Roman"/>
          <w:sz w:val="24"/>
          <w:szCs w:val="24"/>
        </w:rPr>
        <w:t>стопански</w:t>
      </w:r>
      <w:r w:rsidR="00981EA5" w:rsidRPr="00496500">
        <w:rPr>
          <w:rFonts w:ascii="Times New Roman" w:eastAsia="Calibri" w:hAnsi="Times New Roman" w:cs="Times New Roman"/>
          <w:sz w:val="24"/>
          <w:szCs w:val="24"/>
        </w:rPr>
        <w:t xml:space="preserve"> </w:t>
      </w:r>
      <w:r w:rsidRPr="00496500">
        <w:rPr>
          <w:rFonts w:ascii="Times New Roman" w:eastAsia="Calibri" w:hAnsi="Times New Roman" w:cs="Times New Roman"/>
          <w:sz w:val="24"/>
          <w:szCs w:val="24"/>
        </w:rPr>
        <w:t>операции“ е с мак</w:t>
      </w:r>
      <w:r w:rsidR="00805AAC" w:rsidRPr="00496500">
        <w:rPr>
          <w:rFonts w:ascii="Times New Roman" w:eastAsia="Calibri" w:hAnsi="Times New Roman" w:cs="Times New Roman"/>
          <w:sz w:val="24"/>
          <w:szCs w:val="24"/>
        </w:rPr>
        <w:t>с</w:t>
      </w:r>
      <w:r w:rsidRPr="00496500">
        <w:rPr>
          <w:rFonts w:ascii="Times New Roman" w:eastAsia="Calibri" w:hAnsi="Times New Roman" w:cs="Times New Roman"/>
          <w:sz w:val="24"/>
          <w:szCs w:val="24"/>
        </w:rPr>
        <w:t xml:space="preserve">имален резултат 100 спрямо 88 средна стойност за </w:t>
      </w:r>
      <w:r w:rsidR="00FC67C6" w:rsidRPr="00496500">
        <w:rPr>
          <w:rFonts w:ascii="Times New Roman" w:eastAsia="Calibri" w:hAnsi="Times New Roman" w:cs="Times New Roman"/>
          <w:sz w:val="24"/>
          <w:szCs w:val="24"/>
        </w:rPr>
        <w:t>ЕС</w:t>
      </w:r>
      <w:r w:rsidRPr="00496500">
        <w:rPr>
          <w:rFonts w:ascii="Times New Roman" w:eastAsia="Calibri" w:hAnsi="Times New Roman" w:cs="Times New Roman"/>
          <w:sz w:val="24"/>
          <w:szCs w:val="24"/>
        </w:rPr>
        <w:t>, т.е. административните стъпки в рамките на това съби</w:t>
      </w:r>
      <w:r w:rsidR="003558C2" w:rsidRPr="00496500">
        <w:rPr>
          <w:rFonts w:ascii="Times New Roman" w:eastAsia="Calibri" w:hAnsi="Times New Roman" w:cs="Times New Roman"/>
          <w:sz w:val="24"/>
          <w:szCs w:val="24"/>
        </w:rPr>
        <w:t>т</w:t>
      </w:r>
      <w:r w:rsidRPr="00496500">
        <w:rPr>
          <w:rFonts w:ascii="Times New Roman" w:eastAsia="Calibri" w:hAnsi="Times New Roman" w:cs="Times New Roman"/>
          <w:sz w:val="24"/>
          <w:szCs w:val="24"/>
        </w:rPr>
        <w:t xml:space="preserve">ие могат да бъдат извършени изцяло онлайн, а за събитието „Започване на </w:t>
      </w:r>
      <w:r w:rsidR="00981EA5">
        <w:rPr>
          <w:rFonts w:ascii="Times New Roman" w:eastAsia="Calibri" w:hAnsi="Times New Roman" w:cs="Times New Roman"/>
          <w:sz w:val="24"/>
          <w:szCs w:val="24"/>
        </w:rPr>
        <w:t>стопанска дейност</w:t>
      </w:r>
      <w:r w:rsidRPr="00496500">
        <w:rPr>
          <w:rFonts w:ascii="Times New Roman" w:eastAsia="Calibri" w:hAnsi="Times New Roman" w:cs="Times New Roman"/>
          <w:sz w:val="24"/>
          <w:szCs w:val="24"/>
        </w:rPr>
        <w:t xml:space="preserve">“ – </w:t>
      </w:r>
      <w:r w:rsidR="003558C2" w:rsidRPr="00496500">
        <w:rPr>
          <w:rFonts w:ascii="Times New Roman" w:eastAsia="Calibri" w:hAnsi="Times New Roman" w:cs="Times New Roman"/>
          <w:sz w:val="24"/>
          <w:szCs w:val="24"/>
        </w:rPr>
        <w:t xml:space="preserve">стойност </w:t>
      </w:r>
      <w:r w:rsidRPr="00496500">
        <w:rPr>
          <w:rFonts w:ascii="Times New Roman" w:eastAsia="Calibri" w:hAnsi="Times New Roman" w:cs="Times New Roman"/>
          <w:sz w:val="24"/>
          <w:szCs w:val="24"/>
        </w:rPr>
        <w:t>88 спрямо средна стойност 84 за Е</w:t>
      </w:r>
      <w:r w:rsidR="00FF03D0" w:rsidRPr="00496500">
        <w:rPr>
          <w:rFonts w:ascii="Times New Roman" w:eastAsia="Calibri" w:hAnsi="Times New Roman" w:cs="Times New Roman"/>
          <w:sz w:val="24"/>
          <w:szCs w:val="24"/>
        </w:rPr>
        <w:t>С</w:t>
      </w:r>
      <w:r w:rsidRPr="00496500">
        <w:rPr>
          <w:rFonts w:ascii="Times New Roman" w:eastAsia="Calibri" w:hAnsi="Times New Roman" w:cs="Times New Roman"/>
          <w:sz w:val="24"/>
          <w:szCs w:val="24"/>
        </w:rPr>
        <w:t>.</w:t>
      </w:r>
    </w:p>
    <w:p w14:paraId="2D0BEF8A" w14:textId="120A6428" w:rsidR="00F5133B" w:rsidRPr="00496500" w:rsidRDefault="005C54FD"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Киберсигурността, използването на </w:t>
      </w:r>
      <w:r w:rsidR="00764E2E">
        <w:rPr>
          <w:rFonts w:ascii="Times New Roman" w:eastAsia="Calibri" w:hAnsi="Times New Roman" w:cs="Times New Roman"/>
          <w:sz w:val="24"/>
          <w:szCs w:val="24"/>
        </w:rPr>
        <w:t>ИИ</w:t>
      </w:r>
      <w:r w:rsidRPr="00496500">
        <w:rPr>
          <w:rFonts w:ascii="Times New Roman" w:eastAsia="Calibri" w:hAnsi="Times New Roman" w:cs="Times New Roman"/>
          <w:sz w:val="24"/>
          <w:szCs w:val="24"/>
        </w:rPr>
        <w:t xml:space="preserve"> за подпомагане на потребителя в реално време и достъпността на уебсайтовете, също служат като катализатор за предоставянето и възприемането на услугите на електронното управление. В тези области, въпреки </w:t>
      </w:r>
      <w:r w:rsidR="003C031C" w:rsidRPr="00496500">
        <w:rPr>
          <w:rFonts w:ascii="Times New Roman" w:eastAsia="Calibri" w:hAnsi="Times New Roman" w:cs="Times New Roman"/>
          <w:sz w:val="24"/>
          <w:szCs w:val="24"/>
        </w:rPr>
        <w:t xml:space="preserve">постигнатите </w:t>
      </w:r>
      <w:r w:rsidRPr="00496500">
        <w:rPr>
          <w:rFonts w:ascii="Times New Roman" w:eastAsia="Calibri" w:hAnsi="Times New Roman" w:cs="Times New Roman"/>
          <w:sz w:val="24"/>
          <w:szCs w:val="24"/>
        </w:rPr>
        <w:t xml:space="preserve">положителни резултати, все още има </w:t>
      </w:r>
      <w:r w:rsidR="003C031C" w:rsidRPr="00496500">
        <w:rPr>
          <w:rFonts w:ascii="Times New Roman" w:eastAsia="Calibri" w:hAnsi="Times New Roman" w:cs="Times New Roman"/>
          <w:sz w:val="24"/>
          <w:szCs w:val="24"/>
        </w:rPr>
        <w:t xml:space="preserve">тесни места </w:t>
      </w:r>
      <w:r w:rsidRPr="00496500">
        <w:rPr>
          <w:rFonts w:ascii="Times New Roman" w:eastAsia="Calibri" w:hAnsi="Times New Roman" w:cs="Times New Roman"/>
          <w:sz w:val="24"/>
          <w:szCs w:val="24"/>
        </w:rPr>
        <w:t xml:space="preserve">за подобрение. Противодействието на кибератаките и защитата на данните на гражданите и предприятията са основен приоритет. </w:t>
      </w:r>
      <w:r w:rsidR="003C031C" w:rsidRPr="00496500">
        <w:rPr>
          <w:rFonts w:ascii="Times New Roman" w:eastAsia="Calibri" w:hAnsi="Times New Roman" w:cs="Times New Roman"/>
          <w:sz w:val="24"/>
          <w:szCs w:val="24"/>
        </w:rPr>
        <w:t>Според Евробарометър 2025</w:t>
      </w:r>
      <w:r w:rsidR="00ED6944">
        <w:rPr>
          <w:rFonts w:ascii="Times New Roman" w:eastAsia="Calibri" w:hAnsi="Times New Roman" w:cs="Times New Roman"/>
          <w:sz w:val="24"/>
          <w:szCs w:val="24"/>
        </w:rPr>
        <w:t>,</w:t>
      </w:r>
      <w:r w:rsidR="003C031C" w:rsidRPr="00496500">
        <w:rPr>
          <w:rFonts w:ascii="Times New Roman" w:eastAsia="Calibri" w:hAnsi="Times New Roman" w:cs="Times New Roman"/>
          <w:sz w:val="24"/>
          <w:szCs w:val="24"/>
        </w:rPr>
        <w:t xml:space="preserve"> 84% от българските граждани смятат, че изграждането на ефикасна и сигурна цифрова инфраструктура за обработка на данни трябва да бъде приоритет за публичните власти. </w:t>
      </w:r>
    </w:p>
    <w:p w14:paraId="3DF14A30" w14:textId="0D011B10" w:rsidR="00E653D3" w:rsidRDefault="00B85EF1" w:rsidP="003B412E">
      <w:pPr>
        <w:pStyle w:val="ListParagraph"/>
        <w:spacing w:after="120" w:line="240" w:lineRule="auto"/>
        <w:ind w:left="0"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За наблюдение </w:t>
      </w:r>
      <w:r w:rsidR="003C031C" w:rsidRPr="00496500">
        <w:rPr>
          <w:rFonts w:ascii="Times New Roman" w:hAnsi="Times New Roman" w:cs="Times New Roman"/>
          <w:sz w:val="24"/>
          <w:szCs w:val="24"/>
        </w:rPr>
        <w:t xml:space="preserve">и сравнение </w:t>
      </w:r>
      <w:r w:rsidRPr="00496500">
        <w:rPr>
          <w:rFonts w:ascii="Times New Roman" w:hAnsi="Times New Roman" w:cs="Times New Roman"/>
          <w:sz w:val="24"/>
          <w:szCs w:val="24"/>
        </w:rPr>
        <w:t xml:space="preserve">на напредъка в изпълнението на цифровите цели на десетилетието </w:t>
      </w:r>
      <w:r w:rsidR="003C031C" w:rsidRPr="00496500">
        <w:rPr>
          <w:rFonts w:ascii="Times New Roman" w:hAnsi="Times New Roman" w:cs="Times New Roman"/>
          <w:sz w:val="24"/>
          <w:szCs w:val="24"/>
        </w:rPr>
        <w:t xml:space="preserve">за държавите </w:t>
      </w:r>
      <w:r w:rsidR="00ED6944">
        <w:rPr>
          <w:rFonts w:ascii="Times New Roman" w:hAnsi="Times New Roman" w:cs="Times New Roman"/>
          <w:sz w:val="24"/>
          <w:szCs w:val="24"/>
        </w:rPr>
        <w:sym w:font="Symbol" w:char="F02D"/>
      </w:r>
      <w:r w:rsidR="00ED6944">
        <w:rPr>
          <w:rFonts w:ascii="Times New Roman" w:hAnsi="Times New Roman" w:cs="Times New Roman"/>
          <w:sz w:val="24"/>
          <w:szCs w:val="24"/>
        </w:rPr>
        <w:t xml:space="preserve"> </w:t>
      </w:r>
      <w:r w:rsidR="003C031C" w:rsidRPr="00496500">
        <w:rPr>
          <w:rFonts w:ascii="Times New Roman" w:hAnsi="Times New Roman" w:cs="Times New Roman"/>
          <w:sz w:val="24"/>
          <w:szCs w:val="24"/>
        </w:rPr>
        <w:t>членки на ЕС</w:t>
      </w:r>
      <w:r w:rsidR="00ED6944">
        <w:rPr>
          <w:rFonts w:ascii="Times New Roman" w:hAnsi="Times New Roman" w:cs="Times New Roman"/>
          <w:sz w:val="24"/>
          <w:szCs w:val="24"/>
        </w:rPr>
        <w:t>,</w:t>
      </w:r>
      <w:r w:rsidR="003C031C" w:rsidRPr="00496500">
        <w:rPr>
          <w:rFonts w:ascii="Times New Roman" w:hAnsi="Times New Roman" w:cs="Times New Roman"/>
          <w:sz w:val="24"/>
          <w:szCs w:val="24"/>
        </w:rPr>
        <w:t xml:space="preserve"> </w:t>
      </w:r>
      <w:r w:rsidRPr="00496500">
        <w:rPr>
          <w:rFonts w:ascii="Times New Roman" w:hAnsi="Times New Roman" w:cs="Times New Roman"/>
          <w:sz w:val="24"/>
          <w:szCs w:val="24"/>
        </w:rPr>
        <w:t>се използва Индексът за навлизането на цифровите технологии в иконом</w:t>
      </w:r>
      <w:r w:rsidR="004E41C9" w:rsidRPr="00496500">
        <w:rPr>
          <w:rFonts w:ascii="Times New Roman" w:hAnsi="Times New Roman" w:cs="Times New Roman"/>
          <w:sz w:val="24"/>
          <w:szCs w:val="24"/>
        </w:rPr>
        <w:t xml:space="preserve">иката и обществото </w:t>
      </w:r>
      <w:r w:rsidR="00C446B7">
        <w:rPr>
          <w:rFonts w:ascii="Times New Roman" w:hAnsi="Times New Roman" w:cs="Times New Roman"/>
          <w:sz w:val="24"/>
          <w:szCs w:val="24"/>
        </w:rPr>
        <w:t>(</w:t>
      </w:r>
      <w:r w:rsidR="004E41C9" w:rsidRPr="00496500">
        <w:rPr>
          <w:rFonts w:ascii="Times New Roman" w:hAnsi="Times New Roman" w:cs="Times New Roman"/>
          <w:sz w:val="24"/>
          <w:szCs w:val="24"/>
        </w:rPr>
        <w:t>DESI</w:t>
      </w:r>
      <w:r w:rsidR="00C446B7">
        <w:rPr>
          <w:rFonts w:ascii="Times New Roman" w:hAnsi="Times New Roman" w:cs="Times New Roman"/>
          <w:sz w:val="24"/>
          <w:szCs w:val="24"/>
        </w:rPr>
        <w:t>)</w:t>
      </w:r>
      <w:r w:rsidR="00D03C4C" w:rsidRPr="00496500">
        <w:rPr>
          <w:rFonts w:ascii="Times New Roman" w:hAnsi="Times New Roman" w:cs="Times New Roman"/>
          <w:sz w:val="24"/>
          <w:szCs w:val="24"/>
        </w:rPr>
        <w:t xml:space="preserve"> 2025</w:t>
      </w:r>
      <w:r w:rsidR="004E41C9" w:rsidRPr="00496500">
        <w:rPr>
          <w:rFonts w:ascii="Times New Roman" w:hAnsi="Times New Roman" w:cs="Times New Roman"/>
          <w:sz w:val="24"/>
          <w:szCs w:val="24"/>
        </w:rPr>
        <w:t xml:space="preserve">, който </w:t>
      </w:r>
      <w:r w:rsidRPr="00496500">
        <w:rPr>
          <w:rFonts w:ascii="Times New Roman" w:hAnsi="Times New Roman" w:cs="Times New Roman"/>
          <w:sz w:val="24"/>
          <w:szCs w:val="24"/>
        </w:rPr>
        <w:t>е интегрира</w:t>
      </w:r>
      <w:r w:rsidR="004E41C9" w:rsidRPr="00496500">
        <w:rPr>
          <w:rFonts w:ascii="Times New Roman" w:hAnsi="Times New Roman" w:cs="Times New Roman"/>
          <w:sz w:val="24"/>
          <w:szCs w:val="24"/>
        </w:rPr>
        <w:t>н</w:t>
      </w:r>
      <w:r w:rsidRPr="00496500">
        <w:rPr>
          <w:rFonts w:ascii="Times New Roman" w:hAnsi="Times New Roman" w:cs="Times New Roman"/>
          <w:sz w:val="24"/>
          <w:szCs w:val="24"/>
        </w:rPr>
        <w:t xml:space="preserve"> в доклада на ЕК за състоянието на цифровото десетилетие. </w:t>
      </w:r>
      <w:r w:rsidR="004E41C9" w:rsidRPr="00496500">
        <w:rPr>
          <w:rFonts w:ascii="Times New Roman" w:hAnsi="Times New Roman" w:cs="Times New Roman"/>
          <w:sz w:val="24"/>
          <w:szCs w:val="24"/>
        </w:rPr>
        <w:t>Р</w:t>
      </w:r>
      <w:r w:rsidRPr="00496500">
        <w:rPr>
          <w:rFonts w:ascii="Times New Roman" w:hAnsi="Times New Roman" w:cs="Times New Roman"/>
          <w:sz w:val="24"/>
          <w:szCs w:val="24"/>
        </w:rPr>
        <w:t xml:space="preserve">езултатите на </w:t>
      </w:r>
      <w:r w:rsidR="003C031C" w:rsidRPr="00496500">
        <w:rPr>
          <w:rFonts w:ascii="Times New Roman" w:hAnsi="Times New Roman" w:cs="Times New Roman"/>
          <w:sz w:val="24"/>
          <w:szCs w:val="24"/>
        </w:rPr>
        <w:t xml:space="preserve">България </w:t>
      </w:r>
      <w:r w:rsidRPr="00496500">
        <w:rPr>
          <w:rFonts w:ascii="Times New Roman" w:hAnsi="Times New Roman" w:cs="Times New Roman"/>
          <w:sz w:val="24"/>
          <w:szCs w:val="24"/>
        </w:rPr>
        <w:t>по ключовите показатели за ефективност</w:t>
      </w:r>
      <w:r w:rsidR="009C5586" w:rsidRPr="00496500">
        <w:rPr>
          <w:rFonts w:ascii="Times New Roman" w:hAnsi="Times New Roman" w:cs="Times New Roman"/>
          <w:sz w:val="24"/>
          <w:szCs w:val="24"/>
        </w:rPr>
        <w:t xml:space="preserve"> са представени в Т</w:t>
      </w:r>
      <w:r w:rsidR="004E41C9" w:rsidRPr="00496500">
        <w:rPr>
          <w:rFonts w:ascii="Times New Roman" w:hAnsi="Times New Roman" w:cs="Times New Roman"/>
          <w:sz w:val="24"/>
          <w:szCs w:val="24"/>
        </w:rPr>
        <w:t>абл</w:t>
      </w:r>
      <w:r w:rsidR="00B81466" w:rsidRPr="00496500">
        <w:rPr>
          <w:rFonts w:ascii="Times New Roman" w:hAnsi="Times New Roman" w:cs="Times New Roman"/>
          <w:sz w:val="24"/>
          <w:szCs w:val="24"/>
        </w:rPr>
        <w:t xml:space="preserve">ица </w:t>
      </w:r>
      <w:r w:rsidR="004E41C9" w:rsidRPr="00496500">
        <w:rPr>
          <w:rFonts w:ascii="Times New Roman" w:hAnsi="Times New Roman" w:cs="Times New Roman"/>
          <w:sz w:val="24"/>
          <w:szCs w:val="24"/>
        </w:rPr>
        <w:t>1.</w:t>
      </w:r>
      <w:r w:rsidRPr="00496500">
        <w:rPr>
          <w:rFonts w:ascii="Times New Roman" w:hAnsi="Times New Roman" w:cs="Times New Roman"/>
          <w:sz w:val="24"/>
          <w:szCs w:val="24"/>
        </w:rPr>
        <w:t xml:space="preserve"> </w:t>
      </w:r>
    </w:p>
    <w:p w14:paraId="7A44531D" w14:textId="7B87FA1D" w:rsidR="005539D1" w:rsidRPr="006D7474" w:rsidRDefault="005539D1" w:rsidP="006D7474">
      <w:pPr>
        <w:pStyle w:val="Caption"/>
        <w:spacing w:before="120" w:line="278" w:lineRule="auto"/>
        <w:rPr>
          <w:rFonts w:cs="Times New Roman"/>
          <w:sz w:val="20"/>
          <w:szCs w:val="20"/>
        </w:rPr>
      </w:pPr>
      <w:bookmarkStart w:id="4" w:name="_Toc209079339"/>
      <w:r w:rsidRPr="006D7474">
        <w:rPr>
          <w:rFonts w:cs="Times New Roman"/>
          <w:sz w:val="20"/>
          <w:szCs w:val="20"/>
        </w:rPr>
        <w:lastRenderedPageBreak/>
        <w:t xml:space="preserve">Таблица </w:t>
      </w:r>
      <w:r w:rsidRPr="006D7474">
        <w:rPr>
          <w:rFonts w:cs="Times New Roman"/>
          <w:sz w:val="20"/>
          <w:szCs w:val="20"/>
        </w:rPr>
        <w:fldChar w:fldCharType="begin"/>
      </w:r>
      <w:r w:rsidRPr="006D7474">
        <w:rPr>
          <w:rFonts w:cs="Times New Roman"/>
          <w:sz w:val="20"/>
          <w:szCs w:val="20"/>
        </w:rPr>
        <w:instrText xml:space="preserve"> SEQ Таблица \* ARABIC </w:instrText>
      </w:r>
      <w:r w:rsidRPr="006D7474">
        <w:rPr>
          <w:rFonts w:cs="Times New Roman"/>
          <w:sz w:val="20"/>
          <w:szCs w:val="20"/>
        </w:rPr>
        <w:fldChar w:fldCharType="separate"/>
      </w:r>
      <w:r w:rsidR="009F35F8">
        <w:rPr>
          <w:rFonts w:cs="Times New Roman"/>
          <w:noProof/>
          <w:sz w:val="20"/>
          <w:szCs w:val="20"/>
        </w:rPr>
        <w:t>1</w:t>
      </w:r>
      <w:r w:rsidRPr="006D7474">
        <w:rPr>
          <w:rFonts w:cs="Times New Roman"/>
          <w:sz w:val="20"/>
          <w:szCs w:val="20"/>
        </w:rPr>
        <w:fldChar w:fldCharType="end"/>
      </w:r>
      <w:r w:rsidRPr="006D7474">
        <w:rPr>
          <w:rFonts w:cs="Times New Roman"/>
          <w:sz w:val="20"/>
          <w:szCs w:val="20"/>
        </w:rPr>
        <w:t xml:space="preserve"> Резултатите на страната по ключовите показатели за ефективност</w:t>
      </w:r>
      <w:bookmarkEnd w:id="4"/>
    </w:p>
    <w:tbl>
      <w:tblPr>
        <w:tblW w:w="10048" w:type="dxa"/>
        <w:tblInd w:w="-147"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ayout w:type="fixed"/>
        <w:tblCellMar>
          <w:left w:w="0" w:type="dxa"/>
          <w:right w:w="0" w:type="dxa"/>
        </w:tblCellMar>
        <w:tblLook w:val="0000" w:firstRow="0" w:lastRow="0" w:firstColumn="0" w:lastColumn="0" w:noHBand="0" w:noVBand="0"/>
      </w:tblPr>
      <w:tblGrid>
        <w:gridCol w:w="2552"/>
        <w:gridCol w:w="830"/>
        <w:gridCol w:w="851"/>
        <w:gridCol w:w="992"/>
        <w:gridCol w:w="1279"/>
        <w:gridCol w:w="850"/>
        <w:gridCol w:w="993"/>
        <w:gridCol w:w="850"/>
        <w:gridCol w:w="851"/>
      </w:tblGrid>
      <w:tr w:rsidR="003571E5" w:rsidRPr="00496500" w14:paraId="17A5E860" w14:textId="77777777" w:rsidTr="00216ADD">
        <w:trPr>
          <w:trHeight w:val="448"/>
        </w:trPr>
        <w:tc>
          <w:tcPr>
            <w:tcW w:w="2552" w:type="dxa"/>
            <w:vMerge w:val="restart"/>
            <w:shd w:val="clear" w:color="auto" w:fill="FFF2CC" w:themeFill="accent4" w:themeFillTint="33"/>
            <w:vAlign w:val="center"/>
          </w:tcPr>
          <w:p w14:paraId="6CB7F118" w14:textId="77777777" w:rsidR="003571E5" w:rsidRPr="00496500" w:rsidRDefault="00E653D3" w:rsidP="003B412E">
            <w:pPr>
              <w:spacing w:after="120" w:line="240" w:lineRule="auto"/>
              <w:ind w:left="164" w:right="57"/>
              <w:jc w:val="center"/>
              <w:rPr>
                <w:rFonts w:ascii="Times New Roman" w:hAnsi="Times New Roman" w:cs="Times New Roman"/>
                <w:b/>
                <w:bCs/>
                <w:sz w:val="20"/>
                <w:szCs w:val="20"/>
                <w:vertAlign w:val="superscript"/>
              </w:rPr>
            </w:pPr>
            <w:r w:rsidRPr="00496500">
              <w:rPr>
                <w:rFonts w:ascii="Times New Roman" w:hAnsi="Times New Roman" w:cs="Times New Roman"/>
                <w:sz w:val="24"/>
                <w:szCs w:val="24"/>
              </w:rPr>
              <w:br w:type="page"/>
            </w:r>
            <w:r w:rsidR="003571E5" w:rsidRPr="00496500">
              <w:rPr>
                <w:rFonts w:ascii="Times New Roman" w:hAnsi="Times New Roman" w:cs="Times New Roman"/>
                <w:b/>
                <w:bCs/>
                <w:sz w:val="20"/>
                <w:szCs w:val="20"/>
              </w:rPr>
              <w:t xml:space="preserve">Ключови показатели </w:t>
            </w:r>
            <w:r w:rsidR="005C54FD" w:rsidRPr="00496500">
              <w:rPr>
                <w:rFonts w:ascii="Times New Roman" w:hAnsi="Times New Roman" w:cs="Times New Roman"/>
                <w:b/>
                <w:bCs/>
                <w:sz w:val="20"/>
                <w:szCs w:val="20"/>
              </w:rPr>
              <w:t xml:space="preserve">за ефективност за </w:t>
            </w:r>
            <w:r w:rsidR="003571E5" w:rsidRPr="00496500">
              <w:rPr>
                <w:rFonts w:ascii="Times New Roman" w:hAnsi="Times New Roman" w:cs="Times New Roman"/>
                <w:b/>
                <w:bCs/>
                <w:sz w:val="20"/>
                <w:szCs w:val="20"/>
              </w:rPr>
              <w:t xml:space="preserve"> </w:t>
            </w:r>
            <w:r w:rsidR="005C54FD" w:rsidRPr="00496500">
              <w:rPr>
                <w:rFonts w:ascii="Times New Roman" w:hAnsi="Times New Roman" w:cs="Times New Roman"/>
                <w:b/>
                <w:bCs/>
                <w:sz w:val="20"/>
                <w:szCs w:val="20"/>
              </w:rPr>
              <w:t>ц</w:t>
            </w:r>
            <w:r w:rsidR="003571E5" w:rsidRPr="00496500">
              <w:rPr>
                <w:rFonts w:ascii="Times New Roman" w:hAnsi="Times New Roman" w:cs="Times New Roman"/>
                <w:b/>
                <w:bCs/>
                <w:sz w:val="20"/>
                <w:szCs w:val="20"/>
              </w:rPr>
              <w:t>ифрово</w:t>
            </w:r>
            <w:r w:rsidR="005C54FD" w:rsidRPr="00496500">
              <w:rPr>
                <w:rFonts w:ascii="Times New Roman" w:hAnsi="Times New Roman" w:cs="Times New Roman"/>
                <w:b/>
                <w:bCs/>
                <w:sz w:val="20"/>
                <w:szCs w:val="20"/>
              </w:rPr>
              <w:t>то</w:t>
            </w:r>
            <w:r w:rsidR="003571E5" w:rsidRPr="00496500">
              <w:rPr>
                <w:rFonts w:ascii="Times New Roman" w:hAnsi="Times New Roman" w:cs="Times New Roman"/>
                <w:b/>
                <w:bCs/>
                <w:sz w:val="20"/>
                <w:szCs w:val="20"/>
              </w:rPr>
              <w:t xml:space="preserve"> десетилетие</w:t>
            </w:r>
            <w:r w:rsidR="003571E5" w:rsidRPr="00496500">
              <w:rPr>
                <w:rFonts w:ascii="Times New Roman" w:hAnsi="Times New Roman" w:cs="Times New Roman"/>
                <w:b/>
                <w:bCs/>
                <w:sz w:val="20"/>
                <w:szCs w:val="20"/>
                <w:vertAlign w:val="superscript"/>
              </w:rPr>
              <w:t>(1)</w:t>
            </w:r>
          </w:p>
        </w:tc>
        <w:tc>
          <w:tcPr>
            <w:tcW w:w="3952" w:type="dxa"/>
            <w:gridSpan w:val="4"/>
            <w:shd w:val="clear" w:color="auto" w:fill="FFF2CC" w:themeFill="accent4" w:themeFillTint="33"/>
            <w:vAlign w:val="center"/>
          </w:tcPr>
          <w:p w14:paraId="67A927DE" w14:textId="77777777" w:rsidR="003571E5" w:rsidRPr="00496500" w:rsidRDefault="003571E5" w:rsidP="003B412E">
            <w:pPr>
              <w:spacing w:after="120" w:line="240" w:lineRule="auto"/>
              <w:ind w:left="164" w:right="130"/>
              <w:jc w:val="center"/>
              <w:rPr>
                <w:rFonts w:ascii="Times New Roman" w:hAnsi="Times New Roman" w:cs="Times New Roman"/>
                <w:b/>
                <w:bCs/>
                <w:sz w:val="20"/>
                <w:szCs w:val="20"/>
              </w:rPr>
            </w:pPr>
            <w:r w:rsidRPr="00496500">
              <w:rPr>
                <w:rFonts w:ascii="Times New Roman" w:hAnsi="Times New Roman" w:cs="Times New Roman"/>
                <w:b/>
                <w:bCs/>
                <w:sz w:val="20"/>
                <w:szCs w:val="20"/>
              </w:rPr>
              <w:t>България</w:t>
            </w:r>
          </w:p>
        </w:tc>
        <w:tc>
          <w:tcPr>
            <w:tcW w:w="1843" w:type="dxa"/>
            <w:gridSpan w:val="2"/>
            <w:shd w:val="clear" w:color="auto" w:fill="FFF2CC" w:themeFill="accent4" w:themeFillTint="33"/>
            <w:vAlign w:val="center"/>
          </w:tcPr>
          <w:p w14:paraId="5F6B5D1E" w14:textId="77777777" w:rsidR="003571E5" w:rsidRPr="00496500" w:rsidRDefault="003571E5" w:rsidP="003B412E">
            <w:pPr>
              <w:spacing w:after="120" w:line="240" w:lineRule="auto"/>
              <w:ind w:left="164" w:right="130"/>
              <w:jc w:val="center"/>
              <w:rPr>
                <w:rFonts w:ascii="Times New Roman" w:hAnsi="Times New Roman" w:cs="Times New Roman"/>
                <w:b/>
                <w:bCs/>
                <w:sz w:val="20"/>
                <w:szCs w:val="20"/>
              </w:rPr>
            </w:pPr>
            <w:r w:rsidRPr="00496500">
              <w:rPr>
                <w:rFonts w:ascii="Times New Roman" w:hAnsi="Times New Roman" w:cs="Times New Roman"/>
                <w:b/>
                <w:bCs/>
                <w:sz w:val="20"/>
                <w:szCs w:val="20"/>
              </w:rPr>
              <w:t>ЕС</w:t>
            </w:r>
          </w:p>
        </w:tc>
        <w:tc>
          <w:tcPr>
            <w:tcW w:w="1701" w:type="dxa"/>
            <w:gridSpan w:val="2"/>
            <w:shd w:val="clear" w:color="auto" w:fill="FFF2CC" w:themeFill="accent4" w:themeFillTint="33"/>
            <w:vAlign w:val="center"/>
          </w:tcPr>
          <w:p w14:paraId="34E03033" w14:textId="77777777" w:rsidR="003571E5" w:rsidRPr="00496500" w:rsidRDefault="003571E5" w:rsidP="003B412E">
            <w:pPr>
              <w:spacing w:after="120" w:line="240" w:lineRule="auto"/>
              <w:ind w:left="164" w:right="130"/>
              <w:jc w:val="center"/>
              <w:rPr>
                <w:rFonts w:ascii="Times New Roman" w:hAnsi="Times New Roman" w:cs="Times New Roman"/>
                <w:b/>
                <w:bCs/>
                <w:sz w:val="20"/>
                <w:szCs w:val="20"/>
              </w:rPr>
            </w:pPr>
            <w:r w:rsidRPr="00496500">
              <w:rPr>
                <w:rFonts w:ascii="Times New Roman" w:hAnsi="Times New Roman" w:cs="Times New Roman"/>
                <w:b/>
                <w:bCs/>
                <w:sz w:val="20"/>
                <w:szCs w:val="20"/>
              </w:rPr>
              <w:t>Цели на Цифрово десетилетие до 2030 г.</w:t>
            </w:r>
          </w:p>
        </w:tc>
      </w:tr>
      <w:tr w:rsidR="009E15C5" w:rsidRPr="00496500" w14:paraId="41389493" w14:textId="77777777" w:rsidTr="003D64E8">
        <w:trPr>
          <w:trHeight w:val="683"/>
        </w:trPr>
        <w:tc>
          <w:tcPr>
            <w:tcW w:w="2552" w:type="dxa"/>
            <w:vMerge/>
            <w:shd w:val="clear" w:color="auto" w:fill="FFF2CC" w:themeFill="accent4" w:themeFillTint="33"/>
            <w:vAlign w:val="center"/>
          </w:tcPr>
          <w:p w14:paraId="52D0682A" w14:textId="77777777" w:rsidR="003571E5" w:rsidRPr="00496500" w:rsidRDefault="003571E5" w:rsidP="003B412E">
            <w:pPr>
              <w:spacing w:after="120" w:line="240" w:lineRule="auto"/>
              <w:ind w:left="166" w:right="-78"/>
              <w:jc w:val="center"/>
              <w:rPr>
                <w:rFonts w:ascii="Times New Roman" w:hAnsi="Times New Roman" w:cs="Times New Roman"/>
                <w:sz w:val="20"/>
                <w:szCs w:val="20"/>
              </w:rPr>
            </w:pPr>
          </w:p>
        </w:tc>
        <w:tc>
          <w:tcPr>
            <w:tcW w:w="830" w:type="dxa"/>
            <w:shd w:val="clear" w:color="auto" w:fill="FFF2CC" w:themeFill="accent4" w:themeFillTint="33"/>
            <w:vAlign w:val="center"/>
          </w:tcPr>
          <w:p w14:paraId="2039036D"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DESI 2024</w:t>
            </w:r>
          </w:p>
          <w:p w14:paraId="46454337" w14:textId="77777777" w:rsidR="003571E5" w:rsidRPr="00496500" w:rsidRDefault="003571E5" w:rsidP="00F11DE9">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(2023</w:t>
            </w:r>
            <w:r w:rsidR="00F11DE9" w:rsidRPr="00496500">
              <w:rPr>
                <w:rFonts w:ascii="Times New Roman" w:hAnsi="Times New Roman" w:cs="Times New Roman"/>
                <w:b/>
                <w:bCs/>
                <w:sz w:val="20"/>
                <w:szCs w:val="20"/>
              </w:rPr>
              <w:t xml:space="preserve"> г.</w:t>
            </w:r>
            <w:r w:rsidRPr="00496500">
              <w:rPr>
                <w:rFonts w:ascii="Times New Roman" w:hAnsi="Times New Roman" w:cs="Times New Roman"/>
                <w:b/>
                <w:bCs/>
                <w:sz w:val="20"/>
                <w:szCs w:val="20"/>
              </w:rPr>
              <w:t>)</w:t>
            </w:r>
          </w:p>
        </w:tc>
        <w:tc>
          <w:tcPr>
            <w:tcW w:w="851" w:type="dxa"/>
            <w:shd w:val="clear" w:color="auto" w:fill="FFF2CC" w:themeFill="accent4" w:themeFillTint="33"/>
            <w:vAlign w:val="center"/>
          </w:tcPr>
          <w:p w14:paraId="6A306DEB"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DESI 2025</w:t>
            </w:r>
          </w:p>
          <w:p w14:paraId="5EF5C183" w14:textId="77777777" w:rsidR="003571E5" w:rsidRPr="00496500" w:rsidRDefault="003571E5" w:rsidP="00F11DE9">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(2024</w:t>
            </w:r>
            <w:r w:rsidR="00F11DE9" w:rsidRPr="00496500">
              <w:rPr>
                <w:rFonts w:ascii="Times New Roman" w:hAnsi="Times New Roman" w:cs="Times New Roman"/>
                <w:b/>
                <w:bCs/>
                <w:sz w:val="20"/>
                <w:szCs w:val="20"/>
              </w:rPr>
              <w:t xml:space="preserve"> г.</w:t>
            </w:r>
            <w:r w:rsidRPr="00496500">
              <w:rPr>
                <w:rFonts w:ascii="Times New Roman" w:hAnsi="Times New Roman" w:cs="Times New Roman"/>
                <w:b/>
                <w:bCs/>
                <w:sz w:val="20"/>
                <w:szCs w:val="20"/>
              </w:rPr>
              <w:t>)</w:t>
            </w:r>
          </w:p>
        </w:tc>
        <w:tc>
          <w:tcPr>
            <w:tcW w:w="992" w:type="dxa"/>
            <w:shd w:val="clear" w:color="auto" w:fill="FFF2CC" w:themeFill="accent4" w:themeFillTint="33"/>
            <w:vAlign w:val="center"/>
          </w:tcPr>
          <w:p w14:paraId="150DA312"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Годишен напредък</w:t>
            </w:r>
          </w:p>
        </w:tc>
        <w:tc>
          <w:tcPr>
            <w:tcW w:w="1279" w:type="dxa"/>
            <w:shd w:val="clear" w:color="auto" w:fill="FFF2CC" w:themeFill="accent4" w:themeFillTint="33"/>
            <w:vAlign w:val="center"/>
          </w:tcPr>
          <w:p w14:paraId="4735B345"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 xml:space="preserve">Национална траектория 2024 </w:t>
            </w:r>
            <w:r w:rsidRPr="00496500">
              <w:rPr>
                <w:rFonts w:ascii="Times New Roman" w:hAnsi="Times New Roman" w:cs="Times New Roman"/>
                <w:b/>
                <w:bCs/>
                <w:sz w:val="20"/>
                <w:szCs w:val="20"/>
                <w:vertAlign w:val="superscript"/>
              </w:rPr>
              <w:t>(3)</w:t>
            </w:r>
          </w:p>
        </w:tc>
        <w:tc>
          <w:tcPr>
            <w:tcW w:w="850" w:type="dxa"/>
            <w:shd w:val="clear" w:color="auto" w:fill="FFF2CC" w:themeFill="accent4" w:themeFillTint="33"/>
            <w:vAlign w:val="center"/>
          </w:tcPr>
          <w:p w14:paraId="722B2DB6"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DESI 2025</w:t>
            </w:r>
          </w:p>
        </w:tc>
        <w:tc>
          <w:tcPr>
            <w:tcW w:w="993" w:type="dxa"/>
            <w:shd w:val="clear" w:color="auto" w:fill="FFF2CC" w:themeFill="accent4" w:themeFillTint="33"/>
            <w:vAlign w:val="center"/>
          </w:tcPr>
          <w:p w14:paraId="7D85A28A"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Годишен напредък</w:t>
            </w:r>
          </w:p>
        </w:tc>
        <w:tc>
          <w:tcPr>
            <w:tcW w:w="850" w:type="dxa"/>
            <w:shd w:val="clear" w:color="auto" w:fill="FFF2CC" w:themeFill="accent4" w:themeFillTint="33"/>
            <w:vAlign w:val="center"/>
          </w:tcPr>
          <w:p w14:paraId="0AB9790E"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БГ</w:t>
            </w:r>
          </w:p>
        </w:tc>
        <w:tc>
          <w:tcPr>
            <w:tcW w:w="851" w:type="dxa"/>
            <w:shd w:val="clear" w:color="auto" w:fill="FFF2CC" w:themeFill="accent4" w:themeFillTint="33"/>
            <w:vAlign w:val="center"/>
          </w:tcPr>
          <w:p w14:paraId="0865B760" w14:textId="77777777" w:rsidR="003571E5" w:rsidRPr="00496500" w:rsidRDefault="003571E5" w:rsidP="003B412E">
            <w:pPr>
              <w:spacing w:after="120" w:line="240" w:lineRule="auto"/>
              <w:ind w:left="28" w:right="28"/>
              <w:jc w:val="center"/>
              <w:rPr>
                <w:rFonts w:ascii="Times New Roman" w:hAnsi="Times New Roman" w:cs="Times New Roman"/>
                <w:b/>
                <w:bCs/>
                <w:sz w:val="20"/>
                <w:szCs w:val="20"/>
              </w:rPr>
            </w:pPr>
            <w:r w:rsidRPr="00496500">
              <w:rPr>
                <w:rFonts w:ascii="Times New Roman" w:hAnsi="Times New Roman" w:cs="Times New Roman"/>
                <w:b/>
                <w:bCs/>
                <w:sz w:val="20"/>
                <w:szCs w:val="20"/>
              </w:rPr>
              <w:t>ЕС</w:t>
            </w:r>
          </w:p>
        </w:tc>
      </w:tr>
      <w:tr w:rsidR="009E15C5" w:rsidRPr="00496500" w14:paraId="07DF4A05" w14:textId="77777777" w:rsidTr="003D64E8">
        <w:trPr>
          <w:trHeight w:hRule="exact" w:val="923"/>
        </w:trPr>
        <w:tc>
          <w:tcPr>
            <w:tcW w:w="2552" w:type="dxa"/>
            <w:shd w:val="clear" w:color="auto" w:fill="E2EFD9" w:themeFill="accent6" w:themeFillTint="33"/>
            <w:vAlign w:val="center"/>
          </w:tcPr>
          <w:p w14:paraId="32A895CF"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Покритие на фиксирана мрежа с много висок капацитет (VHCN)</w:t>
            </w:r>
          </w:p>
        </w:tc>
        <w:tc>
          <w:tcPr>
            <w:tcW w:w="830" w:type="dxa"/>
            <w:vAlign w:val="center"/>
          </w:tcPr>
          <w:p w14:paraId="0887E7D7" w14:textId="7E83ECDD"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88</w:t>
            </w:r>
            <w:r w:rsidR="00144250">
              <w:rPr>
                <w:rFonts w:ascii="Times New Roman" w:hAnsi="Times New Roman" w:cs="Times New Roman"/>
                <w:sz w:val="20"/>
                <w:szCs w:val="20"/>
              </w:rPr>
              <w:t>,</w:t>
            </w:r>
            <w:r w:rsidRPr="00496500">
              <w:rPr>
                <w:rFonts w:ascii="Times New Roman" w:hAnsi="Times New Roman" w:cs="Times New Roman"/>
                <w:sz w:val="20"/>
                <w:szCs w:val="20"/>
              </w:rPr>
              <w:t>6%</w:t>
            </w:r>
          </w:p>
        </w:tc>
        <w:tc>
          <w:tcPr>
            <w:tcW w:w="851" w:type="dxa"/>
            <w:vAlign w:val="center"/>
          </w:tcPr>
          <w:p w14:paraId="60D5DB13" w14:textId="2622C536"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90</w:t>
            </w:r>
            <w:r w:rsidR="00144250">
              <w:rPr>
                <w:rFonts w:ascii="Times New Roman" w:hAnsi="Times New Roman" w:cs="Times New Roman"/>
                <w:sz w:val="20"/>
                <w:szCs w:val="20"/>
              </w:rPr>
              <w:t>,</w:t>
            </w:r>
            <w:r w:rsidRPr="00496500">
              <w:rPr>
                <w:rFonts w:ascii="Times New Roman" w:hAnsi="Times New Roman" w:cs="Times New Roman"/>
                <w:sz w:val="20"/>
                <w:szCs w:val="20"/>
              </w:rPr>
              <w:t>4%</w:t>
            </w:r>
          </w:p>
        </w:tc>
        <w:tc>
          <w:tcPr>
            <w:tcW w:w="992" w:type="dxa"/>
            <w:vAlign w:val="center"/>
          </w:tcPr>
          <w:p w14:paraId="07425C0C" w14:textId="1EF463E3"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1279" w:type="dxa"/>
            <w:vAlign w:val="center"/>
          </w:tcPr>
          <w:p w14:paraId="17D1DA4E" w14:textId="20A8C8F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93</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0" w:type="dxa"/>
            <w:vAlign w:val="center"/>
          </w:tcPr>
          <w:p w14:paraId="68B0A0AD" w14:textId="0631985A"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82</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993" w:type="dxa"/>
            <w:vAlign w:val="center"/>
          </w:tcPr>
          <w:p w14:paraId="5B10EB7B" w14:textId="37AE5D28"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850" w:type="dxa"/>
            <w:vAlign w:val="center"/>
          </w:tcPr>
          <w:p w14:paraId="3326B755" w14:textId="3738A4AB"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6F54161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p>
        </w:tc>
      </w:tr>
      <w:tr w:rsidR="009E15C5" w:rsidRPr="00496500" w14:paraId="3EF97759" w14:textId="77777777" w:rsidTr="003D64E8">
        <w:trPr>
          <w:trHeight w:hRule="exact" w:val="692"/>
        </w:trPr>
        <w:tc>
          <w:tcPr>
            <w:tcW w:w="2552" w:type="dxa"/>
            <w:shd w:val="clear" w:color="auto" w:fill="E2EFD9" w:themeFill="accent6" w:themeFillTint="33"/>
            <w:vAlign w:val="center"/>
          </w:tcPr>
          <w:p w14:paraId="1C274C01"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Покритие с оптичен кабел до помещенията (FTTP)</w:t>
            </w:r>
          </w:p>
        </w:tc>
        <w:tc>
          <w:tcPr>
            <w:tcW w:w="830" w:type="dxa"/>
            <w:vAlign w:val="center"/>
          </w:tcPr>
          <w:p w14:paraId="2A9B7FF5" w14:textId="1312057F"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88</w:t>
            </w:r>
            <w:r w:rsidR="00144250">
              <w:rPr>
                <w:rFonts w:ascii="Times New Roman" w:hAnsi="Times New Roman" w:cs="Times New Roman"/>
                <w:sz w:val="20"/>
                <w:szCs w:val="20"/>
              </w:rPr>
              <w:t>,</w:t>
            </w:r>
            <w:r w:rsidRPr="00496500">
              <w:rPr>
                <w:rFonts w:ascii="Times New Roman" w:hAnsi="Times New Roman" w:cs="Times New Roman"/>
                <w:sz w:val="20"/>
                <w:szCs w:val="20"/>
              </w:rPr>
              <w:t>6%</w:t>
            </w:r>
          </w:p>
        </w:tc>
        <w:tc>
          <w:tcPr>
            <w:tcW w:w="851" w:type="dxa"/>
            <w:vAlign w:val="center"/>
          </w:tcPr>
          <w:p w14:paraId="2A889952" w14:textId="356996A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90</w:t>
            </w:r>
            <w:r w:rsidR="00144250">
              <w:rPr>
                <w:rFonts w:ascii="Times New Roman" w:hAnsi="Times New Roman" w:cs="Times New Roman"/>
                <w:sz w:val="20"/>
                <w:szCs w:val="20"/>
              </w:rPr>
              <w:t>,</w:t>
            </w:r>
            <w:r w:rsidRPr="00496500">
              <w:rPr>
                <w:rFonts w:ascii="Times New Roman" w:hAnsi="Times New Roman" w:cs="Times New Roman"/>
                <w:sz w:val="20"/>
                <w:szCs w:val="20"/>
              </w:rPr>
              <w:t>4%</w:t>
            </w:r>
          </w:p>
        </w:tc>
        <w:tc>
          <w:tcPr>
            <w:tcW w:w="992" w:type="dxa"/>
            <w:vAlign w:val="center"/>
          </w:tcPr>
          <w:p w14:paraId="556EA4EC" w14:textId="2EC5636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1279" w:type="dxa"/>
            <w:vAlign w:val="center"/>
          </w:tcPr>
          <w:p w14:paraId="10B9CC2D" w14:textId="65824A7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93</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0" w:type="dxa"/>
            <w:vAlign w:val="center"/>
          </w:tcPr>
          <w:p w14:paraId="42DA970A" w14:textId="52709DD6"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69</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993" w:type="dxa"/>
            <w:vAlign w:val="center"/>
          </w:tcPr>
          <w:p w14:paraId="56E1396B" w14:textId="45640152"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w:t>
            </w:r>
            <w:r w:rsidR="00144250">
              <w:rPr>
                <w:rFonts w:ascii="Times New Roman" w:hAnsi="Times New Roman" w:cs="Times New Roman"/>
                <w:sz w:val="20"/>
                <w:szCs w:val="20"/>
              </w:rPr>
              <w:t>,</w:t>
            </w:r>
            <w:r w:rsidRPr="00496500">
              <w:rPr>
                <w:rFonts w:ascii="Times New Roman" w:hAnsi="Times New Roman" w:cs="Times New Roman"/>
                <w:sz w:val="20"/>
                <w:szCs w:val="20"/>
              </w:rPr>
              <w:t>4%</w:t>
            </w:r>
          </w:p>
        </w:tc>
        <w:tc>
          <w:tcPr>
            <w:tcW w:w="850" w:type="dxa"/>
            <w:vAlign w:val="center"/>
          </w:tcPr>
          <w:p w14:paraId="19648F19" w14:textId="289373D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41D261A9"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r>
      <w:tr w:rsidR="009E15C5" w:rsidRPr="00496500" w14:paraId="3B2180E4" w14:textId="77777777" w:rsidTr="003D64E8">
        <w:trPr>
          <w:trHeight w:hRule="exact" w:val="432"/>
        </w:trPr>
        <w:tc>
          <w:tcPr>
            <w:tcW w:w="2552" w:type="dxa"/>
            <w:shd w:val="clear" w:color="auto" w:fill="E2EFD9" w:themeFill="accent6" w:themeFillTint="33"/>
            <w:vAlign w:val="center"/>
          </w:tcPr>
          <w:p w14:paraId="03645AD7" w14:textId="77777777" w:rsidR="003571E5" w:rsidRPr="00496500" w:rsidRDefault="003571E5" w:rsidP="003B412E">
            <w:pPr>
              <w:adjustRightInd w:val="0"/>
              <w:snapToGrid w:val="0"/>
              <w:spacing w:after="120" w:line="240" w:lineRule="auto"/>
              <w:ind w:right="28"/>
              <w:rPr>
                <w:rFonts w:ascii="Times New Roman" w:hAnsi="Times New Roman" w:cs="Times New Roman"/>
                <w:b/>
                <w:bCs/>
                <w:sz w:val="20"/>
                <w:szCs w:val="20"/>
              </w:rPr>
            </w:pPr>
            <w:r w:rsidRPr="00496500">
              <w:rPr>
                <w:rFonts w:ascii="Times New Roman" w:hAnsi="Times New Roman" w:cs="Times New Roman"/>
                <w:b/>
                <w:bCs/>
                <w:sz w:val="20"/>
                <w:szCs w:val="20"/>
              </w:rPr>
              <w:t>Покритие с 5G мрежа</w:t>
            </w:r>
          </w:p>
        </w:tc>
        <w:tc>
          <w:tcPr>
            <w:tcW w:w="830" w:type="dxa"/>
            <w:vAlign w:val="center"/>
          </w:tcPr>
          <w:p w14:paraId="3BFDA4DA" w14:textId="3BCEE84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78</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851" w:type="dxa"/>
            <w:vAlign w:val="center"/>
          </w:tcPr>
          <w:p w14:paraId="0CAA0242" w14:textId="0BB1ACFC"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81</w:t>
            </w:r>
            <w:r w:rsidR="00144250">
              <w:rPr>
                <w:rFonts w:ascii="Times New Roman" w:hAnsi="Times New Roman" w:cs="Times New Roman"/>
                <w:sz w:val="20"/>
                <w:szCs w:val="20"/>
              </w:rPr>
              <w:t>,</w:t>
            </w:r>
            <w:r w:rsidRPr="00496500">
              <w:rPr>
                <w:rFonts w:ascii="Times New Roman" w:hAnsi="Times New Roman" w:cs="Times New Roman"/>
                <w:sz w:val="20"/>
                <w:szCs w:val="20"/>
              </w:rPr>
              <w:t>3%</w:t>
            </w:r>
          </w:p>
        </w:tc>
        <w:tc>
          <w:tcPr>
            <w:tcW w:w="992" w:type="dxa"/>
            <w:vAlign w:val="center"/>
          </w:tcPr>
          <w:p w14:paraId="71256741" w14:textId="3A45F413"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3</w:t>
            </w:r>
            <w:r w:rsidR="00144250">
              <w:rPr>
                <w:rFonts w:ascii="Times New Roman" w:hAnsi="Times New Roman" w:cs="Times New Roman"/>
                <w:sz w:val="20"/>
                <w:szCs w:val="20"/>
              </w:rPr>
              <w:t>,</w:t>
            </w:r>
            <w:r w:rsidRPr="00496500">
              <w:rPr>
                <w:rFonts w:ascii="Times New Roman" w:hAnsi="Times New Roman" w:cs="Times New Roman"/>
                <w:sz w:val="20"/>
                <w:szCs w:val="20"/>
              </w:rPr>
              <w:t>1%</w:t>
            </w:r>
          </w:p>
        </w:tc>
        <w:tc>
          <w:tcPr>
            <w:tcW w:w="1279" w:type="dxa"/>
            <w:vAlign w:val="center"/>
          </w:tcPr>
          <w:p w14:paraId="42F71B2E" w14:textId="28B13D0B"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91</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0" w:type="dxa"/>
            <w:vAlign w:val="center"/>
          </w:tcPr>
          <w:p w14:paraId="1CDA8336" w14:textId="327F950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94</w:t>
            </w:r>
            <w:r w:rsidR="00144250">
              <w:rPr>
                <w:rFonts w:ascii="Times New Roman" w:hAnsi="Times New Roman" w:cs="Times New Roman"/>
                <w:sz w:val="20"/>
                <w:szCs w:val="20"/>
              </w:rPr>
              <w:t>,</w:t>
            </w:r>
            <w:r w:rsidRPr="00496500">
              <w:rPr>
                <w:rFonts w:ascii="Times New Roman" w:hAnsi="Times New Roman" w:cs="Times New Roman"/>
                <w:sz w:val="20"/>
                <w:szCs w:val="20"/>
              </w:rPr>
              <w:t>3%</w:t>
            </w:r>
          </w:p>
        </w:tc>
        <w:tc>
          <w:tcPr>
            <w:tcW w:w="993" w:type="dxa"/>
            <w:vAlign w:val="center"/>
          </w:tcPr>
          <w:p w14:paraId="05E87DBF" w14:textId="63860D8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850" w:type="dxa"/>
            <w:vAlign w:val="center"/>
          </w:tcPr>
          <w:p w14:paraId="432CB4AB" w14:textId="28C2E7C4"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251BEB6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p>
        </w:tc>
      </w:tr>
      <w:tr w:rsidR="009E15C5" w:rsidRPr="00496500" w14:paraId="781465B1" w14:textId="77777777" w:rsidTr="003D64E8">
        <w:trPr>
          <w:trHeight w:hRule="exact" w:val="438"/>
        </w:trPr>
        <w:tc>
          <w:tcPr>
            <w:tcW w:w="2552" w:type="dxa"/>
            <w:shd w:val="clear" w:color="auto" w:fill="E2EFD9" w:themeFill="accent6" w:themeFillTint="33"/>
            <w:vAlign w:val="center"/>
          </w:tcPr>
          <w:p w14:paraId="0F5A7B74" w14:textId="4372DA45" w:rsidR="003571E5" w:rsidRPr="00496500" w:rsidRDefault="00981EA5" w:rsidP="003B412E">
            <w:pPr>
              <w:adjustRightInd w:val="0"/>
              <w:snapToGrid w:val="0"/>
              <w:spacing w:after="120" w:line="240" w:lineRule="auto"/>
              <w:ind w:left="28" w:right="28"/>
              <w:rPr>
                <w:rFonts w:ascii="Times New Roman" w:hAnsi="Times New Roman" w:cs="Times New Roman"/>
                <w:b/>
                <w:bCs/>
                <w:sz w:val="20"/>
                <w:szCs w:val="20"/>
              </w:rPr>
            </w:pPr>
            <w:r>
              <w:rPr>
                <w:rFonts w:ascii="Times New Roman" w:hAnsi="Times New Roman" w:cs="Times New Roman"/>
                <w:b/>
                <w:bCs/>
                <w:sz w:val="20"/>
                <w:szCs w:val="20"/>
              </w:rPr>
              <w:t>Периферни</w:t>
            </w:r>
            <w:r w:rsidRPr="00496500">
              <w:rPr>
                <w:rFonts w:ascii="Times New Roman" w:hAnsi="Times New Roman" w:cs="Times New Roman"/>
                <w:b/>
                <w:bCs/>
                <w:sz w:val="20"/>
                <w:szCs w:val="20"/>
              </w:rPr>
              <w:t xml:space="preserve"> </w:t>
            </w:r>
            <w:r w:rsidR="003571E5" w:rsidRPr="00496500">
              <w:rPr>
                <w:rFonts w:ascii="Times New Roman" w:hAnsi="Times New Roman" w:cs="Times New Roman"/>
                <w:b/>
                <w:bCs/>
                <w:sz w:val="20"/>
                <w:szCs w:val="20"/>
              </w:rPr>
              <w:t>възли (прогноза)</w:t>
            </w:r>
          </w:p>
        </w:tc>
        <w:tc>
          <w:tcPr>
            <w:tcW w:w="830" w:type="dxa"/>
            <w:vAlign w:val="center"/>
          </w:tcPr>
          <w:p w14:paraId="1D3ED5B4"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w:t>
            </w:r>
          </w:p>
        </w:tc>
        <w:tc>
          <w:tcPr>
            <w:tcW w:w="851" w:type="dxa"/>
            <w:vAlign w:val="center"/>
          </w:tcPr>
          <w:p w14:paraId="0E991596"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w:t>
            </w:r>
          </w:p>
        </w:tc>
        <w:tc>
          <w:tcPr>
            <w:tcW w:w="992" w:type="dxa"/>
            <w:vAlign w:val="center"/>
          </w:tcPr>
          <w:p w14:paraId="21DDE200" w14:textId="58420240"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1279" w:type="dxa"/>
            <w:vAlign w:val="center"/>
          </w:tcPr>
          <w:p w14:paraId="5833F0EA"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5BAE35D2"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2257</w:t>
            </w:r>
          </w:p>
        </w:tc>
        <w:tc>
          <w:tcPr>
            <w:tcW w:w="993" w:type="dxa"/>
            <w:vAlign w:val="center"/>
          </w:tcPr>
          <w:p w14:paraId="455399F2" w14:textId="775D25F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90</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850" w:type="dxa"/>
            <w:vAlign w:val="center"/>
          </w:tcPr>
          <w:p w14:paraId="3345BEE4"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1" w:type="dxa"/>
            <w:vAlign w:val="center"/>
          </w:tcPr>
          <w:p w14:paraId="15B912D6"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10000</w:t>
            </w:r>
          </w:p>
        </w:tc>
      </w:tr>
      <w:tr w:rsidR="009E15C5" w:rsidRPr="00496500" w14:paraId="72DCDE2C" w14:textId="77777777" w:rsidTr="003D64E8">
        <w:trPr>
          <w:trHeight w:hRule="exact" w:val="973"/>
        </w:trPr>
        <w:tc>
          <w:tcPr>
            <w:tcW w:w="2552" w:type="dxa"/>
            <w:shd w:val="clear" w:color="auto" w:fill="E2EFD9" w:themeFill="accent6" w:themeFillTint="33"/>
            <w:vAlign w:val="center"/>
          </w:tcPr>
          <w:p w14:paraId="418E4238" w14:textId="77777777" w:rsidR="003571E5" w:rsidRPr="00496500" w:rsidRDefault="003571E5" w:rsidP="00AA68D1">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 xml:space="preserve">МСП с най-малкото основно ниво на </w:t>
            </w:r>
            <w:r w:rsidR="00AA68D1" w:rsidRPr="00496500">
              <w:rPr>
                <w:rFonts w:ascii="Times New Roman" w:hAnsi="Times New Roman" w:cs="Times New Roman"/>
                <w:b/>
                <w:bCs/>
                <w:sz w:val="20"/>
                <w:szCs w:val="20"/>
              </w:rPr>
              <w:t>цифров</w:t>
            </w:r>
            <w:r w:rsidRPr="00496500">
              <w:rPr>
                <w:rFonts w:ascii="Times New Roman" w:hAnsi="Times New Roman" w:cs="Times New Roman"/>
                <w:b/>
                <w:bCs/>
                <w:sz w:val="20"/>
                <w:szCs w:val="20"/>
              </w:rPr>
              <w:t xml:space="preserve"> интензитет </w:t>
            </w:r>
            <w:r w:rsidRPr="00496500">
              <w:rPr>
                <w:rFonts w:ascii="Times New Roman" w:hAnsi="Times New Roman" w:cs="Times New Roman"/>
                <w:b/>
                <w:bCs/>
                <w:sz w:val="20"/>
                <w:szCs w:val="20"/>
                <w:vertAlign w:val="superscript"/>
              </w:rPr>
              <w:t>(2)</w:t>
            </w:r>
          </w:p>
        </w:tc>
        <w:tc>
          <w:tcPr>
            <w:tcW w:w="830" w:type="dxa"/>
            <w:vAlign w:val="center"/>
          </w:tcPr>
          <w:p w14:paraId="098F2F32"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1" w:type="dxa"/>
            <w:vAlign w:val="center"/>
          </w:tcPr>
          <w:p w14:paraId="55124444" w14:textId="4B876BD2"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49</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992" w:type="dxa"/>
            <w:vAlign w:val="center"/>
          </w:tcPr>
          <w:p w14:paraId="38D1B9E6" w14:textId="25403C85"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1279" w:type="dxa"/>
            <w:vAlign w:val="center"/>
          </w:tcPr>
          <w:p w14:paraId="60D5742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77D721C9" w14:textId="2C5E7D0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72</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993" w:type="dxa"/>
            <w:vAlign w:val="center"/>
          </w:tcPr>
          <w:p w14:paraId="13381FBF" w14:textId="3FEE5C2A"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w:t>
            </w:r>
            <w:r w:rsidR="00144250">
              <w:rPr>
                <w:rFonts w:ascii="Times New Roman" w:hAnsi="Times New Roman" w:cs="Times New Roman"/>
                <w:sz w:val="20"/>
                <w:szCs w:val="20"/>
              </w:rPr>
              <w:t>,</w:t>
            </w:r>
            <w:r w:rsidRPr="00496500">
              <w:rPr>
                <w:rFonts w:ascii="Times New Roman" w:hAnsi="Times New Roman" w:cs="Times New Roman"/>
                <w:sz w:val="20"/>
                <w:szCs w:val="20"/>
              </w:rPr>
              <w:t>8%</w:t>
            </w:r>
          </w:p>
        </w:tc>
        <w:tc>
          <w:tcPr>
            <w:tcW w:w="850" w:type="dxa"/>
            <w:vAlign w:val="center"/>
          </w:tcPr>
          <w:p w14:paraId="6B26A273" w14:textId="3652981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60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4432FB3B"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90%</w:t>
            </w:r>
          </w:p>
        </w:tc>
      </w:tr>
      <w:tr w:rsidR="009E15C5" w:rsidRPr="00496500" w14:paraId="3CC9C8F9" w14:textId="77777777" w:rsidTr="003D64E8">
        <w:trPr>
          <w:trHeight w:hRule="exact" w:val="426"/>
        </w:trPr>
        <w:tc>
          <w:tcPr>
            <w:tcW w:w="2552" w:type="dxa"/>
            <w:shd w:val="clear" w:color="auto" w:fill="E2EFD9" w:themeFill="accent6" w:themeFillTint="33"/>
            <w:vAlign w:val="center"/>
          </w:tcPr>
          <w:p w14:paraId="1E4432BA" w14:textId="3AED6407" w:rsidR="003571E5" w:rsidRPr="00496500" w:rsidRDefault="003571E5" w:rsidP="00981EA5">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Облак</w:t>
            </w:r>
          </w:p>
        </w:tc>
        <w:tc>
          <w:tcPr>
            <w:tcW w:w="830" w:type="dxa"/>
            <w:vAlign w:val="center"/>
          </w:tcPr>
          <w:p w14:paraId="395ABD0C" w14:textId="19A091BB"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14</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851" w:type="dxa"/>
            <w:vAlign w:val="center"/>
          </w:tcPr>
          <w:p w14:paraId="69134707"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2" w:type="dxa"/>
            <w:vAlign w:val="center"/>
          </w:tcPr>
          <w:p w14:paraId="2398D74C"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1279" w:type="dxa"/>
            <w:vAlign w:val="center"/>
          </w:tcPr>
          <w:p w14:paraId="39884CD6"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3CF8797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3" w:type="dxa"/>
            <w:vAlign w:val="center"/>
          </w:tcPr>
          <w:p w14:paraId="2359C91E"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46853E6B" w14:textId="40036656"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15</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00B86365"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75%</w:t>
            </w:r>
          </w:p>
        </w:tc>
      </w:tr>
      <w:tr w:rsidR="009E15C5" w:rsidRPr="00496500" w14:paraId="52436AF5" w14:textId="77777777" w:rsidTr="003D64E8">
        <w:trPr>
          <w:trHeight w:hRule="exact" w:val="417"/>
        </w:trPr>
        <w:tc>
          <w:tcPr>
            <w:tcW w:w="2552" w:type="dxa"/>
            <w:shd w:val="clear" w:color="auto" w:fill="E2EFD9" w:themeFill="accent6" w:themeFillTint="33"/>
            <w:vAlign w:val="center"/>
          </w:tcPr>
          <w:p w14:paraId="242FC38A"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Изкуствен интелект (ИИ)</w:t>
            </w:r>
          </w:p>
        </w:tc>
        <w:tc>
          <w:tcPr>
            <w:tcW w:w="830" w:type="dxa"/>
            <w:vAlign w:val="center"/>
          </w:tcPr>
          <w:p w14:paraId="576D4439" w14:textId="5D79BBF2"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3</w:t>
            </w:r>
            <w:r w:rsidR="00144250">
              <w:rPr>
                <w:rFonts w:ascii="Times New Roman" w:hAnsi="Times New Roman" w:cs="Times New Roman"/>
                <w:sz w:val="20"/>
                <w:szCs w:val="20"/>
              </w:rPr>
              <w:t>,</w:t>
            </w:r>
            <w:r w:rsidRPr="00496500">
              <w:rPr>
                <w:rFonts w:ascii="Times New Roman" w:hAnsi="Times New Roman" w:cs="Times New Roman"/>
                <w:sz w:val="20"/>
                <w:szCs w:val="20"/>
              </w:rPr>
              <w:t>6%</w:t>
            </w:r>
          </w:p>
        </w:tc>
        <w:tc>
          <w:tcPr>
            <w:tcW w:w="851" w:type="dxa"/>
            <w:vAlign w:val="center"/>
          </w:tcPr>
          <w:p w14:paraId="15DF164D" w14:textId="222C106D"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6</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992" w:type="dxa"/>
            <w:vAlign w:val="center"/>
          </w:tcPr>
          <w:p w14:paraId="2A67486A" w14:textId="0F7EF374"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78</w:t>
            </w:r>
            <w:r w:rsidR="00144250">
              <w:rPr>
                <w:rFonts w:ascii="Times New Roman" w:hAnsi="Times New Roman" w:cs="Times New Roman"/>
                <w:sz w:val="20"/>
                <w:szCs w:val="20"/>
              </w:rPr>
              <w:t>,</w:t>
            </w:r>
            <w:r w:rsidRPr="00496500">
              <w:rPr>
                <w:rFonts w:ascii="Times New Roman" w:hAnsi="Times New Roman" w:cs="Times New Roman"/>
                <w:sz w:val="20"/>
                <w:szCs w:val="20"/>
              </w:rPr>
              <w:t>7%</w:t>
            </w:r>
          </w:p>
        </w:tc>
        <w:tc>
          <w:tcPr>
            <w:tcW w:w="1279" w:type="dxa"/>
            <w:vAlign w:val="center"/>
          </w:tcPr>
          <w:p w14:paraId="5751C613" w14:textId="144E520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0" w:type="dxa"/>
            <w:vAlign w:val="center"/>
          </w:tcPr>
          <w:p w14:paraId="7728B040" w14:textId="1BAE9D4F"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13</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993" w:type="dxa"/>
            <w:vAlign w:val="center"/>
          </w:tcPr>
          <w:p w14:paraId="6EFE6FEC" w14:textId="14D59859"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67</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850" w:type="dxa"/>
            <w:vAlign w:val="center"/>
          </w:tcPr>
          <w:p w14:paraId="3218A77F" w14:textId="61424E18"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11</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76DE893A"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75%</w:t>
            </w:r>
          </w:p>
        </w:tc>
      </w:tr>
      <w:tr w:rsidR="009E15C5" w:rsidRPr="00496500" w14:paraId="67618E4D" w14:textId="77777777" w:rsidTr="003D64E8">
        <w:trPr>
          <w:trHeight w:hRule="exact" w:val="424"/>
        </w:trPr>
        <w:tc>
          <w:tcPr>
            <w:tcW w:w="2552" w:type="dxa"/>
            <w:shd w:val="clear" w:color="auto" w:fill="E2EFD9" w:themeFill="accent6" w:themeFillTint="33"/>
            <w:vAlign w:val="center"/>
          </w:tcPr>
          <w:p w14:paraId="7F6B20A0"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Анализ на данни</w:t>
            </w:r>
          </w:p>
        </w:tc>
        <w:tc>
          <w:tcPr>
            <w:tcW w:w="830" w:type="dxa"/>
            <w:vAlign w:val="center"/>
          </w:tcPr>
          <w:p w14:paraId="4BCFA258" w14:textId="47BADEA9"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21</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851" w:type="dxa"/>
            <w:vAlign w:val="center"/>
          </w:tcPr>
          <w:p w14:paraId="7793EC7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2" w:type="dxa"/>
            <w:vAlign w:val="center"/>
          </w:tcPr>
          <w:p w14:paraId="00E4BEE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1279" w:type="dxa"/>
            <w:vAlign w:val="center"/>
          </w:tcPr>
          <w:p w14:paraId="627B38DE"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2C417DE8"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3" w:type="dxa"/>
            <w:vAlign w:val="center"/>
          </w:tcPr>
          <w:p w14:paraId="678809BE"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68EA9D68" w14:textId="66FCE178"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0BA58164"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75%</w:t>
            </w:r>
          </w:p>
        </w:tc>
      </w:tr>
      <w:tr w:rsidR="009E15C5" w:rsidRPr="00496500" w14:paraId="48A08974" w14:textId="77777777" w:rsidTr="003D64E8">
        <w:trPr>
          <w:trHeight w:hRule="exact" w:val="580"/>
        </w:trPr>
        <w:tc>
          <w:tcPr>
            <w:tcW w:w="2552" w:type="dxa"/>
            <w:shd w:val="clear" w:color="auto" w:fill="E2EFD9" w:themeFill="accent6" w:themeFillTint="33"/>
            <w:vAlign w:val="center"/>
          </w:tcPr>
          <w:p w14:paraId="249D09EC"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ИИ или облак или анализ на данни</w:t>
            </w:r>
          </w:p>
        </w:tc>
        <w:tc>
          <w:tcPr>
            <w:tcW w:w="830" w:type="dxa"/>
            <w:vAlign w:val="center"/>
          </w:tcPr>
          <w:p w14:paraId="3792766E" w14:textId="0E629DE6"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29</w:t>
            </w:r>
            <w:r w:rsidR="00144250">
              <w:rPr>
                <w:rFonts w:ascii="Times New Roman" w:hAnsi="Times New Roman" w:cs="Times New Roman"/>
                <w:sz w:val="20"/>
                <w:szCs w:val="20"/>
              </w:rPr>
              <w:t>,</w:t>
            </w:r>
            <w:r w:rsidRPr="00496500">
              <w:rPr>
                <w:rFonts w:ascii="Times New Roman" w:hAnsi="Times New Roman" w:cs="Times New Roman"/>
                <w:sz w:val="20"/>
                <w:szCs w:val="20"/>
              </w:rPr>
              <w:t>3%</w:t>
            </w:r>
          </w:p>
        </w:tc>
        <w:tc>
          <w:tcPr>
            <w:tcW w:w="851" w:type="dxa"/>
            <w:vAlign w:val="center"/>
          </w:tcPr>
          <w:p w14:paraId="08D62FA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2" w:type="dxa"/>
            <w:vAlign w:val="center"/>
          </w:tcPr>
          <w:p w14:paraId="1BEFF843"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1279" w:type="dxa"/>
            <w:vAlign w:val="center"/>
          </w:tcPr>
          <w:p w14:paraId="6013D1D8"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73662B73"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3" w:type="dxa"/>
            <w:vAlign w:val="center"/>
          </w:tcPr>
          <w:p w14:paraId="319DCEC4"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0E1215F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1" w:type="dxa"/>
            <w:vAlign w:val="center"/>
          </w:tcPr>
          <w:p w14:paraId="66E05EC5"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75%</w:t>
            </w:r>
          </w:p>
        </w:tc>
      </w:tr>
      <w:tr w:rsidR="009E15C5" w:rsidRPr="00496500" w14:paraId="57B080D3" w14:textId="77777777" w:rsidTr="003D64E8">
        <w:trPr>
          <w:trHeight w:hRule="exact" w:val="422"/>
        </w:trPr>
        <w:tc>
          <w:tcPr>
            <w:tcW w:w="2552" w:type="dxa"/>
            <w:shd w:val="clear" w:color="auto" w:fill="E2EFD9" w:themeFill="accent6" w:themeFillTint="33"/>
            <w:vAlign w:val="center"/>
          </w:tcPr>
          <w:p w14:paraId="51C5F178"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Еднорози</w:t>
            </w:r>
          </w:p>
        </w:tc>
        <w:tc>
          <w:tcPr>
            <w:tcW w:w="830" w:type="dxa"/>
            <w:vAlign w:val="center"/>
          </w:tcPr>
          <w:p w14:paraId="31CD69A1"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0</w:t>
            </w:r>
          </w:p>
        </w:tc>
        <w:tc>
          <w:tcPr>
            <w:tcW w:w="851" w:type="dxa"/>
            <w:vAlign w:val="center"/>
          </w:tcPr>
          <w:p w14:paraId="305A0195"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0</w:t>
            </w:r>
          </w:p>
        </w:tc>
        <w:tc>
          <w:tcPr>
            <w:tcW w:w="992" w:type="dxa"/>
            <w:vAlign w:val="center"/>
          </w:tcPr>
          <w:p w14:paraId="07FB7E89"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1279" w:type="dxa"/>
            <w:vAlign w:val="center"/>
          </w:tcPr>
          <w:p w14:paraId="5631F33C"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554D17BE"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286</w:t>
            </w:r>
          </w:p>
        </w:tc>
        <w:tc>
          <w:tcPr>
            <w:tcW w:w="993" w:type="dxa"/>
            <w:vAlign w:val="center"/>
          </w:tcPr>
          <w:p w14:paraId="0994B0CA" w14:textId="78504A35"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4%</w:t>
            </w:r>
          </w:p>
        </w:tc>
        <w:tc>
          <w:tcPr>
            <w:tcW w:w="850" w:type="dxa"/>
            <w:vAlign w:val="center"/>
          </w:tcPr>
          <w:p w14:paraId="284EE3EA"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1" w:type="dxa"/>
            <w:vAlign w:val="center"/>
          </w:tcPr>
          <w:p w14:paraId="758A5A2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500</w:t>
            </w:r>
          </w:p>
        </w:tc>
      </w:tr>
      <w:tr w:rsidR="009E15C5" w:rsidRPr="00496500" w14:paraId="4F7F4167" w14:textId="77777777" w:rsidTr="003D64E8">
        <w:trPr>
          <w:trHeight w:hRule="exact" w:val="580"/>
        </w:trPr>
        <w:tc>
          <w:tcPr>
            <w:tcW w:w="2552" w:type="dxa"/>
            <w:shd w:val="clear" w:color="auto" w:fill="E2EFD9" w:themeFill="accent6" w:themeFillTint="33"/>
            <w:vAlign w:val="center"/>
          </w:tcPr>
          <w:p w14:paraId="294AFA97"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 xml:space="preserve">Поне основни </w:t>
            </w:r>
            <w:r w:rsidR="00AA68D1" w:rsidRPr="00496500">
              <w:rPr>
                <w:rFonts w:ascii="Times New Roman" w:hAnsi="Times New Roman" w:cs="Times New Roman"/>
                <w:b/>
                <w:bCs/>
                <w:sz w:val="20"/>
                <w:szCs w:val="20"/>
              </w:rPr>
              <w:t>цифрови</w:t>
            </w:r>
            <w:r w:rsidRPr="00496500">
              <w:rPr>
                <w:rFonts w:ascii="Times New Roman" w:hAnsi="Times New Roman" w:cs="Times New Roman"/>
                <w:b/>
                <w:bCs/>
                <w:sz w:val="20"/>
                <w:szCs w:val="20"/>
              </w:rPr>
              <w:t xml:space="preserve"> умения</w:t>
            </w:r>
          </w:p>
        </w:tc>
        <w:tc>
          <w:tcPr>
            <w:tcW w:w="830" w:type="dxa"/>
            <w:vAlign w:val="center"/>
          </w:tcPr>
          <w:p w14:paraId="3C7C47D3" w14:textId="3B3BC24C"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35</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851" w:type="dxa"/>
            <w:vAlign w:val="center"/>
          </w:tcPr>
          <w:p w14:paraId="06DC42B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2" w:type="dxa"/>
            <w:vAlign w:val="center"/>
          </w:tcPr>
          <w:p w14:paraId="4AF94BBD"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1279" w:type="dxa"/>
            <w:vAlign w:val="center"/>
          </w:tcPr>
          <w:p w14:paraId="58DB6DE5"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7513DB08"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993" w:type="dxa"/>
            <w:vAlign w:val="center"/>
          </w:tcPr>
          <w:p w14:paraId="15C6B0E1"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w:t>
            </w:r>
          </w:p>
        </w:tc>
        <w:tc>
          <w:tcPr>
            <w:tcW w:w="850" w:type="dxa"/>
            <w:vAlign w:val="center"/>
          </w:tcPr>
          <w:p w14:paraId="027C5BAB" w14:textId="7E99BEF0"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52</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77D55DE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80%</w:t>
            </w:r>
          </w:p>
        </w:tc>
      </w:tr>
      <w:tr w:rsidR="009E15C5" w:rsidRPr="00496500" w14:paraId="706F7FAC" w14:textId="77777777" w:rsidTr="003D64E8">
        <w:trPr>
          <w:trHeight w:hRule="exact" w:val="420"/>
        </w:trPr>
        <w:tc>
          <w:tcPr>
            <w:tcW w:w="2552" w:type="dxa"/>
            <w:shd w:val="clear" w:color="auto" w:fill="E2EFD9" w:themeFill="accent6" w:themeFillTint="33"/>
            <w:vAlign w:val="center"/>
          </w:tcPr>
          <w:p w14:paraId="5FFCF3E4"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ИКТ специалисти</w:t>
            </w:r>
          </w:p>
        </w:tc>
        <w:tc>
          <w:tcPr>
            <w:tcW w:w="830" w:type="dxa"/>
            <w:vAlign w:val="center"/>
          </w:tcPr>
          <w:p w14:paraId="06256C1D" w14:textId="6B3EFB84"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3%</w:t>
            </w:r>
          </w:p>
        </w:tc>
        <w:tc>
          <w:tcPr>
            <w:tcW w:w="851" w:type="dxa"/>
            <w:vAlign w:val="center"/>
          </w:tcPr>
          <w:p w14:paraId="64B158CB" w14:textId="6A43DA6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6%</w:t>
            </w:r>
          </w:p>
        </w:tc>
        <w:tc>
          <w:tcPr>
            <w:tcW w:w="992" w:type="dxa"/>
            <w:vAlign w:val="center"/>
          </w:tcPr>
          <w:p w14:paraId="02A84FCC" w14:textId="481DBCF0"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1279" w:type="dxa"/>
            <w:vAlign w:val="center"/>
          </w:tcPr>
          <w:p w14:paraId="0E09F5BE" w14:textId="37E62D23"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850" w:type="dxa"/>
            <w:vAlign w:val="center"/>
          </w:tcPr>
          <w:p w14:paraId="2F252915" w14:textId="145E6B6A"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993" w:type="dxa"/>
            <w:vAlign w:val="center"/>
          </w:tcPr>
          <w:p w14:paraId="3FA5D7CE" w14:textId="054B70D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850" w:type="dxa"/>
            <w:vAlign w:val="center"/>
          </w:tcPr>
          <w:p w14:paraId="5854D71F" w14:textId="3A35A055"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5</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49CD9F92"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w:t>
            </w:r>
          </w:p>
        </w:tc>
      </w:tr>
      <w:tr w:rsidR="009E15C5" w:rsidRPr="00496500" w14:paraId="322109AA" w14:textId="77777777" w:rsidTr="003D64E8">
        <w:trPr>
          <w:trHeight w:hRule="exact" w:val="565"/>
        </w:trPr>
        <w:tc>
          <w:tcPr>
            <w:tcW w:w="2552" w:type="dxa"/>
            <w:shd w:val="clear" w:color="auto" w:fill="E2EFD9" w:themeFill="accent6" w:themeFillTint="33"/>
            <w:vAlign w:val="center"/>
          </w:tcPr>
          <w:p w14:paraId="0081EF4F"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Нотификация на схемата за ЕИ</w:t>
            </w:r>
          </w:p>
        </w:tc>
        <w:tc>
          <w:tcPr>
            <w:tcW w:w="830" w:type="dxa"/>
            <w:vAlign w:val="center"/>
          </w:tcPr>
          <w:p w14:paraId="13C66D10"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851" w:type="dxa"/>
            <w:vAlign w:val="center"/>
          </w:tcPr>
          <w:p w14:paraId="3E52BD9B"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ДА</w:t>
            </w:r>
          </w:p>
        </w:tc>
        <w:tc>
          <w:tcPr>
            <w:tcW w:w="992" w:type="dxa"/>
            <w:vAlign w:val="center"/>
          </w:tcPr>
          <w:p w14:paraId="0740AA88"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1279" w:type="dxa"/>
            <w:vAlign w:val="center"/>
          </w:tcPr>
          <w:p w14:paraId="56DADCA7"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850" w:type="dxa"/>
            <w:vAlign w:val="center"/>
          </w:tcPr>
          <w:p w14:paraId="254FC3D1"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993" w:type="dxa"/>
            <w:vAlign w:val="center"/>
          </w:tcPr>
          <w:p w14:paraId="0017F7E8"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850" w:type="dxa"/>
            <w:vAlign w:val="center"/>
          </w:tcPr>
          <w:p w14:paraId="328E1DA1"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c>
          <w:tcPr>
            <w:tcW w:w="851" w:type="dxa"/>
            <w:vAlign w:val="center"/>
          </w:tcPr>
          <w:p w14:paraId="1113729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p>
        </w:tc>
      </w:tr>
      <w:tr w:rsidR="009E15C5" w:rsidRPr="00496500" w14:paraId="3F96DB14" w14:textId="77777777" w:rsidTr="003D64E8">
        <w:trPr>
          <w:trHeight w:hRule="exact" w:val="702"/>
        </w:trPr>
        <w:tc>
          <w:tcPr>
            <w:tcW w:w="2552" w:type="dxa"/>
            <w:shd w:val="clear" w:color="auto" w:fill="E2EFD9" w:themeFill="accent6" w:themeFillTint="33"/>
            <w:vAlign w:val="center"/>
          </w:tcPr>
          <w:p w14:paraId="387C98AC"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Цифрови публични услуги за гражданите</w:t>
            </w:r>
          </w:p>
        </w:tc>
        <w:tc>
          <w:tcPr>
            <w:tcW w:w="830" w:type="dxa"/>
            <w:vAlign w:val="center"/>
          </w:tcPr>
          <w:p w14:paraId="1EF9D720" w14:textId="3654B2BF"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67</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851" w:type="dxa"/>
            <w:vAlign w:val="center"/>
          </w:tcPr>
          <w:p w14:paraId="71BEBBE4" w14:textId="6A5A295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68</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992" w:type="dxa"/>
            <w:vAlign w:val="center"/>
          </w:tcPr>
          <w:p w14:paraId="3D3B0ECB" w14:textId="1FF1EF24"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0</w:t>
            </w:r>
            <w:r w:rsidR="00144250">
              <w:rPr>
                <w:rFonts w:ascii="Times New Roman" w:hAnsi="Times New Roman" w:cs="Times New Roman"/>
                <w:sz w:val="20"/>
                <w:szCs w:val="20"/>
              </w:rPr>
              <w:t>,</w:t>
            </w:r>
            <w:r w:rsidRPr="00496500">
              <w:rPr>
                <w:rFonts w:ascii="Times New Roman" w:hAnsi="Times New Roman" w:cs="Times New Roman"/>
                <w:sz w:val="20"/>
                <w:szCs w:val="20"/>
              </w:rPr>
              <w:t>8%</w:t>
            </w:r>
          </w:p>
        </w:tc>
        <w:tc>
          <w:tcPr>
            <w:tcW w:w="1279" w:type="dxa"/>
            <w:vAlign w:val="center"/>
          </w:tcPr>
          <w:p w14:paraId="1DB34A0E" w14:textId="1F6FF273"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83</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0" w:type="dxa"/>
            <w:vAlign w:val="center"/>
          </w:tcPr>
          <w:p w14:paraId="022CB96E" w14:textId="24B4EC5D"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82</w:t>
            </w:r>
            <w:r w:rsidR="00144250">
              <w:rPr>
                <w:rFonts w:ascii="Times New Roman" w:hAnsi="Times New Roman" w:cs="Times New Roman"/>
                <w:sz w:val="20"/>
                <w:szCs w:val="20"/>
              </w:rPr>
              <w:t>,</w:t>
            </w:r>
            <w:r w:rsidRPr="00496500">
              <w:rPr>
                <w:rFonts w:ascii="Times New Roman" w:hAnsi="Times New Roman" w:cs="Times New Roman"/>
                <w:sz w:val="20"/>
                <w:szCs w:val="20"/>
              </w:rPr>
              <w:t>3</w:t>
            </w:r>
          </w:p>
        </w:tc>
        <w:tc>
          <w:tcPr>
            <w:tcW w:w="993" w:type="dxa"/>
            <w:vAlign w:val="center"/>
          </w:tcPr>
          <w:p w14:paraId="08D2693C" w14:textId="4BDC634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3</w:t>
            </w:r>
            <w:r w:rsidR="00144250">
              <w:rPr>
                <w:rFonts w:ascii="Times New Roman" w:hAnsi="Times New Roman" w:cs="Times New Roman"/>
                <w:sz w:val="20"/>
                <w:szCs w:val="20"/>
              </w:rPr>
              <w:t>,</w:t>
            </w:r>
            <w:r w:rsidRPr="00496500">
              <w:rPr>
                <w:rFonts w:ascii="Times New Roman" w:hAnsi="Times New Roman" w:cs="Times New Roman"/>
                <w:sz w:val="20"/>
                <w:szCs w:val="20"/>
              </w:rPr>
              <w:t>6%</w:t>
            </w:r>
          </w:p>
        </w:tc>
        <w:tc>
          <w:tcPr>
            <w:tcW w:w="850" w:type="dxa"/>
            <w:vAlign w:val="center"/>
          </w:tcPr>
          <w:p w14:paraId="0B1BE617" w14:textId="60DA980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4856A8CF"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p>
        </w:tc>
      </w:tr>
      <w:tr w:rsidR="009E15C5" w:rsidRPr="00496500" w14:paraId="60F26632" w14:textId="77777777" w:rsidTr="003D64E8">
        <w:trPr>
          <w:trHeight w:hRule="exact" w:val="570"/>
        </w:trPr>
        <w:tc>
          <w:tcPr>
            <w:tcW w:w="2552" w:type="dxa"/>
            <w:shd w:val="clear" w:color="auto" w:fill="E2EFD9" w:themeFill="accent6" w:themeFillTint="33"/>
            <w:vAlign w:val="center"/>
          </w:tcPr>
          <w:p w14:paraId="195F64F6" w14:textId="77777777" w:rsidR="003571E5" w:rsidRPr="00496500" w:rsidRDefault="003571E5" w:rsidP="003B412E">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Цифрови публични услуги за бизнеса</w:t>
            </w:r>
          </w:p>
        </w:tc>
        <w:tc>
          <w:tcPr>
            <w:tcW w:w="830" w:type="dxa"/>
            <w:vAlign w:val="center"/>
          </w:tcPr>
          <w:p w14:paraId="7BB0EAE9" w14:textId="3D072593"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91</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851" w:type="dxa"/>
            <w:vAlign w:val="center"/>
          </w:tcPr>
          <w:p w14:paraId="4D30D9AA" w14:textId="56395ADB"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94</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992" w:type="dxa"/>
            <w:vAlign w:val="center"/>
          </w:tcPr>
          <w:p w14:paraId="661B33AF" w14:textId="715F7752"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2</w:t>
            </w:r>
            <w:r w:rsidR="00144250">
              <w:rPr>
                <w:rFonts w:ascii="Times New Roman" w:hAnsi="Times New Roman" w:cs="Times New Roman"/>
                <w:sz w:val="20"/>
                <w:szCs w:val="20"/>
              </w:rPr>
              <w:t>,</w:t>
            </w:r>
            <w:r w:rsidRPr="00496500">
              <w:rPr>
                <w:rFonts w:ascii="Times New Roman" w:hAnsi="Times New Roman" w:cs="Times New Roman"/>
                <w:sz w:val="20"/>
                <w:szCs w:val="20"/>
              </w:rPr>
              <w:t>4%</w:t>
            </w:r>
          </w:p>
        </w:tc>
        <w:tc>
          <w:tcPr>
            <w:tcW w:w="1279" w:type="dxa"/>
            <w:vAlign w:val="center"/>
          </w:tcPr>
          <w:p w14:paraId="3C9AB41D" w14:textId="767176FA"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92</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0" w:type="dxa"/>
            <w:vAlign w:val="center"/>
          </w:tcPr>
          <w:p w14:paraId="15FC99D3" w14:textId="79EE4E20"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86</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993" w:type="dxa"/>
            <w:vAlign w:val="center"/>
          </w:tcPr>
          <w:p w14:paraId="16A5EC9A" w14:textId="463824D3"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0</w:t>
            </w:r>
            <w:r w:rsidR="00144250">
              <w:rPr>
                <w:rFonts w:ascii="Times New Roman" w:hAnsi="Times New Roman" w:cs="Times New Roman"/>
                <w:sz w:val="20"/>
                <w:szCs w:val="20"/>
              </w:rPr>
              <w:t>,</w:t>
            </w:r>
            <w:r w:rsidRPr="00496500">
              <w:rPr>
                <w:rFonts w:ascii="Times New Roman" w:hAnsi="Times New Roman" w:cs="Times New Roman"/>
                <w:sz w:val="20"/>
                <w:szCs w:val="20"/>
              </w:rPr>
              <w:t>9%</w:t>
            </w:r>
          </w:p>
        </w:tc>
        <w:tc>
          <w:tcPr>
            <w:tcW w:w="850" w:type="dxa"/>
            <w:vAlign w:val="center"/>
          </w:tcPr>
          <w:p w14:paraId="76728537" w14:textId="72E98E96"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226D94CE"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p>
        </w:tc>
      </w:tr>
      <w:tr w:rsidR="009E15C5" w:rsidRPr="00496500" w14:paraId="0DFC56F4" w14:textId="77777777" w:rsidTr="003D64E8">
        <w:trPr>
          <w:trHeight w:hRule="exact" w:val="580"/>
        </w:trPr>
        <w:tc>
          <w:tcPr>
            <w:tcW w:w="2552" w:type="dxa"/>
            <w:shd w:val="clear" w:color="auto" w:fill="E2EFD9" w:themeFill="accent6" w:themeFillTint="33"/>
            <w:vAlign w:val="center"/>
          </w:tcPr>
          <w:p w14:paraId="4E477151" w14:textId="282C7231" w:rsidR="003571E5" w:rsidRPr="00496500" w:rsidRDefault="003571E5" w:rsidP="008A7586">
            <w:pPr>
              <w:adjustRightInd w:val="0"/>
              <w:snapToGrid w:val="0"/>
              <w:spacing w:after="120" w:line="240" w:lineRule="auto"/>
              <w:ind w:left="28" w:right="28"/>
              <w:rPr>
                <w:rFonts w:ascii="Times New Roman" w:hAnsi="Times New Roman" w:cs="Times New Roman"/>
                <w:b/>
                <w:bCs/>
                <w:sz w:val="20"/>
                <w:szCs w:val="20"/>
              </w:rPr>
            </w:pPr>
            <w:r w:rsidRPr="00496500">
              <w:rPr>
                <w:rFonts w:ascii="Times New Roman" w:hAnsi="Times New Roman" w:cs="Times New Roman"/>
                <w:b/>
                <w:bCs/>
                <w:sz w:val="20"/>
                <w:szCs w:val="20"/>
              </w:rPr>
              <w:t xml:space="preserve">Достъп до електронни здравни </w:t>
            </w:r>
            <w:r w:rsidR="008A7586">
              <w:rPr>
                <w:rFonts w:ascii="Times New Roman" w:hAnsi="Times New Roman" w:cs="Times New Roman"/>
                <w:b/>
                <w:bCs/>
                <w:sz w:val="20"/>
                <w:szCs w:val="20"/>
              </w:rPr>
              <w:t>досиета</w:t>
            </w:r>
          </w:p>
        </w:tc>
        <w:tc>
          <w:tcPr>
            <w:tcW w:w="830" w:type="dxa"/>
            <w:vAlign w:val="center"/>
          </w:tcPr>
          <w:p w14:paraId="25D31282" w14:textId="05100BD4"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77</w:t>
            </w:r>
            <w:r w:rsidR="00144250">
              <w:rPr>
                <w:rFonts w:ascii="Times New Roman" w:hAnsi="Times New Roman" w:cs="Times New Roman"/>
                <w:sz w:val="20"/>
                <w:szCs w:val="20"/>
              </w:rPr>
              <w:t>,</w:t>
            </w:r>
            <w:r w:rsidRPr="00496500">
              <w:rPr>
                <w:rFonts w:ascii="Times New Roman" w:hAnsi="Times New Roman" w:cs="Times New Roman"/>
                <w:sz w:val="20"/>
                <w:szCs w:val="20"/>
              </w:rPr>
              <w:t>2</w:t>
            </w:r>
          </w:p>
        </w:tc>
        <w:tc>
          <w:tcPr>
            <w:tcW w:w="851" w:type="dxa"/>
            <w:vAlign w:val="center"/>
          </w:tcPr>
          <w:p w14:paraId="2D79D627" w14:textId="53A276E4"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87</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992" w:type="dxa"/>
            <w:vAlign w:val="center"/>
          </w:tcPr>
          <w:p w14:paraId="3619503D" w14:textId="1AB7EF7C"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13</w:t>
            </w:r>
            <w:r w:rsidR="00144250">
              <w:rPr>
                <w:rFonts w:ascii="Times New Roman" w:hAnsi="Times New Roman" w:cs="Times New Roman"/>
                <w:sz w:val="20"/>
                <w:szCs w:val="20"/>
              </w:rPr>
              <w:t>,</w:t>
            </w:r>
            <w:r w:rsidRPr="00496500">
              <w:rPr>
                <w:rFonts w:ascii="Times New Roman" w:hAnsi="Times New Roman" w:cs="Times New Roman"/>
                <w:sz w:val="20"/>
                <w:szCs w:val="20"/>
              </w:rPr>
              <w:t>3%</w:t>
            </w:r>
          </w:p>
        </w:tc>
        <w:tc>
          <w:tcPr>
            <w:tcW w:w="1279" w:type="dxa"/>
            <w:vAlign w:val="center"/>
          </w:tcPr>
          <w:p w14:paraId="0428053D" w14:textId="1D6B15A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82</w:t>
            </w:r>
            <w:r w:rsidR="00144250">
              <w:rPr>
                <w:rFonts w:ascii="Times New Roman" w:hAnsi="Times New Roman" w:cs="Times New Roman"/>
                <w:sz w:val="20"/>
                <w:szCs w:val="20"/>
              </w:rPr>
              <w:t>,</w:t>
            </w:r>
            <w:r w:rsidRPr="00496500">
              <w:rPr>
                <w:rFonts w:ascii="Times New Roman" w:hAnsi="Times New Roman" w:cs="Times New Roman"/>
                <w:sz w:val="20"/>
                <w:szCs w:val="20"/>
              </w:rPr>
              <w:t>8</w:t>
            </w:r>
          </w:p>
        </w:tc>
        <w:tc>
          <w:tcPr>
            <w:tcW w:w="850" w:type="dxa"/>
            <w:vAlign w:val="center"/>
          </w:tcPr>
          <w:p w14:paraId="0E5D96CE" w14:textId="302B7F71"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82</w:t>
            </w:r>
            <w:r w:rsidR="00144250">
              <w:rPr>
                <w:rFonts w:ascii="Times New Roman" w:hAnsi="Times New Roman" w:cs="Times New Roman"/>
                <w:sz w:val="20"/>
                <w:szCs w:val="20"/>
              </w:rPr>
              <w:t>,</w:t>
            </w:r>
            <w:r w:rsidRPr="00496500">
              <w:rPr>
                <w:rFonts w:ascii="Times New Roman" w:hAnsi="Times New Roman" w:cs="Times New Roman"/>
                <w:sz w:val="20"/>
                <w:szCs w:val="20"/>
              </w:rPr>
              <w:t>7</w:t>
            </w:r>
          </w:p>
        </w:tc>
        <w:tc>
          <w:tcPr>
            <w:tcW w:w="993" w:type="dxa"/>
            <w:vAlign w:val="center"/>
          </w:tcPr>
          <w:p w14:paraId="376F25AB" w14:textId="0FC4D39E"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4</w:t>
            </w:r>
            <w:r w:rsidR="00144250">
              <w:rPr>
                <w:rFonts w:ascii="Times New Roman" w:hAnsi="Times New Roman" w:cs="Times New Roman"/>
                <w:sz w:val="20"/>
                <w:szCs w:val="20"/>
              </w:rPr>
              <w:t>,</w:t>
            </w:r>
            <w:r w:rsidRPr="00496500">
              <w:rPr>
                <w:rFonts w:ascii="Times New Roman" w:hAnsi="Times New Roman" w:cs="Times New Roman"/>
                <w:sz w:val="20"/>
                <w:szCs w:val="20"/>
              </w:rPr>
              <w:t>5%</w:t>
            </w:r>
          </w:p>
        </w:tc>
        <w:tc>
          <w:tcPr>
            <w:tcW w:w="850" w:type="dxa"/>
            <w:vAlign w:val="center"/>
          </w:tcPr>
          <w:p w14:paraId="3E04D9E0" w14:textId="0CF70568"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r w:rsidR="00144250">
              <w:rPr>
                <w:rFonts w:ascii="Times New Roman" w:hAnsi="Times New Roman" w:cs="Times New Roman"/>
                <w:sz w:val="20"/>
                <w:szCs w:val="20"/>
              </w:rPr>
              <w:t>,</w:t>
            </w:r>
            <w:r w:rsidRPr="00496500">
              <w:rPr>
                <w:rFonts w:ascii="Times New Roman" w:hAnsi="Times New Roman" w:cs="Times New Roman"/>
                <w:sz w:val="20"/>
                <w:szCs w:val="20"/>
              </w:rPr>
              <w:t>0</w:t>
            </w:r>
          </w:p>
        </w:tc>
        <w:tc>
          <w:tcPr>
            <w:tcW w:w="851" w:type="dxa"/>
            <w:vAlign w:val="center"/>
          </w:tcPr>
          <w:p w14:paraId="5B274E86" w14:textId="77777777" w:rsidR="003571E5" w:rsidRPr="00496500" w:rsidRDefault="003571E5" w:rsidP="00E653D3">
            <w:pPr>
              <w:adjustRightInd w:val="0"/>
              <w:snapToGrid w:val="0"/>
              <w:spacing w:after="120" w:line="240" w:lineRule="auto"/>
              <w:ind w:left="28" w:right="28"/>
              <w:jc w:val="center"/>
              <w:rPr>
                <w:rFonts w:ascii="Times New Roman" w:hAnsi="Times New Roman" w:cs="Times New Roman"/>
                <w:sz w:val="20"/>
                <w:szCs w:val="20"/>
              </w:rPr>
            </w:pPr>
            <w:r w:rsidRPr="00496500">
              <w:rPr>
                <w:rFonts w:ascii="Times New Roman" w:hAnsi="Times New Roman" w:cs="Times New Roman"/>
                <w:sz w:val="20"/>
                <w:szCs w:val="20"/>
              </w:rPr>
              <w:t>100</w:t>
            </w:r>
          </w:p>
        </w:tc>
      </w:tr>
      <w:tr w:rsidR="003571E5" w:rsidRPr="00496500" w14:paraId="3488B70E" w14:textId="77777777" w:rsidTr="00216ADD">
        <w:trPr>
          <w:trHeight w:val="705"/>
        </w:trPr>
        <w:tc>
          <w:tcPr>
            <w:tcW w:w="10048" w:type="dxa"/>
            <w:gridSpan w:val="9"/>
          </w:tcPr>
          <w:p w14:paraId="24A0942D" w14:textId="77777777" w:rsidR="003571E5" w:rsidRPr="00496500" w:rsidRDefault="003571E5" w:rsidP="00D24E34">
            <w:pPr>
              <w:numPr>
                <w:ilvl w:val="0"/>
                <w:numId w:val="27"/>
              </w:numPr>
              <w:snapToGrid w:val="0"/>
              <w:spacing w:before="60" w:after="120" w:line="240" w:lineRule="auto"/>
              <w:ind w:left="204" w:hanging="187"/>
              <w:rPr>
                <w:rFonts w:ascii="Times New Roman" w:hAnsi="Times New Roman" w:cs="Times New Roman"/>
                <w:sz w:val="20"/>
                <w:szCs w:val="20"/>
              </w:rPr>
            </w:pPr>
            <w:r w:rsidRPr="00496500">
              <w:rPr>
                <w:rFonts w:ascii="Times New Roman" w:hAnsi="Times New Roman" w:cs="Times New Roman"/>
                <w:sz w:val="20"/>
                <w:szCs w:val="20"/>
              </w:rPr>
              <w:t xml:space="preserve">Виж </w:t>
            </w:r>
            <w:hyperlink r:id="rId18" w:history="1">
              <w:r w:rsidRPr="00496500">
                <w:rPr>
                  <w:rStyle w:val="Hyperlink"/>
                  <w:rFonts w:ascii="Times New Roman" w:hAnsi="Times New Roman" w:cs="Times New Roman"/>
                  <w:sz w:val="20"/>
                  <w:szCs w:val="20"/>
                </w:rPr>
                <w:t>методологията</w:t>
              </w:r>
            </w:hyperlink>
            <w:r w:rsidRPr="00496500">
              <w:rPr>
                <w:rFonts w:ascii="Times New Roman" w:hAnsi="Times New Roman" w:cs="Times New Roman"/>
                <w:sz w:val="20"/>
                <w:szCs w:val="20"/>
              </w:rPr>
              <w:t xml:space="preserve"> за описание на показателите и други измервания.</w:t>
            </w:r>
          </w:p>
          <w:p w14:paraId="3F614B67" w14:textId="77777777" w:rsidR="003571E5" w:rsidRPr="00496500" w:rsidRDefault="003571E5" w:rsidP="003B412E">
            <w:pPr>
              <w:numPr>
                <w:ilvl w:val="0"/>
                <w:numId w:val="27"/>
              </w:numPr>
              <w:snapToGrid w:val="0"/>
              <w:spacing w:after="120" w:line="240" w:lineRule="auto"/>
              <w:ind w:left="204" w:hanging="187"/>
              <w:rPr>
                <w:rFonts w:ascii="Times New Roman" w:hAnsi="Times New Roman" w:cs="Times New Roman"/>
                <w:sz w:val="20"/>
                <w:szCs w:val="20"/>
              </w:rPr>
            </w:pPr>
            <w:r w:rsidRPr="00496500">
              <w:rPr>
                <w:rFonts w:ascii="Times New Roman" w:hAnsi="Times New Roman" w:cs="Times New Roman"/>
                <w:sz w:val="20"/>
                <w:szCs w:val="20"/>
              </w:rPr>
              <w:t xml:space="preserve">DESI 2025 отчита версия 4 на Индекса за цифров интензитет </w:t>
            </w:r>
            <w:r w:rsidR="00216ADD" w:rsidRPr="00496500">
              <w:rPr>
                <w:rFonts w:ascii="Times New Roman" w:hAnsi="Times New Roman" w:cs="Times New Roman"/>
                <w:sz w:val="20"/>
                <w:szCs w:val="20"/>
              </w:rPr>
              <w:t>(</w:t>
            </w:r>
            <w:r w:rsidRPr="00496500">
              <w:rPr>
                <w:rFonts w:ascii="Times New Roman" w:hAnsi="Times New Roman" w:cs="Times New Roman"/>
                <w:sz w:val="20"/>
                <w:szCs w:val="20"/>
              </w:rPr>
              <w:t>ИЦИ</w:t>
            </w:r>
            <w:r w:rsidR="00216ADD" w:rsidRPr="00496500">
              <w:rPr>
                <w:rFonts w:ascii="Times New Roman" w:hAnsi="Times New Roman" w:cs="Times New Roman"/>
                <w:sz w:val="20"/>
                <w:szCs w:val="20"/>
              </w:rPr>
              <w:t>)</w:t>
            </w:r>
            <w:r w:rsidRPr="00496500">
              <w:rPr>
                <w:rFonts w:ascii="Times New Roman" w:hAnsi="Times New Roman" w:cs="Times New Roman"/>
                <w:sz w:val="20"/>
                <w:szCs w:val="20"/>
              </w:rPr>
              <w:t>, която е сравнима със стойността на ИЦИ от DESI 2023 (отнасяща се за 2022 г.) за изчисляване на годишния напредък. Тя не е сравнима с националната траектория, която се основава на версия 3 на индекса.</w:t>
            </w:r>
          </w:p>
          <w:p w14:paraId="12968C15" w14:textId="77777777" w:rsidR="003571E5" w:rsidRPr="00496500" w:rsidRDefault="003571E5" w:rsidP="003B412E">
            <w:pPr>
              <w:numPr>
                <w:ilvl w:val="0"/>
                <w:numId w:val="27"/>
              </w:numPr>
              <w:snapToGrid w:val="0"/>
              <w:spacing w:after="120" w:line="240" w:lineRule="auto"/>
              <w:ind w:left="204" w:hanging="187"/>
              <w:rPr>
                <w:rFonts w:ascii="Times New Roman" w:hAnsi="Times New Roman" w:cs="Times New Roman"/>
                <w:sz w:val="20"/>
                <w:szCs w:val="20"/>
              </w:rPr>
            </w:pPr>
            <w:r w:rsidRPr="00496500">
              <w:rPr>
                <w:rFonts w:ascii="Times New Roman" w:hAnsi="Times New Roman" w:cs="Times New Roman"/>
                <w:sz w:val="20"/>
                <w:szCs w:val="20"/>
              </w:rPr>
              <w:t>Стойност на националната траектория, ако е налична в националната пътна карта и ако индикаторът е измерен в DESI 2025 (2024 г.).</w:t>
            </w:r>
          </w:p>
        </w:tc>
      </w:tr>
    </w:tbl>
    <w:p w14:paraId="5C2B6F3B" w14:textId="77777777" w:rsidR="000750DD" w:rsidRPr="006D7474" w:rsidRDefault="000750DD" w:rsidP="006D7474">
      <w:pPr>
        <w:ind w:left="993" w:hanging="993"/>
        <w:jc w:val="both"/>
        <w:rPr>
          <w:rFonts w:ascii="Times New Roman" w:hAnsi="Times New Roman" w:cs="Times New Roman"/>
          <w:color w:val="44546A" w:themeColor="text2"/>
          <w:lang w:eastAsia="ja-JP"/>
        </w:rPr>
      </w:pPr>
    </w:p>
    <w:p w14:paraId="0957027A" w14:textId="77777777" w:rsidR="004C66F4" w:rsidRPr="00496500" w:rsidRDefault="00A17DC3" w:rsidP="00B21111">
      <w:pPr>
        <w:pStyle w:val="ListParagraph"/>
        <w:numPr>
          <w:ilvl w:val="1"/>
          <w:numId w:val="10"/>
        </w:numPr>
        <w:spacing w:before="120" w:after="120" w:line="240" w:lineRule="auto"/>
        <w:ind w:left="567" w:hanging="567"/>
        <w:contextualSpacing w:val="0"/>
        <w:outlineLvl w:val="1"/>
        <w:rPr>
          <w:rFonts w:ascii="Times New Roman" w:hAnsi="Times New Roman" w:cs="Times New Roman"/>
          <w:b/>
          <w:sz w:val="24"/>
          <w:szCs w:val="24"/>
        </w:rPr>
      </w:pPr>
      <w:bookmarkStart w:id="5" w:name="_Toc209084886"/>
      <w:r w:rsidRPr="00496500">
        <w:rPr>
          <w:rFonts w:ascii="Times New Roman" w:hAnsi="Times New Roman" w:cs="Times New Roman"/>
          <w:b/>
          <w:sz w:val="24"/>
          <w:szCs w:val="24"/>
        </w:rPr>
        <w:t>Цифрова инфраструктура</w:t>
      </w:r>
      <w:bookmarkEnd w:id="5"/>
      <w:r w:rsidR="00A04CB3" w:rsidRPr="00496500">
        <w:rPr>
          <w:rFonts w:ascii="Times New Roman" w:hAnsi="Times New Roman" w:cs="Times New Roman"/>
          <w:b/>
          <w:sz w:val="24"/>
          <w:szCs w:val="24"/>
        </w:rPr>
        <w:t xml:space="preserve"> </w:t>
      </w:r>
    </w:p>
    <w:p w14:paraId="6A06C634" w14:textId="3AB3B217" w:rsidR="00F4234A" w:rsidRPr="00496500" w:rsidRDefault="00916AE7" w:rsidP="003B412E">
      <w:pPr>
        <w:pStyle w:val="ListParagraph"/>
        <w:spacing w:after="120" w:line="240" w:lineRule="auto"/>
        <w:ind w:left="0" w:firstLine="720"/>
        <w:contextualSpacing w:val="0"/>
        <w:jc w:val="both"/>
        <w:rPr>
          <w:rFonts w:ascii="Times New Roman" w:hAnsi="Times New Roman" w:cs="Times New Roman"/>
          <w:sz w:val="24"/>
          <w:szCs w:val="24"/>
        </w:rPr>
      </w:pPr>
      <w:hyperlink r:id="rId19" w:history="1">
        <w:r w:rsidR="00F4234A" w:rsidRPr="00496500">
          <w:rPr>
            <w:rStyle w:val="Hyperlink"/>
            <w:rFonts w:ascii="Times New Roman" w:hAnsi="Times New Roman" w:cs="Times New Roman"/>
            <w:sz w:val="24"/>
            <w:szCs w:val="24"/>
          </w:rPr>
          <w:t xml:space="preserve">Докладът за състоянието на </w:t>
        </w:r>
        <w:r w:rsidR="008A7586">
          <w:rPr>
            <w:rStyle w:val="Hyperlink"/>
            <w:rFonts w:ascii="Times New Roman" w:hAnsi="Times New Roman" w:cs="Times New Roman"/>
            <w:sz w:val="24"/>
            <w:szCs w:val="24"/>
          </w:rPr>
          <w:t>Ц</w:t>
        </w:r>
        <w:r w:rsidR="00F4234A" w:rsidRPr="00496500">
          <w:rPr>
            <w:rStyle w:val="Hyperlink"/>
            <w:rFonts w:ascii="Times New Roman" w:hAnsi="Times New Roman" w:cs="Times New Roman"/>
            <w:sz w:val="24"/>
            <w:szCs w:val="24"/>
          </w:rPr>
          <w:t>ифровото десетилетие през 2025 г. за България</w:t>
        </w:r>
      </w:hyperlink>
      <w:r w:rsidR="00F4234A" w:rsidRPr="00496500">
        <w:rPr>
          <w:rStyle w:val="FootnoteReference"/>
          <w:rFonts w:ascii="Times New Roman" w:hAnsi="Times New Roman" w:cs="Times New Roman"/>
          <w:sz w:val="24"/>
          <w:szCs w:val="24"/>
        </w:rPr>
        <w:footnoteReference w:id="16"/>
      </w:r>
      <w:r w:rsidR="00F4234A" w:rsidRPr="00496500">
        <w:rPr>
          <w:rFonts w:ascii="Times New Roman" w:hAnsi="Times New Roman" w:cs="Times New Roman"/>
          <w:sz w:val="24"/>
          <w:szCs w:val="24"/>
        </w:rPr>
        <w:t xml:space="preserve"> ясно показва, че за последните пет години страната отбелязва сериозен напредък по отношение на цифровата инфраструктура и свързаност. Проследяването на индикаторите за разпространение и достъп до интернет доказва, че страната се движи в правилната посока. Докато през 2020 г. се оценява готовност за навлизане на 5G мрежа, то през 2024 г. вече е отчетено над 81</w:t>
      </w:r>
      <w:r w:rsidR="0039639C">
        <w:rPr>
          <w:rFonts w:ascii="Times New Roman" w:hAnsi="Times New Roman" w:cs="Times New Roman"/>
          <w:sz w:val="24"/>
          <w:szCs w:val="24"/>
          <w:lang w:val="en-US"/>
        </w:rPr>
        <w:t>,</w:t>
      </w:r>
      <w:r w:rsidR="008908E7">
        <w:rPr>
          <w:rFonts w:ascii="Times New Roman" w:hAnsi="Times New Roman" w:cs="Times New Roman"/>
          <w:sz w:val="24"/>
          <w:szCs w:val="24"/>
          <w:lang w:val="en-US"/>
        </w:rPr>
        <w:t>33</w:t>
      </w:r>
      <w:r w:rsidR="00F4234A" w:rsidRPr="00496500">
        <w:rPr>
          <w:rFonts w:ascii="Times New Roman" w:hAnsi="Times New Roman" w:cs="Times New Roman"/>
          <w:sz w:val="24"/>
          <w:szCs w:val="24"/>
        </w:rPr>
        <w:t>% покритие</w:t>
      </w:r>
      <w:r w:rsidR="008A7586">
        <w:rPr>
          <w:rFonts w:ascii="Times New Roman" w:hAnsi="Times New Roman" w:cs="Times New Roman"/>
          <w:sz w:val="24"/>
          <w:szCs w:val="24"/>
        </w:rPr>
        <w:t xml:space="preserve"> по домакинсква</w:t>
      </w:r>
      <w:r w:rsidR="00F4234A" w:rsidRPr="00496500">
        <w:rPr>
          <w:rFonts w:ascii="Times New Roman" w:hAnsi="Times New Roman" w:cs="Times New Roman"/>
          <w:sz w:val="24"/>
          <w:szCs w:val="24"/>
        </w:rPr>
        <w:t xml:space="preserve"> на територията </w:t>
      </w:r>
      <w:r w:rsidR="003C031C" w:rsidRPr="00496500">
        <w:rPr>
          <w:rFonts w:ascii="Times New Roman" w:hAnsi="Times New Roman" w:cs="Times New Roman"/>
          <w:sz w:val="24"/>
          <w:szCs w:val="24"/>
        </w:rPr>
        <w:t>н</w:t>
      </w:r>
      <w:r w:rsidR="00F4234A" w:rsidRPr="00496500">
        <w:rPr>
          <w:rFonts w:ascii="Times New Roman" w:hAnsi="Times New Roman" w:cs="Times New Roman"/>
          <w:sz w:val="24"/>
          <w:szCs w:val="24"/>
        </w:rPr>
        <w:t>а страната. В резултат, имиджът на България по отношение на техническите условия за правене на бизнес се засилва и подобрява</w:t>
      </w:r>
      <w:r w:rsidR="00AE74D8" w:rsidRPr="00496500">
        <w:rPr>
          <w:rFonts w:ascii="Times New Roman" w:hAnsi="Times New Roman" w:cs="Times New Roman"/>
          <w:sz w:val="24"/>
          <w:szCs w:val="24"/>
        </w:rPr>
        <w:t>,</w:t>
      </w:r>
      <w:r w:rsidR="00F4234A" w:rsidRPr="00496500">
        <w:rPr>
          <w:rFonts w:ascii="Times New Roman" w:hAnsi="Times New Roman" w:cs="Times New Roman"/>
          <w:sz w:val="24"/>
          <w:szCs w:val="24"/>
        </w:rPr>
        <w:t xml:space="preserve"> и страната се превръща в избираема дестинация за инвестиции и развитие на компании в сферата на електронната търговия и предоставящи разнообразни електронни услуги.</w:t>
      </w:r>
    </w:p>
    <w:p w14:paraId="20EEA876" w14:textId="5258537F" w:rsidR="00591396" w:rsidRPr="00496500" w:rsidRDefault="00591396" w:rsidP="003B412E">
      <w:pPr>
        <w:pStyle w:val="ListParagraph"/>
        <w:spacing w:after="120" w:line="240" w:lineRule="auto"/>
        <w:ind w:left="0" w:right="-2"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Развитието на високоскоростна цифрова инфраструктура е от фундаментално значение за постигането на стратегическите цели на България в областта на цифровата трансформация</w:t>
      </w:r>
      <w:r w:rsidR="00965BA5">
        <w:rPr>
          <w:rFonts w:ascii="Times New Roman" w:hAnsi="Times New Roman" w:cs="Times New Roman"/>
          <w:sz w:val="24"/>
          <w:szCs w:val="24"/>
        </w:rPr>
        <w:t xml:space="preserve"> и</w:t>
      </w:r>
      <w:r w:rsidRPr="00496500">
        <w:rPr>
          <w:rFonts w:ascii="Times New Roman" w:hAnsi="Times New Roman" w:cs="Times New Roman"/>
          <w:sz w:val="24"/>
          <w:szCs w:val="24"/>
        </w:rPr>
        <w:t xml:space="preserve"> </w:t>
      </w:r>
      <w:r w:rsidR="00965BA5">
        <w:rPr>
          <w:rFonts w:ascii="Times New Roman" w:hAnsi="Times New Roman" w:cs="Times New Roman"/>
          <w:sz w:val="24"/>
          <w:szCs w:val="24"/>
        </w:rPr>
        <w:t>ц</w:t>
      </w:r>
      <w:r w:rsidR="00965BA5" w:rsidRPr="00496500">
        <w:rPr>
          <w:rFonts w:ascii="Times New Roman" w:hAnsi="Times New Roman" w:cs="Times New Roman"/>
          <w:sz w:val="24"/>
          <w:szCs w:val="24"/>
        </w:rPr>
        <w:t xml:space="preserve">ифровата </w:t>
      </w:r>
      <w:r w:rsidRPr="00496500">
        <w:rPr>
          <w:rFonts w:ascii="Times New Roman" w:hAnsi="Times New Roman" w:cs="Times New Roman"/>
          <w:sz w:val="24"/>
          <w:szCs w:val="24"/>
        </w:rPr>
        <w:t>свързаност</w:t>
      </w:r>
      <w:r w:rsidR="00DF1961">
        <w:rPr>
          <w:rFonts w:ascii="Times New Roman" w:hAnsi="Times New Roman" w:cs="Times New Roman"/>
          <w:sz w:val="24"/>
          <w:szCs w:val="24"/>
        </w:rPr>
        <w:t xml:space="preserve">, </w:t>
      </w:r>
      <w:r w:rsidR="00DF1961" w:rsidRPr="00496500">
        <w:rPr>
          <w:rFonts w:ascii="Times New Roman" w:hAnsi="Times New Roman" w:cs="Times New Roman"/>
          <w:sz w:val="24"/>
          <w:szCs w:val="24"/>
        </w:rPr>
        <w:t>като ядро на цифровата трансформация</w:t>
      </w:r>
      <w:r w:rsidR="00DF1961">
        <w:rPr>
          <w:rFonts w:ascii="Times New Roman" w:hAnsi="Times New Roman" w:cs="Times New Roman"/>
          <w:sz w:val="24"/>
          <w:szCs w:val="24"/>
        </w:rPr>
        <w:t xml:space="preserve">, </w:t>
      </w:r>
      <w:r w:rsidR="00C418E8">
        <w:rPr>
          <w:rFonts w:ascii="Times New Roman" w:hAnsi="Times New Roman" w:cs="Times New Roman"/>
          <w:sz w:val="24"/>
          <w:szCs w:val="24"/>
        </w:rPr>
        <w:t>и</w:t>
      </w:r>
      <w:r w:rsidRPr="00496500">
        <w:rPr>
          <w:rFonts w:ascii="Times New Roman" w:hAnsi="Times New Roman" w:cs="Times New Roman"/>
          <w:sz w:val="24"/>
          <w:szCs w:val="24"/>
        </w:rPr>
        <w:t xml:space="preserve"> е определена като една от четирите цифрови цели по програма „Цифрово десетилетие“.</w:t>
      </w:r>
    </w:p>
    <w:p w14:paraId="7EC17C19" w14:textId="01ADF7B2" w:rsidR="008F231E" w:rsidRPr="00496500" w:rsidRDefault="00BE3E3B" w:rsidP="003B412E">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 xml:space="preserve">В </w:t>
      </w:r>
      <w:r w:rsidR="00591396" w:rsidRPr="00496500">
        <w:rPr>
          <w:rFonts w:ascii="Times New Roman" w:hAnsi="Times New Roman" w:cs="Times New Roman"/>
          <w:sz w:val="24"/>
          <w:szCs w:val="24"/>
        </w:rPr>
        <w:t xml:space="preserve">приоритет 8 „Цифрова свързаност“ </w:t>
      </w:r>
      <w:r w:rsidRPr="00496500">
        <w:rPr>
          <w:rFonts w:ascii="Times New Roman" w:hAnsi="Times New Roman" w:cs="Times New Roman"/>
          <w:sz w:val="24"/>
          <w:szCs w:val="24"/>
        </w:rPr>
        <w:t xml:space="preserve">на </w:t>
      </w:r>
      <w:r w:rsidR="00750E90">
        <w:rPr>
          <w:rFonts w:ascii="Times New Roman" w:hAnsi="Times New Roman" w:cs="Times New Roman"/>
          <w:sz w:val="24"/>
          <w:szCs w:val="24"/>
        </w:rPr>
        <w:t>НПР</w:t>
      </w:r>
      <w:r w:rsidRPr="00496500">
        <w:rPr>
          <w:rFonts w:ascii="Times New Roman" w:hAnsi="Times New Roman" w:cs="Times New Roman"/>
          <w:sz w:val="24"/>
          <w:szCs w:val="24"/>
        </w:rPr>
        <w:t xml:space="preserve"> България 2030 </w:t>
      </w:r>
      <w:r w:rsidR="00591396" w:rsidRPr="00496500">
        <w:rPr>
          <w:rFonts w:ascii="Times New Roman" w:hAnsi="Times New Roman" w:cs="Times New Roman"/>
          <w:sz w:val="24"/>
          <w:szCs w:val="24"/>
        </w:rPr>
        <w:t>са концентрирани</w:t>
      </w:r>
      <w:r w:rsidRPr="00496500">
        <w:rPr>
          <w:rFonts w:ascii="Times New Roman" w:hAnsi="Times New Roman" w:cs="Times New Roman"/>
          <w:sz w:val="24"/>
          <w:szCs w:val="24"/>
        </w:rPr>
        <w:t xml:space="preserve"> мерките</w:t>
      </w:r>
      <w:r w:rsidR="00591396" w:rsidRPr="00496500">
        <w:rPr>
          <w:rFonts w:ascii="Times New Roman" w:hAnsi="Times New Roman" w:cs="Times New Roman"/>
          <w:sz w:val="24"/>
          <w:szCs w:val="24"/>
        </w:rPr>
        <w:t xml:space="preserve"> </w:t>
      </w:r>
      <w:r w:rsidRPr="00496500">
        <w:rPr>
          <w:rFonts w:ascii="Times New Roman" w:hAnsi="Times New Roman" w:cs="Times New Roman"/>
          <w:sz w:val="24"/>
          <w:szCs w:val="24"/>
        </w:rPr>
        <w:t xml:space="preserve">за </w:t>
      </w:r>
      <w:r w:rsidR="00591396" w:rsidRPr="00496500">
        <w:rPr>
          <w:rFonts w:ascii="Times New Roman" w:hAnsi="Times New Roman" w:cs="Times New Roman"/>
          <w:sz w:val="24"/>
          <w:szCs w:val="24"/>
        </w:rPr>
        <w:t>подобряване на достъпа до високоскоростен интернет в по-слабо населените региони и неговото активно използване от населението и бизнеса, както и в развитието на високоскоростния мобилен интернет в страната</w:t>
      </w:r>
      <w:r w:rsidR="00F64D96" w:rsidRPr="00496500">
        <w:rPr>
          <w:rFonts w:ascii="Times New Roman" w:hAnsi="Times New Roman" w:cs="Times New Roman"/>
          <w:sz w:val="24"/>
          <w:szCs w:val="24"/>
        </w:rPr>
        <w:t>. Разширяването на достъпа до високоскоростен интернет в селските райони е важна предпоставка за развитието на проекти за умно и устойчиво земеделие, стимулирайки местната икономика и подобрявайки качеството на живота посредством предоставянето на достъп до ново поколение публични и частни цифрови услуги.</w:t>
      </w:r>
    </w:p>
    <w:p w14:paraId="5FC2C4FD" w14:textId="3E097819" w:rsidR="008F231E" w:rsidRPr="00496500" w:rsidRDefault="00591396" w:rsidP="003B412E">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Свързаността е идентифицирана</w:t>
      </w:r>
      <w:r w:rsidR="008F231E" w:rsidRPr="00496500">
        <w:rPr>
          <w:rFonts w:ascii="Times New Roman" w:hAnsi="Times New Roman" w:cs="Times New Roman"/>
          <w:sz w:val="24"/>
          <w:szCs w:val="24"/>
        </w:rPr>
        <w:t>,</w:t>
      </w:r>
      <w:r w:rsidRPr="00496500">
        <w:rPr>
          <w:rFonts w:ascii="Times New Roman" w:hAnsi="Times New Roman" w:cs="Times New Roman"/>
          <w:sz w:val="24"/>
          <w:szCs w:val="24"/>
        </w:rPr>
        <w:t xml:space="preserve"> като ключов фактор за цифровата трансформация</w:t>
      </w:r>
      <w:r w:rsidR="00F64D96" w:rsidRPr="00496500">
        <w:rPr>
          <w:rFonts w:ascii="Times New Roman" w:hAnsi="Times New Roman" w:cs="Times New Roman"/>
          <w:sz w:val="24"/>
          <w:szCs w:val="24"/>
        </w:rPr>
        <w:t>.</w:t>
      </w:r>
      <w:r w:rsidR="008F231E" w:rsidRPr="00496500">
        <w:rPr>
          <w:rFonts w:ascii="Times New Roman" w:hAnsi="Times New Roman" w:cs="Times New Roman"/>
          <w:sz w:val="24"/>
          <w:szCs w:val="24"/>
        </w:rPr>
        <w:t xml:space="preserve"> </w:t>
      </w:r>
      <w:r w:rsidR="00F64D96" w:rsidRPr="00496500">
        <w:rPr>
          <w:rFonts w:ascii="Times New Roman" w:hAnsi="Times New Roman" w:cs="Times New Roman"/>
          <w:sz w:val="24"/>
          <w:szCs w:val="24"/>
        </w:rPr>
        <w:t>В</w:t>
      </w:r>
      <w:r w:rsidRPr="00496500">
        <w:rPr>
          <w:rFonts w:ascii="Times New Roman" w:hAnsi="Times New Roman" w:cs="Times New Roman"/>
          <w:sz w:val="24"/>
          <w:szCs w:val="24"/>
        </w:rPr>
        <w:t xml:space="preserve"> </w:t>
      </w:r>
      <w:r w:rsidR="00C72112" w:rsidRPr="00496500">
        <w:rPr>
          <w:rFonts w:ascii="Times New Roman" w:hAnsi="Times New Roman" w:cs="Times New Roman"/>
          <w:sz w:val="24"/>
          <w:szCs w:val="24"/>
        </w:rPr>
        <w:t>НПВУ</w:t>
      </w:r>
      <w:r w:rsidR="00F64D96" w:rsidRPr="00496500">
        <w:rPr>
          <w:rFonts w:ascii="Times New Roman" w:hAnsi="Times New Roman" w:cs="Times New Roman"/>
          <w:sz w:val="24"/>
          <w:szCs w:val="24"/>
        </w:rPr>
        <w:t>,</w:t>
      </w:r>
      <w:r w:rsidRPr="00496500">
        <w:rPr>
          <w:rFonts w:ascii="Times New Roman" w:hAnsi="Times New Roman" w:cs="Times New Roman"/>
          <w:sz w:val="24"/>
          <w:szCs w:val="24"/>
        </w:rPr>
        <w:t xml:space="preserve"> </w:t>
      </w:r>
      <w:r w:rsidR="008F231E" w:rsidRPr="00496500">
        <w:rPr>
          <w:rFonts w:ascii="Times New Roman" w:hAnsi="Times New Roman" w:cs="Times New Roman"/>
          <w:sz w:val="24"/>
          <w:szCs w:val="24"/>
        </w:rPr>
        <w:t xml:space="preserve">Компонент </w:t>
      </w:r>
      <w:r w:rsidRPr="00496500">
        <w:rPr>
          <w:rFonts w:ascii="Times New Roman" w:hAnsi="Times New Roman" w:cs="Times New Roman"/>
          <w:sz w:val="24"/>
          <w:szCs w:val="24"/>
        </w:rPr>
        <w:t>2.В.1 „Цифрова свързаност“</w:t>
      </w:r>
      <w:r w:rsidR="008F231E" w:rsidRPr="00496500">
        <w:rPr>
          <w:rFonts w:ascii="Times New Roman" w:hAnsi="Times New Roman" w:cs="Times New Roman"/>
          <w:sz w:val="24"/>
          <w:szCs w:val="24"/>
        </w:rPr>
        <w:t xml:space="preserve"> </w:t>
      </w:r>
      <w:r w:rsidRPr="00496500">
        <w:rPr>
          <w:rFonts w:ascii="Times New Roman" w:hAnsi="Times New Roman" w:cs="Times New Roman"/>
          <w:sz w:val="24"/>
          <w:szCs w:val="24"/>
        </w:rPr>
        <w:t xml:space="preserve">цели изграждането на модерна и сигурна цифрова инфраструктура и преодоляване на териториалните дисбаланси, свързани с разпространението на широколентовия достъп. </w:t>
      </w:r>
    </w:p>
    <w:p w14:paraId="4E0C0C21" w14:textId="43F460FA" w:rsidR="00591396" w:rsidRPr="00496500" w:rsidRDefault="00591396" w:rsidP="00F64D96">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Националният план за широколентова инфраструктура за достъп от следващо поколение „Свързана България“ цели осигуряване на високоскоростен фиксиран и мобилен интернет в цялата страна, ускорено изграждане на широколентова инфраструктура, вкл</w:t>
      </w:r>
      <w:r w:rsidR="00F64D96" w:rsidRPr="00496500">
        <w:rPr>
          <w:rFonts w:ascii="Times New Roman" w:hAnsi="Times New Roman" w:cs="Times New Roman"/>
          <w:sz w:val="24"/>
          <w:szCs w:val="24"/>
        </w:rPr>
        <w:t>ючително</w:t>
      </w:r>
      <w:r w:rsidRPr="00496500">
        <w:rPr>
          <w:rFonts w:ascii="Times New Roman" w:hAnsi="Times New Roman" w:cs="Times New Roman"/>
          <w:sz w:val="24"/>
          <w:szCs w:val="24"/>
        </w:rPr>
        <w:t xml:space="preserve"> за нуждите на държавната администрация, създаване на условия за разгръщане на мрежи с много голям капацитет, ефективно използване на радиочестотния спектър, подобряване на покритието в населени места, разположени в периферни, слабо населени и селски райони, преодоляване на цифровото разделение и сигурност на мрежите.</w:t>
      </w:r>
      <w:r w:rsidR="00F64D96" w:rsidRPr="00496500">
        <w:rPr>
          <w:rFonts w:ascii="Times New Roman" w:hAnsi="Times New Roman" w:cs="Times New Roman"/>
          <w:sz w:val="24"/>
          <w:szCs w:val="24"/>
        </w:rPr>
        <w:t xml:space="preserve"> От ключово значение за цифровизацията на българската икономика и обществените услуги са инвестициите за въвеждане на 5G мобилни мрежи в страната.</w:t>
      </w:r>
    </w:p>
    <w:p w14:paraId="3F3A2F3F" w14:textId="77777777" w:rsidR="00DC42DF" w:rsidRPr="00496500" w:rsidRDefault="00591396" w:rsidP="002B7E22">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 xml:space="preserve">С изменението и допълнението на законовата уредба </w:t>
      </w:r>
      <w:r w:rsidR="0069438C" w:rsidRPr="00496500">
        <w:rPr>
          <w:rFonts w:ascii="Times New Roman" w:hAnsi="Times New Roman" w:cs="Times New Roman"/>
          <w:sz w:val="24"/>
          <w:szCs w:val="24"/>
        </w:rPr>
        <w:t>са създадени</w:t>
      </w:r>
      <w:r w:rsidRPr="00496500">
        <w:rPr>
          <w:rFonts w:ascii="Times New Roman" w:hAnsi="Times New Roman" w:cs="Times New Roman"/>
          <w:sz w:val="24"/>
          <w:szCs w:val="24"/>
        </w:rPr>
        <w:t xml:space="preserve"> облекчени условия за надграждане на базовите станции и </w:t>
      </w:r>
      <w:r w:rsidR="00DC42DF" w:rsidRPr="00496500">
        <w:rPr>
          <w:rFonts w:ascii="Times New Roman" w:hAnsi="Times New Roman" w:cs="Times New Roman"/>
          <w:sz w:val="24"/>
          <w:szCs w:val="24"/>
        </w:rPr>
        <w:t>се насърчават</w:t>
      </w:r>
      <w:r w:rsidRPr="00496500">
        <w:rPr>
          <w:rFonts w:ascii="Times New Roman" w:hAnsi="Times New Roman" w:cs="Times New Roman"/>
          <w:sz w:val="24"/>
          <w:szCs w:val="24"/>
        </w:rPr>
        <w:t xml:space="preserve"> инвестициите на предприятията за изграждане на 5G мрежи и предоставяне на иновативни услуги.</w:t>
      </w:r>
    </w:p>
    <w:p w14:paraId="363354E3" w14:textId="0C513EDC" w:rsidR="00DC42DF" w:rsidRPr="004626F0" w:rsidRDefault="00DC42DF" w:rsidP="00DC42DF">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Съгласно доклада за напредъка на България по програма Цифрово десетилетие 2025</w:t>
      </w:r>
      <w:r w:rsidR="00F64D96" w:rsidRPr="00496500">
        <w:rPr>
          <w:rFonts w:ascii="Times New Roman" w:hAnsi="Times New Roman" w:cs="Times New Roman"/>
          <w:sz w:val="24"/>
          <w:szCs w:val="24"/>
        </w:rPr>
        <w:t> </w:t>
      </w:r>
      <w:r w:rsidRPr="00496500">
        <w:rPr>
          <w:rFonts w:ascii="Times New Roman" w:hAnsi="Times New Roman" w:cs="Times New Roman"/>
          <w:sz w:val="24"/>
          <w:szCs w:val="24"/>
        </w:rPr>
        <w:t>г. цифровата инфраструктура на страната показва смесено представяне в сравнение със средното за ЕС</w:t>
      </w:r>
      <w:r w:rsidR="00DF4B7C">
        <w:rPr>
          <w:rFonts w:ascii="Times New Roman" w:hAnsi="Times New Roman" w:cs="Times New Roman"/>
          <w:sz w:val="24"/>
          <w:szCs w:val="24"/>
        </w:rPr>
        <w:t xml:space="preserve"> </w:t>
      </w:r>
      <w:r w:rsidR="00DF4B7C" w:rsidRPr="00496500">
        <w:rPr>
          <w:rFonts w:ascii="Times New Roman" w:hAnsi="Times New Roman" w:cs="Times New Roman"/>
          <w:sz w:val="24"/>
          <w:szCs w:val="24"/>
        </w:rPr>
        <w:t xml:space="preserve">(Таблица </w:t>
      </w:r>
      <w:r w:rsidR="004832FB">
        <w:rPr>
          <w:rFonts w:ascii="Times New Roman" w:hAnsi="Times New Roman" w:cs="Times New Roman"/>
          <w:sz w:val="24"/>
          <w:szCs w:val="24"/>
        </w:rPr>
        <w:t>1</w:t>
      </w:r>
      <w:r w:rsidR="00DF4B7C" w:rsidRPr="00496500">
        <w:rPr>
          <w:rFonts w:ascii="Times New Roman" w:hAnsi="Times New Roman" w:cs="Times New Roman"/>
          <w:sz w:val="24"/>
          <w:szCs w:val="24"/>
        </w:rPr>
        <w:t>)</w:t>
      </w:r>
      <w:r w:rsidRPr="00496500">
        <w:rPr>
          <w:rFonts w:ascii="Times New Roman" w:hAnsi="Times New Roman" w:cs="Times New Roman"/>
          <w:sz w:val="24"/>
          <w:szCs w:val="24"/>
        </w:rPr>
        <w:t xml:space="preserve">. </w:t>
      </w:r>
      <w:r w:rsidR="00F64D96" w:rsidRPr="00496500">
        <w:rPr>
          <w:rFonts w:ascii="Times New Roman" w:hAnsi="Times New Roman" w:cs="Times New Roman"/>
          <w:sz w:val="24"/>
          <w:szCs w:val="24"/>
        </w:rPr>
        <w:t xml:space="preserve">България се представя добре по отношение на разгръщането на инфраструктурата за свързаност, като изпреварва ЕС по отношение на разпределението на 5G спектъра и покритието на мрежи с много </w:t>
      </w:r>
      <w:r w:rsidR="00F64D96" w:rsidRPr="004626F0">
        <w:rPr>
          <w:rFonts w:ascii="Times New Roman" w:hAnsi="Times New Roman" w:cs="Times New Roman"/>
          <w:sz w:val="24"/>
          <w:szCs w:val="24"/>
        </w:rPr>
        <w:t>голям капацитет (ММГК) и оптичен кабел до помещенията (FTTP)</w:t>
      </w:r>
      <w:r w:rsidR="007D0DA2" w:rsidRPr="004626F0">
        <w:rPr>
          <w:rFonts w:ascii="Times New Roman" w:hAnsi="Times New Roman" w:cs="Times New Roman"/>
          <w:sz w:val="24"/>
          <w:szCs w:val="24"/>
        </w:rPr>
        <w:t>.</w:t>
      </w:r>
      <w:r w:rsidRPr="004626F0">
        <w:rPr>
          <w:rFonts w:ascii="Times New Roman" w:hAnsi="Times New Roman" w:cs="Times New Roman"/>
          <w:sz w:val="24"/>
          <w:szCs w:val="24"/>
        </w:rPr>
        <w:t xml:space="preserve"> В безжична широколентова 5G мрежа страната също напредва, но с известни изоставания спрямо средните нива в ЕС. С ускореното внедряване на гигабитова свързаност чрез фиксираните </w:t>
      </w:r>
      <w:r w:rsidR="00F64D96" w:rsidRPr="004626F0">
        <w:rPr>
          <w:rFonts w:ascii="Times New Roman" w:hAnsi="Times New Roman" w:cs="Times New Roman"/>
          <w:sz w:val="24"/>
          <w:szCs w:val="24"/>
        </w:rPr>
        <w:t>ММГК</w:t>
      </w:r>
      <w:r w:rsidRPr="004626F0">
        <w:rPr>
          <w:rFonts w:ascii="Times New Roman" w:hAnsi="Times New Roman" w:cs="Times New Roman"/>
          <w:sz w:val="24"/>
          <w:szCs w:val="24"/>
        </w:rPr>
        <w:t xml:space="preserve"> и FTTP мрежи, както и безжична широколентова 5G мрежа ще се осигури постигането на общоевропейската цел за 100% достигане на </w:t>
      </w:r>
      <w:r w:rsidRPr="004626F0">
        <w:rPr>
          <w:rFonts w:ascii="Times New Roman" w:hAnsi="Times New Roman" w:cs="Times New Roman"/>
          <w:sz w:val="24"/>
          <w:szCs w:val="24"/>
        </w:rPr>
        <w:lastRenderedPageBreak/>
        <w:t>гигабитовите мрежи до всички крайни ползватели на ЕС, по политическа програма „Цифрово десетилетие“. България е разпределила напълно 96,67% от своя хармонизиран спектър за 5G пионерни ленти, надвишавайки средноевропейската стойност от 74</w:t>
      </w:r>
      <w:r w:rsidR="007E2578">
        <w:rPr>
          <w:rFonts w:ascii="Times New Roman" w:hAnsi="Times New Roman" w:cs="Times New Roman"/>
          <w:sz w:val="24"/>
          <w:szCs w:val="24"/>
        </w:rPr>
        <w:t>,</w:t>
      </w:r>
      <w:r w:rsidRPr="004626F0">
        <w:rPr>
          <w:rFonts w:ascii="Times New Roman" w:hAnsi="Times New Roman" w:cs="Times New Roman"/>
          <w:sz w:val="24"/>
          <w:szCs w:val="24"/>
        </w:rPr>
        <w:t xml:space="preserve">63%. </w:t>
      </w:r>
    </w:p>
    <w:p w14:paraId="6A4C4980" w14:textId="77EC9F3D" w:rsidR="00DC42DF" w:rsidRPr="004626F0" w:rsidRDefault="00DC42DF" w:rsidP="00DC42DF">
      <w:pPr>
        <w:spacing w:after="120" w:line="240" w:lineRule="auto"/>
        <w:ind w:right="-2" w:firstLine="720"/>
        <w:jc w:val="both"/>
        <w:rPr>
          <w:rFonts w:ascii="Times New Roman" w:hAnsi="Times New Roman" w:cs="Times New Roman"/>
          <w:sz w:val="24"/>
          <w:szCs w:val="24"/>
        </w:rPr>
      </w:pPr>
      <w:r w:rsidRPr="004626F0">
        <w:rPr>
          <w:rFonts w:ascii="Times New Roman" w:hAnsi="Times New Roman" w:cs="Times New Roman"/>
          <w:sz w:val="24"/>
          <w:szCs w:val="24"/>
        </w:rPr>
        <w:t>Делът на 5G SIM карти в България е 14</w:t>
      </w:r>
      <w:r w:rsidR="007E2578">
        <w:rPr>
          <w:rFonts w:ascii="Times New Roman" w:hAnsi="Times New Roman" w:cs="Times New Roman"/>
          <w:sz w:val="24"/>
          <w:szCs w:val="24"/>
        </w:rPr>
        <w:t>,</w:t>
      </w:r>
      <w:r w:rsidRPr="004626F0">
        <w:rPr>
          <w:rFonts w:ascii="Times New Roman" w:hAnsi="Times New Roman" w:cs="Times New Roman"/>
          <w:sz w:val="24"/>
          <w:szCs w:val="24"/>
        </w:rPr>
        <w:t>53% през 2023 г. и 24</w:t>
      </w:r>
      <w:r w:rsidR="007E2578">
        <w:rPr>
          <w:rFonts w:ascii="Times New Roman" w:hAnsi="Times New Roman" w:cs="Times New Roman"/>
          <w:sz w:val="24"/>
          <w:szCs w:val="24"/>
        </w:rPr>
        <w:t>,</w:t>
      </w:r>
      <w:r w:rsidRPr="004626F0">
        <w:rPr>
          <w:rFonts w:ascii="Times New Roman" w:hAnsi="Times New Roman" w:cs="Times New Roman"/>
          <w:sz w:val="24"/>
          <w:szCs w:val="24"/>
        </w:rPr>
        <w:t>41% през 2024 г., като и двете са по-ниски от съответно 21</w:t>
      </w:r>
      <w:r w:rsidR="007E2578">
        <w:rPr>
          <w:rFonts w:ascii="Times New Roman" w:hAnsi="Times New Roman" w:cs="Times New Roman"/>
          <w:sz w:val="24"/>
          <w:szCs w:val="24"/>
        </w:rPr>
        <w:t>,</w:t>
      </w:r>
      <w:r w:rsidRPr="004626F0">
        <w:rPr>
          <w:rFonts w:ascii="Times New Roman" w:hAnsi="Times New Roman" w:cs="Times New Roman"/>
          <w:sz w:val="24"/>
          <w:szCs w:val="24"/>
        </w:rPr>
        <w:t>7% и 35</w:t>
      </w:r>
      <w:r w:rsidR="007E2578">
        <w:rPr>
          <w:rFonts w:ascii="Times New Roman" w:hAnsi="Times New Roman" w:cs="Times New Roman"/>
          <w:sz w:val="24"/>
          <w:szCs w:val="24"/>
        </w:rPr>
        <w:t>,</w:t>
      </w:r>
      <w:r w:rsidRPr="004626F0">
        <w:rPr>
          <w:rFonts w:ascii="Times New Roman" w:hAnsi="Times New Roman" w:cs="Times New Roman"/>
          <w:sz w:val="24"/>
          <w:szCs w:val="24"/>
        </w:rPr>
        <w:t>56% в ЕС. Темпът на растеж на България от 68</w:t>
      </w:r>
      <w:r w:rsidR="007E2578">
        <w:rPr>
          <w:rFonts w:ascii="Times New Roman" w:hAnsi="Times New Roman" w:cs="Times New Roman"/>
          <w:sz w:val="24"/>
          <w:szCs w:val="24"/>
        </w:rPr>
        <w:t>,</w:t>
      </w:r>
      <w:r w:rsidRPr="004626F0">
        <w:rPr>
          <w:rFonts w:ascii="Times New Roman" w:hAnsi="Times New Roman" w:cs="Times New Roman"/>
          <w:sz w:val="24"/>
          <w:szCs w:val="24"/>
        </w:rPr>
        <w:t xml:space="preserve">0% надвишава </w:t>
      </w:r>
      <w:r w:rsidR="00E14DDF">
        <w:rPr>
          <w:rFonts w:ascii="Times New Roman" w:hAnsi="Times New Roman" w:cs="Times New Roman"/>
          <w:sz w:val="24"/>
          <w:szCs w:val="24"/>
        </w:rPr>
        <w:t xml:space="preserve">този </w:t>
      </w:r>
      <w:r w:rsidRPr="004626F0">
        <w:rPr>
          <w:rFonts w:ascii="Times New Roman" w:hAnsi="Times New Roman" w:cs="Times New Roman"/>
          <w:sz w:val="24"/>
          <w:szCs w:val="24"/>
        </w:rPr>
        <w:t>в ЕС</w:t>
      </w:r>
      <w:r w:rsidR="00E14DDF">
        <w:rPr>
          <w:rFonts w:ascii="Times New Roman" w:hAnsi="Times New Roman" w:cs="Times New Roman"/>
          <w:sz w:val="24"/>
          <w:szCs w:val="24"/>
        </w:rPr>
        <w:t xml:space="preserve"> (63,9%)</w:t>
      </w:r>
      <w:r w:rsidRPr="004626F0">
        <w:rPr>
          <w:rFonts w:ascii="Times New Roman" w:hAnsi="Times New Roman" w:cs="Times New Roman"/>
          <w:sz w:val="24"/>
          <w:szCs w:val="24"/>
        </w:rPr>
        <w:t>.</w:t>
      </w:r>
    </w:p>
    <w:p w14:paraId="0BACA6D1" w14:textId="25B27B0E" w:rsidR="00DC42DF" w:rsidRDefault="00DC42DF" w:rsidP="00DC42DF">
      <w:pPr>
        <w:spacing w:after="120" w:line="240" w:lineRule="auto"/>
        <w:ind w:right="-2" w:firstLine="720"/>
        <w:jc w:val="both"/>
        <w:rPr>
          <w:rFonts w:ascii="Times New Roman" w:hAnsi="Times New Roman" w:cs="Times New Roman"/>
          <w:sz w:val="24"/>
          <w:szCs w:val="24"/>
        </w:rPr>
      </w:pPr>
      <w:r w:rsidRPr="004626F0">
        <w:rPr>
          <w:rFonts w:ascii="Times New Roman" w:hAnsi="Times New Roman" w:cs="Times New Roman"/>
          <w:sz w:val="24"/>
          <w:szCs w:val="24"/>
        </w:rPr>
        <w:t>България постигна много добър напредък по отношение на фиксираната широколентова свързаност</w:t>
      </w:r>
      <w:r w:rsidR="006439F8" w:rsidRPr="004626F0">
        <w:rPr>
          <w:rFonts w:ascii="Times New Roman" w:hAnsi="Times New Roman" w:cs="Times New Roman"/>
          <w:sz w:val="24"/>
          <w:szCs w:val="24"/>
        </w:rPr>
        <w:t xml:space="preserve"> (Таблица 2)</w:t>
      </w:r>
      <w:r w:rsidRPr="004626F0">
        <w:rPr>
          <w:rFonts w:ascii="Times New Roman" w:hAnsi="Times New Roman" w:cs="Times New Roman"/>
          <w:sz w:val="24"/>
          <w:szCs w:val="24"/>
        </w:rPr>
        <w:t>, което е силен положителен фактор в посока териториална кохезия. Като се има предвид напредъкът</w:t>
      </w:r>
      <w:r w:rsidR="006439F8" w:rsidRPr="004626F0">
        <w:rPr>
          <w:rFonts w:ascii="Times New Roman" w:hAnsi="Times New Roman" w:cs="Times New Roman"/>
          <w:sz w:val="24"/>
          <w:szCs w:val="24"/>
        </w:rPr>
        <w:t xml:space="preserve"> (за 2024 г. 90</w:t>
      </w:r>
      <w:r w:rsidR="007A7C99">
        <w:rPr>
          <w:rFonts w:ascii="Times New Roman" w:hAnsi="Times New Roman" w:cs="Times New Roman"/>
          <w:sz w:val="24"/>
          <w:szCs w:val="24"/>
        </w:rPr>
        <w:t>,</w:t>
      </w:r>
      <w:r w:rsidR="006439F8" w:rsidRPr="004626F0">
        <w:rPr>
          <w:rFonts w:ascii="Times New Roman" w:hAnsi="Times New Roman" w:cs="Times New Roman"/>
          <w:sz w:val="24"/>
          <w:szCs w:val="24"/>
        </w:rPr>
        <w:t xml:space="preserve">36% покритие на </w:t>
      </w:r>
      <w:r w:rsidR="00F64D96" w:rsidRPr="004626F0">
        <w:rPr>
          <w:rFonts w:ascii="Times New Roman" w:hAnsi="Times New Roman" w:cs="Times New Roman"/>
          <w:sz w:val="24"/>
          <w:szCs w:val="24"/>
        </w:rPr>
        <w:t>ММГК</w:t>
      </w:r>
      <w:r w:rsidR="006439F8" w:rsidRPr="004626F0">
        <w:rPr>
          <w:rFonts w:ascii="Times New Roman" w:hAnsi="Times New Roman" w:cs="Times New Roman"/>
          <w:sz w:val="24"/>
          <w:szCs w:val="24"/>
        </w:rPr>
        <w:t xml:space="preserve"> и FTTP на мрежите и напредък от 9% спрямо 2023 г.)</w:t>
      </w:r>
      <w:r w:rsidRPr="004626F0">
        <w:rPr>
          <w:rFonts w:ascii="Times New Roman" w:hAnsi="Times New Roman" w:cs="Times New Roman"/>
          <w:sz w:val="24"/>
          <w:szCs w:val="24"/>
        </w:rPr>
        <w:t>, изглежда реалистично, че България ще постигне</w:t>
      </w:r>
      <w:r w:rsidR="006439F8" w:rsidRPr="004626F0">
        <w:rPr>
          <w:rFonts w:ascii="Times New Roman" w:hAnsi="Times New Roman" w:cs="Times New Roman"/>
          <w:sz w:val="24"/>
          <w:szCs w:val="24"/>
        </w:rPr>
        <w:t>, дори предсрочно,</w:t>
      </w:r>
      <w:r w:rsidRPr="004626F0">
        <w:rPr>
          <w:rFonts w:ascii="Times New Roman" w:hAnsi="Times New Roman" w:cs="Times New Roman"/>
          <w:sz w:val="24"/>
          <w:szCs w:val="24"/>
        </w:rPr>
        <w:t xml:space="preserve"> националната си цел от почти 100% </w:t>
      </w:r>
      <w:r w:rsidR="00F64D96" w:rsidRPr="004626F0">
        <w:rPr>
          <w:rFonts w:ascii="Times New Roman" w:hAnsi="Times New Roman" w:cs="Times New Roman"/>
          <w:sz w:val="24"/>
          <w:szCs w:val="24"/>
        </w:rPr>
        <w:t>ММГК</w:t>
      </w:r>
      <w:r w:rsidRPr="004626F0">
        <w:rPr>
          <w:rFonts w:ascii="Times New Roman" w:hAnsi="Times New Roman" w:cs="Times New Roman"/>
          <w:sz w:val="24"/>
          <w:szCs w:val="24"/>
        </w:rPr>
        <w:t xml:space="preserve"> и FTTP покритие</w:t>
      </w:r>
      <w:r w:rsidR="006439F8" w:rsidRPr="004626F0">
        <w:rPr>
          <w:rFonts w:ascii="Times New Roman" w:hAnsi="Times New Roman" w:cs="Times New Roman"/>
          <w:sz w:val="24"/>
          <w:szCs w:val="24"/>
        </w:rPr>
        <w:t xml:space="preserve"> към 2030 г</w:t>
      </w:r>
      <w:r w:rsidR="00A956AC" w:rsidRPr="004626F0">
        <w:rPr>
          <w:rFonts w:ascii="Times New Roman" w:hAnsi="Times New Roman" w:cs="Times New Roman"/>
          <w:sz w:val="24"/>
          <w:szCs w:val="24"/>
        </w:rPr>
        <w:t>одина</w:t>
      </w:r>
      <w:r w:rsidR="006439F8" w:rsidRPr="004626F0">
        <w:rPr>
          <w:rFonts w:ascii="Times New Roman" w:hAnsi="Times New Roman" w:cs="Times New Roman"/>
          <w:sz w:val="24"/>
          <w:szCs w:val="24"/>
        </w:rPr>
        <w:t>. Същевременно в страната е постигнато 81</w:t>
      </w:r>
      <w:r w:rsidR="007A7C99">
        <w:rPr>
          <w:rFonts w:ascii="Times New Roman" w:hAnsi="Times New Roman" w:cs="Times New Roman"/>
          <w:sz w:val="24"/>
          <w:szCs w:val="24"/>
        </w:rPr>
        <w:t>,</w:t>
      </w:r>
      <w:r w:rsidR="006439F8" w:rsidRPr="004626F0">
        <w:rPr>
          <w:rFonts w:ascii="Times New Roman" w:hAnsi="Times New Roman" w:cs="Times New Roman"/>
          <w:sz w:val="24"/>
          <w:szCs w:val="24"/>
        </w:rPr>
        <w:t>33% 5G</w:t>
      </w:r>
      <w:r w:rsidR="006439F8" w:rsidRPr="00496500">
        <w:rPr>
          <w:rFonts w:ascii="Times New Roman" w:hAnsi="Times New Roman" w:cs="Times New Roman"/>
          <w:sz w:val="24"/>
          <w:szCs w:val="24"/>
        </w:rPr>
        <w:t xml:space="preserve"> покритие, с национална цел от 100% до 2030 г</w:t>
      </w:r>
      <w:r w:rsidR="00A956AC" w:rsidRPr="00496500">
        <w:rPr>
          <w:rFonts w:ascii="Times New Roman" w:hAnsi="Times New Roman" w:cs="Times New Roman"/>
          <w:sz w:val="24"/>
          <w:szCs w:val="24"/>
        </w:rPr>
        <w:t>одина</w:t>
      </w:r>
      <w:r w:rsidR="006439F8" w:rsidRPr="00496500">
        <w:rPr>
          <w:rFonts w:ascii="Times New Roman" w:hAnsi="Times New Roman" w:cs="Times New Roman"/>
          <w:sz w:val="24"/>
          <w:szCs w:val="24"/>
        </w:rPr>
        <w:t>. В слабо населите райони обаче се наблюдава значително изоставане от 38</w:t>
      </w:r>
      <w:r w:rsidR="007A7C99">
        <w:rPr>
          <w:rFonts w:ascii="Times New Roman" w:hAnsi="Times New Roman" w:cs="Times New Roman"/>
          <w:sz w:val="24"/>
          <w:szCs w:val="24"/>
        </w:rPr>
        <w:t>,</w:t>
      </w:r>
      <w:r w:rsidR="006439F8" w:rsidRPr="00496500">
        <w:rPr>
          <w:rFonts w:ascii="Times New Roman" w:hAnsi="Times New Roman" w:cs="Times New Roman"/>
          <w:sz w:val="24"/>
          <w:szCs w:val="24"/>
        </w:rPr>
        <w:t>25% 5G покритие при средно за ЕС от 79</w:t>
      </w:r>
      <w:r w:rsidR="007A7C99">
        <w:rPr>
          <w:rFonts w:ascii="Times New Roman" w:hAnsi="Times New Roman" w:cs="Times New Roman"/>
          <w:sz w:val="24"/>
          <w:szCs w:val="24"/>
        </w:rPr>
        <w:t>,</w:t>
      </w:r>
      <w:r w:rsidR="006439F8" w:rsidRPr="00496500">
        <w:rPr>
          <w:rFonts w:ascii="Times New Roman" w:hAnsi="Times New Roman" w:cs="Times New Roman"/>
          <w:sz w:val="24"/>
          <w:szCs w:val="24"/>
        </w:rPr>
        <w:t>57%.</w:t>
      </w:r>
    </w:p>
    <w:p w14:paraId="4B952CF1" w14:textId="585EF592" w:rsidR="00AA6111" w:rsidRPr="006D7474" w:rsidRDefault="00AA6111" w:rsidP="006D7474">
      <w:pPr>
        <w:pStyle w:val="Caption"/>
        <w:spacing w:before="120" w:line="278" w:lineRule="auto"/>
        <w:rPr>
          <w:rFonts w:cs="Times New Roman"/>
          <w:sz w:val="20"/>
          <w:szCs w:val="20"/>
        </w:rPr>
      </w:pPr>
      <w:bookmarkStart w:id="6" w:name="_Toc209079340"/>
      <w:r w:rsidRPr="00496500">
        <w:rPr>
          <w:rFonts w:cs="Times New Roman"/>
          <w:sz w:val="20"/>
          <w:szCs w:val="20"/>
        </w:rPr>
        <w:t xml:space="preserve">Таблица </w:t>
      </w:r>
      <w:r w:rsidRPr="00496500">
        <w:rPr>
          <w:rFonts w:cs="Times New Roman"/>
          <w:sz w:val="20"/>
          <w:szCs w:val="20"/>
        </w:rPr>
        <w:fldChar w:fldCharType="begin"/>
      </w:r>
      <w:r w:rsidRPr="00496500">
        <w:rPr>
          <w:rFonts w:cs="Times New Roman"/>
          <w:sz w:val="20"/>
          <w:szCs w:val="20"/>
        </w:rPr>
        <w:instrText xml:space="preserve"> SEQ Таблица \* ARABIC </w:instrText>
      </w:r>
      <w:r w:rsidRPr="00496500">
        <w:rPr>
          <w:rFonts w:cs="Times New Roman"/>
          <w:sz w:val="20"/>
          <w:szCs w:val="20"/>
        </w:rPr>
        <w:fldChar w:fldCharType="separate"/>
      </w:r>
      <w:r w:rsidRPr="00496500">
        <w:rPr>
          <w:rFonts w:cs="Times New Roman"/>
          <w:sz w:val="20"/>
          <w:szCs w:val="20"/>
        </w:rPr>
        <w:t>2</w:t>
      </w:r>
      <w:r w:rsidRPr="00496500">
        <w:rPr>
          <w:rFonts w:cs="Times New Roman"/>
          <w:sz w:val="20"/>
          <w:szCs w:val="20"/>
        </w:rPr>
        <w:fldChar w:fldCharType="end"/>
      </w:r>
      <w:r w:rsidRPr="006D7474">
        <w:rPr>
          <w:rFonts w:cs="Times New Roman"/>
          <w:sz w:val="20"/>
          <w:szCs w:val="20"/>
        </w:rPr>
        <w:t xml:space="preserve"> Показатели по отношение на цифровата инфраструктура</w:t>
      </w:r>
      <w:bookmarkEnd w:id="6"/>
    </w:p>
    <w:tbl>
      <w:tblPr>
        <w:tblW w:w="9351"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left w:w="70" w:type="dxa"/>
          <w:right w:w="70" w:type="dxa"/>
        </w:tblCellMar>
        <w:tblLook w:val="04A0" w:firstRow="1" w:lastRow="0" w:firstColumn="1" w:lastColumn="0" w:noHBand="0" w:noVBand="1"/>
      </w:tblPr>
      <w:tblGrid>
        <w:gridCol w:w="3534"/>
        <w:gridCol w:w="1276"/>
        <w:gridCol w:w="1417"/>
        <w:gridCol w:w="993"/>
        <w:gridCol w:w="1069"/>
        <w:gridCol w:w="1062"/>
      </w:tblGrid>
      <w:tr w:rsidR="006439F8" w:rsidRPr="0061613B" w14:paraId="4149D6AC" w14:textId="77777777" w:rsidTr="00F84500">
        <w:trPr>
          <w:trHeight w:val="360"/>
        </w:trPr>
        <w:tc>
          <w:tcPr>
            <w:tcW w:w="3534" w:type="dxa"/>
            <w:vMerge w:val="restart"/>
            <w:shd w:val="clear" w:color="auto" w:fill="FFF2CC" w:themeFill="accent4" w:themeFillTint="33"/>
            <w:noWrap/>
            <w:vAlign w:val="center"/>
            <w:hideMark/>
          </w:tcPr>
          <w:p w14:paraId="7988684E" w14:textId="77777777" w:rsidR="006439F8" w:rsidRPr="0061613B" w:rsidRDefault="006439F8" w:rsidP="00F84500">
            <w:pPr>
              <w:spacing w:after="120" w:line="240" w:lineRule="auto"/>
              <w:ind w:right="-2"/>
              <w:jc w:val="center"/>
              <w:rPr>
                <w:rFonts w:ascii="Times New Roman" w:eastAsia="Times New Roman" w:hAnsi="Times New Roman" w:cs="Times New Roman"/>
                <w:b/>
                <w:bCs/>
                <w:color w:val="000000"/>
                <w:lang w:eastAsia="bg-BG"/>
              </w:rPr>
            </w:pPr>
          </w:p>
        </w:tc>
        <w:tc>
          <w:tcPr>
            <w:tcW w:w="2693" w:type="dxa"/>
            <w:gridSpan w:val="2"/>
            <w:shd w:val="clear" w:color="auto" w:fill="FFF2CC" w:themeFill="accent4" w:themeFillTint="33"/>
            <w:vAlign w:val="center"/>
          </w:tcPr>
          <w:p w14:paraId="01166403"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България</w:t>
            </w:r>
          </w:p>
        </w:tc>
        <w:tc>
          <w:tcPr>
            <w:tcW w:w="993" w:type="dxa"/>
            <w:shd w:val="clear" w:color="auto" w:fill="FFF2CC" w:themeFill="accent4" w:themeFillTint="33"/>
            <w:noWrap/>
            <w:vAlign w:val="center"/>
            <w:hideMark/>
          </w:tcPr>
          <w:p w14:paraId="53077B50"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Цел БГ</w:t>
            </w:r>
          </w:p>
        </w:tc>
        <w:tc>
          <w:tcPr>
            <w:tcW w:w="1069" w:type="dxa"/>
            <w:shd w:val="clear" w:color="auto" w:fill="FFF2CC" w:themeFill="accent4" w:themeFillTint="33"/>
            <w:vAlign w:val="center"/>
          </w:tcPr>
          <w:p w14:paraId="61129D0E"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ЕС</w:t>
            </w:r>
          </w:p>
        </w:tc>
        <w:tc>
          <w:tcPr>
            <w:tcW w:w="1062" w:type="dxa"/>
            <w:shd w:val="clear" w:color="auto" w:fill="FFF2CC" w:themeFill="accent4" w:themeFillTint="33"/>
            <w:vAlign w:val="center"/>
          </w:tcPr>
          <w:p w14:paraId="22200418"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Цел ЕС</w:t>
            </w:r>
          </w:p>
        </w:tc>
      </w:tr>
      <w:tr w:rsidR="006439F8" w:rsidRPr="0061613B" w14:paraId="08AB0471" w14:textId="77777777" w:rsidTr="00F84500">
        <w:trPr>
          <w:trHeight w:val="315"/>
        </w:trPr>
        <w:tc>
          <w:tcPr>
            <w:tcW w:w="3534" w:type="dxa"/>
            <w:vMerge/>
            <w:shd w:val="clear" w:color="auto" w:fill="FFF2CC" w:themeFill="accent4" w:themeFillTint="33"/>
            <w:noWrap/>
            <w:vAlign w:val="center"/>
            <w:hideMark/>
          </w:tcPr>
          <w:p w14:paraId="48BD690A" w14:textId="77777777" w:rsidR="006439F8" w:rsidRPr="0061613B" w:rsidRDefault="006439F8" w:rsidP="00F84500">
            <w:pPr>
              <w:spacing w:after="120" w:line="240" w:lineRule="auto"/>
              <w:ind w:right="-2"/>
              <w:jc w:val="center"/>
              <w:rPr>
                <w:rFonts w:ascii="Times New Roman" w:eastAsia="Times New Roman" w:hAnsi="Times New Roman" w:cs="Times New Roman"/>
                <w:b/>
                <w:bCs/>
                <w:color w:val="000000"/>
                <w:lang w:eastAsia="bg-BG"/>
              </w:rPr>
            </w:pPr>
          </w:p>
        </w:tc>
        <w:tc>
          <w:tcPr>
            <w:tcW w:w="1276" w:type="dxa"/>
            <w:shd w:val="clear" w:color="auto" w:fill="FFF2CC" w:themeFill="accent4" w:themeFillTint="33"/>
            <w:noWrap/>
            <w:vAlign w:val="center"/>
            <w:hideMark/>
          </w:tcPr>
          <w:p w14:paraId="25737555" w14:textId="77777777" w:rsidR="006439F8" w:rsidRPr="0061613B" w:rsidRDefault="006439F8" w:rsidP="00F84500">
            <w:pPr>
              <w:spacing w:after="0" w:line="240" w:lineRule="auto"/>
              <w:ind w:right="-2"/>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2023 г.</w:t>
            </w:r>
          </w:p>
        </w:tc>
        <w:tc>
          <w:tcPr>
            <w:tcW w:w="1417" w:type="dxa"/>
            <w:shd w:val="clear" w:color="auto" w:fill="FFF2CC" w:themeFill="accent4" w:themeFillTint="33"/>
            <w:noWrap/>
            <w:vAlign w:val="center"/>
            <w:hideMark/>
          </w:tcPr>
          <w:p w14:paraId="59690968"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2024 г.</w:t>
            </w:r>
          </w:p>
        </w:tc>
        <w:tc>
          <w:tcPr>
            <w:tcW w:w="993" w:type="dxa"/>
            <w:shd w:val="clear" w:color="auto" w:fill="FFF2CC" w:themeFill="accent4" w:themeFillTint="33"/>
            <w:noWrap/>
            <w:vAlign w:val="center"/>
          </w:tcPr>
          <w:p w14:paraId="2D9AB838"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2030</w:t>
            </w:r>
          </w:p>
        </w:tc>
        <w:tc>
          <w:tcPr>
            <w:tcW w:w="1069" w:type="dxa"/>
            <w:shd w:val="clear" w:color="auto" w:fill="FFF2CC" w:themeFill="accent4" w:themeFillTint="33"/>
            <w:vAlign w:val="center"/>
          </w:tcPr>
          <w:p w14:paraId="239A033A"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2024 г.</w:t>
            </w:r>
          </w:p>
        </w:tc>
        <w:tc>
          <w:tcPr>
            <w:tcW w:w="1062" w:type="dxa"/>
            <w:shd w:val="clear" w:color="auto" w:fill="FFF2CC" w:themeFill="accent4" w:themeFillTint="33"/>
            <w:vAlign w:val="center"/>
          </w:tcPr>
          <w:p w14:paraId="667A9B77" w14:textId="77777777" w:rsidR="006439F8" w:rsidRPr="0061613B" w:rsidRDefault="006439F8" w:rsidP="00F84500">
            <w:pPr>
              <w:spacing w:after="0" w:line="240" w:lineRule="auto"/>
              <w:jc w:val="center"/>
              <w:rPr>
                <w:rFonts w:ascii="Times New Roman" w:eastAsia="Times New Roman" w:hAnsi="Times New Roman" w:cs="Times New Roman"/>
                <w:b/>
                <w:bCs/>
                <w:color w:val="000000"/>
                <w:lang w:eastAsia="bg-BG"/>
              </w:rPr>
            </w:pPr>
            <w:r w:rsidRPr="0061613B">
              <w:rPr>
                <w:rFonts w:ascii="Times New Roman" w:eastAsia="Times New Roman" w:hAnsi="Times New Roman" w:cs="Times New Roman"/>
                <w:b/>
                <w:bCs/>
                <w:color w:val="000000"/>
                <w:lang w:eastAsia="bg-BG"/>
              </w:rPr>
              <w:t>2030</w:t>
            </w:r>
          </w:p>
        </w:tc>
      </w:tr>
      <w:tr w:rsidR="006439F8" w:rsidRPr="0061613B" w14:paraId="2B92FD59" w14:textId="77777777" w:rsidTr="00F84500">
        <w:trPr>
          <w:trHeight w:val="915"/>
        </w:trPr>
        <w:tc>
          <w:tcPr>
            <w:tcW w:w="3534" w:type="dxa"/>
            <w:shd w:val="clear" w:color="auto" w:fill="E2EFD9" w:themeFill="accent6" w:themeFillTint="33"/>
            <w:vAlign w:val="center"/>
            <w:hideMark/>
          </w:tcPr>
          <w:p w14:paraId="23D61F38" w14:textId="77777777" w:rsidR="006439F8" w:rsidRPr="0061613B" w:rsidRDefault="006439F8" w:rsidP="00F84500">
            <w:pPr>
              <w:spacing w:after="120" w:line="240" w:lineRule="auto"/>
              <w:ind w:right="-2"/>
              <w:rPr>
                <w:rFonts w:ascii="Times New Roman" w:eastAsia="Times New Roman" w:hAnsi="Times New Roman" w:cs="Times New Roman"/>
                <w:bCs/>
                <w:color w:val="000000"/>
                <w:lang w:eastAsia="bg-BG"/>
              </w:rPr>
            </w:pPr>
            <w:r w:rsidRPr="0061613B">
              <w:rPr>
                <w:rFonts w:ascii="Times New Roman" w:eastAsia="Times New Roman" w:hAnsi="Times New Roman" w:cs="Times New Roman"/>
                <w:bCs/>
                <w:color w:val="000000"/>
                <w:lang w:eastAsia="bg-BG"/>
              </w:rPr>
              <w:t>Фиксирани мрежи с много голям капацитет (VHCN), % по домакинства</w:t>
            </w:r>
          </w:p>
        </w:tc>
        <w:tc>
          <w:tcPr>
            <w:tcW w:w="1276" w:type="dxa"/>
            <w:noWrap/>
            <w:vAlign w:val="center"/>
            <w:hideMark/>
          </w:tcPr>
          <w:p w14:paraId="68787BB6" w14:textId="30F0D81E"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88</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60%</w:t>
            </w:r>
          </w:p>
        </w:tc>
        <w:tc>
          <w:tcPr>
            <w:tcW w:w="1417" w:type="dxa"/>
            <w:noWrap/>
            <w:vAlign w:val="center"/>
            <w:hideMark/>
          </w:tcPr>
          <w:p w14:paraId="712EE32F" w14:textId="229FBBE9"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90</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40%</w:t>
            </w:r>
          </w:p>
        </w:tc>
        <w:tc>
          <w:tcPr>
            <w:tcW w:w="993" w:type="dxa"/>
            <w:noWrap/>
            <w:vAlign w:val="center"/>
          </w:tcPr>
          <w:p w14:paraId="2ECE7BC2"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c>
          <w:tcPr>
            <w:tcW w:w="1069" w:type="dxa"/>
            <w:vAlign w:val="center"/>
          </w:tcPr>
          <w:p w14:paraId="426E9AB7" w14:textId="64F89848"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82</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50%</w:t>
            </w:r>
          </w:p>
        </w:tc>
        <w:tc>
          <w:tcPr>
            <w:tcW w:w="1062" w:type="dxa"/>
            <w:vAlign w:val="center"/>
          </w:tcPr>
          <w:p w14:paraId="28324522"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r>
      <w:tr w:rsidR="006439F8" w:rsidRPr="0061613B" w14:paraId="4BFE292F" w14:textId="77777777" w:rsidTr="00F84500">
        <w:trPr>
          <w:trHeight w:val="600"/>
        </w:trPr>
        <w:tc>
          <w:tcPr>
            <w:tcW w:w="3534" w:type="dxa"/>
            <w:shd w:val="clear" w:color="auto" w:fill="E2EFD9" w:themeFill="accent6" w:themeFillTint="33"/>
            <w:vAlign w:val="center"/>
            <w:hideMark/>
          </w:tcPr>
          <w:p w14:paraId="410E0A8F" w14:textId="77777777" w:rsidR="006439F8" w:rsidRPr="0061613B" w:rsidRDefault="006439F8" w:rsidP="00F84500">
            <w:pPr>
              <w:spacing w:after="120" w:line="240" w:lineRule="auto"/>
              <w:ind w:right="-2"/>
              <w:rPr>
                <w:rFonts w:ascii="Times New Roman" w:eastAsia="Times New Roman" w:hAnsi="Times New Roman" w:cs="Times New Roman"/>
                <w:bCs/>
                <w:color w:val="000000"/>
                <w:lang w:eastAsia="bg-BG"/>
              </w:rPr>
            </w:pPr>
            <w:r w:rsidRPr="0061613B">
              <w:rPr>
                <w:rFonts w:ascii="Times New Roman" w:eastAsia="Times New Roman" w:hAnsi="Times New Roman" w:cs="Times New Roman"/>
                <w:bCs/>
                <w:color w:val="000000"/>
                <w:lang w:eastAsia="bg-BG"/>
              </w:rPr>
              <w:t>Оптични мрежи (FTTP), % по домакинства</w:t>
            </w:r>
          </w:p>
        </w:tc>
        <w:tc>
          <w:tcPr>
            <w:tcW w:w="1276" w:type="dxa"/>
            <w:noWrap/>
            <w:vAlign w:val="center"/>
            <w:hideMark/>
          </w:tcPr>
          <w:p w14:paraId="52B7F7E0" w14:textId="2FF6FCAA"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88</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60%</w:t>
            </w:r>
          </w:p>
        </w:tc>
        <w:tc>
          <w:tcPr>
            <w:tcW w:w="1417" w:type="dxa"/>
            <w:noWrap/>
            <w:vAlign w:val="center"/>
            <w:hideMark/>
          </w:tcPr>
          <w:p w14:paraId="76AD23BD" w14:textId="3147DEEC"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90</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40%</w:t>
            </w:r>
          </w:p>
        </w:tc>
        <w:tc>
          <w:tcPr>
            <w:tcW w:w="993" w:type="dxa"/>
            <w:noWrap/>
            <w:vAlign w:val="center"/>
            <w:hideMark/>
          </w:tcPr>
          <w:p w14:paraId="6B4101EB"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c>
          <w:tcPr>
            <w:tcW w:w="1069" w:type="dxa"/>
            <w:vAlign w:val="center"/>
          </w:tcPr>
          <w:p w14:paraId="37F382BE" w14:textId="2D3FE36B"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69</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20%</w:t>
            </w:r>
          </w:p>
        </w:tc>
        <w:tc>
          <w:tcPr>
            <w:tcW w:w="1062" w:type="dxa"/>
            <w:vAlign w:val="center"/>
          </w:tcPr>
          <w:p w14:paraId="13EB7BEF"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r>
      <w:tr w:rsidR="006439F8" w:rsidRPr="0061613B" w14:paraId="7B1CA3D7" w14:textId="77777777" w:rsidTr="00F84500">
        <w:trPr>
          <w:trHeight w:val="518"/>
        </w:trPr>
        <w:tc>
          <w:tcPr>
            <w:tcW w:w="3534" w:type="dxa"/>
            <w:shd w:val="clear" w:color="auto" w:fill="E2EFD9" w:themeFill="accent6" w:themeFillTint="33"/>
            <w:vAlign w:val="center"/>
          </w:tcPr>
          <w:p w14:paraId="707ED41A" w14:textId="77777777" w:rsidR="006439F8" w:rsidRPr="0061613B" w:rsidRDefault="006439F8" w:rsidP="00F84500">
            <w:pPr>
              <w:spacing w:after="120" w:line="240" w:lineRule="auto"/>
              <w:ind w:right="-2"/>
              <w:rPr>
                <w:rFonts w:ascii="Times New Roman" w:eastAsia="Times New Roman" w:hAnsi="Times New Roman" w:cs="Times New Roman"/>
                <w:bCs/>
                <w:color w:val="000000"/>
                <w:lang w:eastAsia="bg-BG"/>
              </w:rPr>
            </w:pPr>
            <w:r w:rsidRPr="0061613B">
              <w:rPr>
                <w:rFonts w:ascii="Times New Roman" w:eastAsia="Times New Roman" w:hAnsi="Times New Roman" w:cs="Times New Roman"/>
                <w:bCs/>
                <w:color w:val="000000"/>
                <w:lang w:eastAsia="bg-BG"/>
              </w:rPr>
              <w:t>5G покритие, % домакинства</w:t>
            </w:r>
          </w:p>
        </w:tc>
        <w:tc>
          <w:tcPr>
            <w:tcW w:w="1276" w:type="dxa"/>
            <w:noWrap/>
            <w:vAlign w:val="center"/>
          </w:tcPr>
          <w:p w14:paraId="4C9BD617" w14:textId="070457FE"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78</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9%</w:t>
            </w:r>
          </w:p>
        </w:tc>
        <w:tc>
          <w:tcPr>
            <w:tcW w:w="1417" w:type="dxa"/>
            <w:noWrap/>
            <w:vAlign w:val="center"/>
          </w:tcPr>
          <w:p w14:paraId="117118E2" w14:textId="4CB04FC3" w:rsidR="006439F8" w:rsidRPr="0061613B" w:rsidRDefault="006439F8" w:rsidP="00F84500">
            <w:pPr>
              <w:spacing w:after="120" w:line="240" w:lineRule="auto"/>
              <w:ind w:right="-2"/>
              <w:jc w:val="center"/>
              <w:rPr>
                <w:rFonts w:ascii="Times New Roman" w:eastAsia="Times New Roman" w:hAnsi="Times New Roman" w:cs="Times New Roman"/>
                <w:color w:val="000000"/>
                <w:highlight w:val="yellow"/>
                <w:lang w:eastAsia="bg-BG"/>
              </w:rPr>
            </w:pPr>
            <w:r w:rsidRPr="0061613B">
              <w:rPr>
                <w:rFonts w:ascii="Times New Roman" w:eastAsia="Times New Roman" w:hAnsi="Times New Roman" w:cs="Times New Roman"/>
                <w:color w:val="000000"/>
                <w:lang w:eastAsia="bg-BG"/>
              </w:rPr>
              <w:t>81</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33%</w:t>
            </w:r>
          </w:p>
        </w:tc>
        <w:tc>
          <w:tcPr>
            <w:tcW w:w="993" w:type="dxa"/>
            <w:noWrap/>
            <w:vAlign w:val="center"/>
          </w:tcPr>
          <w:p w14:paraId="3AD4587D"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c>
          <w:tcPr>
            <w:tcW w:w="1069" w:type="dxa"/>
            <w:vAlign w:val="center"/>
          </w:tcPr>
          <w:p w14:paraId="7F538AB3" w14:textId="22F0D74A"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94</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30%</w:t>
            </w:r>
          </w:p>
        </w:tc>
        <w:tc>
          <w:tcPr>
            <w:tcW w:w="1062" w:type="dxa"/>
            <w:vAlign w:val="center"/>
          </w:tcPr>
          <w:p w14:paraId="42FCE652"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r>
      <w:tr w:rsidR="006439F8" w:rsidRPr="0061613B" w14:paraId="0523AA95" w14:textId="77777777" w:rsidTr="00F84500">
        <w:trPr>
          <w:trHeight w:val="600"/>
        </w:trPr>
        <w:tc>
          <w:tcPr>
            <w:tcW w:w="3534" w:type="dxa"/>
            <w:shd w:val="clear" w:color="auto" w:fill="E2EFD9" w:themeFill="accent6" w:themeFillTint="33"/>
            <w:vAlign w:val="center"/>
          </w:tcPr>
          <w:p w14:paraId="14C656F6" w14:textId="77777777" w:rsidR="006439F8" w:rsidRPr="0061613B" w:rsidRDefault="006439F8" w:rsidP="00F84500">
            <w:pPr>
              <w:spacing w:after="120" w:line="240" w:lineRule="auto"/>
              <w:ind w:right="-2"/>
              <w:rPr>
                <w:rFonts w:ascii="Times New Roman" w:eastAsia="Times New Roman" w:hAnsi="Times New Roman" w:cs="Times New Roman"/>
                <w:bCs/>
                <w:color w:val="000000"/>
                <w:lang w:eastAsia="bg-BG"/>
              </w:rPr>
            </w:pPr>
            <w:r w:rsidRPr="0061613B">
              <w:rPr>
                <w:rFonts w:ascii="Times New Roman" w:eastAsia="Times New Roman" w:hAnsi="Times New Roman" w:cs="Times New Roman"/>
                <w:bCs/>
                <w:color w:val="000000"/>
                <w:lang w:eastAsia="bg-BG"/>
              </w:rPr>
              <w:t>5G покритие в слабо населени места, по домакинства</w:t>
            </w:r>
          </w:p>
        </w:tc>
        <w:tc>
          <w:tcPr>
            <w:tcW w:w="1276" w:type="dxa"/>
            <w:noWrap/>
            <w:vAlign w:val="center"/>
          </w:tcPr>
          <w:p w14:paraId="1802C58E" w14:textId="0C7FF77F"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22</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3%</w:t>
            </w:r>
          </w:p>
        </w:tc>
        <w:tc>
          <w:tcPr>
            <w:tcW w:w="1417" w:type="dxa"/>
            <w:noWrap/>
            <w:vAlign w:val="center"/>
          </w:tcPr>
          <w:p w14:paraId="3D61962D" w14:textId="24466CCD"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38</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25%</w:t>
            </w:r>
          </w:p>
        </w:tc>
        <w:tc>
          <w:tcPr>
            <w:tcW w:w="993" w:type="dxa"/>
            <w:noWrap/>
            <w:vAlign w:val="center"/>
          </w:tcPr>
          <w:p w14:paraId="63CB2206"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c>
          <w:tcPr>
            <w:tcW w:w="1069" w:type="dxa"/>
            <w:vAlign w:val="center"/>
          </w:tcPr>
          <w:p w14:paraId="02E52CAE" w14:textId="3CC8A7A6"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79</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57%</w:t>
            </w:r>
          </w:p>
        </w:tc>
        <w:tc>
          <w:tcPr>
            <w:tcW w:w="1062" w:type="dxa"/>
            <w:vAlign w:val="center"/>
          </w:tcPr>
          <w:p w14:paraId="2CEFC34A"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r>
      <w:tr w:rsidR="006439F8" w:rsidRPr="0061613B" w14:paraId="591252E9" w14:textId="77777777" w:rsidTr="00F84500">
        <w:trPr>
          <w:trHeight w:val="300"/>
        </w:trPr>
        <w:tc>
          <w:tcPr>
            <w:tcW w:w="3534" w:type="dxa"/>
            <w:shd w:val="clear" w:color="auto" w:fill="E2EFD9" w:themeFill="accent6" w:themeFillTint="33"/>
            <w:vAlign w:val="center"/>
          </w:tcPr>
          <w:p w14:paraId="4453BF31" w14:textId="77777777" w:rsidR="006439F8" w:rsidRPr="0061613B" w:rsidRDefault="006439F8" w:rsidP="00F84500">
            <w:pPr>
              <w:spacing w:after="120" w:line="240" w:lineRule="auto"/>
              <w:ind w:right="-2"/>
              <w:rPr>
                <w:rFonts w:ascii="Times New Roman" w:eastAsia="Times New Roman" w:hAnsi="Times New Roman" w:cs="Times New Roman"/>
                <w:bCs/>
                <w:color w:val="000000"/>
                <w:lang w:eastAsia="bg-BG"/>
              </w:rPr>
            </w:pPr>
            <w:r w:rsidRPr="0061613B">
              <w:rPr>
                <w:rFonts w:ascii="Times New Roman" w:eastAsia="Times New Roman" w:hAnsi="Times New Roman" w:cs="Times New Roman"/>
                <w:bCs/>
                <w:color w:val="000000"/>
                <w:lang w:eastAsia="bg-BG"/>
              </w:rPr>
              <w:t>5G покритие в обхват 3.4-3.8 GHz - общо, по домакинства</w:t>
            </w:r>
          </w:p>
        </w:tc>
        <w:tc>
          <w:tcPr>
            <w:tcW w:w="1276" w:type="dxa"/>
            <w:noWrap/>
            <w:vAlign w:val="center"/>
          </w:tcPr>
          <w:p w14:paraId="5BDA82F5"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w:t>
            </w:r>
          </w:p>
        </w:tc>
        <w:tc>
          <w:tcPr>
            <w:tcW w:w="1417" w:type="dxa"/>
            <w:noWrap/>
            <w:vAlign w:val="center"/>
          </w:tcPr>
          <w:p w14:paraId="68DEC7C5" w14:textId="78D46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81</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33%</w:t>
            </w:r>
          </w:p>
        </w:tc>
        <w:tc>
          <w:tcPr>
            <w:tcW w:w="993" w:type="dxa"/>
            <w:noWrap/>
            <w:vAlign w:val="center"/>
          </w:tcPr>
          <w:p w14:paraId="45A2B771"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c>
          <w:tcPr>
            <w:tcW w:w="1069" w:type="dxa"/>
            <w:vAlign w:val="center"/>
          </w:tcPr>
          <w:p w14:paraId="0E6452F4" w14:textId="07922A1C"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67</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72%</w:t>
            </w:r>
          </w:p>
        </w:tc>
        <w:tc>
          <w:tcPr>
            <w:tcW w:w="1062" w:type="dxa"/>
            <w:vAlign w:val="center"/>
          </w:tcPr>
          <w:p w14:paraId="39CF1982"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100%</w:t>
            </w:r>
          </w:p>
        </w:tc>
      </w:tr>
      <w:tr w:rsidR="006439F8" w:rsidRPr="0061613B" w14:paraId="7EC2668F" w14:textId="77777777" w:rsidTr="00F84500">
        <w:trPr>
          <w:trHeight w:val="315"/>
        </w:trPr>
        <w:tc>
          <w:tcPr>
            <w:tcW w:w="3534" w:type="dxa"/>
            <w:shd w:val="clear" w:color="auto" w:fill="E2EFD9" w:themeFill="accent6" w:themeFillTint="33"/>
            <w:vAlign w:val="center"/>
            <w:hideMark/>
          </w:tcPr>
          <w:p w14:paraId="2F03A7D0" w14:textId="77777777" w:rsidR="006439F8" w:rsidRPr="0061613B" w:rsidRDefault="006439F8" w:rsidP="00F84500">
            <w:pPr>
              <w:spacing w:after="120" w:line="240" w:lineRule="auto"/>
              <w:ind w:right="-2"/>
              <w:rPr>
                <w:rFonts w:ascii="Times New Roman" w:eastAsia="Times New Roman" w:hAnsi="Times New Roman" w:cs="Times New Roman"/>
                <w:bCs/>
                <w:color w:val="000000"/>
                <w:lang w:eastAsia="bg-BG"/>
              </w:rPr>
            </w:pPr>
            <w:r w:rsidRPr="0061613B">
              <w:rPr>
                <w:rFonts w:ascii="Times New Roman" w:eastAsia="Times New Roman" w:hAnsi="Times New Roman" w:cs="Times New Roman"/>
                <w:bCs/>
                <w:color w:val="000000"/>
                <w:lang w:eastAsia="bg-BG"/>
              </w:rPr>
              <w:t>Предоставен хармонизиран радиочестотен спектър за 5G</w:t>
            </w:r>
          </w:p>
        </w:tc>
        <w:tc>
          <w:tcPr>
            <w:tcW w:w="1276" w:type="dxa"/>
            <w:noWrap/>
            <w:vAlign w:val="center"/>
            <w:hideMark/>
          </w:tcPr>
          <w:p w14:paraId="3A499102" w14:textId="0D661A9D"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63</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00%</w:t>
            </w:r>
          </w:p>
        </w:tc>
        <w:tc>
          <w:tcPr>
            <w:tcW w:w="1417" w:type="dxa"/>
            <w:noWrap/>
            <w:vAlign w:val="center"/>
            <w:hideMark/>
          </w:tcPr>
          <w:p w14:paraId="334CC747" w14:textId="2117B37B"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96</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67%</w:t>
            </w:r>
          </w:p>
        </w:tc>
        <w:tc>
          <w:tcPr>
            <w:tcW w:w="993" w:type="dxa"/>
            <w:noWrap/>
            <w:vAlign w:val="center"/>
          </w:tcPr>
          <w:p w14:paraId="2385C88F"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w:t>
            </w:r>
          </w:p>
        </w:tc>
        <w:tc>
          <w:tcPr>
            <w:tcW w:w="1069" w:type="dxa"/>
            <w:vAlign w:val="center"/>
          </w:tcPr>
          <w:p w14:paraId="5E6BE0A7" w14:textId="254D433D"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74</w:t>
            </w:r>
            <w:r w:rsidR="007A7C99" w:rsidRPr="0061613B">
              <w:rPr>
                <w:rFonts w:ascii="Times New Roman" w:eastAsia="Times New Roman" w:hAnsi="Times New Roman" w:cs="Times New Roman"/>
                <w:color w:val="000000"/>
                <w:lang w:eastAsia="bg-BG"/>
              </w:rPr>
              <w:t>,</w:t>
            </w:r>
            <w:r w:rsidRPr="0061613B">
              <w:rPr>
                <w:rFonts w:ascii="Times New Roman" w:eastAsia="Times New Roman" w:hAnsi="Times New Roman" w:cs="Times New Roman"/>
                <w:color w:val="000000"/>
                <w:lang w:eastAsia="bg-BG"/>
              </w:rPr>
              <w:t>63%</w:t>
            </w:r>
          </w:p>
        </w:tc>
        <w:tc>
          <w:tcPr>
            <w:tcW w:w="1062" w:type="dxa"/>
            <w:vAlign w:val="center"/>
          </w:tcPr>
          <w:p w14:paraId="6B96442D" w14:textId="77777777" w:rsidR="006439F8" w:rsidRPr="0061613B" w:rsidRDefault="006439F8" w:rsidP="00F84500">
            <w:pPr>
              <w:spacing w:after="120" w:line="240" w:lineRule="auto"/>
              <w:ind w:right="-2"/>
              <w:jc w:val="center"/>
              <w:rPr>
                <w:rFonts w:ascii="Times New Roman" w:eastAsia="Times New Roman" w:hAnsi="Times New Roman" w:cs="Times New Roman"/>
                <w:color w:val="000000"/>
                <w:lang w:eastAsia="bg-BG"/>
              </w:rPr>
            </w:pPr>
            <w:r w:rsidRPr="0061613B">
              <w:rPr>
                <w:rFonts w:ascii="Times New Roman" w:eastAsia="Times New Roman" w:hAnsi="Times New Roman" w:cs="Times New Roman"/>
                <w:color w:val="000000"/>
                <w:lang w:eastAsia="bg-BG"/>
              </w:rPr>
              <w:t>-</w:t>
            </w:r>
          </w:p>
        </w:tc>
      </w:tr>
    </w:tbl>
    <w:p w14:paraId="37464805" w14:textId="77777777" w:rsidR="006439F8" w:rsidRPr="006D7474" w:rsidRDefault="006439F8" w:rsidP="006D7474">
      <w:pPr>
        <w:spacing w:after="120" w:line="240" w:lineRule="auto"/>
        <w:ind w:right="-2" w:firstLine="708"/>
        <w:jc w:val="both"/>
        <w:rPr>
          <w:rFonts w:ascii="Times New Roman" w:hAnsi="Times New Roman" w:cs="Times New Roman"/>
          <w:sz w:val="24"/>
          <w:szCs w:val="24"/>
        </w:rPr>
      </w:pPr>
      <w:r w:rsidRPr="006D7474">
        <w:rPr>
          <w:rFonts w:ascii="Times New Roman" w:hAnsi="Times New Roman" w:cs="Times New Roman"/>
          <w:sz w:val="24"/>
          <w:szCs w:val="24"/>
        </w:rPr>
        <w:t>Предвид динамичния ръст на FTTP абонатите, използващи скорости от 1 Gbps и повече, очаква се покритието на FTTP мрежата да продължи да се разширява, за да отговори на нарастващото търсене на по-високи скорости. Търсенето на свръх високоскоростна свързаност, особено гигабитови скорости, нараства значително. Въпреки, че делът на абонатите използващи скорости над 1 Gbps, остава относително малък, тенденцията предполага силен интерес към високоскоростните мрежи, който вероятно ще продължи да нараства. В същото време постоянното нарастване на абонатите в диапазона от 100 Mbps до 1 Gbps показва, че тези скорости все още отговарят на нуждите от свързаност на много фирми. В краткосрочен план се очаква бизнесът все повече да фокусира търсенето си върху гигабитова свързаност.</w:t>
      </w:r>
    </w:p>
    <w:p w14:paraId="1E45C9AD" w14:textId="38B03773" w:rsidR="00591396" w:rsidRPr="00496500" w:rsidRDefault="00591396" w:rsidP="003B412E">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 xml:space="preserve">Въпреки </w:t>
      </w:r>
      <w:r w:rsidR="00A101D1" w:rsidRPr="00496500">
        <w:rPr>
          <w:rFonts w:ascii="Times New Roman" w:hAnsi="Times New Roman" w:cs="Times New Roman"/>
          <w:sz w:val="24"/>
          <w:szCs w:val="24"/>
        </w:rPr>
        <w:t>постигнатото в</w:t>
      </w:r>
      <w:r w:rsidRPr="00496500">
        <w:rPr>
          <w:rFonts w:ascii="Times New Roman" w:hAnsi="Times New Roman" w:cs="Times New Roman"/>
          <w:sz w:val="24"/>
          <w:szCs w:val="24"/>
        </w:rPr>
        <w:t xml:space="preserve"> България по отношение на цифровата свързаност, не може да бъде пренебрегнато цифровото разделение между градовете и селата. Причините за това са както липсата на инвестиционен интерес от страна на частните оператори, така и забавянето на изпълнението или неизпълнението на мерките и проектите от страна на </w:t>
      </w:r>
      <w:r w:rsidR="00C570F1">
        <w:rPr>
          <w:rFonts w:ascii="Times New Roman" w:hAnsi="Times New Roman" w:cs="Times New Roman"/>
          <w:sz w:val="24"/>
          <w:szCs w:val="24"/>
        </w:rPr>
        <w:t>държавната администрация</w:t>
      </w:r>
      <w:r w:rsidRPr="00496500">
        <w:rPr>
          <w:rFonts w:ascii="Times New Roman" w:hAnsi="Times New Roman" w:cs="Times New Roman"/>
          <w:sz w:val="24"/>
          <w:szCs w:val="24"/>
        </w:rPr>
        <w:t xml:space="preserve">. Все още съществуват значителни регионални дисбаланси в развитието и използването на националната цифрова инфраструктура, включително на общинско ниво. Освен липсата на достатъчно бърза и сигурна цифрова свързаност, на много </w:t>
      </w:r>
      <w:r w:rsidRPr="00496500">
        <w:rPr>
          <w:rFonts w:ascii="Times New Roman" w:hAnsi="Times New Roman" w:cs="Times New Roman"/>
          <w:sz w:val="24"/>
          <w:szCs w:val="24"/>
        </w:rPr>
        <w:lastRenderedPageBreak/>
        <w:t xml:space="preserve">места не е преодоляна изцяло инерцията за отказ от страна на общинските служители за въвеждане и работа с ИКТ, което е проблем за развитието на </w:t>
      </w:r>
      <w:r w:rsidR="00A101D1" w:rsidRPr="00496500">
        <w:rPr>
          <w:rFonts w:ascii="Times New Roman" w:hAnsi="Times New Roman" w:cs="Times New Roman"/>
          <w:sz w:val="24"/>
          <w:szCs w:val="24"/>
        </w:rPr>
        <w:t>публични</w:t>
      </w:r>
      <w:r w:rsidRPr="00496500">
        <w:rPr>
          <w:rFonts w:ascii="Times New Roman" w:hAnsi="Times New Roman" w:cs="Times New Roman"/>
          <w:sz w:val="24"/>
          <w:szCs w:val="24"/>
        </w:rPr>
        <w:t xml:space="preserve">те електронни услуги от една страна и оттам – на бизнес климата и цялостното развитие на тези общини от друга. </w:t>
      </w:r>
    </w:p>
    <w:p w14:paraId="7656C4DD" w14:textId="06FFC444" w:rsidR="00591396" w:rsidRPr="00496500" w:rsidRDefault="00591396" w:rsidP="003B412E">
      <w:pPr>
        <w:spacing w:after="120" w:line="240" w:lineRule="auto"/>
        <w:ind w:right="-2" w:firstLine="706"/>
        <w:jc w:val="both"/>
        <w:rPr>
          <w:rFonts w:ascii="Times New Roman" w:hAnsi="Times New Roman" w:cs="Times New Roman"/>
          <w:sz w:val="24"/>
          <w:szCs w:val="24"/>
        </w:rPr>
      </w:pPr>
      <w:r w:rsidRPr="00496500">
        <w:rPr>
          <w:rFonts w:ascii="Times New Roman" w:hAnsi="Times New Roman" w:cs="Times New Roman"/>
          <w:sz w:val="24"/>
          <w:szCs w:val="24"/>
        </w:rPr>
        <w:t xml:space="preserve">С цел преодоляване на посочените предизвикателства, България полага големи усилия за осигуряване на широколентова свързаност на територията на цялата страна с редица икономически и регулаторни мерки. Със стартирането на проекта „Широкомащабно разгръщане на цифрова инфраструктура“ се очаква значително намаляване и преодоляване на географския дисбаланс в страната по отношение на достъпа до високоскоростни мрежи и съответно до повишаване на социалното и икономическо развитие на регионално ниво. </w:t>
      </w:r>
      <w:r w:rsidRPr="00C54C1D">
        <w:rPr>
          <w:rFonts w:ascii="Times New Roman" w:hAnsi="Times New Roman" w:cs="Times New Roman"/>
          <w:sz w:val="24"/>
          <w:szCs w:val="24"/>
        </w:rPr>
        <w:t>През м</w:t>
      </w:r>
      <w:r w:rsidR="00F64D96" w:rsidRPr="00C54C1D">
        <w:rPr>
          <w:rFonts w:ascii="Times New Roman" w:hAnsi="Times New Roman" w:cs="Times New Roman"/>
          <w:sz w:val="24"/>
          <w:szCs w:val="24"/>
        </w:rPr>
        <w:t>есец</w:t>
      </w:r>
      <w:r w:rsidRPr="00C54C1D">
        <w:rPr>
          <w:rFonts w:ascii="Times New Roman" w:hAnsi="Times New Roman" w:cs="Times New Roman"/>
          <w:sz w:val="24"/>
          <w:szCs w:val="24"/>
        </w:rPr>
        <w:t xml:space="preserve"> юни 2025 г. </w:t>
      </w:r>
      <w:r w:rsidR="00F64D96" w:rsidRPr="00C54C1D">
        <w:rPr>
          <w:rFonts w:ascii="Times New Roman" w:hAnsi="Times New Roman" w:cs="Times New Roman"/>
          <w:sz w:val="24"/>
          <w:szCs w:val="24"/>
        </w:rPr>
        <w:t xml:space="preserve">са </w:t>
      </w:r>
      <w:r w:rsidR="00FC2404" w:rsidRPr="00C54C1D">
        <w:rPr>
          <w:rFonts w:ascii="Times New Roman" w:hAnsi="Times New Roman" w:cs="Times New Roman"/>
          <w:sz w:val="24"/>
          <w:szCs w:val="24"/>
        </w:rPr>
        <w:t>подписан</w:t>
      </w:r>
      <w:r w:rsidR="00F64D96" w:rsidRPr="00C54C1D">
        <w:rPr>
          <w:rFonts w:ascii="Times New Roman" w:hAnsi="Times New Roman" w:cs="Times New Roman"/>
          <w:sz w:val="24"/>
          <w:szCs w:val="24"/>
        </w:rPr>
        <w:t>и</w:t>
      </w:r>
      <w:r w:rsidRPr="00C54C1D">
        <w:rPr>
          <w:rFonts w:ascii="Times New Roman" w:hAnsi="Times New Roman" w:cs="Times New Roman"/>
          <w:sz w:val="24"/>
          <w:szCs w:val="24"/>
        </w:rPr>
        <w:t xml:space="preserve"> договор</w:t>
      </w:r>
      <w:r w:rsidR="00F64D96" w:rsidRPr="00C54C1D">
        <w:rPr>
          <w:rFonts w:ascii="Times New Roman" w:hAnsi="Times New Roman" w:cs="Times New Roman"/>
          <w:sz w:val="24"/>
          <w:szCs w:val="24"/>
        </w:rPr>
        <w:t>и</w:t>
      </w:r>
      <w:r w:rsidRPr="00C54C1D">
        <w:rPr>
          <w:rFonts w:ascii="Times New Roman" w:hAnsi="Times New Roman" w:cs="Times New Roman"/>
          <w:sz w:val="24"/>
          <w:szCs w:val="24"/>
        </w:rPr>
        <w:t xml:space="preserve"> за изграждане на цифрови мрежи </w:t>
      </w:r>
      <w:r w:rsidR="00F64D96" w:rsidRPr="00C54C1D">
        <w:rPr>
          <w:rFonts w:ascii="Times New Roman" w:hAnsi="Times New Roman" w:cs="Times New Roman"/>
          <w:sz w:val="24"/>
          <w:szCs w:val="24"/>
        </w:rPr>
        <w:t>на стойност</w:t>
      </w:r>
      <w:r w:rsidRPr="00C54C1D">
        <w:rPr>
          <w:rFonts w:ascii="Times New Roman" w:hAnsi="Times New Roman" w:cs="Times New Roman"/>
          <w:sz w:val="24"/>
          <w:szCs w:val="24"/>
        </w:rPr>
        <w:t xml:space="preserve"> 433 613 866 лв.</w:t>
      </w:r>
      <w:r w:rsidR="00F64D96" w:rsidRPr="00C54C1D">
        <w:rPr>
          <w:rFonts w:ascii="Times New Roman" w:hAnsi="Times New Roman" w:cs="Times New Roman"/>
          <w:sz w:val="24"/>
          <w:szCs w:val="24"/>
        </w:rPr>
        <w:t>,</w:t>
      </w:r>
      <w:r w:rsidRPr="00C54C1D">
        <w:rPr>
          <w:rFonts w:ascii="Times New Roman" w:hAnsi="Times New Roman" w:cs="Times New Roman"/>
          <w:sz w:val="24"/>
          <w:szCs w:val="24"/>
        </w:rPr>
        <w:t xml:space="preserve"> </w:t>
      </w:r>
      <w:r w:rsidR="00F64D96" w:rsidRPr="00C54C1D">
        <w:rPr>
          <w:rFonts w:ascii="Times New Roman" w:hAnsi="Times New Roman" w:cs="Times New Roman"/>
          <w:sz w:val="24"/>
          <w:szCs w:val="24"/>
        </w:rPr>
        <w:t xml:space="preserve">от които </w:t>
      </w:r>
      <w:r w:rsidRPr="00C54C1D">
        <w:rPr>
          <w:rFonts w:ascii="Times New Roman" w:hAnsi="Times New Roman" w:cs="Times New Roman"/>
          <w:sz w:val="24"/>
          <w:szCs w:val="24"/>
        </w:rPr>
        <w:t xml:space="preserve">390 027 846 лв. са от НПВУ. „Широкомащабно разгръщане на цифрова инфраструктура“ е най-големият проект </w:t>
      </w:r>
      <w:r w:rsidR="00F64D96" w:rsidRPr="00C54C1D">
        <w:rPr>
          <w:rFonts w:ascii="Times New Roman" w:hAnsi="Times New Roman" w:cs="Times New Roman"/>
          <w:sz w:val="24"/>
          <w:szCs w:val="24"/>
        </w:rPr>
        <w:t>от част</w:t>
      </w:r>
      <w:r w:rsidRPr="00C54C1D">
        <w:rPr>
          <w:rFonts w:ascii="Times New Roman" w:hAnsi="Times New Roman" w:cs="Times New Roman"/>
          <w:sz w:val="24"/>
          <w:szCs w:val="24"/>
        </w:rPr>
        <w:t xml:space="preserve"> „</w:t>
      </w:r>
      <w:r w:rsidR="00AA68D1" w:rsidRPr="00C54C1D">
        <w:rPr>
          <w:rFonts w:ascii="Times New Roman" w:hAnsi="Times New Roman" w:cs="Times New Roman"/>
          <w:sz w:val="24"/>
          <w:szCs w:val="24"/>
        </w:rPr>
        <w:t>Цифрова</w:t>
      </w:r>
      <w:r w:rsidRPr="00C54C1D">
        <w:rPr>
          <w:rFonts w:ascii="Times New Roman" w:hAnsi="Times New Roman" w:cs="Times New Roman"/>
          <w:sz w:val="24"/>
          <w:szCs w:val="24"/>
        </w:rPr>
        <w:t xml:space="preserve"> свързаност“ </w:t>
      </w:r>
      <w:r w:rsidR="00F64D96" w:rsidRPr="00C54C1D">
        <w:rPr>
          <w:rFonts w:ascii="Times New Roman" w:hAnsi="Times New Roman" w:cs="Times New Roman"/>
          <w:sz w:val="24"/>
          <w:szCs w:val="24"/>
        </w:rPr>
        <w:t xml:space="preserve">на </w:t>
      </w:r>
      <w:r w:rsidRPr="00C54C1D">
        <w:rPr>
          <w:rFonts w:ascii="Times New Roman" w:hAnsi="Times New Roman" w:cs="Times New Roman"/>
          <w:sz w:val="24"/>
          <w:szCs w:val="24"/>
        </w:rPr>
        <w:t>НПВУ</w:t>
      </w:r>
      <w:r w:rsidR="00FC2404" w:rsidRPr="00C54C1D">
        <w:rPr>
          <w:rFonts w:ascii="Times New Roman" w:hAnsi="Times New Roman" w:cs="Times New Roman"/>
          <w:sz w:val="24"/>
          <w:szCs w:val="24"/>
        </w:rPr>
        <w:t xml:space="preserve"> и </w:t>
      </w:r>
      <w:r w:rsidRPr="00C54C1D">
        <w:rPr>
          <w:rFonts w:ascii="Times New Roman" w:hAnsi="Times New Roman" w:cs="Times New Roman"/>
          <w:sz w:val="24"/>
          <w:szCs w:val="24"/>
        </w:rPr>
        <w:t>до 30 юни 2026 г. е предвидено изграждането на около 7000 км оптична мрежа</w:t>
      </w:r>
      <w:r w:rsidR="00F64D96" w:rsidRPr="00C54C1D">
        <w:rPr>
          <w:rFonts w:ascii="Times New Roman" w:hAnsi="Times New Roman" w:cs="Times New Roman"/>
          <w:sz w:val="24"/>
          <w:szCs w:val="24"/>
        </w:rPr>
        <w:t xml:space="preserve">, осигуряване на оптична свързаност към </w:t>
      </w:r>
      <w:r w:rsidR="00ED4995" w:rsidRPr="00C54C1D">
        <w:rPr>
          <w:rFonts w:ascii="Times New Roman" w:hAnsi="Times New Roman" w:cs="Times New Roman"/>
          <w:sz w:val="24"/>
          <w:szCs w:val="24"/>
        </w:rPr>
        <w:t xml:space="preserve">всички </w:t>
      </w:r>
      <w:r w:rsidR="00F64D96" w:rsidRPr="00C54C1D">
        <w:rPr>
          <w:rFonts w:ascii="Times New Roman" w:hAnsi="Times New Roman" w:cs="Times New Roman"/>
          <w:sz w:val="24"/>
          <w:szCs w:val="24"/>
        </w:rPr>
        <w:t>общински център</w:t>
      </w:r>
      <w:r w:rsidR="00ED4995" w:rsidRPr="00C54C1D">
        <w:rPr>
          <w:rFonts w:ascii="Times New Roman" w:hAnsi="Times New Roman" w:cs="Times New Roman"/>
          <w:sz w:val="24"/>
          <w:szCs w:val="24"/>
        </w:rPr>
        <w:t>ове</w:t>
      </w:r>
      <w:r w:rsidR="00F64D96" w:rsidRPr="00C54C1D">
        <w:rPr>
          <w:rFonts w:ascii="Times New Roman" w:hAnsi="Times New Roman" w:cs="Times New Roman"/>
          <w:sz w:val="24"/>
          <w:szCs w:val="24"/>
        </w:rPr>
        <w:t>, осигуряване на достъп до услуги, основани на мрежи с много голям капацитет за над 350 000 души и свързване на не по-малко от 700 базови станции</w:t>
      </w:r>
      <w:r w:rsidRPr="00C54C1D">
        <w:rPr>
          <w:rFonts w:ascii="Times New Roman" w:hAnsi="Times New Roman" w:cs="Times New Roman"/>
          <w:sz w:val="24"/>
          <w:szCs w:val="24"/>
        </w:rPr>
        <w:t>.</w:t>
      </w:r>
      <w:r w:rsidRPr="00496500">
        <w:rPr>
          <w:rFonts w:ascii="Times New Roman" w:hAnsi="Times New Roman" w:cs="Times New Roman"/>
          <w:sz w:val="24"/>
          <w:szCs w:val="24"/>
        </w:rPr>
        <w:t xml:space="preserve"> </w:t>
      </w:r>
    </w:p>
    <w:p w14:paraId="79CB5C60" w14:textId="799396B2" w:rsidR="00591396" w:rsidRPr="00496500" w:rsidRDefault="00591396" w:rsidP="003B412E">
      <w:pPr>
        <w:spacing w:after="120" w:line="240" w:lineRule="auto"/>
        <w:ind w:right="-2" w:firstLine="706"/>
        <w:jc w:val="both"/>
        <w:rPr>
          <w:rFonts w:ascii="Times New Roman" w:hAnsi="Times New Roman" w:cs="Times New Roman"/>
          <w:sz w:val="24"/>
          <w:szCs w:val="24"/>
        </w:rPr>
      </w:pPr>
      <w:r w:rsidRPr="00496500">
        <w:rPr>
          <w:rFonts w:ascii="Times New Roman" w:hAnsi="Times New Roman" w:cs="Times New Roman"/>
          <w:sz w:val="24"/>
          <w:szCs w:val="24"/>
        </w:rPr>
        <w:t xml:space="preserve">Реализацията на проекта ще даде възможност не само за достъп до високоскоростен интернет за потребителите в цялата страна, но ще намали силното цифрово разделение </w:t>
      </w:r>
      <w:r w:rsidR="00F64D96" w:rsidRPr="00496500">
        <w:rPr>
          <w:rFonts w:ascii="Times New Roman" w:hAnsi="Times New Roman" w:cs="Times New Roman"/>
          <w:sz w:val="24"/>
          <w:szCs w:val="24"/>
        </w:rPr>
        <w:t>в райони с недостатъчно обслужване по отношение на достъпа до интернет на гражданите в тях.</w:t>
      </w:r>
      <w:r w:rsidRPr="00496500">
        <w:rPr>
          <w:rFonts w:ascii="Times New Roman" w:hAnsi="Times New Roman" w:cs="Times New Roman"/>
          <w:sz w:val="24"/>
          <w:szCs w:val="24"/>
        </w:rPr>
        <w:t xml:space="preserve"> По този начин в отдалечените райони ще може да се развива бизнес по същия начин, по който в момента се инвестира около големите градове, както и ще се осигури съществения принос в достъпа до бърз интернет за образование, което е главен приоритет на правителството и е свързано с повишаване нивото на цифрова грамотност и насърчаване на дела на ИКТ специалисти в страната.</w:t>
      </w:r>
    </w:p>
    <w:p w14:paraId="09A3C617" w14:textId="0090751B" w:rsidR="00591396" w:rsidRDefault="00FC2404" w:rsidP="00FC2404">
      <w:pPr>
        <w:spacing w:before="120" w:after="120" w:line="240" w:lineRule="auto"/>
        <w:ind w:firstLine="720"/>
        <w:jc w:val="both"/>
        <w:rPr>
          <w:rFonts w:ascii="Times New Roman" w:hAnsi="Times New Roman" w:cs="Times New Roman"/>
          <w:bCs/>
          <w:sz w:val="24"/>
          <w:szCs w:val="24"/>
        </w:rPr>
      </w:pPr>
      <w:r w:rsidRPr="00496500">
        <w:rPr>
          <w:rFonts w:ascii="Times New Roman" w:hAnsi="Times New Roman" w:cs="Times New Roman"/>
          <w:sz w:val="24"/>
          <w:szCs w:val="24"/>
        </w:rPr>
        <w:t xml:space="preserve">С оглед осигуряване на максимална свързаност </w:t>
      </w:r>
      <w:r w:rsidRPr="00496500">
        <w:rPr>
          <w:rFonts w:ascii="Times New Roman" w:hAnsi="Times New Roman" w:cs="Times New Roman"/>
          <w:bCs/>
          <w:sz w:val="24"/>
          <w:szCs w:val="24"/>
        </w:rPr>
        <w:t>до крайния потребител или източника на данни се изграждат и т.нар. периферни възли. Към 2025 г. по отношение покритието с периферни възли се наблюдават значителни различия, като темпът на растеж на България далеч надхвърля този на ЕС.</w:t>
      </w:r>
    </w:p>
    <w:p w14:paraId="04C5C7B2" w14:textId="7A7363F0" w:rsidR="005B5D9D" w:rsidRPr="006D7474" w:rsidRDefault="00944A55" w:rsidP="006D7474">
      <w:pPr>
        <w:pStyle w:val="Caption"/>
        <w:rPr>
          <w:rFonts w:cs="Times New Roman"/>
          <w:sz w:val="20"/>
          <w:szCs w:val="20"/>
        </w:rPr>
      </w:pPr>
      <w:bookmarkStart w:id="7" w:name="_Toc209079341"/>
      <w:r>
        <w:t xml:space="preserve">Таблица </w:t>
      </w:r>
      <w:r>
        <w:fldChar w:fldCharType="begin"/>
      </w:r>
      <w:r>
        <w:instrText xml:space="preserve"> SEQ Таблица \* ARABIC </w:instrText>
      </w:r>
      <w:r>
        <w:fldChar w:fldCharType="separate"/>
      </w:r>
      <w:r>
        <w:rPr>
          <w:noProof/>
        </w:rPr>
        <w:t>3</w:t>
      </w:r>
      <w:r>
        <w:fldChar w:fldCharType="end"/>
      </w:r>
      <w:r w:rsidR="005B5D9D" w:rsidRPr="006D7474">
        <w:rPr>
          <w:rFonts w:cs="Times New Roman"/>
          <w:sz w:val="20"/>
          <w:szCs w:val="20"/>
        </w:rPr>
        <w:t xml:space="preserve"> Покритие на периферните възли</w:t>
      </w:r>
      <w:bookmarkEnd w:id="7"/>
    </w:p>
    <w:tbl>
      <w:tblPr>
        <w:tblW w:w="9630" w:type="dxa"/>
        <w:tblInd w:w="-95"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9" w:type="dxa"/>
          <w:right w:w="8" w:type="dxa"/>
        </w:tblCellMar>
        <w:tblLook w:val="04A0" w:firstRow="1" w:lastRow="0" w:firstColumn="1" w:lastColumn="0" w:noHBand="0" w:noVBand="1"/>
      </w:tblPr>
      <w:tblGrid>
        <w:gridCol w:w="1078"/>
        <w:gridCol w:w="1341"/>
        <w:gridCol w:w="1679"/>
        <w:gridCol w:w="1752"/>
        <w:gridCol w:w="1890"/>
        <w:gridCol w:w="1890"/>
      </w:tblGrid>
      <w:tr w:rsidR="00FC2404" w:rsidRPr="00496500" w14:paraId="43DCC602" w14:textId="77777777" w:rsidTr="00FC2404">
        <w:trPr>
          <w:trHeight w:val="1390"/>
        </w:trPr>
        <w:tc>
          <w:tcPr>
            <w:tcW w:w="1078" w:type="dxa"/>
            <w:shd w:val="clear" w:color="auto" w:fill="FFF2CC" w:themeFill="accent4" w:themeFillTint="33"/>
          </w:tcPr>
          <w:p w14:paraId="6AF31387" w14:textId="77777777" w:rsidR="00FC2404" w:rsidRPr="00496500" w:rsidRDefault="00FC2404" w:rsidP="00F84500">
            <w:pPr>
              <w:spacing w:after="120" w:line="240" w:lineRule="auto"/>
              <w:ind w:right="-2" w:hanging="15"/>
              <w:jc w:val="both"/>
              <w:rPr>
                <w:rFonts w:ascii="Times New Roman" w:hAnsi="Times New Roman" w:cs="Times New Roman"/>
                <w:b/>
                <w:bCs/>
              </w:rPr>
            </w:pPr>
            <w:r w:rsidRPr="00496500">
              <w:rPr>
                <w:rFonts w:ascii="Times New Roman" w:hAnsi="Times New Roman" w:cs="Times New Roman"/>
                <w:b/>
                <w:bCs/>
              </w:rPr>
              <w:t xml:space="preserve">Регион </w:t>
            </w:r>
          </w:p>
        </w:tc>
        <w:tc>
          <w:tcPr>
            <w:tcW w:w="1341" w:type="dxa"/>
            <w:shd w:val="clear" w:color="auto" w:fill="FFF2CC" w:themeFill="accent4" w:themeFillTint="33"/>
          </w:tcPr>
          <w:p w14:paraId="0A412492" w14:textId="77777777" w:rsidR="00FC2404" w:rsidRPr="00496500" w:rsidRDefault="00FC2404" w:rsidP="00F84500">
            <w:pPr>
              <w:spacing w:after="120" w:line="240" w:lineRule="auto"/>
              <w:ind w:right="-2"/>
              <w:jc w:val="both"/>
              <w:rPr>
                <w:rFonts w:ascii="Times New Roman" w:hAnsi="Times New Roman" w:cs="Times New Roman"/>
                <w:b/>
                <w:bCs/>
              </w:rPr>
            </w:pPr>
            <w:r w:rsidRPr="00496500">
              <w:rPr>
                <w:rFonts w:ascii="Times New Roman" w:hAnsi="Times New Roman" w:cs="Times New Roman"/>
                <w:b/>
                <w:bCs/>
              </w:rPr>
              <w:t xml:space="preserve">Площ </w:t>
            </w:r>
          </w:p>
          <w:p w14:paraId="0024B8B4" w14:textId="77777777" w:rsidR="00FC2404" w:rsidRPr="00496500" w:rsidRDefault="00FC2404" w:rsidP="00F84500">
            <w:pPr>
              <w:spacing w:after="120" w:line="240" w:lineRule="auto"/>
              <w:ind w:right="-2"/>
              <w:jc w:val="both"/>
              <w:rPr>
                <w:rFonts w:ascii="Times New Roman" w:hAnsi="Times New Roman" w:cs="Times New Roman"/>
                <w:b/>
                <w:bCs/>
              </w:rPr>
            </w:pPr>
            <w:r w:rsidRPr="00496500">
              <w:rPr>
                <w:rFonts w:ascii="Times New Roman" w:hAnsi="Times New Roman" w:cs="Times New Roman"/>
                <w:b/>
                <w:bCs/>
              </w:rPr>
              <w:t xml:space="preserve">(km²)  </w:t>
            </w:r>
          </w:p>
        </w:tc>
        <w:tc>
          <w:tcPr>
            <w:tcW w:w="1679" w:type="dxa"/>
            <w:shd w:val="clear" w:color="auto" w:fill="FFF2CC" w:themeFill="accent4" w:themeFillTint="33"/>
          </w:tcPr>
          <w:p w14:paraId="1BCE85B1" w14:textId="77777777" w:rsidR="00FC2404" w:rsidRPr="00496500" w:rsidRDefault="00FC2404" w:rsidP="00F84500">
            <w:pPr>
              <w:spacing w:after="120" w:line="240" w:lineRule="auto"/>
              <w:ind w:right="75" w:hanging="29"/>
              <w:jc w:val="both"/>
              <w:rPr>
                <w:rFonts w:ascii="Times New Roman" w:hAnsi="Times New Roman" w:cs="Times New Roman"/>
                <w:b/>
                <w:bCs/>
              </w:rPr>
            </w:pPr>
            <w:r w:rsidRPr="00496500">
              <w:rPr>
                <w:rFonts w:ascii="Times New Roman" w:hAnsi="Times New Roman" w:cs="Times New Roman"/>
                <w:b/>
                <w:bCs/>
              </w:rPr>
              <w:t xml:space="preserve">Покритие на един периферен възел, на кв. км 2023 г.  </w:t>
            </w:r>
          </w:p>
        </w:tc>
        <w:tc>
          <w:tcPr>
            <w:tcW w:w="1752" w:type="dxa"/>
            <w:shd w:val="clear" w:color="auto" w:fill="FFF2CC" w:themeFill="accent4" w:themeFillTint="33"/>
          </w:tcPr>
          <w:p w14:paraId="5CEBA8E6" w14:textId="77777777" w:rsidR="00FC2404" w:rsidRPr="00496500" w:rsidRDefault="00FC2404" w:rsidP="00F84500">
            <w:pPr>
              <w:spacing w:after="120" w:line="240" w:lineRule="auto"/>
              <w:ind w:right="195"/>
              <w:jc w:val="both"/>
              <w:rPr>
                <w:rFonts w:ascii="Times New Roman" w:hAnsi="Times New Roman" w:cs="Times New Roman"/>
                <w:b/>
                <w:bCs/>
              </w:rPr>
            </w:pPr>
            <w:r w:rsidRPr="00496500">
              <w:rPr>
                <w:rFonts w:ascii="Times New Roman" w:hAnsi="Times New Roman" w:cs="Times New Roman"/>
                <w:b/>
                <w:bCs/>
              </w:rPr>
              <w:t xml:space="preserve">Покритие на един периферен възел, кв. км 2025 г.  </w:t>
            </w:r>
          </w:p>
        </w:tc>
        <w:tc>
          <w:tcPr>
            <w:tcW w:w="1890" w:type="dxa"/>
            <w:shd w:val="clear" w:color="auto" w:fill="FFF2CC" w:themeFill="accent4" w:themeFillTint="33"/>
          </w:tcPr>
          <w:p w14:paraId="57BB605C" w14:textId="77777777" w:rsidR="00FC2404" w:rsidRPr="00496500" w:rsidRDefault="00FC2404" w:rsidP="00F84500">
            <w:pPr>
              <w:spacing w:after="120" w:line="240" w:lineRule="auto"/>
              <w:ind w:right="135"/>
              <w:jc w:val="both"/>
              <w:rPr>
                <w:rFonts w:ascii="Times New Roman" w:hAnsi="Times New Roman" w:cs="Times New Roman"/>
                <w:b/>
                <w:bCs/>
              </w:rPr>
            </w:pPr>
            <w:r w:rsidRPr="00496500">
              <w:rPr>
                <w:rFonts w:ascii="Times New Roman" w:hAnsi="Times New Roman" w:cs="Times New Roman"/>
                <w:b/>
                <w:bCs/>
              </w:rPr>
              <w:t xml:space="preserve">Покритие на един периферен възел, на кв. км  </w:t>
            </w:r>
          </w:p>
        </w:tc>
        <w:tc>
          <w:tcPr>
            <w:tcW w:w="1890" w:type="dxa"/>
            <w:shd w:val="clear" w:color="auto" w:fill="FFF2CC" w:themeFill="accent4" w:themeFillTint="33"/>
          </w:tcPr>
          <w:p w14:paraId="4A6C9D56" w14:textId="77777777" w:rsidR="00FC2404" w:rsidRPr="00496500" w:rsidRDefault="00FC2404" w:rsidP="00F84500">
            <w:pPr>
              <w:spacing w:after="120" w:line="240" w:lineRule="auto"/>
              <w:ind w:right="76"/>
              <w:jc w:val="both"/>
              <w:rPr>
                <w:rFonts w:ascii="Times New Roman" w:hAnsi="Times New Roman" w:cs="Times New Roman"/>
                <w:b/>
                <w:bCs/>
              </w:rPr>
            </w:pPr>
            <w:r w:rsidRPr="00496500">
              <w:rPr>
                <w:rFonts w:ascii="Times New Roman" w:hAnsi="Times New Roman" w:cs="Times New Roman"/>
                <w:b/>
                <w:bCs/>
              </w:rPr>
              <w:t xml:space="preserve">Покритие на един периферен възел, на кв. км  </w:t>
            </w:r>
          </w:p>
        </w:tc>
      </w:tr>
      <w:tr w:rsidR="00FC2404" w:rsidRPr="00496500" w14:paraId="289D3B35" w14:textId="77777777" w:rsidTr="006E661C">
        <w:trPr>
          <w:trHeight w:val="286"/>
        </w:trPr>
        <w:tc>
          <w:tcPr>
            <w:tcW w:w="1078" w:type="dxa"/>
            <w:shd w:val="clear" w:color="auto" w:fill="E2EFD9" w:themeFill="accent6" w:themeFillTint="33"/>
          </w:tcPr>
          <w:p w14:paraId="07A5056F" w14:textId="77777777" w:rsidR="00FC2404" w:rsidRPr="00496500" w:rsidRDefault="00FC2404" w:rsidP="00F84500">
            <w:pPr>
              <w:spacing w:after="120" w:line="240" w:lineRule="auto"/>
              <w:ind w:right="-2" w:firstLine="708"/>
              <w:jc w:val="both"/>
              <w:rPr>
                <w:rFonts w:ascii="Times New Roman" w:hAnsi="Times New Roman" w:cs="Times New Roman"/>
                <w:bCs/>
              </w:rPr>
            </w:pPr>
          </w:p>
        </w:tc>
        <w:tc>
          <w:tcPr>
            <w:tcW w:w="1341" w:type="dxa"/>
          </w:tcPr>
          <w:p w14:paraId="60CE2A78" w14:textId="77777777" w:rsidR="00FC2404" w:rsidRPr="00496500" w:rsidRDefault="00FC2404" w:rsidP="00F84500">
            <w:pPr>
              <w:spacing w:after="120" w:line="240" w:lineRule="auto"/>
              <w:ind w:right="-2" w:firstLine="708"/>
              <w:jc w:val="both"/>
              <w:rPr>
                <w:rFonts w:ascii="Times New Roman" w:hAnsi="Times New Roman" w:cs="Times New Roman"/>
                <w:bCs/>
              </w:rPr>
            </w:pPr>
          </w:p>
        </w:tc>
        <w:tc>
          <w:tcPr>
            <w:tcW w:w="1679" w:type="dxa"/>
          </w:tcPr>
          <w:p w14:paraId="604031CE" w14:textId="77777777" w:rsidR="00FC2404" w:rsidRPr="00496500" w:rsidRDefault="00FC2404" w:rsidP="00F84500">
            <w:pPr>
              <w:spacing w:after="120" w:line="240" w:lineRule="auto"/>
              <w:ind w:right="-2" w:firstLine="708"/>
              <w:jc w:val="both"/>
              <w:rPr>
                <w:rFonts w:ascii="Times New Roman" w:hAnsi="Times New Roman" w:cs="Times New Roman"/>
                <w:bCs/>
              </w:rPr>
            </w:pPr>
          </w:p>
        </w:tc>
        <w:tc>
          <w:tcPr>
            <w:tcW w:w="1752" w:type="dxa"/>
          </w:tcPr>
          <w:p w14:paraId="19C3A17A" w14:textId="77777777" w:rsidR="00FC2404" w:rsidRPr="00496500" w:rsidRDefault="00FC2404" w:rsidP="00F84500">
            <w:pPr>
              <w:spacing w:after="120" w:line="240" w:lineRule="auto"/>
              <w:ind w:right="-2" w:firstLine="708"/>
              <w:jc w:val="both"/>
              <w:rPr>
                <w:rFonts w:ascii="Times New Roman" w:hAnsi="Times New Roman" w:cs="Times New Roman"/>
                <w:bCs/>
              </w:rPr>
            </w:pPr>
          </w:p>
        </w:tc>
        <w:tc>
          <w:tcPr>
            <w:tcW w:w="1890" w:type="dxa"/>
          </w:tcPr>
          <w:p w14:paraId="01167F8B" w14:textId="77777777" w:rsidR="00FC2404" w:rsidRPr="00496500" w:rsidRDefault="00FC2404" w:rsidP="00F84500">
            <w:pPr>
              <w:spacing w:after="120" w:line="240" w:lineRule="auto"/>
              <w:ind w:right="-2" w:firstLine="708"/>
              <w:jc w:val="both"/>
              <w:rPr>
                <w:rFonts w:ascii="Times New Roman" w:hAnsi="Times New Roman" w:cs="Times New Roman"/>
                <w:bCs/>
              </w:rPr>
            </w:pPr>
            <w:r w:rsidRPr="00496500">
              <w:rPr>
                <w:rFonts w:ascii="Times New Roman" w:hAnsi="Times New Roman" w:cs="Times New Roman"/>
                <w:bCs/>
              </w:rPr>
              <w:t xml:space="preserve">2028 г.  </w:t>
            </w:r>
          </w:p>
        </w:tc>
        <w:tc>
          <w:tcPr>
            <w:tcW w:w="1890" w:type="dxa"/>
          </w:tcPr>
          <w:p w14:paraId="5727B024" w14:textId="77777777" w:rsidR="00FC2404" w:rsidRPr="00496500" w:rsidRDefault="00FC2404" w:rsidP="00F84500">
            <w:pPr>
              <w:spacing w:after="120" w:line="240" w:lineRule="auto"/>
              <w:ind w:right="-2" w:firstLine="708"/>
              <w:jc w:val="both"/>
              <w:rPr>
                <w:rFonts w:ascii="Times New Roman" w:hAnsi="Times New Roman" w:cs="Times New Roman"/>
                <w:bCs/>
              </w:rPr>
            </w:pPr>
            <w:r w:rsidRPr="00496500">
              <w:rPr>
                <w:rFonts w:ascii="Times New Roman" w:hAnsi="Times New Roman" w:cs="Times New Roman"/>
                <w:bCs/>
              </w:rPr>
              <w:t xml:space="preserve">2030  </w:t>
            </w:r>
          </w:p>
        </w:tc>
      </w:tr>
      <w:tr w:rsidR="00FC2404" w:rsidRPr="00496500" w14:paraId="6E412AB4" w14:textId="77777777" w:rsidTr="006E661C">
        <w:trPr>
          <w:trHeight w:val="286"/>
        </w:trPr>
        <w:tc>
          <w:tcPr>
            <w:tcW w:w="1078" w:type="dxa"/>
            <w:shd w:val="clear" w:color="auto" w:fill="E2EFD9" w:themeFill="accent6" w:themeFillTint="33"/>
          </w:tcPr>
          <w:p w14:paraId="32F5354C" w14:textId="77777777" w:rsidR="00FC2404" w:rsidRPr="00496500" w:rsidRDefault="00FC2404" w:rsidP="00F84500">
            <w:pPr>
              <w:spacing w:after="120" w:line="240" w:lineRule="auto"/>
              <w:ind w:right="-2"/>
              <w:jc w:val="both"/>
              <w:rPr>
                <w:rFonts w:ascii="Times New Roman" w:hAnsi="Times New Roman" w:cs="Times New Roman"/>
                <w:bCs/>
              </w:rPr>
            </w:pPr>
            <w:r w:rsidRPr="00496500">
              <w:rPr>
                <w:rFonts w:ascii="Times New Roman" w:hAnsi="Times New Roman" w:cs="Times New Roman"/>
                <w:bCs/>
              </w:rPr>
              <w:t xml:space="preserve">България  </w:t>
            </w:r>
          </w:p>
        </w:tc>
        <w:tc>
          <w:tcPr>
            <w:tcW w:w="1341" w:type="dxa"/>
          </w:tcPr>
          <w:p w14:paraId="040A84AC" w14:textId="77777777" w:rsidR="00FC2404" w:rsidRPr="00496500" w:rsidRDefault="00FC2404" w:rsidP="00F84500">
            <w:pPr>
              <w:spacing w:after="120" w:line="240" w:lineRule="auto"/>
              <w:ind w:right="-2" w:hanging="14"/>
              <w:jc w:val="both"/>
              <w:rPr>
                <w:rFonts w:ascii="Times New Roman" w:hAnsi="Times New Roman" w:cs="Times New Roman"/>
                <w:bCs/>
              </w:rPr>
            </w:pPr>
            <w:r w:rsidRPr="00496500">
              <w:rPr>
                <w:rFonts w:ascii="Times New Roman" w:hAnsi="Times New Roman" w:cs="Times New Roman"/>
                <w:bCs/>
              </w:rPr>
              <w:t>110,996 km</w:t>
            </w:r>
          </w:p>
        </w:tc>
        <w:tc>
          <w:tcPr>
            <w:tcW w:w="1679" w:type="dxa"/>
          </w:tcPr>
          <w:p w14:paraId="229068B8" w14:textId="77777777" w:rsidR="00FC2404" w:rsidRPr="00496500" w:rsidRDefault="00FC2404" w:rsidP="00F84500">
            <w:pPr>
              <w:spacing w:after="120" w:line="240" w:lineRule="auto"/>
              <w:ind w:right="-2" w:hanging="29"/>
              <w:jc w:val="both"/>
              <w:rPr>
                <w:rFonts w:ascii="Times New Roman" w:hAnsi="Times New Roman" w:cs="Times New Roman"/>
                <w:bCs/>
              </w:rPr>
            </w:pPr>
            <w:r w:rsidRPr="00496500">
              <w:rPr>
                <w:rFonts w:ascii="Times New Roman" w:hAnsi="Times New Roman" w:cs="Times New Roman"/>
                <w:bCs/>
              </w:rPr>
              <w:t xml:space="preserve">22199,20  </w:t>
            </w:r>
          </w:p>
        </w:tc>
        <w:tc>
          <w:tcPr>
            <w:tcW w:w="1752" w:type="dxa"/>
          </w:tcPr>
          <w:p w14:paraId="190E1118" w14:textId="77777777" w:rsidR="00FC2404" w:rsidRPr="00496500" w:rsidRDefault="00FC2404" w:rsidP="00F84500">
            <w:pPr>
              <w:spacing w:after="120" w:line="240" w:lineRule="auto"/>
              <w:ind w:right="-2" w:firstLine="708"/>
              <w:jc w:val="both"/>
              <w:rPr>
                <w:rFonts w:ascii="Times New Roman" w:hAnsi="Times New Roman" w:cs="Times New Roman"/>
                <w:bCs/>
              </w:rPr>
            </w:pPr>
            <w:r w:rsidRPr="00496500">
              <w:rPr>
                <w:rFonts w:ascii="Times New Roman" w:hAnsi="Times New Roman" w:cs="Times New Roman"/>
                <w:bCs/>
              </w:rPr>
              <w:t xml:space="preserve">6529,18  </w:t>
            </w:r>
          </w:p>
        </w:tc>
        <w:tc>
          <w:tcPr>
            <w:tcW w:w="1890" w:type="dxa"/>
          </w:tcPr>
          <w:p w14:paraId="4BB28CAD" w14:textId="77777777" w:rsidR="00FC2404" w:rsidRPr="00496500" w:rsidRDefault="00FC2404" w:rsidP="00F84500">
            <w:pPr>
              <w:spacing w:after="120" w:line="240" w:lineRule="auto"/>
              <w:ind w:right="-2" w:firstLine="708"/>
              <w:jc w:val="both"/>
              <w:rPr>
                <w:rFonts w:ascii="Times New Roman" w:hAnsi="Times New Roman" w:cs="Times New Roman"/>
                <w:bCs/>
              </w:rPr>
            </w:pPr>
            <w:r w:rsidRPr="00496500">
              <w:rPr>
                <w:rFonts w:ascii="Times New Roman" w:hAnsi="Times New Roman" w:cs="Times New Roman"/>
                <w:bCs/>
              </w:rPr>
              <w:t xml:space="preserve">2707,22  </w:t>
            </w:r>
          </w:p>
        </w:tc>
        <w:tc>
          <w:tcPr>
            <w:tcW w:w="1890" w:type="dxa"/>
          </w:tcPr>
          <w:p w14:paraId="1BCBA337" w14:textId="77777777" w:rsidR="00FC2404" w:rsidRPr="00496500" w:rsidRDefault="00FC2404" w:rsidP="00F84500">
            <w:pPr>
              <w:spacing w:after="120" w:line="240" w:lineRule="auto"/>
              <w:ind w:right="-2" w:firstLine="708"/>
              <w:jc w:val="both"/>
              <w:rPr>
                <w:rFonts w:ascii="Times New Roman" w:hAnsi="Times New Roman" w:cs="Times New Roman"/>
                <w:bCs/>
              </w:rPr>
            </w:pPr>
            <w:r w:rsidRPr="00496500">
              <w:rPr>
                <w:rFonts w:ascii="Times New Roman" w:hAnsi="Times New Roman" w:cs="Times New Roman"/>
                <w:bCs/>
              </w:rPr>
              <w:t xml:space="preserve">1541,61  </w:t>
            </w:r>
          </w:p>
        </w:tc>
      </w:tr>
    </w:tbl>
    <w:p w14:paraId="55101E4C" w14:textId="3C891CA5" w:rsidR="00FC2404" w:rsidRPr="002F618B" w:rsidRDefault="00FC2404" w:rsidP="006D7474">
      <w:pPr>
        <w:spacing w:before="60"/>
        <w:ind w:left="992" w:hanging="992"/>
        <w:jc w:val="both"/>
        <w:rPr>
          <w:rFonts w:cs="Times New Roman"/>
          <w:sz w:val="20"/>
          <w:szCs w:val="20"/>
        </w:rPr>
      </w:pPr>
      <w:r w:rsidRPr="006D7474">
        <w:rPr>
          <w:rFonts w:ascii="Times New Roman" w:hAnsi="Times New Roman" w:cs="Times New Roman"/>
          <w:color w:val="44546A" w:themeColor="text2"/>
          <w:sz w:val="20"/>
          <w:szCs w:val="20"/>
        </w:rPr>
        <w:t>Източник:</w:t>
      </w:r>
      <w:r w:rsidR="004D45AE" w:rsidRPr="006D7474">
        <w:rPr>
          <w:rFonts w:ascii="Times New Roman" w:hAnsi="Times New Roman" w:cs="Times New Roman"/>
          <w:color w:val="44546A" w:themeColor="text2"/>
          <w:sz w:val="20"/>
          <w:szCs w:val="20"/>
        </w:rPr>
        <w:tab/>
      </w:r>
      <w:r w:rsidRPr="006D7474">
        <w:rPr>
          <w:rFonts w:ascii="Times New Roman" w:hAnsi="Times New Roman" w:cs="Times New Roman"/>
          <w:color w:val="44546A" w:themeColor="text2"/>
          <w:sz w:val="20"/>
          <w:szCs w:val="20"/>
        </w:rPr>
        <w:t xml:space="preserve">Edge Observatory for the Digital Decade, 2023 г. </w:t>
      </w:r>
    </w:p>
    <w:p w14:paraId="66671A74" w14:textId="77777777" w:rsidR="00F84500" w:rsidRPr="00496500" w:rsidRDefault="00F84500" w:rsidP="006E661C">
      <w:pPr>
        <w:spacing w:after="120" w:line="240" w:lineRule="auto"/>
        <w:ind w:right="-2" w:firstLine="706"/>
        <w:jc w:val="both"/>
        <w:rPr>
          <w:rFonts w:ascii="Times New Roman" w:hAnsi="Times New Roman" w:cs="Times New Roman"/>
          <w:sz w:val="24"/>
          <w:szCs w:val="24"/>
        </w:rPr>
      </w:pPr>
      <w:r w:rsidRPr="00496500">
        <w:rPr>
          <w:rFonts w:ascii="Times New Roman" w:hAnsi="Times New Roman" w:cs="Times New Roman"/>
          <w:sz w:val="24"/>
          <w:szCs w:val="24"/>
        </w:rPr>
        <w:t xml:space="preserve">До 2030 г. се очаква всеки възел да покрива 1541,61 квадратни километра, което представлява зряла мрежа с висока плътност на възлите. На този етап инфраструктурата ще предложи всеобхватно национално покритие, което ще даде възможност за усъвършенствани услуги и приложения, които изискват висока широчина на честотната лента и ниска латентност, прониквайки в повечето пазари, включително в селските райони. </w:t>
      </w:r>
    </w:p>
    <w:p w14:paraId="1C6ED3F9" w14:textId="1D3B23FC" w:rsidR="00F84500" w:rsidRPr="00496500" w:rsidRDefault="00F84500" w:rsidP="006E661C">
      <w:pPr>
        <w:spacing w:after="120" w:line="240" w:lineRule="auto"/>
        <w:ind w:right="-2" w:firstLine="706"/>
        <w:jc w:val="both"/>
        <w:rPr>
          <w:rFonts w:ascii="Times New Roman" w:hAnsi="Times New Roman" w:cs="Times New Roman"/>
          <w:sz w:val="24"/>
          <w:szCs w:val="24"/>
        </w:rPr>
      </w:pPr>
      <w:r w:rsidRPr="00496500">
        <w:rPr>
          <w:rFonts w:ascii="Times New Roman" w:hAnsi="Times New Roman" w:cs="Times New Roman"/>
          <w:sz w:val="24"/>
          <w:szCs w:val="24"/>
        </w:rPr>
        <w:t>Няколко водещи телекома (Vivacom, A1, Yettel) започват изграждане на инфраструктура за периферни възли в рамките на подготовката за 5G и IoT приложения. В градовете и индустриални</w:t>
      </w:r>
      <w:r w:rsidR="00FB4002" w:rsidRPr="00496500">
        <w:rPr>
          <w:rFonts w:ascii="Times New Roman" w:hAnsi="Times New Roman" w:cs="Times New Roman"/>
          <w:sz w:val="24"/>
          <w:szCs w:val="24"/>
        </w:rPr>
        <w:t>те</w:t>
      </w:r>
      <w:r w:rsidRPr="00496500">
        <w:rPr>
          <w:rFonts w:ascii="Times New Roman" w:hAnsi="Times New Roman" w:cs="Times New Roman"/>
          <w:sz w:val="24"/>
          <w:szCs w:val="24"/>
        </w:rPr>
        <w:t xml:space="preserve"> зони се използват периферни възли за локализирана обработка на данни – предимно в частни мрежи или с ограничено публично използване. В индустриални паркове (Пловдив, Бургас, София) се прилагат периферни възли за </w:t>
      </w:r>
      <w:r w:rsidRPr="00496500">
        <w:rPr>
          <w:rFonts w:ascii="Times New Roman" w:hAnsi="Times New Roman" w:cs="Times New Roman"/>
          <w:sz w:val="24"/>
          <w:szCs w:val="24"/>
        </w:rPr>
        <w:lastRenderedPageBreak/>
        <w:t xml:space="preserve">проследяване на активи, видеонаблюдение с ИИ, предиктивна поддръжка на машини. Към момента </w:t>
      </w:r>
      <w:r w:rsidRPr="00496500">
        <w:rPr>
          <w:rFonts w:ascii="Times New Roman" w:hAnsi="Times New Roman" w:cs="Times New Roman"/>
          <w:bCs/>
          <w:sz w:val="24"/>
          <w:szCs w:val="24"/>
        </w:rPr>
        <w:t xml:space="preserve">в </w:t>
      </w:r>
      <w:r w:rsidR="006D1619">
        <w:rPr>
          <w:rFonts w:ascii="Times New Roman" w:hAnsi="Times New Roman" w:cs="Times New Roman"/>
          <w:bCs/>
          <w:sz w:val="24"/>
          <w:szCs w:val="24"/>
        </w:rPr>
        <w:t>централната</w:t>
      </w:r>
      <w:r w:rsidR="006D1619" w:rsidRPr="00496500">
        <w:rPr>
          <w:rFonts w:ascii="Times New Roman" w:hAnsi="Times New Roman" w:cs="Times New Roman"/>
          <w:bCs/>
          <w:sz w:val="24"/>
          <w:szCs w:val="24"/>
        </w:rPr>
        <w:t xml:space="preserve"> </w:t>
      </w:r>
      <w:r w:rsidRPr="00496500">
        <w:rPr>
          <w:rFonts w:ascii="Times New Roman" w:hAnsi="Times New Roman" w:cs="Times New Roman"/>
          <w:bCs/>
          <w:sz w:val="24"/>
          <w:szCs w:val="24"/>
        </w:rPr>
        <w:t xml:space="preserve">и </w:t>
      </w:r>
      <w:r w:rsidR="006D1619">
        <w:rPr>
          <w:rFonts w:ascii="Times New Roman" w:hAnsi="Times New Roman" w:cs="Times New Roman"/>
          <w:bCs/>
          <w:sz w:val="24"/>
          <w:szCs w:val="24"/>
        </w:rPr>
        <w:t>териториалната (</w:t>
      </w:r>
      <w:r w:rsidRPr="00496500">
        <w:rPr>
          <w:rFonts w:ascii="Times New Roman" w:hAnsi="Times New Roman" w:cs="Times New Roman"/>
          <w:bCs/>
          <w:sz w:val="24"/>
          <w:szCs w:val="24"/>
        </w:rPr>
        <w:t>общинска</w:t>
      </w:r>
      <w:r w:rsidR="006D1619">
        <w:rPr>
          <w:rFonts w:ascii="Times New Roman" w:hAnsi="Times New Roman" w:cs="Times New Roman"/>
          <w:bCs/>
          <w:sz w:val="24"/>
          <w:szCs w:val="24"/>
        </w:rPr>
        <w:t>)</w:t>
      </w:r>
      <w:r w:rsidRPr="00496500">
        <w:rPr>
          <w:rFonts w:ascii="Times New Roman" w:hAnsi="Times New Roman" w:cs="Times New Roman"/>
          <w:bCs/>
          <w:sz w:val="24"/>
          <w:szCs w:val="24"/>
        </w:rPr>
        <w:t xml:space="preserve"> администрация липсва координирана архитектура или стратегия за разгръщане на периферни възли.</w:t>
      </w:r>
    </w:p>
    <w:p w14:paraId="62C6A649" w14:textId="3E76B8C0" w:rsidR="002E006B" w:rsidRPr="00496500" w:rsidRDefault="002E006B" w:rsidP="00B85E66">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Споделени информационни ресурси на електронното управление са комуникационната инфраструктура (Единната електронна съобщителна мрежа </w:t>
      </w:r>
      <w:r w:rsidR="00FB4002" w:rsidRPr="00496500">
        <w:rPr>
          <w:rFonts w:ascii="Times New Roman" w:hAnsi="Times New Roman" w:cs="Times New Roman"/>
          <w:sz w:val="24"/>
          <w:szCs w:val="24"/>
        </w:rPr>
        <w:t xml:space="preserve">на </w:t>
      </w:r>
      <w:r w:rsidRPr="00496500">
        <w:rPr>
          <w:rFonts w:ascii="Times New Roman" w:hAnsi="Times New Roman" w:cs="Times New Roman"/>
          <w:sz w:val="24"/>
          <w:szCs w:val="24"/>
        </w:rPr>
        <w:t>държавната администрация</w:t>
      </w:r>
      <w:r w:rsidR="00846F3A">
        <w:rPr>
          <w:rFonts w:ascii="Times New Roman" w:hAnsi="Times New Roman" w:cs="Times New Roman"/>
          <w:sz w:val="24"/>
          <w:szCs w:val="24"/>
        </w:rPr>
        <w:t>, ЕЕСМ</w:t>
      </w:r>
      <w:r w:rsidRPr="00496500">
        <w:rPr>
          <w:rFonts w:ascii="Times New Roman" w:hAnsi="Times New Roman" w:cs="Times New Roman"/>
          <w:sz w:val="24"/>
          <w:szCs w:val="24"/>
        </w:rPr>
        <w:t>), информационните центрове, защитеното споделено информационно пространство, хранилище за данни на електронното управление и Държавният хибриден частен облак</w:t>
      </w:r>
      <w:r w:rsidR="00846F3A">
        <w:rPr>
          <w:rFonts w:ascii="Times New Roman" w:hAnsi="Times New Roman" w:cs="Times New Roman"/>
          <w:sz w:val="24"/>
          <w:szCs w:val="24"/>
        </w:rPr>
        <w:t xml:space="preserve"> (ДХЧО)</w:t>
      </w:r>
      <w:r w:rsidRPr="00496500">
        <w:rPr>
          <w:rFonts w:ascii="Times New Roman" w:hAnsi="Times New Roman" w:cs="Times New Roman"/>
          <w:sz w:val="24"/>
          <w:szCs w:val="24"/>
        </w:rPr>
        <w:t xml:space="preserve">, които се създават, развиват и поддържат от Министерството на електронното управление </w:t>
      </w:r>
      <w:r w:rsidR="0052007B">
        <w:rPr>
          <w:rFonts w:ascii="Times New Roman" w:hAnsi="Times New Roman" w:cs="Times New Roman"/>
          <w:sz w:val="24"/>
          <w:szCs w:val="24"/>
        </w:rPr>
        <w:t xml:space="preserve">(МЕУ) </w:t>
      </w:r>
      <w:r w:rsidRPr="00496500">
        <w:rPr>
          <w:rFonts w:ascii="Times New Roman" w:hAnsi="Times New Roman" w:cs="Times New Roman"/>
          <w:sz w:val="24"/>
          <w:szCs w:val="24"/>
        </w:rPr>
        <w:t>и се използват споделено от останалите административни органи. Към средата на 2025 г. са предоставени следните облачни услуги: „Инфраструктура като услуга“ (Infrastructure as a Service-IaaS) – 63 организации; общ брой на конфигурираните многопотребителски виртуални среди във Виртуалния център за данни и виртуалния частен облак – 137; Web електронна поща – 119 организации; услуг</w:t>
      </w:r>
      <w:r w:rsidR="00924804" w:rsidRPr="00496500">
        <w:rPr>
          <w:rFonts w:ascii="Times New Roman" w:hAnsi="Times New Roman" w:cs="Times New Roman"/>
          <w:sz w:val="24"/>
          <w:szCs w:val="24"/>
        </w:rPr>
        <w:t>а „Back up“ – 42 администрации.</w:t>
      </w:r>
    </w:p>
    <w:p w14:paraId="79E62C83" w14:textId="731CAB9F" w:rsidR="00CD0B88" w:rsidRPr="00496500" w:rsidRDefault="002E006B" w:rsidP="00B21111">
      <w:pPr>
        <w:spacing w:after="24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ЕЕСМ предоставя високоскоростен, надежден и сигурен пренос на данни, глас и видео с гарантирано качество 365/24/7 за нуждите на държавното управление и националната сигурност. С изпълнението на Дейност 1 от проект „Широкомащабно разгръщане на цифрова инфраструктура“ по НПВУ се предвижда развитие на държавната опорна мрежа чрез увеличаване на нейния преносен капацитет и осигуряване на свързаност с всички общински центрове, като се модернизира и разшири ЕЕСМ до допълнителни 185 общински центъра и се изградят сигурни, устойчиви на кибератаки комуникации и интернет.</w:t>
      </w:r>
    </w:p>
    <w:p w14:paraId="0E46904F" w14:textId="77777777" w:rsidR="00A17DC3" w:rsidRPr="00496500" w:rsidRDefault="00A17DC3" w:rsidP="009C5586">
      <w:pPr>
        <w:pStyle w:val="ListParagraph"/>
        <w:numPr>
          <w:ilvl w:val="1"/>
          <w:numId w:val="10"/>
        </w:numPr>
        <w:spacing w:before="120" w:after="120" w:line="240" w:lineRule="auto"/>
        <w:ind w:left="567" w:hanging="567"/>
        <w:contextualSpacing w:val="0"/>
        <w:outlineLvl w:val="1"/>
        <w:rPr>
          <w:rFonts w:ascii="Times New Roman" w:hAnsi="Times New Roman" w:cs="Times New Roman"/>
          <w:b/>
          <w:sz w:val="24"/>
          <w:szCs w:val="24"/>
        </w:rPr>
      </w:pPr>
      <w:bookmarkStart w:id="8" w:name="_Toc209084887"/>
      <w:r w:rsidRPr="00496500">
        <w:rPr>
          <w:rFonts w:ascii="Times New Roman" w:hAnsi="Times New Roman" w:cs="Times New Roman"/>
          <w:b/>
          <w:sz w:val="24"/>
          <w:szCs w:val="24"/>
        </w:rPr>
        <w:t>Публичен сектор</w:t>
      </w:r>
      <w:bookmarkEnd w:id="8"/>
    </w:p>
    <w:p w14:paraId="441ADDC6" w14:textId="77777777" w:rsidR="00A41F42" w:rsidRPr="00496500" w:rsidRDefault="00BA1FAD" w:rsidP="003B412E">
      <w:pPr>
        <w:pStyle w:val="ListParagraph"/>
        <w:numPr>
          <w:ilvl w:val="2"/>
          <w:numId w:val="10"/>
        </w:numPr>
        <w:spacing w:after="120" w:line="240" w:lineRule="auto"/>
        <w:ind w:left="1134" w:hanging="567"/>
        <w:contextualSpacing w:val="0"/>
        <w:rPr>
          <w:rFonts w:ascii="Times New Roman" w:hAnsi="Times New Roman" w:cs="Times New Roman"/>
          <w:sz w:val="24"/>
          <w:szCs w:val="24"/>
        </w:rPr>
      </w:pPr>
      <w:r w:rsidRPr="00496500">
        <w:rPr>
          <w:rFonts w:ascii="Times New Roman" w:hAnsi="Times New Roman" w:cs="Times New Roman"/>
          <w:b/>
          <w:bCs/>
          <w:sz w:val="24"/>
          <w:szCs w:val="24"/>
        </w:rPr>
        <w:t>Области на политики</w:t>
      </w:r>
    </w:p>
    <w:p w14:paraId="55BABBD0" w14:textId="1E4A2CA4" w:rsidR="00B03A66" w:rsidRPr="00496500" w:rsidRDefault="00B03A66"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С</w:t>
      </w:r>
      <w:r w:rsidR="00C570F1">
        <w:rPr>
          <w:rFonts w:ascii="Times New Roman" w:hAnsi="Times New Roman" w:cs="Times New Roman"/>
          <w:sz w:val="24"/>
          <w:szCs w:val="24"/>
        </w:rPr>
        <w:t>ъгласно</w:t>
      </w:r>
      <w:r w:rsidRPr="00496500">
        <w:rPr>
          <w:rFonts w:ascii="Times New Roman" w:hAnsi="Times New Roman" w:cs="Times New Roman"/>
          <w:sz w:val="24"/>
          <w:szCs w:val="24"/>
        </w:rPr>
        <w:t xml:space="preserve"> Решение на Министерския съвет № 163 от 21 март 2014 г. области</w:t>
      </w:r>
      <w:r w:rsidR="00C570F1">
        <w:rPr>
          <w:rFonts w:ascii="Times New Roman" w:hAnsi="Times New Roman" w:cs="Times New Roman"/>
          <w:sz w:val="24"/>
          <w:szCs w:val="24"/>
        </w:rPr>
        <w:t>те,</w:t>
      </w:r>
      <w:r w:rsidRPr="00496500">
        <w:rPr>
          <w:rFonts w:ascii="Times New Roman" w:hAnsi="Times New Roman" w:cs="Times New Roman"/>
          <w:sz w:val="24"/>
          <w:szCs w:val="24"/>
        </w:rPr>
        <w:t xml:space="preserve"> в които следва да се развива и наблюдава електронното управление</w:t>
      </w:r>
      <w:r w:rsidR="005760B5">
        <w:rPr>
          <w:rFonts w:ascii="Times New Roman" w:hAnsi="Times New Roman" w:cs="Times New Roman"/>
          <w:sz w:val="24"/>
          <w:szCs w:val="24"/>
        </w:rPr>
        <w:t xml:space="preserve"> </w:t>
      </w:r>
      <w:r w:rsidR="00C570F1">
        <w:rPr>
          <w:rFonts w:ascii="Times New Roman" w:hAnsi="Times New Roman" w:cs="Times New Roman"/>
          <w:sz w:val="24"/>
          <w:szCs w:val="24"/>
        </w:rPr>
        <w:t>са</w:t>
      </w:r>
      <w:r w:rsidR="005760B5">
        <w:rPr>
          <w:rFonts w:ascii="Times New Roman" w:hAnsi="Times New Roman" w:cs="Times New Roman"/>
          <w:sz w:val="24"/>
          <w:szCs w:val="24"/>
        </w:rPr>
        <w:t>:</w:t>
      </w:r>
      <w:r w:rsidR="003B56D5" w:rsidRPr="00496500">
        <w:rPr>
          <w:rFonts w:ascii="Times New Roman" w:hAnsi="Times New Roman" w:cs="Times New Roman"/>
          <w:sz w:val="24"/>
          <w:szCs w:val="24"/>
        </w:rPr>
        <w:t xml:space="preserve"> правосъдие; здравеопазване; образование и учене през целия живот; политика, демокрация и гражданско общество; обществена сигурност и борба с корупцията; наука, иновации и конкурентоспособност; култура и културно наследство; енергетика и енергийна ефективност; опазване на околната среда; търговия, пазари и защита на потребителите; управление на предприятия и производствена дейност; инвестиции и финанси; данъци и мита; информационни технологии и индустрии на знанието; транспорт и комуникации; медии, съдържание и права; туризъм, спорт и здравословен начин на живот; социална политика и трудова заетост; </w:t>
      </w:r>
      <w:r w:rsidR="00D603F0" w:rsidRPr="00496500">
        <w:rPr>
          <w:rFonts w:ascii="Times New Roman" w:hAnsi="Times New Roman" w:cs="Times New Roman"/>
          <w:sz w:val="24"/>
          <w:szCs w:val="24"/>
        </w:rPr>
        <w:t xml:space="preserve">приобщаване и културно многообразие; </w:t>
      </w:r>
      <w:r w:rsidR="003B56D5" w:rsidRPr="00496500">
        <w:rPr>
          <w:rFonts w:ascii="Times New Roman" w:hAnsi="Times New Roman" w:cs="Times New Roman"/>
          <w:sz w:val="24"/>
          <w:szCs w:val="24"/>
        </w:rPr>
        <w:t xml:space="preserve">регионално, общинско и градско управление; </w:t>
      </w:r>
      <w:r w:rsidR="00D603F0" w:rsidRPr="00496500">
        <w:rPr>
          <w:rFonts w:ascii="Times New Roman" w:hAnsi="Times New Roman" w:cs="Times New Roman"/>
          <w:sz w:val="24"/>
          <w:szCs w:val="24"/>
        </w:rPr>
        <w:t>земеделие; международни отношения и българска диаспора; и архив и архивиране на документи.</w:t>
      </w:r>
    </w:p>
    <w:p w14:paraId="77C3EDF4" w14:textId="7A2F3098" w:rsidR="006F042A" w:rsidRPr="00496500" w:rsidRDefault="00D603F0" w:rsidP="009F6CD7">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В периода след 2014 г. </w:t>
      </w:r>
      <w:r w:rsidR="0019669D" w:rsidRPr="00496500">
        <w:rPr>
          <w:rFonts w:ascii="Times New Roman" w:hAnsi="Times New Roman" w:cs="Times New Roman"/>
          <w:sz w:val="24"/>
          <w:szCs w:val="24"/>
        </w:rPr>
        <w:t>са</w:t>
      </w:r>
      <w:r w:rsidRPr="00496500">
        <w:rPr>
          <w:rFonts w:ascii="Times New Roman" w:hAnsi="Times New Roman" w:cs="Times New Roman"/>
          <w:sz w:val="24"/>
          <w:szCs w:val="24"/>
        </w:rPr>
        <w:t xml:space="preserve"> направени опити за разработване на </w:t>
      </w:r>
      <w:r w:rsidR="00507837" w:rsidRPr="00496500">
        <w:rPr>
          <w:rFonts w:ascii="Times New Roman" w:hAnsi="Times New Roman" w:cs="Times New Roman"/>
          <w:sz w:val="24"/>
          <w:szCs w:val="24"/>
        </w:rPr>
        <w:t xml:space="preserve">самостоятелни </w:t>
      </w:r>
      <w:r w:rsidRPr="00496500">
        <w:rPr>
          <w:rFonts w:ascii="Times New Roman" w:hAnsi="Times New Roman" w:cs="Times New Roman"/>
          <w:sz w:val="24"/>
          <w:szCs w:val="24"/>
        </w:rPr>
        <w:t xml:space="preserve">стратегически документи за развитие на ЕУ в няколко от изброените области на политики. Част от тях са приети с решения на Министерския съвет, докато </w:t>
      </w:r>
      <w:r w:rsidR="0019669D" w:rsidRPr="00496500">
        <w:rPr>
          <w:rFonts w:ascii="Times New Roman" w:hAnsi="Times New Roman" w:cs="Times New Roman"/>
          <w:sz w:val="24"/>
          <w:szCs w:val="24"/>
        </w:rPr>
        <w:t xml:space="preserve">към </w:t>
      </w:r>
      <w:r w:rsidRPr="00496500">
        <w:rPr>
          <w:rFonts w:ascii="Times New Roman" w:hAnsi="Times New Roman" w:cs="Times New Roman"/>
          <w:sz w:val="24"/>
          <w:szCs w:val="24"/>
        </w:rPr>
        <w:t xml:space="preserve">други </w:t>
      </w:r>
      <w:r w:rsidR="0019669D" w:rsidRPr="00496500">
        <w:rPr>
          <w:rFonts w:ascii="Times New Roman" w:hAnsi="Times New Roman" w:cs="Times New Roman"/>
          <w:sz w:val="24"/>
          <w:szCs w:val="24"/>
        </w:rPr>
        <w:t>са предоставени</w:t>
      </w:r>
      <w:r w:rsidR="006F042A" w:rsidRPr="00496500">
        <w:rPr>
          <w:rFonts w:ascii="Times New Roman" w:hAnsi="Times New Roman" w:cs="Times New Roman"/>
          <w:sz w:val="24"/>
          <w:szCs w:val="24"/>
        </w:rPr>
        <w:t xml:space="preserve"> </w:t>
      </w:r>
      <w:r w:rsidR="0019669D" w:rsidRPr="00496500">
        <w:rPr>
          <w:rFonts w:ascii="Times New Roman" w:hAnsi="Times New Roman" w:cs="Times New Roman"/>
          <w:sz w:val="24"/>
          <w:szCs w:val="24"/>
        </w:rPr>
        <w:t xml:space="preserve">от страна на министъра на електронното управление </w:t>
      </w:r>
      <w:r w:rsidR="006F042A" w:rsidRPr="00496500">
        <w:rPr>
          <w:rFonts w:ascii="Times New Roman" w:hAnsi="Times New Roman" w:cs="Times New Roman"/>
          <w:sz w:val="24"/>
          <w:szCs w:val="24"/>
        </w:rPr>
        <w:t>насоки за доработване</w:t>
      </w:r>
      <w:r w:rsidR="009F6CD7">
        <w:rPr>
          <w:rStyle w:val="FootnoteReference"/>
          <w:rFonts w:ascii="Times New Roman" w:hAnsi="Times New Roman" w:cs="Times New Roman"/>
          <w:sz w:val="24"/>
          <w:szCs w:val="24"/>
        </w:rPr>
        <w:footnoteReference w:id="17"/>
      </w:r>
      <w:r w:rsidR="006F042A" w:rsidRPr="00496500">
        <w:rPr>
          <w:rFonts w:ascii="Times New Roman" w:hAnsi="Times New Roman" w:cs="Times New Roman"/>
          <w:sz w:val="24"/>
          <w:szCs w:val="24"/>
        </w:rPr>
        <w:t>. Понастоящем действащи са стратегиите за развитие на електронното управление в Агенция „Митници“ (</w:t>
      </w:r>
      <w:r w:rsidR="008F0741">
        <w:rPr>
          <w:rFonts w:ascii="Times New Roman" w:hAnsi="Times New Roman" w:cs="Times New Roman"/>
          <w:sz w:val="24"/>
          <w:szCs w:val="24"/>
        </w:rPr>
        <w:t>„е-Митници</w:t>
      </w:r>
      <w:r w:rsidR="008F0741" w:rsidRPr="008F0741">
        <w:rPr>
          <w:rFonts w:ascii="Times New Roman" w:hAnsi="Times New Roman" w:cs="Times New Roman"/>
          <w:sz w:val="24"/>
          <w:szCs w:val="24"/>
        </w:rPr>
        <w:t xml:space="preserve">” </w:t>
      </w:r>
      <w:r w:rsidR="006F042A" w:rsidRPr="00496500">
        <w:rPr>
          <w:rFonts w:ascii="Times New Roman" w:hAnsi="Times New Roman" w:cs="Times New Roman"/>
          <w:sz w:val="24"/>
          <w:szCs w:val="24"/>
        </w:rPr>
        <w:t xml:space="preserve">2021 – 2027 г.), в Националния осигурителен институт </w:t>
      </w:r>
      <w:r w:rsidR="008F0741">
        <w:rPr>
          <w:rFonts w:ascii="Times New Roman" w:hAnsi="Times New Roman" w:cs="Times New Roman"/>
          <w:sz w:val="24"/>
          <w:szCs w:val="24"/>
        </w:rPr>
        <w:t>(</w:t>
      </w:r>
      <w:r w:rsidR="006F042A" w:rsidRPr="00496500">
        <w:rPr>
          <w:rFonts w:ascii="Times New Roman" w:hAnsi="Times New Roman" w:cs="Times New Roman"/>
          <w:sz w:val="24"/>
          <w:szCs w:val="24"/>
        </w:rPr>
        <w:t>„е-</w:t>
      </w:r>
      <w:r w:rsidR="008F0741">
        <w:rPr>
          <w:rFonts w:ascii="Times New Roman" w:hAnsi="Times New Roman" w:cs="Times New Roman"/>
          <w:sz w:val="24"/>
          <w:szCs w:val="24"/>
        </w:rPr>
        <w:t>О</w:t>
      </w:r>
      <w:r w:rsidR="006F042A" w:rsidRPr="00496500">
        <w:rPr>
          <w:rFonts w:ascii="Times New Roman" w:hAnsi="Times New Roman" w:cs="Times New Roman"/>
          <w:sz w:val="24"/>
          <w:szCs w:val="24"/>
        </w:rPr>
        <w:t xml:space="preserve">сигуряване” 2018 – 2025 г.), </w:t>
      </w:r>
      <w:r w:rsidR="009F6CD7" w:rsidRPr="00765780">
        <w:rPr>
          <w:rFonts w:ascii="Times New Roman" w:hAnsi="Times New Roman" w:cs="Times New Roman"/>
          <w:sz w:val="24"/>
          <w:szCs w:val="24"/>
        </w:rPr>
        <w:t xml:space="preserve">Национална стратегия за цифрова трансформация на строителния сектор 2030 г., </w:t>
      </w:r>
      <w:r w:rsidR="006F042A" w:rsidRPr="00496500">
        <w:rPr>
          <w:rFonts w:ascii="Times New Roman" w:hAnsi="Times New Roman" w:cs="Times New Roman"/>
          <w:sz w:val="24"/>
          <w:szCs w:val="24"/>
        </w:rPr>
        <w:t>както и Национална стратегия за електронно здравеопазване и дигитализация на здравната система 2030 г</w:t>
      </w:r>
      <w:r w:rsidR="009B1281">
        <w:rPr>
          <w:rFonts w:ascii="Times New Roman" w:hAnsi="Times New Roman" w:cs="Times New Roman"/>
          <w:sz w:val="24"/>
          <w:szCs w:val="24"/>
        </w:rPr>
        <w:t>.</w:t>
      </w:r>
    </w:p>
    <w:p w14:paraId="328CB037" w14:textId="77777777" w:rsidR="00B03A66" w:rsidRPr="00496500" w:rsidRDefault="00507837"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lastRenderedPageBreak/>
        <w:t xml:space="preserve">Отделно от така изброените области на политики, към момента е действаща и </w:t>
      </w:r>
      <w:r w:rsidR="008C1E48" w:rsidRPr="00496500">
        <w:rPr>
          <w:rFonts w:ascii="Times New Roman" w:hAnsi="Times New Roman" w:cs="Times New Roman"/>
          <w:sz w:val="24"/>
          <w:szCs w:val="24"/>
        </w:rPr>
        <w:t xml:space="preserve">Националната стратегия </w:t>
      </w:r>
      <w:r w:rsidR="0074753A" w:rsidRPr="00496500">
        <w:rPr>
          <w:rFonts w:ascii="Times New Roman" w:hAnsi="Times New Roman" w:cs="Times New Roman"/>
          <w:sz w:val="24"/>
          <w:szCs w:val="24"/>
        </w:rPr>
        <w:t>за цифрова трансформация на строителния сектор 2030 г.</w:t>
      </w:r>
    </w:p>
    <w:p w14:paraId="5A50EA26" w14:textId="1E9F4D9F" w:rsidR="006A217F" w:rsidRPr="00496500" w:rsidRDefault="00CE2ADF" w:rsidP="003B412E">
      <w:pPr>
        <w:pStyle w:val="ListParagraph"/>
        <w:numPr>
          <w:ilvl w:val="2"/>
          <w:numId w:val="10"/>
        </w:numPr>
        <w:spacing w:after="120" w:line="240" w:lineRule="auto"/>
        <w:ind w:left="1276" w:hanging="709"/>
        <w:contextualSpacing w:val="0"/>
        <w:rPr>
          <w:rFonts w:ascii="Times New Roman" w:hAnsi="Times New Roman" w:cs="Times New Roman"/>
          <w:b/>
          <w:bCs/>
          <w:sz w:val="24"/>
          <w:szCs w:val="24"/>
        </w:rPr>
      </w:pPr>
      <w:r w:rsidRPr="00496500">
        <w:rPr>
          <w:rFonts w:ascii="Times New Roman" w:hAnsi="Times New Roman" w:cs="Times New Roman"/>
          <w:b/>
          <w:bCs/>
          <w:sz w:val="24"/>
          <w:szCs w:val="24"/>
        </w:rPr>
        <w:t>П</w:t>
      </w:r>
      <w:r w:rsidR="00643145" w:rsidRPr="00496500">
        <w:rPr>
          <w:rFonts w:ascii="Times New Roman" w:hAnsi="Times New Roman" w:cs="Times New Roman"/>
          <w:b/>
          <w:bCs/>
          <w:sz w:val="24"/>
          <w:szCs w:val="24"/>
        </w:rPr>
        <w:t>ублични услуги</w:t>
      </w:r>
      <w:r w:rsidR="001C07B1" w:rsidRPr="00496500">
        <w:rPr>
          <w:rFonts w:ascii="Times New Roman" w:hAnsi="Times New Roman" w:cs="Times New Roman"/>
          <w:b/>
          <w:bCs/>
          <w:sz w:val="24"/>
          <w:szCs w:val="24"/>
        </w:rPr>
        <w:t xml:space="preserve"> </w:t>
      </w:r>
    </w:p>
    <w:p w14:paraId="0385B449" w14:textId="77777777" w:rsidR="004A25E7" w:rsidRDefault="00D826AC" w:rsidP="008016DF">
      <w:pPr>
        <w:pStyle w:val="BodyText"/>
        <w:spacing w:after="120"/>
        <w:ind w:left="0" w:firstLine="709"/>
        <w:rPr>
          <w:rFonts w:eastAsia="Calibri"/>
          <w:color w:val="000000"/>
        </w:rPr>
      </w:pPr>
      <w:r w:rsidRPr="00496500">
        <w:t xml:space="preserve">В отговор на нарастващите </w:t>
      </w:r>
      <w:r w:rsidR="008E4D3F" w:rsidRPr="00496500">
        <w:t>нужди и очаквания на гражданите и бизнеса</w:t>
      </w:r>
      <w:r w:rsidRPr="00496500">
        <w:t xml:space="preserve">, администрациите </w:t>
      </w:r>
      <w:r w:rsidR="002D720B" w:rsidRPr="00496500">
        <w:t>постоянно</w:t>
      </w:r>
      <w:r w:rsidRPr="00496500">
        <w:t xml:space="preserve"> разширяват и оптимизират своите услуги, следвайки стабилен път към по-напреднало електронно управление.</w:t>
      </w:r>
      <w:r w:rsidR="002D720B" w:rsidRPr="00496500">
        <w:rPr>
          <w:rFonts w:eastAsia="Calibri"/>
          <w:color w:val="000000"/>
        </w:rPr>
        <w:t xml:space="preserve"> </w:t>
      </w:r>
      <w:r w:rsidR="00237799" w:rsidRPr="00496500">
        <w:rPr>
          <w:rFonts w:eastAsia="Calibri"/>
          <w:color w:val="000000"/>
        </w:rPr>
        <w:t xml:space="preserve">Налице са напредък по правната рамка за цифрови услуги, добре развита система за електронно управление и цифровизация на все повече услуги. Непрекъснато се подобряват административните процеси, за да облекчават тежестта за гражданите и предприятията. </w:t>
      </w:r>
    </w:p>
    <w:p w14:paraId="5657E039" w14:textId="6998B325" w:rsidR="00604F3B" w:rsidRDefault="00604F3B" w:rsidP="008016DF">
      <w:pPr>
        <w:pStyle w:val="BodyText"/>
        <w:spacing w:after="120"/>
        <w:ind w:left="0" w:firstLine="709"/>
        <w:rPr>
          <w:rFonts w:eastAsia="Calibri"/>
          <w:color w:val="000000"/>
        </w:rPr>
      </w:pPr>
      <w:r w:rsidRPr="00604F3B">
        <w:rPr>
          <w:rFonts w:eastAsia="Calibri"/>
          <w:color w:val="000000"/>
        </w:rPr>
        <w:t xml:space="preserve">Националните цели за 2030 г. за цифровизация на публичните услуги съвпадат с общоевропейските цели на десетилетието </w:t>
      </w:r>
      <w:r w:rsidRPr="00604F3B">
        <w:rPr>
          <w:rFonts w:eastAsia="Calibri"/>
          <w:color w:val="000000"/>
        </w:rPr>
        <w:sym w:font="Symbol" w:char="F02D"/>
      </w:r>
      <w:r w:rsidRPr="00604F3B">
        <w:rPr>
          <w:rFonts w:eastAsia="Calibri"/>
          <w:color w:val="000000"/>
        </w:rPr>
        <w:t xml:space="preserve"> 100% онлайн достъп до ключови публични услуги, 100% от гражданите да имат достъп до своите електронни здравни досиета и до сигурни средства за електронна идентификация (eID), признати в целия ЕС.</w:t>
      </w:r>
    </w:p>
    <w:p w14:paraId="6D33882C" w14:textId="7A05D4C6" w:rsidR="008016DF" w:rsidRPr="00496500" w:rsidRDefault="00237799" w:rsidP="008016DF">
      <w:pPr>
        <w:pStyle w:val="BodyText"/>
        <w:spacing w:after="120"/>
        <w:ind w:left="0" w:firstLine="709"/>
      </w:pPr>
      <w:r w:rsidRPr="00496500">
        <w:rPr>
          <w:rFonts w:eastAsia="Calibri"/>
          <w:color w:val="000000"/>
        </w:rPr>
        <w:t xml:space="preserve">Видно от резултатите </w:t>
      </w:r>
      <w:r w:rsidR="00B1758D" w:rsidRPr="00496500">
        <w:rPr>
          <w:rFonts w:eastAsia="Calibri"/>
          <w:color w:val="000000"/>
        </w:rPr>
        <w:t xml:space="preserve">в DESI </w:t>
      </w:r>
      <w:r w:rsidR="00D03C4C" w:rsidRPr="00496500">
        <w:rPr>
          <w:rFonts w:eastAsia="Calibri"/>
          <w:color w:val="000000"/>
        </w:rPr>
        <w:t xml:space="preserve">2025 </w:t>
      </w:r>
      <w:r w:rsidRPr="00496500">
        <w:rPr>
          <w:rFonts w:eastAsia="Calibri"/>
          <w:color w:val="000000"/>
        </w:rPr>
        <w:t>по</w:t>
      </w:r>
      <w:r w:rsidR="005C0447" w:rsidRPr="00496500">
        <w:rPr>
          <w:rFonts w:eastAsia="Calibri"/>
          <w:color w:val="000000"/>
        </w:rPr>
        <w:t xml:space="preserve"> показателите за цифрови </w:t>
      </w:r>
      <w:r w:rsidR="00A101D1" w:rsidRPr="00496500">
        <w:rPr>
          <w:rFonts w:eastAsia="Calibri"/>
          <w:color w:val="000000"/>
        </w:rPr>
        <w:t>публични</w:t>
      </w:r>
      <w:r w:rsidR="005C0447" w:rsidRPr="00496500">
        <w:rPr>
          <w:rFonts w:eastAsia="Calibri"/>
          <w:color w:val="000000"/>
        </w:rPr>
        <w:t xml:space="preserve"> услуги</w:t>
      </w:r>
      <w:r w:rsidRPr="00496500">
        <w:rPr>
          <w:rFonts w:eastAsia="Calibri"/>
          <w:color w:val="000000"/>
        </w:rPr>
        <w:t xml:space="preserve"> </w:t>
      </w:r>
      <w:r w:rsidR="00B1758D" w:rsidRPr="00496500">
        <w:rPr>
          <w:rFonts w:eastAsia="Calibri"/>
          <w:color w:val="000000"/>
        </w:rPr>
        <w:t>за гражданите и бизнеса</w:t>
      </w:r>
      <w:r w:rsidR="005C0447" w:rsidRPr="00496500">
        <w:rPr>
          <w:rFonts w:eastAsia="Calibri"/>
          <w:color w:val="000000"/>
        </w:rPr>
        <w:t xml:space="preserve">, България поддържа </w:t>
      </w:r>
      <w:r w:rsidR="00B1758D" w:rsidRPr="00496500">
        <w:rPr>
          <w:rFonts w:eastAsia="Calibri"/>
          <w:color w:val="000000"/>
        </w:rPr>
        <w:t xml:space="preserve">положителна </w:t>
      </w:r>
      <w:r w:rsidR="005C0447" w:rsidRPr="00496500">
        <w:rPr>
          <w:rFonts w:eastAsia="Calibri"/>
          <w:color w:val="000000"/>
        </w:rPr>
        <w:t xml:space="preserve">тенденция към </w:t>
      </w:r>
      <w:r w:rsidR="00B1758D" w:rsidRPr="00496500">
        <w:rPr>
          <w:rFonts w:eastAsia="Calibri"/>
          <w:color w:val="000000"/>
        </w:rPr>
        <w:t>покачването им спрямо предходните години, съответно</w:t>
      </w:r>
      <w:r w:rsidR="00A5281F" w:rsidRPr="00496500">
        <w:rPr>
          <w:rFonts w:eastAsia="Calibri"/>
          <w:color w:val="000000"/>
        </w:rPr>
        <w:t xml:space="preserve"> 68</w:t>
      </w:r>
      <w:r w:rsidR="00B5505B">
        <w:rPr>
          <w:rFonts w:eastAsia="Calibri"/>
          <w:color w:val="000000"/>
        </w:rPr>
        <w:t>,</w:t>
      </w:r>
      <w:r w:rsidR="00A5281F" w:rsidRPr="00496500">
        <w:rPr>
          <w:rFonts w:eastAsia="Calibri"/>
          <w:color w:val="000000"/>
        </w:rPr>
        <w:t>0 точки (2024 г.) спрямо 67</w:t>
      </w:r>
      <w:r w:rsidR="007A7C99">
        <w:rPr>
          <w:rFonts w:eastAsia="Calibri"/>
          <w:color w:val="000000"/>
        </w:rPr>
        <w:t>,</w:t>
      </w:r>
      <w:r w:rsidR="00A5281F" w:rsidRPr="00496500">
        <w:rPr>
          <w:rFonts w:eastAsia="Calibri"/>
          <w:color w:val="000000"/>
        </w:rPr>
        <w:t>5 точки (2023 г.) и 94</w:t>
      </w:r>
      <w:r w:rsidR="007A7C99">
        <w:rPr>
          <w:rFonts w:eastAsia="Calibri"/>
          <w:color w:val="000000"/>
        </w:rPr>
        <w:t>,</w:t>
      </w:r>
      <w:r w:rsidR="00A5281F" w:rsidRPr="00496500">
        <w:rPr>
          <w:rFonts w:eastAsia="Calibri"/>
          <w:color w:val="000000"/>
        </w:rPr>
        <w:t>0 (2024 г.) спрямо 91</w:t>
      </w:r>
      <w:r w:rsidR="007A7C99">
        <w:rPr>
          <w:rFonts w:eastAsia="Calibri"/>
          <w:color w:val="000000"/>
        </w:rPr>
        <w:t>,</w:t>
      </w:r>
      <w:r w:rsidR="00B1758D" w:rsidRPr="00496500">
        <w:rPr>
          <w:rFonts w:eastAsia="Calibri"/>
          <w:color w:val="000000"/>
        </w:rPr>
        <w:t xml:space="preserve">9 точки (2023 г.). Следва да се отбележи, че по отношение на цифровите услуги, предлагани за бизнеса, страната изпреварва с почти 8 точки средното ниво за ЕС. </w:t>
      </w:r>
      <w:r w:rsidRPr="00496500">
        <w:rPr>
          <w:rFonts w:eastAsia="Calibri"/>
          <w:color w:val="000000"/>
        </w:rPr>
        <w:t>Въпреки значителната подкрепа по линия на политиката на сближаване в тази област</w:t>
      </w:r>
      <w:r w:rsidR="00C72112" w:rsidRPr="00496500">
        <w:rPr>
          <w:rFonts w:eastAsia="Calibri"/>
          <w:color w:val="000000"/>
        </w:rPr>
        <w:t xml:space="preserve"> и направените национални инвестиции</w:t>
      </w:r>
      <w:r w:rsidRPr="00496500">
        <w:rPr>
          <w:rFonts w:eastAsia="Calibri"/>
          <w:color w:val="000000"/>
        </w:rPr>
        <w:t>, България изостава по отношение на цялостните</w:t>
      </w:r>
      <w:r w:rsidR="00C72112" w:rsidRPr="00496500">
        <w:rPr>
          <w:rFonts w:eastAsia="Calibri"/>
          <w:color w:val="000000"/>
        </w:rPr>
        <w:t>, „от край до край“</w:t>
      </w:r>
      <w:r w:rsidR="00604F3B">
        <w:rPr>
          <w:rFonts w:eastAsia="Calibri"/>
          <w:color w:val="000000"/>
        </w:rPr>
        <w:t>,</w:t>
      </w:r>
      <w:r w:rsidRPr="00496500">
        <w:rPr>
          <w:rFonts w:eastAsia="Calibri"/>
          <w:color w:val="000000"/>
        </w:rPr>
        <w:t xml:space="preserve"> цифрови </w:t>
      </w:r>
      <w:r w:rsidR="00A101D1" w:rsidRPr="00496500">
        <w:rPr>
          <w:rFonts w:eastAsia="Calibri"/>
          <w:color w:val="000000"/>
        </w:rPr>
        <w:t>публични</w:t>
      </w:r>
      <w:r w:rsidRPr="00496500">
        <w:rPr>
          <w:rFonts w:eastAsia="Calibri"/>
          <w:color w:val="000000"/>
        </w:rPr>
        <w:t xml:space="preserve"> услуги за гражданите и използва</w:t>
      </w:r>
      <w:r w:rsidR="00604F3B">
        <w:rPr>
          <w:rFonts w:eastAsia="Calibri"/>
          <w:color w:val="000000"/>
        </w:rPr>
        <w:t>нето на</w:t>
      </w:r>
      <w:r w:rsidRPr="00496500">
        <w:rPr>
          <w:rFonts w:eastAsia="Calibri"/>
          <w:color w:val="000000"/>
        </w:rPr>
        <w:t xml:space="preserve"> услуги</w:t>
      </w:r>
      <w:r w:rsidR="00C72112" w:rsidRPr="00496500">
        <w:rPr>
          <w:rFonts w:eastAsia="Calibri"/>
          <w:color w:val="000000"/>
        </w:rPr>
        <w:t>те</w:t>
      </w:r>
      <w:r w:rsidRPr="00496500">
        <w:rPr>
          <w:rFonts w:eastAsia="Calibri"/>
          <w:color w:val="000000"/>
        </w:rPr>
        <w:t xml:space="preserve"> на електронно</w:t>
      </w:r>
      <w:r w:rsidR="00C72112" w:rsidRPr="00496500">
        <w:rPr>
          <w:rFonts w:eastAsia="Calibri"/>
          <w:color w:val="000000"/>
        </w:rPr>
        <w:t>то</w:t>
      </w:r>
      <w:r w:rsidRPr="00496500">
        <w:rPr>
          <w:rFonts w:eastAsia="Calibri"/>
          <w:color w:val="000000"/>
        </w:rPr>
        <w:t xml:space="preserve"> управление</w:t>
      </w:r>
      <w:r w:rsidR="00604F3B">
        <w:rPr>
          <w:rFonts w:eastAsia="Calibri"/>
          <w:color w:val="000000"/>
        </w:rPr>
        <w:t xml:space="preserve"> от българите</w:t>
      </w:r>
      <w:r w:rsidRPr="00496500">
        <w:rPr>
          <w:rFonts w:eastAsia="Calibri"/>
          <w:color w:val="000000"/>
        </w:rPr>
        <w:t xml:space="preserve">. Нисък дял от </w:t>
      </w:r>
      <w:r w:rsidR="00A101D1" w:rsidRPr="00496500">
        <w:rPr>
          <w:rFonts w:eastAsia="Calibri"/>
          <w:color w:val="000000"/>
        </w:rPr>
        <w:t>публични</w:t>
      </w:r>
      <w:r w:rsidRPr="00496500">
        <w:rPr>
          <w:rFonts w:eastAsia="Calibri"/>
          <w:color w:val="000000"/>
        </w:rPr>
        <w:t xml:space="preserve">те услуги са изцяло онлайн, а липсата на цифрово приобщаване за </w:t>
      </w:r>
      <w:r w:rsidR="00C72112" w:rsidRPr="00496500">
        <w:rPr>
          <w:rFonts w:eastAsia="Calibri"/>
          <w:color w:val="000000"/>
        </w:rPr>
        <w:t>някои категории от обществото</w:t>
      </w:r>
      <w:r w:rsidRPr="00496500">
        <w:rPr>
          <w:rFonts w:eastAsia="Calibri"/>
          <w:color w:val="000000"/>
        </w:rPr>
        <w:t xml:space="preserve"> и </w:t>
      </w:r>
      <w:r w:rsidR="00C72112" w:rsidRPr="00496500">
        <w:rPr>
          <w:rFonts w:eastAsia="Calibri"/>
          <w:color w:val="000000"/>
        </w:rPr>
        <w:t>за живеещите</w:t>
      </w:r>
      <w:r w:rsidRPr="00496500">
        <w:rPr>
          <w:rFonts w:eastAsia="Calibri"/>
          <w:color w:val="000000"/>
        </w:rPr>
        <w:t xml:space="preserve"> в отдалечени</w:t>
      </w:r>
      <w:r w:rsidR="00C72112" w:rsidRPr="00496500">
        <w:rPr>
          <w:rFonts w:eastAsia="Calibri"/>
          <w:color w:val="000000"/>
        </w:rPr>
        <w:t>те</w:t>
      </w:r>
      <w:r w:rsidRPr="00496500">
        <w:rPr>
          <w:rFonts w:eastAsia="Calibri"/>
          <w:color w:val="000000"/>
        </w:rPr>
        <w:t xml:space="preserve"> райони, остава пречка за по-широкото </w:t>
      </w:r>
      <w:r w:rsidR="00C72112" w:rsidRPr="00496500">
        <w:rPr>
          <w:rFonts w:eastAsia="Calibri"/>
          <w:color w:val="000000"/>
        </w:rPr>
        <w:t xml:space="preserve">разгръщане на електронното управление и съответно за постигането на целите на </w:t>
      </w:r>
      <w:r w:rsidR="00AA68D1" w:rsidRPr="00496500">
        <w:rPr>
          <w:rFonts w:eastAsia="Calibri"/>
          <w:color w:val="000000"/>
        </w:rPr>
        <w:t>цифрова</w:t>
      </w:r>
      <w:r w:rsidR="00C72112" w:rsidRPr="00496500">
        <w:rPr>
          <w:rFonts w:eastAsia="Calibri"/>
          <w:color w:val="000000"/>
        </w:rPr>
        <w:t>та трансформация</w:t>
      </w:r>
      <w:r w:rsidRPr="00496500">
        <w:rPr>
          <w:rFonts w:eastAsia="Calibri"/>
          <w:color w:val="000000"/>
        </w:rPr>
        <w:t>.</w:t>
      </w:r>
      <w:r w:rsidR="008016DF" w:rsidRPr="00496500">
        <w:t xml:space="preserve"> </w:t>
      </w:r>
    </w:p>
    <w:p w14:paraId="6CFBEE0D" w14:textId="7278968B" w:rsidR="009E15C5" w:rsidRPr="00496500" w:rsidRDefault="009E15C5" w:rsidP="000750DD">
      <w:pPr>
        <w:autoSpaceDE w:val="0"/>
        <w:autoSpaceDN w:val="0"/>
        <w:adjustRightInd w:val="0"/>
        <w:spacing w:after="120" w:line="240" w:lineRule="auto"/>
        <w:ind w:firstLine="720"/>
        <w:jc w:val="both"/>
        <w:rPr>
          <w:rFonts w:ascii="Times New Roman" w:hAnsi="Times New Roman" w:cs="Times New Roman"/>
          <w:color w:val="000000" w:themeColor="text1"/>
          <w:sz w:val="24"/>
          <w:szCs w:val="24"/>
        </w:rPr>
      </w:pPr>
      <w:r w:rsidRPr="00496500">
        <w:rPr>
          <w:rFonts w:ascii="Times New Roman" w:hAnsi="Times New Roman" w:cs="Times New Roman"/>
          <w:color w:val="000000" w:themeColor="text1"/>
          <w:sz w:val="24"/>
          <w:szCs w:val="24"/>
        </w:rPr>
        <w:t xml:space="preserve">Въз основа на данните от </w:t>
      </w:r>
      <w:r w:rsidRPr="00496500">
        <w:rPr>
          <w:rFonts w:ascii="Times New Roman" w:eastAsia="Calibri" w:hAnsi="Times New Roman" w:cs="Times New Roman"/>
          <w:color w:val="000000" w:themeColor="text1"/>
          <w:sz w:val="24"/>
          <w:szCs w:val="24"/>
        </w:rPr>
        <w:t>Интегрирана информационна система на държавната администрация</w:t>
      </w:r>
      <w:r w:rsidRPr="00496500">
        <w:rPr>
          <w:rFonts w:ascii="Times New Roman" w:hAnsi="Times New Roman" w:cs="Times New Roman"/>
          <w:color w:val="000000" w:themeColor="text1"/>
          <w:sz w:val="24"/>
          <w:szCs w:val="24"/>
        </w:rPr>
        <w:t xml:space="preserve"> (</w:t>
      </w:r>
      <w:r w:rsidRPr="00496500">
        <w:rPr>
          <w:rFonts w:ascii="Times New Roman" w:hAnsi="Times New Roman" w:cs="Times New Roman"/>
          <w:sz w:val="24"/>
          <w:szCs w:val="24"/>
        </w:rPr>
        <w:t>ИИСДА</w:t>
      </w:r>
      <w:r w:rsidRPr="00496500">
        <w:rPr>
          <w:rStyle w:val="Hyperlink"/>
          <w:rFonts w:ascii="Times New Roman" w:hAnsi="Times New Roman" w:cs="Times New Roman"/>
          <w:color w:val="000000" w:themeColor="text1"/>
          <w:sz w:val="24"/>
          <w:szCs w:val="24"/>
        </w:rPr>
        <w:t>)</w:t>
      </w:r>
      <w:r w:rsidRPr="00496500">
        <w:rPr>
          <w:rFonts w:ascii="Times New Roman" w:hAnsi="Times New Roman" w:cs="Times New Roman"/>
          <w:color w:val="000000" w:themeColor="text1"/>
          <w:sz w:val="24"/>
          <w:szCs w:val="24"/>
        </w:rPr>
        <w:t>, през 2024 г. 528</w:t>
      </w:r>
      <w:r w:rsidRPr="00496500">
        <w:rPr>
          <w:rStyle w:val="FootnoteReference"/>
          <w:rFonts w:ascii="Times New Roman" w:hAnsi="Times New Roman" w:cs="Times New Roman"/>
          <w:color w:val="000000" w:themeColor="text1"/>
          <w:sz w:val="24"/>
          <w:szCs w:val="24"/>
        </w:rPr>
        <w:footnoteReference w:id="18"/>
      </w:r>
      <w:r w:rsidRPr="00496500">
        <w:rPr>
          <w:rFonts w:ascii="Times New Roman" w:hAnsi="Times New Roman" w:cs="Times New Roman"/>
          <w:color w:val="000000" w:themeColor="text1"/>
          <w:sz w:val="24"/>
          <w:szCs w:val="24"/>
        </w:rPr>
        <w:t xml:space="preserve"> администрации (89</w:t>
      </w:r>
      <w:r w:rsidR="007A7C99">
        <w:rPr>
          <w:rFonts w:ascii="Times New Roman" w:hAnsi="Times New Roman" w:cs="Times New Roman"/>
          <w:color w:val="000000" w:themeColor="text1"/>
          <w:sz w:val="24"/>
          <w:szCs w:val="24"/>
        </w:rPr>
        <w:t>,</w:t>
      </w:r>
      <w:r w:rsidRPr="00496500">
        <w:rPr>
          <w:rFonts w:ascii="Times New Roman" w:hAnsi="Times New Roman" w:cs="Times New Roman"/>
          <w:color w:val="000000" w:themeColor="text1"/>
          <w:sz w:val="24"/>
          <w:szCs w:val="24"/>
        </w:rPr>
        <w:t>80%) предоставят електронни административни услуги (ЕАУ), като е отчетен ръст с над 23% спрямо 2023 г. (съответно 404 администрации, 68</w:t>
      </w:r>
      <w:r w:rsidR="007A7C99">
        <w:rPr>
          <w:rFonts w:ascii="Times New Roman" w:hAnsi="Times New Roman" w:cs="Times New Roman"/>
          <w:color w:val="000000" w:themeColor="text1"/>
          <w:sz w:val="24"/>
          <w:szCs w:val="24"/>
        </w:rPr>
        <w:t>,</w:t>
      </w:r>
      <w:r w:rsidRPr="00496500">
        <w:rPr>
          <w:rFonts w:ascii="Times New Roman" w:hAnsi="Times New Roman" w:cs="Times New Roman"/>
          <w:color w:val="000000" w:themeColor="text1"/>
          <w:sz w:val="24"/>
          <w:szCs w:val="24"/>
        </w:rPr>
        <w:t xml:space="preserve">82%), когато почти 1/3 от администрациите не отчитат предоставяне на ЕАУ. Въпреки осезаемото нарастване за последните две години на администрациите, предоставящи ЕАУ, общият брой на заявените и предоставени ЕАУ остава почти еднакъв за </w:t>
      </w:r>
      <w:r w:rsidR="00985D9C" w:rsidRPr="00496500">
        <w:rPr>
          <w:rFonts w:ascii="Times New Roman" w:hAnsi="Times New Roman" w:cs="Times New Roman"/>
          <w:color w:val="000000" w:themeColor="text1"/>
          <w:sz w:val="24"/>
          <w:szCs w:val="24"/>
        </w:rPr>
        <w:t xml:space="preserve">двата </w:t>
      </w:r>
      <w:r w:rsidRPr="00496500">
        <w:rPr>
          <w:rFonts w:ascii="Times New Roman" w:hAnsi="Times New Roman" w:cs="Times New Roman"/>
          <w:color w:val="000000" w:themeColor="text1"/>
          <w:sz w:val="24"/>
          <w:szCs w:val="24"/>
        </w:rPr>
        <w:t xml:space="preserve">периода, съответно за 2023 г. – 1 218 513 978 и за 2024 </w:t>
      </w:r>
      <w:r w:rsidR="00A5281F" w:rsidRPr="00496500">
        <w:rPr>
          <w:rFonts w:ascii="Times New Roman" w:hAnsi="Times New Roman" w:cs="Times New Roman"/>
          <w:color w:val="000000" w:themeColor="text1"/>
          <w:sz w:val="24"/>
          <w:szCs w:val="24"/>
        </w:rPr>
        <w:t>г. - 1 222 483 996, т.е. едва 0</w:t>
      </w:r>
      <w:r w:rsidR="007A7C99">
        <w:rPr>
          <w:rFonts w:ascii="Times New Roman" w:hAnsi="Times New Roman" w:cs="Times New Roman"/>
          <w:color w:val="000000" w:themeColor="text1"/>
          <w:sz w:val="24"/>
          <w:szCs w:val="24"/>
        </w:rPr>
        <w:t>,</w:t>
      </w:r>
      <w:r w:rsidRPr="00496500">
        <w:rPr>
          <w:rFonts w:ascii="Times New Roman" w:hAnsi="Times New Roman" w:cs="Times New Roman"/>
          <w:color w:val="000000" w:themeColor="text1"/>
          <w:sz w:val="24"/>
          <w:szCs w:val="24"/>
        </w:rPr>
        <w:t>33% нарастване. На практика, обаче, в 100% от администрации се приемат, обработват и изпращат електронно подписани документи.</w:t>
      </w:r>
    </w:p>
    <w:p w14:paraId="17E8627C" w14:textId="60718F85" w:rsidR="00985D9C" w:rsidRPr="00496500" w:rsidRDefault="00985D9C" w:rsidP="000750DD">
      <w:pPr>
        <w:autoSpaceDE w:val="0"/>
        <w:autoSpaceDN w:val="0"/>
        <w:adjustRightInd w:val="0"/>
        <w:spacing w:after="120" w:line="240" w:lineRule="auto"/>
        <w:ind w:firstLine="720"/>
        <w:jc w:val="both"/>
        <w:rPr>
          <w:rFonts w:ascii="Times New Roman" w:hAnsi="Times New Roman" w:cs="Times New Roman"/>
          <w:color w:val="000000" w:themeColor="text1"/>
          <w:sz w:val="24"/>
          <w:szCs w:val="24"/>
        </w:rPr>
      </w:pPr>
      <w:r w:rsidRPr="00496500">
        <w:rPr>
          <w:rFonts w:ascii="Times New Roman" w:hAnsi="Times New Roman" w:cs="Times New Roman"/>
          <w:color w:val="000000" w:themeColor="text1"/>
          <w:sz w:val="24"/>
          <w:szCs w:val="24"/>
        </w:rPr>
        <w:t xml:space="preserve">Развитието на хоризонталните и </w:t>
      </w:r>
      <w:r w:rsidR="001D5F86" w:rsidRPr="00496500">
        <w:rPr>
          <w:rFonts w:ascii="Times New Roman" w:hAnsi="Times New Roman" w:cs="Times New Roman"/>
          <w:color w:val="000000" w:themeColor="text1"/>
          <w:sz w:val="24"/>
          <w:szCs w:val="24"/>
        </w:rPr>
        <w:t>централ</w:t>
      </w:r>
      <w:r w:rsidR="001D5F86">
        <w:rPr>
          <w:rFonts w:ascii="Times New Roman" w:hAnsi="Times New Roman" w:cs="Times New Roman"/>
          <w:color w:val="000000" w:themeColor="text1"/>
          <w:sz w:val="24"/>
          <w:szCs w:val="24"/>
        </w:rPr>
        <w:t>изираните</w:t>
      </w:r>
      <w:r w:rsidR="001D5F86" w:rsidRPr="00496500">
        <w:rPr>
          <w:rFonts w:ascii="Times New Roman" w:hAnsi="Times New Roman" w:cs="Times New Roman"/>
          <w:color w:val="000000" w:themeColor="text1"/>
          <w:sz w:val="24"/>
          <w:szCs w:val="24"/>
        </w:rPr>
        <w:t xml:space="preserve"> </w:t>
      </w:r>
      <w:r w:rsidRPr="00496500">
        <w:rPr>
          <w:rFonts w:ascii="Times New Roman" w:hAnsi="Times New Roman" w:cs="Times New Roman"/>
          <w:color w:val="000000" w:themeColor="text1"/>
          <w:sz w:val="24"/>
          <w:szCs w:val="24"/>
        </w:rPr>
        <w:t>системи на електронното управление</w:t>
      </w:r>
      <w:r w:rsidR="001D5F86">
        <w:rPr>
          <w:rStyle w:val="FootnoteReference"/>
          <w:rFonts w:ascii="Times New Roman" w:hAnsi="Times New Roman" w:cs="Times New Roman"/>
          <w:color w:val="000000" w:themeColor="text1"/>
          <w:sz w:val="24"/>
          <w:szCs w:val="24"/>
        </w:rPr>
        <w:footnoteReference w:id="19"/>
      </w:r>
      <w:r w:rsidRPr="00496500">
        <w:rPr>
          <w:rFonts w:ascii="Times New Roman" w:hAnsi="Times New Roman" w:cs="Times New Roman"/>
          <w:color w:val="000000" w:themeColor="text1"/>
          <w:sz w:val="24"/>
          <w:szCs w:val="24"/>
        </w:rPr>
        <w:t xml:space="preserve"> и налагането на Единния модел за заявяване, заплащане и предоставяне на електронни административни услуги осигурява възможност за предлагане на все повече електронни услуги за гражданите и бизнеса от ниво 3 и ниво 4 </w:t>
      </w:r>
      <w:r w:rsidR="002A7F0F" w:rsidRPr="00496500">
        <w:rPr>
          <w:rFonts w:ascii="Times New Roman" w:hAnsi="Times New Roman" w:cs="Times New Roman"/>
          <w:color w:val="000000" w:themeColor="text1"/>
          <w:sz w:val="24"/>
          <w:szCs w:val="24"/>
        </w:rPr>
        <w:t xml:space="preserve">(най-висока степен на </w:t>
      </w:r>
      <w:r w:rsidR="00AA68D1" w:rsidRPr="00496500">
        <w:rPr>
          <w:rFonts w:ascii="Times New Roman" w:hAnsi="Times New Roman" w:cs="Times New Roman"/>
          <w:color w:val="000000" w:themeColor="text1"/>
          <w:sz w:val="24"/>
          <w:szCs w:val="24"/>
        </w:rPr>
        <w:t>цифровизация</w:t>
      </w:r>
      <w:r w:rsidR="002A7F0F" w:rsidRPr="00496500">
        <w:rPr>
          <w:rFonts w:ascii="Times New Roman" w:hAnsi="Times New Roman" w:cs="Times New Roman"/>
          <w:color w:val="000000" w:themeColor="text1"/>
          <w:sz w:val="24"/>
          <w:szCs w:val="24"/>
        </w:rPr>
        <w:t xml:space="preserve">) </w:t>
      </w:r>
      <w:r w:rsidRPr="00496500">
        <w:rPr>
          <w:rFonts w:ascii="Times New Roman" w:hAnsi="Times New Roman" w:cs="Times New Roman"/>
          <w:color w:val="000000" w:themeColor="text1"/>
          <w:sz w:val="24"/>
          <w:szCs w:val="24"/>
        </w:rPr>
        <w:t>през единна входна точка и прилагане на принципа за еднократност</w:t>
      </w:r>
      <w:r w:rsidR="00AA68D1" w:rsidRPr="00496500">
        <w:rPr>
          <w:rFonts w:ascii="Times New Roman" w:hAnsi="Times New Roman" w:cs="Times New Roman"/>
          <w:color w:val="000000" w:themeColor="text1"/>
          <w:sz w:val="24"/>
          <w:szCs w:val="24"/>
        </w:rPr>
        <w:t xml:space="preserve"> („само веднъж“)</w:t>
      </w:r>
      <w:r w:rsidRPr="00496500">
        <w:rPr>
          <w:rFonts w:ascii="Times New Roman" w:hAnsi="Times New Roman" w:cs="Times New Roman"/>
          <w:color w:val="000000" w:themeColor="text1"/>
          <w:sz w:val="24"/>
          <w:szCs w:val="24"/>
        </w:rPr>
        <w:t xml:space="preserve">. За администрациите по този начин се спестяват ресурси и се осигурява по-добра координация и контрол по отношение на изискванията за оперативна съвместимост към техните информационните системи. За гражданите това осигурява възможност за централизирано заявяване, заплащане и предоставяне на административни услуги изцяло </w:t>
      </w:r>
      <w:r w:rsidRPr="00496500">
        <w:rPr>
          <w:rFonts w:ascii="Times New Roman" w:hAnsi="Times New Roman" w:cs="Times New Roman"/>
          <w:color w:val="000000" w:themeColor="text1"/>
          <w:sz w:val="24"/>
          <w:szCs w:val="24"/>
        </w:rPr>
        <w:lastRenderedPageBreak/>
        <w:t>по електронен път, при което от тях не се изисква да представят или доказват вече събрани или създадени данни.</w:t>
      </w:r>
    </w:p>
    <w:p w14:paraId="4916E8F7" w14:textId="17344178" w:rsidR="00985D9C" w:rsidRPr="00496500" w:rsidRDefault="002A7F0F" w:rsidP="000750DD">
      <w:pPr>
        <w:autoSpaceDE w:val="0"/>
        <w:autoSpaceDN w:val="0"/>
        <w:adjustRightInd w:val="0"/>
        <w:spacing w:after="120" w:line="240" w:lineRule="auto"/>
        <w:ind w:firstLine="720"/>
        <w:jc w:val="both"/>
        <w:rPr>
          <w:rFonts w:ascii="Times New Roman" w:hAnsi="Times New Roman" w:cs="Times New Roman"/>
          <w:color w:val="000000" w:themeColor="text1"/>
          <w:sz w:val="24"/>
          <w:szCs w:val="24"/>
        </w:rPr>
      </w:pPr>
      <w:r w:rsidRPr="00496500">
        <w:rPr>
          <w:rFonts w:ascii="Times New Roman" w:hAnsi="Times New Roman" w:cs="Times New Roman"/>
          <w:color w:val="000000" w:themeColor="text1"/>
          <w:sz w:val="24"/>
          <w:szCs w:val="24"/>
        </w:rPr>
        <w:t>В</w:t>
      </w:r>
      <w:r w:rsidR="00985D9C" w:rsidRPr="00496500">
        <w:rPr>
          <w:rFonts w:ascii="Times New Roman" w:hAnsi="Times New Roman" w:cs="Times New Roman"/>
          <w:color w:val="000000" w:themeColor="text1"/>
          <w:sz w:val="24"/>
          <w:szCs w:val="24"/>
        </w:rPr>
        <w:t xml:space="preserve"> ИИСДА общият брой </w:t>
      </w:r>
      <w:r w:rsidRPr="00496500">
        <w:rPr>
          <w:rFonts w:ascii="Times New Roman" w:hAnsi="Times New Roman" w:cs="Times New Roman"/>
          <w:color w:val="000000" w:themeColor="text1"/>
          <w:sz w:val="24"/>
          <w:szCs w:val="24"/>
        </w:rPr>
        <w:t xml:space="preserve">на </w:t>
      </w:r>
      <w:r w:rsidR="00985D9C" w:rsidRPr="00496500">
        <w:rPr>
          <w:rFonts w:ascii="Times New Roman" w:hAnsi="Times New Roman" w:cs="Times New Roman"/>
          <w:color w:val="000000" w:themeColor="text1"/>
          <w:sz w:val="24"/>
          <w:szCs w:val="24"/>
        </w:rPr>
        <w:t>вписани административни услуги към 30.06.2025 г. е 2</w:t>
      </w:r>
      <w:r w:rsidR="00A35E83">
        <w:rPr>
          <w:rFonts w:ascii="Times New Roman" w:hAnsi="Times New Roman" w:cs="Times New Roman"/>
          <w:color w:val="000000" w:themeColor="text1"/>
          <w:sz w:val="24"/>
          <w:szCs w:val="24"/>
        </w:rPr>
        <w:t> </w:t>
      </w:r>
      <w:r w:rsidR="00985D9C" w:rsidRPr="00496500">
        <w:rPr>
          <w:rFonts w:ascii="Times New Roman" w:hAnsi="Times New Roman" w:cs="Times New Roman"/>
          <w:color w:val="000000" w:themeColor="text1"/>
          <w:sz w:val="24"/>
          <w:szCs w:val="24"/>
        </w:rPr>
        <w:t xml:space="preserve">607. От тях 2 180 </w:t>
      </w:r>
      <w:r w:rsidRPr="00496500">
        <w:rPr>
          <w:rFonts w:ascii="Times New Roman" w:hAnsi="Times New Roman" w:cs="Times New Roman"/>
          <w:color w:val="000000" w:themeColor="text1"/>
          <w:sz w:val="24"/>
          <w:szCs w:val="24"/>
        </w:rPr>
        <w:t xml:space="preserve">са отбелязани  от администрациите, че </w:t>
      </w:r>
      <w:r w:rsidR="00985D9C" w:rsidRPr="00496500">
        <w:rPr>
          <w:rFonts w:ascii="Times New Roman" w:hAnsi="Times New Roman" w:cs="Times New Roman"/>
          <w:color w:val="000000" w:themeColor="text1"/>
          <w:sz w:val="24"/>
          <w:szCs w:val="24"/>
        </w:rPr>
        <w:t>се предоставят по електронен път на ниво 3 или 4. 528 от 587 администрации са осигурили достъп до своите ЕАУ чрез Портала за електронно управление (</w:t>
      </w:r>
      <w:hyperlink r:id="rId20" w:history="1">
        <w:r w:rsidR="00985D9C" w:rsidRPr="006D7474">
          <w:rPr>
            <w:rStyle w:val="Hyperlink"/>
            <w:rFonts w:ascii="Times New Roman" w:hAnsi="Times New Roman" w:cs="Times New Roman"/>
            <w:sz w:val="24"/>
            <w:szCs w:val="24"/>
          </w:rPr>
          <w:t>eGov.bg</w:t>
        </w:r>
      </w:hyperlink>
      <w:r w:rsidR="00985D9C" w:rsidRPr="00496500">
        <w:rPr>
          <w:rFonts w:ascii="Times New Roman" w:hAnsi="Times New Roman" w:cs="Times New Roman"/>
          <w:color w:val="000000" w:themeColor="text1"/>
          <w:sz w:val="24"/>
          <w:szCs w:val="24"/>
        </w:rPr>
        <w:t>)</w:t>
      </w:r>
      <w:r w:rsidRPr="00496500">
        <w:rPr>
          <w:rFonts w:ascii="Times New Roman" w:hAnsi="Times New Roman" w:cs="Times New Roman"/>
          <w:color w:val="000000" w:themeColor="text1"/>
          <w:sz w:val="24"/>
          <w:szCs w:val="24"/>
        </w:rPr>
        <w:t xml:space="preserve"> или общо</w:t>
      </w:r>
      <w:r w:rsidR="00985D9C" w:rsidRPr="00496500">
        <w:rPr>
          <w:rFonts w:ascii="Times New Roman" w:hAnsi="Times New Roman" w:cs="Times New Roman"/>
          <w:color w:val="000000" w:themeColor="text1"/>
          <w:sz w:val="24"/>
          <w:szCs w:val="24"/>
        </w:rPr>
        <w:t xml:space="preserve"> 2 156 </w:t>
      </w:r>
      <w:r w:rsidRPr="00496500">
        <w:rPr>
          <w:rFonts w:ascii="Times New Roman" w:hAnsi="Times New Roman" w:cs="Times New Roman"/>
          <w:color w:val="000000" w:themeColor="text1"/>
          <w:sz w:val="24"/>
          <w:szCs w:val="24"/>
        </w:rPr>
        <w:t>ЕАУ</w:t>
      </w:r>
      <w:r w:rsidR="00985D9C" w:rsidRPr="00496500">
        <w:rPr>
          <w:rFonts w:ascii="Times New Roman" w:hAnsi="Times New Roman" w:cs="Times New Roman"/>
          <w:color w:val="000000" w:themeColor="text1"/>
          <w:sz w:val="24"/>
          <w:szCs w:val="24"/>
        </w:rPr>
        <w:t>.</w:t>
      </w:r>
      <w:r w:rsidR="00646D0F" w:rsidRPr="00496500">
        <w:rPr>
          <w:rFonts w:ascii="Times New Roman" w:hAnsi="Times New Roman" w:cs="Times New Roman"/>
          <w:color w:val="000000" w:themeColor="text1"/>
          <w:sz w:val="24"/>
          <w:szCs w:val="24"/>
        </w:rPr>
        <w:t xml:space="preserve"> 126 администрации използват портали, специално разработени за тях - хоствани на техен сървър или федерирани към egov.bg.</w:t>
      </w:r>
    </w:p>
    <w:p w14:paraId="0EF4353C" w14:textId="77777777" w:rsidR="00985D9C" w:rsidRPr="00496500" w:rsidRDefault="00985D9C" w:rsidP="000750DD">
      <w:pPr>
        <w:autoSpaceDE w:val="0"/>
        <w:autoSpaceDN w:val="0"/>
        <w:adjustRightInd w:val="0"/>
        <w:spacing w:after="120" w:line="240" w:lineRule="auto"/>
        <w:ind w:firstLine="720"/>
        <w:jc w:val="both"/>
        <w:rPr>
          <w:rFonts w:ascii="Times New Roman" w:hAnsi="Times New Roman" w:cs="Times New Roman"/>
          <w:color w:val="000000" w:themeColor="text1"/>
          <w:sz w:val="24"/>
          <w:szCs w:val="24"/>
        </w:rPr>
      </w:pPr>
      <w:r w:rsidRPr="00496500">
        <w:rPr>
          <w:rFonts w:ascii="Times New Roman" w:hAnsi="Times New Roman" w:cs="Times New Roman"/>
          <w:color w:val="000000" w:themeColor="text1"/>
          <w:sz w:val="24"/>
          <w:szCs w:val="24"/>
        </w:rPr>
        <w:t xml:space="preserve">Интересът от страна на гражданите и бизнеса към Портала на електронното  управление </w:t>
      </w:r>
      <w:r w:rsidR="00FB4002" w:rsidRPr="00496500">
        <w:rPr>
          <w:rFonts w:ascii="Times New Roman" w:hAnsi="Times New Roman" w:cs="Times New Roman"/>
          <w:color w:val="000000" w:themeColor="text1"/>
          <w:sz w:val="24"/>
          <w:szCs w:val="24"/>
        </w:rPr>
        <w:t xml:space="preserve">(ПЕУ) </w:t>
      </w:r>
      <w:r w:rsidRPr="00496500">
        <w:rPr>
          <w:rFonts w:ascii="Times New Roman" w:hAnsi="Times New Roman" w:cs="Times New Roman"/>
          <w:color w:val="000000" w:themeColor="text1"/>
          <w:sz w:val="24"/>
          <w:szCs w:val="24"/>
        </w:rPr>
        <w:t xml:space="preserve">непрекъснато нараства. </w:t>
      </w:r>
      <w:r w:rsidR="00AD6D2F" w:rsidRPr="00496500">
        <w:rPr>
          <w:rFonts w:ascii="Times New Roman" w:hAnsi="Times New Roman" w:cs="Times New Roman"/>
          <w:color w:val="000000" w:themeColor="text1"/>
          <w:sz w:val="24"/>
          <w:szCs w:val="24"/>
        </w:rPr>
        <w:t>Съгласно публичната секция за статистика (</w:t>
      </w:r>
      <w:hyperlink r:id="rId21" w:history="1">
        <w:r w:rsidR="006C54F4" w:rsidRPr="00496500">
          <w:rPr>
            <w:rStyle w:val="Hyperlink"/>
            <w:rFonts w:ascii="Times New Roman" w:hAnsi="Times New Roman" w:cs="Times New Roman"/>
            <w:sz w:val="24"/>
            <w:szCs w:val="24"/>
          </w:rPr>
          <w:t>https://analytics.egov.bg</w:t>
        </w:r>
      </w:hyperlink>
      <w:r w:rsidRPr="00496500">
        <w:rPr>
          <w:rFonts w:ascii="Times New Roman" w:hAnsi="Times New Roman" w:cs="Times New Roman"/>
          <w:color w:val="000000" w:themeColor="text1"/>
          <w:sz w:val="24"/>
          <w:szCs w:val="24"/>
        </w:rPr>
        <w:t>) през 2024 г. 7 075 604 са показванията на страници на портала, което е с близо 30% увеличение спрямо 2023 г</w:t>
      </w:r>
      <w:r w:rsidR="00DE65EE" w:rsidRPr="00496500">
        <w:rPr>
          <w:rFonts w:ascii="Times New Roman" w:hAnsi="Times New Roman" w:cs="Times New Roman"/>
          <w:color w:val="000000" w:themeColor="text1"/>
          <w:sz w:val="24"/>
          <w:szCs w:val="24"/>
        </w:rPr>
        <w:t>одина</w:t>
      </w:r>
      <w:r w:rsidRPr="00496500">
        <w:rPr>
          <w:rFonts w:ascii="Times New Roman" w:hAnsi="Times New Roman" w:cs="Times New Roman"/>
          <w:color w:val="000000" w:themeColor="text1"/>
          <w:sz w:val="24"/>
          <w:szCs w:val="24"/>
        </w:rPr>
        <w:t>.</w:t>
      </w:r>
      <w:r w:rsidR="001B1011" w:rsidRPr="00496500">
        <w:rPr>
          <w:rFonts w:ascii="Times New Roman" w:hAnsi="Times New Roman" w:cs="Times New Roman"/>
          <w:color w:val="000000" w:themeColor="text1"/>
          <w:sz w:val="24"/>
          <w:szCs w:val="24"/>
        </w:rPr>
        <w:t xml:space="preserve"> </w:t>
      </w:r>
    </w:p>
    <w:p w14:paraId="49AAE8AE" w14:textId="77777777" w:rsidR="001B1011" w:rsidRPr="00496500" w:rsidRDefault="001B1011" w:rsidP="000750DD">
      <w:pPr>
        <w:autoSpaceDE w:val="0"/>
        <w:autoSpaceDN w:val="0"/>
        <w:adjustRightInd w:val="0"/>
        <w:spacing w:after="120" w:line="240" w:lineRule="auto"/>
        <w:ind w:firstLine="720"/>
        <w:jc w:val="both"/>
        <w:rPr>
          <w:rFonts w:ascii="Times New Roman" w:hAnsi="Times New Roman" w:cs="Times New Roman"/>
          <w:color w:val="000000" w:themeColor="text1"/>
          <w:sz w:val="24"/>
          <w:szCs w:val="24"/>
        </w:rPr>
      </w:pPr>
      <w:r w:rsidRPr="00496500">
        <w:rPr>
          <w:rFonts w:ascii="Times New Roman" w:hAnsi="Times New Roman" w:cs="Times New Roman"/>
          <w:color w:val="000000" w:themeColor="text1"/>
          <w:sz w:val="24"/>
          <w:szCs w:val="24"/>
        </w:rPr>
        <w:t xml:space="preserve">Регистрираните потребители към края на 2024 г. в </w:t>
      </w:r>
      <w:r w:rsidR="00AD6D2F" w:rsidRPr="00496500">
        <w:rPr>
          <w:rFonts w:ascii="Times New Roman" w:hAnsi="Times New Roman" w:cs="Times New Roman"/>
          <w:color w:val="000000" w:themeColor="text1"/>
          <w:sz w:val="24"/>
          <w:szCs w:val="24"/>
        </w:rPr>
        <w:t xml:space="preserve">ПЕУ нараства повече от </w:t>
      </w:r>
      <w:r w:rsidR="00082536" w:rsidRPr="00496500">
        <w:rPr>
          <w:rFonts w:ascii="Times New Roman" w:hAnsi="Times New Roman" w:cs="Times New Roman"/>
          <w:color w:val="000000" w:themeColor="text1"/>
          <w:sz w:val="24"/>
          <w:szCs w:val="24"/>
        </w:rPr>
        <w:t>три</w:t>
      </w:r>
      <w:r w:rsidR="00AD6D2F" w:rsidRPr="00496500">
        <w:rPr>
          <w:rFonts w:ascii="Times New Roman" w:hAnsi="Times New Roman" w:cs="Times New Roman"/>
          <w:color w:val="000000" w:themeColor="text1"/>
          <w:sz w:val="24"/>
          <w:szCs w:val="24"/>
        </w:rPr>
        <w:t xml:space="preserve"> пъти спрямо 2023 г. (75 000 потребители) до</w:t>
      </w:r>
      <w:r w:rsidRPr="00496500">
        <w:rPr>
          <w:rFonts w:ascii="Times New Roman" w:hAnsi="Times New Roman" w:cs="Times New Roman"/>
          <w:color w:val="000000" w:themeColor="text1"/>
          <w:sz w:val="24"/>
          <w:szCs w:val="24"/>
        </w:rPr>
        <w:t xml:space="preserve"> 240 491, от които 227 216 са физически лица, а останалите са юридически лица. </w:t>
      </w:r>
      <w:r w:rsidR="00D87BB3" w:rsidRPr="00496500">
        <w:rPr>
          <w:rFonts w:ascii="Times New Roman" w:hAnsi="Times New Roman" w:cs="Times New Roman"/>
          <w:color w:val="000000" w:themeColor="text1"/>
          <w:sz w:val="24"/>
          <w:szCs w:val="24"/>
        </w:rPr>
        <w:t xml:space="preserve">Към 30.06.2025 </w:t>
      </w:r>
      <w:r w:rsidR="00FB4002" w:rsidRPr="00496500">
        <w:rPr>
          <w:rFonts w:ascii="Times New Roman" w:hAnsi="Times New Roman" w:cs="Times New Roman"/>
          <w:color w:val="000000" w:themeColor="text1"/>
          <w:sz w:val="24"/>
          <w:szCs w:val="24"/>
        </w:rPr>
        <w:t xml:space="preserve">г. </w:t>
      </w:r>
      <w:r w:rsidR="00D87BB3" w:rsidRPr="00496500">
        <w:rPr>
          <w:rFonts w:ascii="Times New Roman" w:hAnsi="Times New Roman" w:cs="Times New Roman"/>
          <w:color w:val="000000" w:themeColor="text1"/>
          <w:sz w:val="24"/>
          <w:szCs w:val="24"/>
        </w:rPr>
        <w:t>регистрираните потребители вече са 337 385, от които физически лица 317 962</w:t>
      </w:r>
      <w:r w:rsidR="00AD6D2F" w:rsidRPr="00496500">
        <w:rPr>
          <w:rFonts w:ascii="Times New Roman" w:hAnsi="Times New Roman" w:cs="Times New Roman"/>
          <w:color w:val="000000" w:themeColor="text1"/>
          <w:sz w:val="24"/>
          <w:szCs w:val="24"/>
        </w:rPr>
        <w:t xml:space="preserve"> или ръст от близо 30% само за първото полугодие на годината. </w:t>
      </w:r>
      <w:r w:rsidR="007545FC" w:rsidRPr="00496500">
        <w:rPr>
          <w:rFonts w:ascii="Times New Roman" w:hAnsi="Times New Roman" w:cs="Times New Roman"/>
          <w:color w:val="000000" w:themeColor="text1"/>
          <w:sz w:val="24"/>
          <w:szCs w:val="24"/>
        </w:rPr>
        <w:t>Порталът устойчиво се превръща в удобна и използвана от гражданите и бизнеса входна т</w:t>
      </w:r>
      <w:r w:rsidR="003109DB" w:rsidRPr="00496500">
        <w:rPr>
          <w:rFonts w:ascii="Times New Roman" w:hAnsi="Times New Roman" w:cs="Times New Roman"/>
          <w:color w:val="000000" w:themeColor="text1"/>
          <w:sz w:val="24"/>
          <w:szCs w:val="24"/>
        </w:rPr>
        <w:t xml:space="preserve">очка на електронното управление, като развитието на хоризонталните системи за поддържането на функционалността му следва да продължи до постигането на 3 или 4 ниво на предоставяне </w:t>
      </w:r>
      <w:r w:rsidR="009B61D9" w:rsidRPr="00496500">
        <w:rPr>
          <w:rFonts w:ascii="Times New Roman" w:hAnsi="Times New Roman" w:cs="Times New Roman"/>
          <w:color w:val="000000" w:themeColor="text1"/>
          <w:sz w:val="24"/>
          <w:szCs w:val="24"/>
        </w:rPr>
        <w:t>по електронен път на всички услуги</w:t>
      </w:r>
      <w:r w:rsidR="003109DB" w:rsidRPr="00496500">
        <w:rPr>
          <w:rFonts w:ascii="Times New Roman" w:hAnsi="Times New Roman" w:cs="Times New Roman"/>
          <w:color w:val="000000" w:themeColor="text1"/>
          <w:sz w:val="24"/>
          <w:szCs w:val="24"/>
        </w:rPr>
        <w:t>.</w:t>
      </w:r>
      <w:r w:rsidR="007545FC" w:rsidRPr="00496500">
        <w:rPr>
          <w:rFonts w:ascii="Times New Roman" w:hAnsi="Times New Roman" w:cs="Times New Roman"/>
          <w:color w:val="000000" w:themeColor="text1"/>
          <w:sz w:val="24"/>
          <w:szCs w:val="24"/>
        </w:rPr>
        <w:t xml:space="preserve"> </w:t>
      </w:r>
    </w:p>
    <w:p w14:paraId="3CAD49A8" w14:textId="11B76660" w:rsidR="00F778AC" w:rsidRPr="00496500" w:rsidRDefault="00F778AC" w:rsidP="000750DD">
      <w:pPr>
        <w:autoSpaceDE w:val="0"/>
        <w:autoSpaceDN w:val="0"/>
        <w:adjustRightInd w:val="0"/>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Системата за сигурно електронно връчване (е</w:t>
      </w:r>
      <w:r w:rsidR="0018219D">
        <w:rPr>
          <w:rFonts w:ascii="Times New Roman" w:hAnsi="Times New Roman" w:cs="Times New Roman"/>
          <w:sz w:val="24"/>
          <w:szCs w:val="24"/>
        </w:rPr>
        <w:t>-</w:t>
      </w:r>
      <w:r w:rsidRPr="00496500">
        <w:rPr>
          <w:rFonts w:ascii="Times New Roman" w:hAnsi="Times New Roman" w:cs="Times New Roman"/>
          <w:sz w:val="24"/>
          <w:szCs w:val="24"/>
        </w:rPr>
        <w:t>Връчване) е реализирана като система за управление на изпращането и/или получаването и съхраняването на електронни документи за/от публични органи, физически и юридически лица при еднозначно удостоверяване на момента на изпращане, получаване и връчване, както и за гарантиране на авторството и интегритета на същите. До края на 2023 г. данните показват</w:t>
      </w:r>
      <w:r w:rsidRPr="00496500">
        <w:rPr>
          <w:rStyle w:val="FootnoteReference"/>
          <w:rFonts w:ascii="Times New Roman" w:hAnsi="Times New Roman" w:cs="Times New Roman"/>
          <w:sz w:val="24"/>
          <w:szCs w:val="24"/>
        </w:rPr>
        <w:footnoteReference w:id="20"/>
      </w:r>
      <w:r w:rsidRPr="00496500">
        <w:rPr>
          <w:rFonts w:ascii="Times New Roman" w:hAnsi="Times New Roman" w:cs="Times New Roman"/>
          <w:sz w:val="24"/>
          <w:szCs w:val="24"/>
        </w:rPr>
        <w:t>,</w:t>
      </w:r>
      <w:r w:rsidR="005760B5">
        <w:rPr>
          <w:rFonts w:ascii="Times New Roman" w:hAnsi="Times New Roman" w:cs="Times New Roman"/>
          <w:sz w:val="24"/>
          <w:szCs w:val="24"/>
        </w:rPr>
        <w:t xml:space="preserve"> </w:t>
      </w:r>
      <w:r w:rsidRPr="00496500">
        <w:rPr>
          <w:rFonts w:ascii="Times New Roman" w:hAnsi="Times New Roman" w:cs="Times New Roman"/>
          <w:sz w:val="24"/>
          <w:szCs w:val="24"/>
        </w:rPr>
        <w:t>че процесът е едностранно насочен и системата се ползва за получаване на съобщение, основно свързани с връчването на административни актове, издадени от различни органи, на граждани и юридически лица. С увеличаването на броя на регистрираните потребители, процесът получава своето двупосочно развитие и броят на изпратените и на получените съобщения от потребителите се изравнява.</w:t>
      </w:r>
    </w:p>
    <w:p w14:paraId="5EEF81D4" w14:textId="763F96ED" w:rsidR="00F778AC" w:rsidRPr="00496500" w:rsidRDefault="00F778AC" w:rsidP="000750DD">
      <w:pPr>
        <w:autoSpaceDE w:val="0"/>
        <w:autoSpaceDN w:val="0"/>
        <w:adjustRightInd w:val="0"/>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Системата за електронни плащания (е</w:t>
      </w:r>
      <w:r w:rsidR="0018219D">
        <w:rPr>
          <w:rFonts w:ascii="Times New Roman" w:hAnsi="Times New Roman" w:cs="Times New Roman"/>
          <w:sz w:val="24"/>
          <w:szCs w:val="24"/>
        </w:rPr>
        <w:t>-</w:t>
      </w:r>
      <w:r w:rsidRPr="00496500">
        <w:rPr>
          <w:rFonts w:ascii="Times New Roman" w:hAnsi="Times New Roman" w:cs="Times New Roman"/>
          <w:sz w:val="24"/>
          <w:szCs w:val="24"/>
        </w:rPr>
        <w:t xml:space="preserve">Плащане) предоставя удобството на гражданите и бизнеса да извършват плащания на своите задължения към администрациите без допълнителни такси или комисиони, и улеснява извършването на трансакции от всяка точка на света, посредством платежна карта (през Централен виртуален ПОС терминал.). Чрез системата могат да се заплатят услуги към присъединените </w:t>
      </w:r>
      <w:r w:rsidR="00241264" w:rsidRPr="00765780">
        <w:rPr>
          <w:rFonts w:ascii="Times New Roman" w:hAnsi="Times New Roman" w:cs="Times New Roman"/>
          <w:sz w:val="24"/>
          <w:szCs w:val="24"/>
        </w:rPr>
        <w:t>(</w:t>
      </w:r>
      <w:r w:rsidR="00241264" w:rsidRPr="00496500">
        <w:rPr>
          <w:rFonts w:ascii="Times New Roman" w:hAnsi="Times New Roman" w:cs="Times New Roman"/>
          <w:sz w:val="24"/>
          <w:szCs w:val="24"/>
        </w:rPr>
        <w:t xml:space="preserve">към момента </w:t>
      </w:r>
      <w:r w:rsidR="00241264" w:rsidRPr="00765780">
        <w:rPr>
          <w:rFonts w:ascii="Times New Roman" w:hAnsi="Times New Roman" w:cs="Times New Roman"/>
          <w:sz w:val="24"/>
          <w:szCs w:val="24"/>
        </w:rPr>
        <w:t>711</w:t>
      </w:r>
      <w:r w:rsidR="00194523" w:rsidRPr="00496500">
        <w:rPr>
          <w:rFonts w:ascii="Times New Roman" w:hAnsi="Times New Roman" w:cs="Times New Roman"/>
          <w:sz w:val="24"/>
          <w:szCs w:val="24"/>
        </w:rPr>
        <w:t>)</w:t>
      </w:r>
      <w:r w:rsidR="00241264" w:rsidRPr="00765780">
        <w:rPr>
          <w:rFonts w:ascii="Times New Roman" w:hAnsi="Times New Roman" w:cs="Times New Roman"/>
          <w:sz w:val="24"/>
          <w:szCs w:val="24"/>
        </w:rPr>
        <w:t xml:space="preserve"> </w:t>
      </w:r>
      <w:r w:rsidRPr="00496500">
        <w:rPr>
          <w:rFonts w:ascii="Times New Roman" w:hAnsi="Times New Roman" w:cs="Times New Roman"/>
          <w:sz w:val="24"/>
          <w:szCs w:val="24"/>
        </w:rPr>
        <w:t>централни, специализирани териториални и всички областни и общински администрации, както и техните райони</w:t>
      </w:r>
      <w:r w:rsidR="0018219D">
        <w:rPr>
          <w:rFonts w:ascii="Times New Roman" w:hAnsi="Times New Roman" w:cs="Times New Roman"/>
          <w:sz w:val="24"/>
          <w:szCs w:val="24"/>
        </w:rPr>
        <w:t>,</w:t>
      </w:r>
      <w:r w:rsidR="00194523" w:rsidRPr="00496500">
        <w:rPr>
          <w:rFonts w:ascii="Times New Roman" w:hAnsi="Times New Roman" w:cs="Times New Roman"/>
          <w:sz w:val="24"/>
          <w:szCs w:val="24"/>
        </w:rPr>
        <w:t xml:space="preserve"> и зв</w:t>
      </w:r>
      <w:r w:rsidR="003C621F" w:rsidRPr="00496500">
        <w:rPr>
          <w:rFonts w:ascii="Times New Roman" w:hAnsi="Times New Roman" w:cs="Times New Roman"/>
          <w:sz w:val="24"/>
          <w:szCs w:val="24"/>
        </w:rPr>
        <w:t>ена</w:t>
      </w:r>
      <w:r w:rsidRPr="00496500">
        <w:rPr>
          <w:rFonts w:ascii="Times New Roman" w:hAnsi="Times New Roman" w:cs="Times New Roman"/>
          <w:sz w:val="24"/>
          <w:szCs w:val="24"/>
        </w:rPr>
        <w:t>. Използването на е</w:t>
      </w:r>
      <w:r w:rsidR="0018219D">
        <w:rPr>
          <w:rFonts w:ascii="Times New Roman" w:hAnsi="Times New Roman" w:cs="Times New Roman"/>
          <w:sz w:val="24"/>
          <w:szCs w:val="24"/>
        </w:rPr>
        <w:t>-</w:t>
      </w:r>
      <w:r w:rsidRPr="00496500">
        <w:rPr>
          <w:rFonts w:ascii="Times New Roman" w:hAnsi="Times New Roman" w:cs="Times New Roman"/>
          <w:sz w:val="24"/>
          <w:szCs w:val="24"/>
        </w:rPr>
        <w:t xml:space="preserve">Плащане през ПЕУ рязко се увеличава през 2024 г., когато </w:t>
      </w:r>
      <w:r w:rsidR="00E4530A">
        <w:rPr>
          <w:rFonts w:ascii="Times New Roman" w:hAnsi="Times New Roman" w:cs="Times New Roman"/>
          <w:sz w:val="24"/>
          <w:szCs w:val="24"/>
        </w:rPr>
        <w:t xml:space="preserve">освен </w:t>
      </w:r>
      <w:r w:rsidR="00BE646F">
        <w:rPr>
          <w:rFonts w:ascii="Times New Roman" w:hAnsi="Times New Roman" w:cs="Times New Roman"/>
          <w:sz w:val="24"/>
          <w:szCs w:val="24"/>
        </w:rPr>
        <w:t xml:space="preserve">като единствена </w:t>
      </w:r>
      <w:r w:rsidR="00E4530A" w:rsidRPr="00496500">
        <w:rPr>
          <w:rFonts w:ascii="Times New Roman" w:hAnsi="Times New Roman" w:cs="Times New Roman"/>
          <w:sz w:val="24"/>
          <w:szCs w:val="24"/>
        </w:rPr>
        <w:t>възможност за плащане на местни данъци и такси към всички общини</w:t>
      </w:r>
      <w:r w:rsidR="00E4530A">
        <w:rPr>
          <w:rFonts w:ascii="Times New Roman" w:hAnsi="Times New Roman" w:cs="Times New Roman"/>
          <w:sz w:val="24"/>
          <w:szCs w:val="24"/>
        </w:rPr>
        <w:t>,</w:t>
      </w:r>
      <w:r w:rsidR="00E4530A" w:rsidRPr="00496500">
        <w:rPr>
          <w:rFonts w:ascii="Times New Roman" w:hAnsi="Times New Roman" w:cs="Times New Roman"/>
          <w:sz w:val="24"/>
          <w:szCs w:val="24"/>
        </w:rPr>
        <w:t xml:space="preserve"> </w:t>
      </w:r>
      <w:r w:rsidR="00BE646F">
        <w:rPr>
          <w:rFonts w:ascii="Times New Roman" w:hAnsi="Times New Roman" w:cs="Times New Roman"/>
          <w:sz w:val="24"/>
          <w:szCs w:val="24"/>
        </w:rPr>
        <w:t>бе въведена</w:t>
      </w:r>
      <w:r w:rsidRPr="00496500">
        <w:rPr>
          <w:rFonts w:ascii="Times New Roman" w:hAnsi="Times New Roman" w:cs="Times New Roman"/>
          <w:sz w:val="24"/>
          <w:szCs w:val="24"/>
        </w:rPr>
        <w:t xml:space="preserve"> </w:t>
      </w:r>
      <w:r w:rsidR="00E4530A">
        <w:rPr>
          <w:rFonts w:ascii="Times New Roman" w:hAnsi="Times New Roman" w:cs="Times New Roman"/>
          <w:sz w:val="24"/>
          <w:szCs w:val="24"/>
        </w:rPr>
        <w:t xml:space="preserve">и </w:t>
      </w:r>
      <w:r w:rsidRPr="00496500">
        <w:rPr>
          <w:rFonts w:ascii="Times New Roman" w:hAnsi="Times New Roman" w:cs="Times New Roman"/>
          <w:sz w:val="24"/>
          <w:szCs w:val="24"/>
        </w:rPr>
        <w:t>възможност</w:t>
      </w:r>
      <w:r w:rsidR="00BE646F">
        <w:rPr>
          <w:rFonts w:ascii="Times New Roman" w:hAnsi="Times New Roman" w:cs="Times New Roman"/>
          <w:sz w:val="24"/>
          <w:szCs w:val="24"/>
        </w:rPr>
        <w:t>та</w:t>
      </w:r>
      <w:r w:rsidRPr="00496500">
        <w:rPr>
          <w:rFonts w:ascii="Times New Roman" w:hAnsi="Times New Roman" w:cs="Times New Roman"/>
          <w:sz w:val="24"/>
          <w:szCs w:val="24"/>
        </w:rPr>
        <w:t xml:space="preserve"> за плащане на такси</w:t>
      </w:r>
      <w:r w:rsidR="00BE646F">
        <w:rPr>
          <w:rFonts w:ascii="Times New Roman" w:hAnsi="Times New Roman" w:cs="Times New Roman"/>
          <w:sz w:val="24"/>
          <w:szCs w:val="24"/>
        </w:rPr>
        <w:t xml:space="preserve"> и</w:t>
      </w:r>
      <w:r w:rsidRPr="00496500">
        <w:rPr>
          <w:rFonts w:ascii="Times New Roman" w:hAnsi="Times New Roman" w:cs="Times New Roman"/>
          <w:sz w:val="24"/>
          <w:szCs w:val="24"/>
        </w:rPr>
        <w:t xml:space="preserve"> глоби. Общият финансов оборот</w:t>
      </w:r>
      <w:r w:rsidR="006937D6" w:rsidRPr="00496500">
        <w:rPr>
          <w:rFonts w:ascii="Times New Roman" w:hAnsi="Times New Roman" w:cs="Times New Roman"/>
          <w:sz w:val="24"/>
          <w:szCs w:val="24"/>
        </w:rPr>
        <w:t>,</w:t>
      </w:r>
      <w:r w:rsidRPr="00496500">
        <w:rPr>
          <w:rFonts w:ascii="Times New Roman" w:hAnsi="Times New Roman" w:cs="Times New Roman"/>
          <w:sz w:val="24"/>
          <w:szCs w:val="24"/>
        </w:rPr>
        <w:t xml:space="preserve"> реализиран през системата за 2024 г.</w:t>
      </w:r>
      <w:r w:rsidR="006937D6" w:rsidRPr="00496500">
        <w:rPr>
          <w:rFonts w:ascii="Times New Roman" w:hAnsi="Times New Roman" w:cs="Times New Roman"/>
          <w:sz w:val="24"/>
          <w:szCs w:val="24"/>
        </w:rPr>
        <w:t>,</w:t>
      </w:r>
      <w:r w:rsidRPr="00496500">
        <w:rPr>
          <w:rFonts w:ascii="Times New Roman" w:hAnsi="Times New Roman" w:cs="Times New Roman"/>
          <w:sz w:val="24"/>
          <w:szCs w:val="24"/>
        </w:rPr>
        <w:t xml:space="preserve"> е над 38 млн</w:t>
      </w:r>
      <w:r w:rsidR="006937D6" w:rsidRPr="00496500">
        <w:rPr>
          <w:rFonts w:ascii="Times New Roman" w:hAnsi="Times New Roman" w:cs="Times New Roman"/>
          <w:sz w:val="24"/>
          <w:szCs w:val="24"/>
        </w:rPr>
        <w:t>.</w:t>
      </w:r>
      <w:r w:rsidRPr="00496500">
        <w:rPr>
          <w:rFonts w:ascii="Times New Roman" w:hAnsi="Times New Roman" w:cs="Times New Roman"/>
          <w:sz w:val="24"/>
          <w:szCs w:val="24"/>
        </w:rPr>
        <w:t xml:space="preserve"> лева и нараства над 7 пъти спрямо предходната година.</w:t>
      </w:r>
    </w:p>
    <w:p w14:paraId="25548D04" w14:textId="13AB4E3C" w:rsidR="00985D9C" w:rsidRPr="00496500" w:rsidRDefault="00985D9C" w:rsidP="000750DD">
      <w:pPr>
        <w:autoSpaceDE w:val="0"/>
        <w:autoSpaceDN w:val="0"/>
        <w:adjustRightInd w:val="0"/>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Чрез новоразработена пълно</w:t>
      </w:r>
      <w:r w:rsidR="00A67432" w:rsidRPr="00496500">
        <w:rPr>
          <w:rFonts w:ascii="Times New Roman" w:hAnsi="Times New Roman" w:cs="Times New Roman"/>
          <w:sz w:val="24"/>
          <w:szCs w:val="24"/>
        </w:rPr>
        <w:t xml:space="preserve"> </w:t>
      </w:r>
      <w:r w:rsidRPr="00496500">
        <w:rPr>
          <w:rFonts w:ascii="Times New Roman" w:hAnsi="Times New Roman" w:cs="Times New Roman"/>
          <w:sz w:val="24"/>
          <w:szCs w:val="24"/>
        </w:rPr>
        <w:t xml:space="preserve">функционална система за управление на електронни форми </w:t>
      </w:r>
      <w:r w:rsidRPr="00496500">
        <w:rPr>
          <w:rFonts w:ascii="Times New Roman" w:hAnsi="Times New Roman" w:cs="Times New Roman"/>
          <w:bCs/>
          <w:sz w:val="24"/>
          <w:szCs w:val="24"/>
        </w:rPr>
        <w:t>(система е</w:t>
      </w:r>
      <w:r w:rsidR="0018219D">
        <w:rPr>
          <w:rFonts w:ascii="Times New Roman" w:hAnsi="Times New Roman" w:cs="Times New Roman"/>
          <w:bCs/>
          <w:sz w:val="24"/>
          <w:szCs w:val="24"/>
        </w:rPr>
        <w:t>-</w:t>
      </w:r>
      <w:r w:rsidRPr="00496500">
        <w:rPr>
          <w:rFonts w:ascii="Times New Roman" w:hAnsi="Times New Roman" w:cs="Times New Roman"/>
          <w:bCs/>
          <w:sz w:val="24"/>
          <w:szCs w:val="24"/>
        </w:rPr>
        <w:t>Форми)</w:t>
      </w:r>
      <w:r w:rsidRPr="00496500">
        <w:rPr>
          <w:rFonts w:ascii="Times New Roman" w:hAnsi="Times New Roman" w:cs="Times New Roman"/>
          <w:sz w:val="24"/>
          <w:szCs w:val="24"/>
        </w:rPr>
        <w:t xml:space="preserve"> през 2024 г. е предоставена възможност на потребителите да заявяват 516 електронни услуги чрез уеб-базирани форми, като е планирано всички услуги, разработени по Единния модел, да преминат към уеб-базирани електронни форми за заявяване с автоматично попълване на данни за заявителя, налични в регистри на първичните администратори. Осигурени са условия за всички областни, общински и </w:t>
      </w:r>
      <w:r w:rsidRPr="00496500">
        <w:rPr>
          <w:rFonts w:ascii="Times New Roman" w:hAnsi="Times New Roman" w:cs="Times New Roman"/>
          <w:sz w:val="24"/>
          <w:szCs w:val="24"/>
        </w:rPr>
        <w:lastRenderedPageBreak/>
        <w:t xml:space="preserve">районни администрации да предоставят техните услуги централизирано, като чрез уеб-базирани електронни форми се предоставят 21 услуги от областните администрации и 197 услуги от общини и техните райони. Това е насърчаваща стъпка в посока реализиране на </w:t>
      </w:r>
      <w:r w:rsidR="00370A43" w:rsidRPr="00496500">
        <w:rPr>
          <w:rFonts w:ascii="Times New Roman" w:hAnsi="Times New Roman" w:cs="Times New Roman"/>
          <w:sz w:val="24"/>
          <w:szCs w:val="24"/>
        </w:rPr>
        <w:t>цифрово</w:t>
      </w:r>
      <w:r w:rsidRPr="00496500">
        <w:rPr>
          <w:rFonts w:ascii="Times New Roman" w:hAnsi="Times New Roman" w:cs="Times New Roman"/>
          <w:sz w:val="24"/>
          <w:szCs w:val="24"/>
        </w:rPr>
        <w:t xml:space="preserve"> управление на местно ниво. Местното управление често е първата точка за контакт между гражданите и </w:t>
      </w:r>
      <w:r w:rsidR="00A101D1" w:rsidRPr="00496500">
        <w:rPr>
          <w:rFonts w:ascii="Times New Roman" w:hAnsi="Times New Roman" w:cs="Times New Roman"/>
          <w:sz w:val="24"/>
          <w:szCs w:val="24"/>
        </w:rPr>
        <w:t>публични</w:t>
      </w:r>
      <w:r w:rsidRPr="00496500">
        <w:rPr>
          <w:rFonts w:ascii="Times New Roman" w:hAnsi="Times New Roman" w:cs="Times New Roman"/>
          <w:sz w:val="24"/>
          <w:szCs w:val="24"/>
        </w:rPr>
        <w:t>те услуги. Чрез използването на цифрови инструменти местните власти могат да подобрят предоставянето на услуги, да засилят ангажираността на гражданите и да н</w:t>
      </w:r>
      <w:r w:rsidR="00310091" w:rsidRPr="00496500">
        <w:rPr>
          <w:rFonts w:ascii="Times New Roman" w:hAnsi="Times New Roman" w:cs="Times New Roman"/>
          <w:sz w:val="24"/>
          <w:szCs w:val="24"/>
        </w:rPr>
        <w:t>асърчат приобщаващото развитие.</w:t>
      </w:r>
    </w:p>
    <w:p w14:paraId="37B2949E" w14:textId="008E066D" w:rsidR="00985D9C" w:rsidRPr="00496500" w:rsidRDefault="00127F33" w:rsidP="000750DD">
      <w:pPr>
        <w:autoSpaceDE w:val="0"/>
        <w:autoSpaceDN w:val="0"/>
        <w:adjustRightInd w:val="0"/>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Централизираните системи на е-управлението са предназначени да подпомагат администрациите при взаимодействието им с гражданите и бизнеса. В голямата си част те позволяват с една инсталация на системата да работят множество администрации (multi-tenant решения). Действията по </w:t>
      </w:r>
      <w:r w:rsidR="00D03C4C" w:rsidRPr="00496500">
        <w:rPr>
          <w:rFonts w:ascii="Times New Roman" w:hAnsi="Times New Roman" w:cs="Times New Roman"/>
          <w:sz w:val="24"/>
          <w:szCs w:val="24"/>
        </w:rPr>
        <w:t xml:space="preserve">разширяване на възможностите за достъп до данни чрез </w:t>
      </w:r>
      <w:r w:rsidRPr="00496500">
        <w:rPr>
          <w:rFonts w:ascii="Times New Roman" w:hAnsi="Times New Roman" w:cs="Times New Roman"/>
          <w:sz w:val="24"/>
          <w:szCs w:val="24"/>
        </w:rPr>
        <w:t xml:space="preserve">централен компонент за автоматизиран </w:t>
      </w:r>
      <w:r w:rsidR="00D03C4C" w:rsidRPr="00496500">
        <w:rPr>
          <w:rFonts w:ascii="Times New Roman" w:hAnsi="Times New Roman" w:cs="Times New Roman"/>
          <w:sz w:val="24"/>
          <w:szCs w:val="24"/>
        </w:rPr>
        <w:t>обмен на</w:t>
      </w:r>
      <w:r w:rsidRPr="00496500">
        <w:rPr>
          <w:rFonts w:ascii="Times New Roman" w:hAnsi="Times New Roman" w:cs="Times New Roman"/>
          <w:sz w:val="24"/>
          <w:szCs w:val="24"/>
        </w:rPr>
        <w:t xml:space="preserve"> данни от регистри </w:t>
      </w:r>
      <w:r w:rsidR="00D03C4C" w:rsidRPr="00496500">
        <w:rPr>
          <w:rFonts w:ascii="Times New Roman" w:hAnsi="Times New Roman" w:cs="Times New Roman"/>
          <w:sz w:val="24"/>
          <w:szCs w:val="24"/>
        </w:rPr>
        <w:t>се извършват постоянно</w:t>
      </w:r>
      <w:r w:rsidRPr="00496500">
        <w:rPr>
          <w:rFonts w:ascii="Times New Roman" w:hAnsi="Times New Roman" w:cs="Times New Roman"/>
          <w:sz w:val="24"/>
          <w:szCs w:val="24"/>
        </w:rPr>
        <w:t xml:space="preserve">. </w:t>
      </w:r>
      <w:r w:rsidR="00985D9C" w:rsidRPr="00496500">
        <w:rPr>
          <w:rFonts w:ascii="Times New Roman" w:hAnsi="Times New Roman" w:cs="Times New Roman"/>
          <w:sz w:val="24"/>
          <w:szCs w:val="24"/>
        </w:rPr>
        <w:t xml:space="preserve">Развитието на </w:t>
      </w:r>
      <w:r w:rsidR="00D03C4C" w:rsidRPr="00496500">
        <w:rPr>
          <w:rFonts w:ascii="Times New Roman" w:hAnsi="Times New Roman" w:cs="Times New Roman"/>
          <w:sz w:val="24"/>
          <w:szCs w:val="24"/>
        </w:rPr>
        <w:t>RegiX (</w:t>
      </w:r>
      <w:r w:rsidR="00985D9C" w:rsidRPr="00496500">
        <w:rPr>
          <w:rFonts w:ascii="Times New Roman" w:hAnsi="Times New Roman" w:cs="Times New Roman"/>
          <w:sz w:val="24"/>
          <w:szCs w:val="24"/>
        </w:rPr>
        <w:t>Средата за междурегистров обмен на данни</w:t>
      </w:r>
      <w:r w:rsidR="00D03C4C" w:rsidRPr="00496500">
        <w:rPr>
          <w:rStyle w:val="FootnoteReference"/>
          <w:rFonts w:ascii="Times New Roman" w:hAnsi="Times New Roman" w:cs="Times New Roman"/>
          <w:sz w:val="24"/>
          <w:szCs w:val="24"/>
        </w:rPr>
        <w:footnoteReference w:id="21"/>
      </w:r>
      <w:r w:rsidR="00D03C4C" w:rsidRPr="00496500">
        <w:rPr>
          <w:rFonts w:ascii="Times New Roman" w:hAnsi="Times New Roman" w:cs="Times New Roman"/>
          <w:sz w:val="24"/>
          <w:szCs w:val="24"/>
        </w:rPr>
        <w:t>)</w:t>
      </w:r>
      <w:r w:rsidR="00985D9C" w:rsidRPr="00496500">
        <w:rPr>
          <w:rFonts w:ascii="Times New Roman" w:hAnsi="Times New Roman" w:cs="Times New Roman"/>
          <w:sz w:val="24"/>
          <w:szCs w:val="24"/>
        </w:rPr>
        <w:t xml:space="preserve"> осигурява все по-широки възможности за служебен обмен на данни между административните органи като вътрешни електронни административни услуги (ВЕАУ). Към средата на 2025 г. към системата са свързани 104 основни регистъра, </w:t>
      </w:r>
      <w:r w:rsidR="003109DB" w:rsidRPr="00496500">
        <w:rPr>
          <w:rFonts w:ascii="Times New Roman" w:hAnsi="Times New Roman" w:cs="Times New Roman"/>
          <w:sz w:val="24"/>
          <w:szCs w:val="24"/>
        </w:rPr>
        <w:t>поддържани</w:t>
      </w:r>
      <w:r w:rsidR="00985D9C" w:rsidRPr="00496500">
        <w:rPr>
          <w:rFonts w:ascii="Times New Roman" w:hAnsi="Times New Roman" w:cs="Times New Roman"/>
          <w:sz w:val="24"/>
          <w:szCs w:val="24"/>
        </w:rPr>
        <w:t xml:space="preserve"> от 32 централни администрации, първични администратори на данни, и са реализирани 295 </w:t>
      </w:r>
      <w:r w:rsidR="003109DB" w:rsidRPr="00496500">
        <w:rPr>
          <w:rFonts w:ascii="Times New Roman" w:hAnsi="Times New Roman" w:cs="Times New Roman"/>
          <w:sz w:val="24"/>
          <w:szCs w:val="24"/>
        </w:rPr>
        <w:t xml:space="preserve">вида </w:t>
      </w:r>
      <w:r w:rsidR="00985D9C" w:rsidRPr="00496500">
        <w:rPr>
          <w:rFonts w:ascii="Times New Roman" w:hAnsi="Times New Roman" w:cs="Times New Roman"/>
          <w:sz w:val="24"/>
          <w:szCs w:val="24"/>
        </w:rPr>
        <w:t xml:space="preserve">справки към регистрите. Общият брой консуматори на справки е 1 049, а общият брой предоставени ВЕАУ </w:t>
      </w:r>
      <w:r w:rsidR="00E55601">
        <w:rPr>
          <w:rFonts w:ascii="Times New Roman" w:hAnsi="Times New Roman" w:cs="Times New Roman"/>
          <w:sz w:val="24"/>
          <w:szCs w:val="24"/>
        </w:rPr>
        <w:sym w:font="Symbol" w:char="F02D"/>
      </w:r>
      <w:r w:rsidR="00985D9C" w:rsidRPr="00496500">
        <w:rPr>
          <w:rFonts w:ascii="Times New Roman" w:hAnsi="Times New Roman" w:cs="Times New Roman"/>
          <w:sz w:val="24"/>
          <w:szCs w:val="24"/>
        </w:rPr>
        <w:t xml:space="preserve"> 570 679 885.</w:t>
      </w:r>
    </w:p>
    <w:p w14:paraId="58FC33C9" w14:textId="63992EAE" w:rsidR="00024ED5" w:rsidRPr="00496500" w:rsidRDefault="00024ED5" w:rsidP="000750DD">
      <w:pPr>
        <w:widowControl w:val="0"/>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В началото на 2025 г. с приетия План за действие за внедряване на административни услуги на принципа „епизод от живота“ (РМС </w:t>
      </w:r>
      <w:r w:rsidRPr="00496500">
        <w:rPr>
          <w:rFonts w:ascii="Times New Roman" w:hAnsi="Times New Roman" w:cs="Times New Roman"/>
          <w:sz w:val="24"/>
          <w:szCs w:val="24"/>
        </w:rPr>
        <w:sym w:font="Times New Roman CYR" w:char="2116"/>
      </w:r>
      <w:r w:rsidRPr="00496500">
        <w:rPr>
          <w:rFonts w:ascii="Times New Roman" w:eastAsia="Calibri" w:hAnsi="Times New Roman" w:cs="Times New Roman"/>
          <w:color w:val="000000"/>
          <w:sz w:val="24"/>
          <w:szCs w:val="24"/>
        </w:rPr>
        <w:t xml:space="preserve"> 176 от 21 март 2025 г.) се предвиждат мерки за реализиране на </w:t>
      </w:r>
      <w:r w:rsidR="008A7D46" w:rsidRPr="00496500">
        <w:rPr>
          <w:rFonts w:ascii="Times New Roman" w:eastAsia="Calibri" w:hAnsi="Times New Roman" w:cs="Times New Roman"/>
          <w:color w:val="000000"/>
          <w:sz w:val="24"/>
          <w:szCs w:val="24"/>
        </w:rPr>
        <w:t xml:space="preserve">електронни </w:t>
      </w:r>
      <w:r w:rsidRPr="00496500">
        <w:rPr>
          <w:rFonts w:ascii="Times New Roman" w:eastAsia="Calibri" w:hAnsi="Times New Roman" w:cs="Times New Roman"/>
          <w:color w:val="000000"/>
          <w:sz w:val="24"/>
          <w:szCs w:val="24"/>
        </w:rPr>
        <w:t xml:space="preserve">административни услуги на принципа „епизод от живота“ за следните 11 епизода: Раждане на дете; Преместване в рамките на страната; Придобиване и подмяна на свидетелство за управление на моторно превозно средство; Покупка и продажба на моторно превозно средство; Покупка и продажба на недвижим имот; Наемане на служител; Загуба на работно място; Стартиране на бизнес; Закриване на бизнес; Встъпване в брак; Настъпване на смърт. Мерките са свързани с нормативни и организационни промени, както и технологични действия, насочени към разширяване на приложното поле на принципа за служебен обмен на информация между институциите и улесняването на взаимодействието на потребителя с публичния сектор. </w:t>
      </w:r>
    </w:p>
    <w:p w14:paraId="5E5B7D4F" w14:textId="1B0DD3D5" w:rsidR="00D5580F" w:rsidRPr="00496500" w:rsidRDefault="001F6748" w:rsidP="000750DD">
      <w:pPr>
        <w:widowControl w:val="0"/>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В унисон с тенденциите на </w:t>
      </w:r>
      <w:r w:rsidR="00AA68D1" w:rsidRPr="00496500">
        <w:rPr>
          <w:rFonts w:ascii="Times New Roman" w:eastAsia="Calibri" w:hAnsi="Times New Roman" w:cs="Times New Roman"/>
          <w:color w:val="000000"/>
          <w:sz w:val="24"/>
          <w:szCs w:val="24"/>
        </w:rPr>
        <w:t>цифрова</w:t>
      </w:r>
      <w:r w:rsidRPr="00496500">
        <w:rPr>
          <w:rFonts w:ascii="Times New Roman" w:eastAsia="Calibri" w:hAnsi="Times New Roman" w:cs="Times New Roman"/>
          <w:color w:val="000000"/>
          <w:sz w:val="24"/>
          <w:szCs w:val="24"/>
        </w:rPr>
        <w:t xml:space="preserve"> трансформация и в изпълнение на принципите, залегнали в националната нормативна рамка</w:t>
      </w:r>
      <w:r w:rsidR="002F5B63">
        <w:rPr>
          <w:rFonts w:ascii="Times New Roman" w:eastAsia="Calibri" w:hAnsi="Times New Roman" w:cs="Times New Roman"/>
          <w:color w:val="000000"/>
          <w:sz w:val="24"/>
          <w:szCs w:val="24"/>
        </w:rPr>
        <w:t>,</w:t>
      </w:r>
      <w:r w:rsidRPr="00496500">
        <w:rPr>
          <w:rFonts w:ascii="Times New Roman" w:eastAsia="Calibri" w:hAnsi="Times New Roman" w:cs="Times New Roman"/>
          <w:color w:val="000000"/>
          <w:sz w:val="24"/>
          <w:szCs w:val="24"/>
        </w:rPr>
        <w:t xml:space="preserve"> водещи администрации във взаимодействието си с гражданите и бизнеса, като Национална агенция по приходите</w:t>
      </w:r>
      <w:r w:rsidR="00681EDA" w:rsidRPr="00496500">
        <w:rPr>
          <w:rFonts w:ascii="Times New Roman" w:eastAsia="Calibri" w:hAnsi="Times New Roman" w:cs="Times New Roman"/>
          <w:color w:val="000000"/>
          <w:sz w:val="24"/>
          <w:szCs w:val="24"/>
        </w:rPr>
        <w:t xml:space="preserve"> (НАП)</w:t>
      </w:r>
      <w:r w:rsidRPr="00496500">
        <w:rPr>
          <w:rFonts w:ascii="Times New Roman" w:eastAsia="Calibri" w:hAnsi="Times New Roman" w:cs="Times New Roman"/>
          <w:color w:val="000000"/>
          <w:sz w:val="24"/>
          <w:szCs w:val="24"/>
        </w:rPr>
        <w:t>, Агенция по вписванията</w:t>
      </w:r>
      <w:r w:rsidR="00681EDA" w:rsidRPr="00496500">
        <w:rPr>
          <w:rFonts w:ascii="Times New Roman" w:eastAsia="Calibri" w:hAnsi="Times New Roman" w:cs="Times New Roman"/>
          <w:color w:val="000000"/>
          <w:sz w:val="24"/>
          <w:szCs w:val="24"/>
        </w:rPr>
        <w:t xml:space="preserve"> (АВ)</w:t>
      </w:r>
      <w:r w:rsidRPr="00496500">
        <w:rPr>
          <w:rFonts w:ascii="Times New Roman" w:eastAsia="Calibri" w:hAnsi="Times New Roman" w:cs="Times New Roman"/>
          <w:color w:val="000000"/>
          <w:sz w:val="24"/>
          <w:szCs w:val="24"/>
        </w:rPr>
        <w:t>, Национална здравно-осигурителна каса</w:t>
      </w:r>
      <w:r w:rsidR="00681EDA" w:rsidRPr="00496500">
        <w:rPr>
          <w:rFonts w:ascii="Times New Roman" w:eastAsia="Calibri" w:hAnsi="Times New Roman" w:cs="Times New Roman"/>
          <w:color w:val="000000"/>
          <w:sz w:val="24"/>
          <w:szCs w:val="24"/>
        </w:rPr>
        <w:t xml:space="preserve"> (НЗОК)</w:t>
      </w:r>
      <w:r w:rsidRPr="00496500">
        <w:rPr>
          <w:rFonts w:ascii="Times New Roman" w:eastAsia="Calibri" w:hAnsi="Times New Roman" w:cs="Times New Roman"/>
          <w:color w:val="000000"/>
          <w:sz w:val="24"/>
          <w:szCs w:val="24"/>
        </w:rPr>
        <w:t>, Национален осигурителен институт</w:t>
      </w:r>
      <w:r w:rsidR="00681EDA" w:rsidRPr="00496500">
        <w:rPr>
          <w:rFonts w:ascii="Times New Roman" w:eastAsia="Calibri" w:hAnsi="Times New Roman" w:cs="Times New Roman"/>
          <w:color w:val="000000"/>
          <w:sz w:val="24"/>
          <w:szCs w:val="24"/>
        </w:rPr>
        <w:t xml:space="preserve"> (НОИ)</w:t>
      </w:r>
      <w:r w:rsidR="00D41B73" w:rsidRPr="00496500">
        <w:rPr>
          <w:rFonts w:ascii="Times New Roman" w:eastAsia="Calibri" w:hAnsi="Times New Roman" w:cs="Times New Roman"/>
          <w:color w:val="000000"/>
          <w:sz w:val="24"/>
          <w:szCs w:val="24"/>
        </w:rPr>
        <w:t xml:space="preserve"> и други поддържат процеси на непрекъснато развитие и надграждане на своите системи, модули, приложения и функционалности с цел „по-близко“ и „по-лесно“ да бъдат до гражданите и бизнеса. Процесите на развитие </w:t>
      </w:r>
      <w:r w:rsidR="00212DB3" w:rsidRPr="00496500">
        <w:rPr>
          <w:rFonts w:ascii="Times New Roman" w:eastAsia="Calibri" w:hAnsi="Times New Roman" w:cs="Times New Roman"/>
          <w:color w:val="000000"/>
          <w:sz w:val="24"/>
          <w:szCs w:val="24"/>
        </w:rPr>
        <w:t xml:space="preserve">в тази посока </w:t>
      </w:r>
      <w:r w:rsidR="00D41B73" w:rsidRPr="00496500">
        <w:rPr>
          <w:rFonts w:ascii="Times New Roman" w:eastAsia="Calibri" w:hAnsi="Times New Roman" w:cs="Times New Roman"/>
          <w:color w:val="000000"/>
          <w:sz w:val="24"/>
          <w:szCs w:val="24"/>
        </w:rPr>
        <w:t>преминават и на следващо ниво – предоставяне на проактивни цифрови услуги и реализиране на концепцията за „държавата в джоба ми“</w:t>
      </w:r>
      <w:r w:rsidR="00D41B73" w:rsidRPr="00496500">
        <w:rPr>
          <w:rStyle w:val="FootnoteReference"/>
          <w:rFonts w:ascii="Times New Roman" w:eastAsia="Calibri" w:hAnsi="Times New Roman" w:cs="Times New Roman"/>
          <w:color w:val="000000"/>
          <w:sz w:val="24"/>
          <w:szCs w:val="24"/>
        </w:rPr>
        <w:footnoteReference w:id="22"/>
      </w:r>
      <w:r w:rsidR="00D41B73" w:rsidRPr="00496500">
        <w:rPr>
          <w:rFonts w:ascii="Times New Roman" w:eastAsia="Calibri" w:hAnsi="Times New Roman" w:cs="Times New Roman"/>
          <w:color w:val="000000"/>
          <w:sz w:val="24"/>
          <w:szCs w:val="24"/>
        </w:rPr>
        <w:t>.</w:t>
      </w:r>
      <w:r w:rsidRPr="00496500">
        <w:rPr>
          <w:rFonts w:ascii="Times New Roman" w:eastAsia="Calibri" w:hAnsi="Times New Roman" w:cs="Times New Roman"/>
          <w:color w:val="000000"/>
          <w:sz w:val="24"/>
          <w:szCs w:val="24"/>
        </w:rPr>
        <w:t xml:space="preserve"> </w:t>
      </w:r>
    </w:p>
    <w:p w14:paraId="76E330FD" w14:textId="5E288980" w:rsidR="00FA71B3" w:rsidRPr="00496500" w:rsidRDefault="00024ED5" w:rsidP="003B412E">
      <w:pPr>
        <w:widowControl w:val="0"/>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Въпреки </w:t>
      </w:r>
      <w:r w:rsidR="00D03C4C" w:rsidRPr="00496500">
        <w:rPr>
          <w:rFonts w:ascii="Times New Roman" w:eastAsia="Calibri" w:hAnsi="Times New Roman" w:cs="Times New Roman"/>
          <w:color w:val="000000"/>
          <w:sz w:val="24"/>
          <w:szCs w:val="24"/>
        </w:rPr>
        <w:t xml:space="preserve">непрекъснатите усилия и инициативи за подобряване на нивото и броя на </w:t>
      </w:r>
      <w:r w:rsidRPr="00496500">
        <w:rPr>
          <w:rFonts w:ascii="Times New Roman" w:eastAsia="Calibri" w:hAnsi="Times New Roman" w:cs="Times New Roman"/>
          <w:bCs/>
          <w:color w:val="000000"/>
          <w:sz w:val="24"/>
          <w:szCs w:val="24"/>
        </w:rPr>
        <w:t xml:space="preserve">цифровите </w:t>
      </w:r>
      <w:r w:rsidR="00A101D1" w:rsidRPr="00496500">
        <w:rPr>
          <w:rFonts w:ascii="Times New Roman" w:eastAsia="Calibri" w:hAnsi="Times New Roman" w:cs="Times New Roman"/>
          <w:bCs/>
          <w:color w:val="000000"/>
          <w:sz w:val="24"/>
          <w:szCs w:val="24"/>
        </w:rPr>
        <w:t>публични</w:t>
      </w:r>
      <w:r w:rsidRPr="00496500">
        <w:rPr>
          <w:rFonts w:ascii="Times New Roman" w:eastAsia="Calibri" w:hAnsi="Times New Roman" w:cs="Times New Roman"/>
          <w:bCs/>
          <w:color w:val="000000"/>
          <w:sz w:val="24"/>
          <w:szCs w:val="24"/>
        </w:rPr>
        <w:t xml:space="preserve"> услуги в страната,</w:t>
      </w:r>
      <w:r w:rsidRPr="00496500">
        <w:rPr>
          <w:rFonts w:ascii="Times New Roman" w:eastAsia="Calibri" w:hAnsi="Times New Roman" w:cs="Times New Roman"/>
          <w:color w:val="000000"/>
          <w:sz w:val="24"/>
          <w:szCs w:val="24"/>
        </w:rPr>
        <w:t xml:space="preserve"> тяхното използване остава </w:t>
      </w:r>
      <w:r w:rsidR="00D03C4C" w:rsidRPr="00496500">
        <w:rPr>
          <w:rFonts w:ascii="Times New Roman" w:eastAsia="Calibri" w:hAnsi="Times New Roman" w:cs="Times New Roman"/>
          <w:color w:val="000000"/>
          <w:sz w:val="24"/>
          <w:szCs w:val="24"/>
        </w:rPr>
        <w:t xml:space="preserve">относително </w:t>
      </w:r>
      <w:r w:rsidRPr="00496500">
        <w:rPr>
          <w:rFonts w:ascii="Times New Roman" w:eastAsia="Calibri" w:hAnsi="Times New Roman" w:cs="Times New Roman"/>
          <w:color w:val="000000"/>
          <w:sz w:val="24"/>
          <w:szCs w:val="24"/>
        </w:rPr>
        <w:t>слабо. През 2024 г.</w:t>
      </w:r>
      <w:r w:rsidR="00D03C4C" w:rsidRPr="00496500">
        <w:rPr>
          <w:rFonts w:ascii="Times New Roman" w:eastAsia="Calibri" w:hAnsi="Times New Roman" w:cs="Times New Roman"/>
          <w:color w:val="000000"/>
          <w:sz w:val="24"/>
          <w:szCs w:val="24"/>
        </w:rPr>
        <w:t>, по данни на DESI 2025,</w:t>
      </w:r>
      <w:r w:rsidRPr="00496500">
        <w:rPr>
          <w:rFonts w:ascii="Times New Roman" w:eastAsia="Calibri" w:hAnsi="Times New Roman" w:cs="Times New Roman"/>
          <w:color w:val="000000"/>
          <w:sz w:val="24"/>
          <w:szCs w:val="24"/>
        </w:rPr>
        <w:t xml:space="preserve"> 36</w:t>
      </w:r>
      <w:r w:rsidR="007A7C99">
        <w:rPr>
          <w:rFonts w:ascii="Times New Roman" w:eastAsia="Calibri" w:hAnsi="Times New Roman" w:cs="Times New Roman"/>
          <w:color w:val="000000"/>
          <w:sz w:val="24"/>
          <w:szCs w:val="24"/>
        </w:rPr>
        <w:t>,</w:t>
      </w:r>
      <w:r w:rsidR="004079CF" w:rsidRPr="00496500">
        <w:rPr>
          <w:rFonts w:ascii="Times New Roman" w:eastAsia="Calibri" w:hAnsi="Times New Roman" w:cs="Times New Roman"/>
          <w:color w:val="000000"/>
          <w:sz w:val="24"/>
          <w:szCs w:val="24"/>
        </w:rPr>
        <w:t>48</w:t>
      </w:r>
      <w:r w:rsidRPr="00496500">
        <w:rPr>
          <w:rFonts w:ascii="Times New Roman" w:eastAsia="Calibri" w:hAnsi="Times New Roman" w:cs="Times New Roman"/>
          <w:color w:val="000000"/>
          <w:sz w:val="24"/>
          <w:szCs w:val="24"/>
        </w:rPr>
        <w:t>% от потребителите на интернет са използвали услуги за електронно управление, като въпреки позитивната тенденция от предходните години, стойността е значително под средната стойност за ЕС от 74</w:t>
      </w:r>
      <w:r w:rsidR="007A7C99">
        <w:rPr>
          <w:rFonts w:ascii="Times New Roman" w:eastAsia="Calibri" w:hAnsi="Times New Roman" w:cs="Times New Roman"/>
          <w:color w:val="000000"/>
          <w:sz w:val="24"/>
          <w:szCs w:val="24"/>
        </w:rPr>
        <w:t>,</w:t>
      </w:r>
      <w:r w:rsidR="004079CF" w:rsidRPr="00496500">
        <w:rPr>
          <w:rFonts w:ascii="Times New Roman" w:eastAsia="Calibri" w:hAnsi="Times New Roman" w:cs="Times New Roman"/>
          <w:color w:val="000000"/>
          <w:sz w:val="24"/>
          <w:szCs w:val="24"/>
        </w:rPr>
        <w:t>71</w:t>
      </w:r>
      <w:r w:rsidRPr="00496500">
        <w:rPr>
          <w:rFonts w:ascii="Times New Roman" w:eastAsia="Calibri" w:hAnsi="Times New Roman" w:cs="Times New Roman"/>
          <w:color w:val="000000"/>
          <w:sz w:val="24"/>
          <w:szCs w:val="24"/>
        </w:rPr>
        <w:t>%</w:t>
      </w:r>
      <w:r w:rsidR="00050809" w:rsidRPr="00496500">
        <w:rPr>
          <w:rFonts w:ascii="Times New Roman" w:eastAsia="Calibri" w:hAnsi="Times New Roman" w:cs="Times New Roman"/>
          <w:color w:val="000000"/>
          <w:sz w:val="24"/>
          <w:szCs w:val="24"/>
        </w:rPr>
        <w:t>.</w:t>
      </w:r>
      <w:r w:rsidRPr="00496500">
        <w:rPr>
          <w:rFonts w:ascii="Times New Roman" w:eastAsia="Calibri" w:hAnsi="Times New Roman" w:cs="Times New Roman"/>
          <w:color w:val="000000"/>
          <w:sz w:val="24"/>
          <w:szCs w:val="24"/>
        </w:rPr>
        <w:t xml:space="preserve"> България</w:t>
      </w:r>
      <w:r w:rsidR="00050809" w:rsidRPr="00496500">
        <w:rPr>
          <w:rFonts w:ascii="Times New Roman" w:eastAsia="Calibri" w:hAnsi="Times New Roman" w:cs="Times New Roman"/>
          <w:color w:val="000000"/>
          <w:sz w:val="24"/>
          <w:szCs w:val="24"/>
        </w:rPr>
        <w:t xml:space="preserve"> се нарежда</w:t>
      </w:r>
      <w:r w:rsidRPr="00496500">
        <w:rPr>
          <w:rFonts w:ascii="Times New Roman" w:eastAsia="Calibri" w:hAnsi="Times New Roman" w:cs="Times New Roman"/>
          <w:color w:val="000000"/>
          <w:sz w:val="24"/>
          <w:szCs w:val="24"/>
        </w:rPr>
        <w:t xml:space="preserve"> на </w:t>
      </w:r>
      <w:r w:rsidRPr="00496500">
        <w:rPr>
          <w:rFonts w:ascii="Times New Roman" w:eastAsia="Calibri" w:hAnsi="Times New Roman" w:cs="Times New Roman"/>
          <w:color w:val="000000"/>
          <w:sz w:val="24"/>
          <w:szCs w:val="24"/>
        </w:rPr>
        <w:lastRenderedPageBreak/>
        <w:t>предпоследно място сред държавите — членки на ЕС. Причини за това са ниската цифрова грамотност на населението, особено в по-високите възрастови групи и уязвимите групи, липсата на средства за електронна идентификация, които се издават задължително на всички граждани, не</w:t>
      </w:r>
      <w:r w:rsidR="002A4A02" w:rsidRPr="00496500">
        <w:rPr>
          <w:rFonts w:ascii="Times New Roman" w:eastAsia="Calibri" w:hAnsi="Times New Roman" w:cs="Times New Roman"/>
          <w:color w:val="000000"/>
          <w:sz w:val="24"/>
          <w:szCs w:val="24"/>
        </w:rPr>
        <w:t xml:space="preserve">достатъчно </w:t>
      </w:r>
      <w:r w:rsidRPr="00496500">
        <w:rPr>
          <w:rFonts w:ascii="Times New Roman" w:eastAsia="Calibri" w:hAnsi="Times New Roman" w:cs="Times New Roman"/>
          <w:color w:val="000000"/>
          <w:sz w:val="24"/>
          <w:szCs w:val="24"/>
        </w:rPr>
        <w:t xml:space="preserve">доверие в </w:t>
      </w:r>
      <w:r w:rsidR="002A4A02" w:rsidRPr="00496500">
        <w:rPr>
          <w:rFonts w:ascii="Times New Roman" w:eastAsia="Calibri" w:hAnsi="Times New Roman" w:cs="Times New Roman"/>
          <w:color w:val="000000"/>
          <w:sz w:val="24"/>
          <w:szCs w:val="24"/>
        </w:rPr>
        <w:t xml:space="preserve">тяхната </w:t>
      </w:r>
      <w:r w:rsidRPr="00496500">
        <w:rPr>
          <w:rFonts w:ascii="Times New Roman" w:eastAsia="Calibri" w:hAnsi="Times New Roman" w:cs="Times New Roman"/>
          <w:color w:val="000000"/>
          <w:sz w:val="24"/>
          <w:szCs w:val="24"/>
        </w:rPr>
        <w:t>сигурност, както и недостатъчното популяризиране на услугите.</w:t>
      </w:r>
    </w:p>
    <w:p w14:paraId="04DB4C54" w14:textId="77777777" w:rsidR="00024ED5" w:rsidRPr="00496500" w:rsidRDefault="00024ED5"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Според </w:t>
      </w:r>
      <w:hyperlink r:id="rId22" w:history="1">
        <w:r w:rsidRPr="00496500">
          <w:rPr>
            <w:rStyle w:val="Hyperlink"/>
            <w:rFonts w:ascii="Times New Roman" w:eastAsia="Calibri" w:hAnsi="Times New Roman" w:cs="Times New Roman"/>
            <w:sz w:val="24"/>
            <w:szCs w:val="24"/>
          </w:rPr>
          <w:t>доклада за България относно цифровите права и принципи</w:t>
        </w:r>
      </w:hyperlink>
      <w:r w:rsidRPr="00496500">
        <w:rPr>
          <w:rFonts w:ascii="Times New Roman" w:eastAsia="Calibri" w:hAnsi="Times New Roman" w:cs="Times New Roman"/>
          <w:color w:val="000000"/>
          <w:sz w:val="24"/>
          <w:szCs w:val="24"/>
        </w:rPr>
        <w:t>, страната е относително активна в прилагането на</w:t>
      </w:r>
      <w:hyperlink r:id="rId23" w:history="1">
        <w:r w:rsidRPr="00496500">
          <w:rPr>
            <w:rStyle w:val="Hyperlink"/>
            <w:rFonts w:ascii="Times New Roman" w:eastAsia="Calibri" w:hAnsi="Times New Roman" w:cs="Times New Roman"/>
            <w:sz w:val="24"/>
            <w:szCs w:val="24"/>
          </w:rPr>
          <w:t xml:space="preserve"> </w:t>
        </w:r>
        <w:r w:rsidRPr="00496500">
          <w:rPr>
            <w:rStyle w:val="Hyperlink"/>
            <w:rFonts w:ascii="Times New Roman" w:eastAsia="Calibri" w:hAnsi="Times New Roman" w:cs="Times New Roman"/>
            <w:bCs/>
            <w:sz w:val="24"/>
            <w:szCs w:val="24"/>
          </w:rPr>
          <w:t>Европейската</w:t>
        </w:r>
      </w:hyperlink>
      <w:r w:rsidRPr="00496500">
        <w:rPr>
          <w:rFonts w:ascii="Times New Roman" w:eastAsia="Calibri" w:hAnsi="Times New Roman" w:cs="Times New Roman"/>
          <w:bCs/>
          <w:color w:val="000000"/>
          <w:sz w:val="24"/>
          <w:szCs w:val="24"/>
          <w:u w:val="single"/>
        </w:rPr>
        <w:t xml:space="preserve"> </w:t>
      </w:r>
      <w:hyperlink r:id="rId24" w:history="1">
        <w:r w:rsidRPr="00496500">
          <w:rPr>
            <w:rStyle w:val="Hyperlink"/>
            <w:rFonts w:ascii="Times New Roman" w:eastAsia="Calibri" w:hAnsi="Times New Roman" w:cs="Times New Roman"/>
            <w:bCs/>
            <w:sz w:val="24"/>
            <w:szCs w:val="24"/>
          </w:rPr>
          <w:t>декларация за цифровите права и принципи.</w:t>
        </w:r>
      </w:hyperlink>
      <w:r w:rsidRPr="00496500">
        <w:rPr>
          <w:rFonts w:ascii="Times New Roman" w:eastAsia="Calibri" w:hAnsi="Times New Roman" w:cs="Times New Roman"/>
          <w:color w:val="000000"/>
          <w:sz w:val="24"/>
          <w:szCs w:val="24"/>
        </w:rPr>
        <w:t xml:space="preserve"> </w:t>
      </w:r>
      <w:r w:rsidR="00D5580F" w:rsidRPr="00496500">
        <w:rPr>
          <w:rFonts w:ascii="Times New Roman" w:eastAsia="Calibri" w:hAnsi="Times New Roman" w:cs="Times New Roman"/>
          <w:color w:val="000000"/>
          <w:sz w:val="24"/>
          <w:szCs w:val="24"/>
        </w:rPr>
        <w:t>Предвидени са</w:t>
      </w:r>
      <w:r w:rsidRPr="00496500">
        <w:rPr>
          <w:rFonts w:ascii="Times New Roman" w:eastAsia="Calibri" w:hAnsi="Times New Roman" w:cs="Times New Roman"/>
          <w:color w:val="000000"/>
          <w:sz w:val="24"/>
          <w:szCs w:val="24"/>
        </w:rPr>
        <w:t xml:space="preserve"> различни инициативи за изпълнение на 51-те ангажимента по шестте основни глави от Декларацията, като през 2024 г. са стартирани общо 79 инициативи и 4 нови такива. В реализирането на инициативите участват широк кръг от заинтересовани страни като повечето от тях се ръководят от правителствени организации (50). Страната е най-активна в област „Поставяне на хората в центъра на цифровата трансформация“ (Глава I).</w:t>
      </w:r>
    </w:p>
    <w:p w14:paraId="6C0BF413" w14:textId="542FDC79" w:rsidR="008C262E" w:rsidRPr="006D7474" w:rsidRDefault="008C262E" w:rsidP="006D7474">
      <w:pPr>
        <w:widowControl w:val="0"/>
        <w:spacing w:after="120" w:line="240" w:lineRule="auto"/>
        <w:ind w:firstLine="720"/>
        <w:jc w:val="both"/>
        <w:rPr>
          <w:rFonts w:ascii="Times New Roman" w:eastAsia="Calibri" w:hAnsi="Times New Roman" w:cs="Times New Roman"/>
          <w:color w:val="000000"/>
          <w:sz w:val="24"/>
          <w:szCs w:val="24"/>
        </w:rPr>
      </w:pPr>
      <w:r w:rsidRPr="006D7474">
        <w:rPr>
          <w:rFonts w:ascii="Times New Roman" w:eastAsia="Calibri" w:hAnsi="Times New Roman" w:cs="Times New Roman"/>
          <w:color w:val="000000"/>
          <w:sz w:val="24"/>
          <w:szCs w:val="24"/>
        </w:rPr>
        <w:t>С Постановление № 67 на Министерския съвет от 28.03.2024 г. е приета Наредба за реда за организирането, обработването, експертизата, съхранението и използването на документите в учрежденските архиви на държавните и общинските институции. Проектът на акт е разработен в изпълнение на Дейност 1 по проект  „Разработка и внедряване на система за е-архивиране“</w:t>
      </w:r>
      <w:r w:rsidR="009F7C0E" w:rsidRPr="006D7474">
        <w:rPr>
          <w:rFonts w:ascii="Times New Roman" w:eastAsia="Calibri" w:hAnsi="Times New Roman" w:cs="Times New Roman"/>
          <w:color w:val="000000"/>
          <w:sz w:val="24"/>
          <w:szCs w:val="24"/>
        </w:rPr>
        <w:t xml:space="preserve"> по Оперативна програма „Добро управление” (ОПДУ)</w:t>
      </w:r>
      <w:r w:rsidRPr="006D7474">
        <w:rPr>
          <w:rFonts w:ascii="Times New Roman" w:eastAsia="Calibri" w:hAnsi="Times New Roman" w:cs="Times New Roman"/>
          <w:color w:val="000000"/>
          <w:sz w:val="24"/>
          <w:szCs w:val="24"/>
        </w:rPr>
        <w:t xml:space="preserve">. В обхвата </w:t>
      </w:r>
      <w:r w:rsidR="00104998" w:rsidRPr="006D7474">
        <w:rPr>
          <w:rFonts w:ascii="Times New Roman" w:eastAsia="Calibri" w:hAnsi="Times New Roman" w:cs="Times New Roman"/>
          <w:color w:val="000000"/>
          <w:sz w:val="24"/>
          <w:szCs w:val="24"/>
        </w:rPr>
        <w:t xml:space="preserve">на наредбата </w:t>
      </w:r>
      <w:r w:rsidRPr="006D7474">
        <w:rPr>
          <w:rFonts w:ascii="Times New Roman" w:eastAsia="Calibri" w:hAnsi="Times New Roman" w:cs="Times New Roman"/>
          <w:color w:val="000000"/>
          <w:sz w:val="24"/>
          <w:szCs w:val="24"/>
        </w:rPr>
        <w:t>са включени и електронните документи, с което изцяло са изпълнени разпоредбите на чл. 4, ал. 1 от Закона за</w:t>
      </w:r>
      <w:r w:rsidR="00104998" w:rsidRPr="006D7474">
        <w:rPr>
          <w:rFonts w:ascii="Times New Roman" w:eastAsia="Calibri" w:hAnsi="Times New Roman" w:cs="Times New Roman"/>
          <w:color w:val="000000"/>
          <w:sz w:val="24"/>
          <w:szCs w:val="24"/>
        </w:rPr>
        <w:t xml:space="preserve"> Националния архивен фонд</w:t>
      </w:r>
      <w:r w:rsidRPr="006D7474">
        <w:rPr>
          <w:rFonts w:ascii="Times New Roman" w:eastAsia="Calibri" w:hAnsi="Times New Roman" w:cs="Times New Roman"/>
          <w:color w:val="000000"/>
          <w:sz w:val="24"/>
          <w:szCs w:val="24"/>
        </w:rPr>
        <w:t xml:space="preserve">. Предвидено е внедряването на номенклатурата на делата със срокове за съхранение в деловодството, структурните звена и в административните информационни системи (АИС), както и предаването на документите от деловодството, структурните звена и АИС в учрежденския архив. В институциите, които създават, съхраняват и използват електронни документи, се създава електронен архив, който е част от учрежденския архив. Изготвени са образци на форми за регистрация, отчетност, съхранение, използване на приетите електронни документи в електронния архив на институцията, както и за унищожаване на неценни документи. Разработени са критериите за определяне ценността на електронните документи и образци на описи (инвентарен опис на електронни документи за постоянно запазване; опис на електронни документи с дългосрочно справочно значение; опис на електронни документи, определени като неценни; инвентарни описи за научно-техническите електронни документи – проекти на изделия, отчети по теми, проекти на обекти, технологични разработки). Нормативно е регулирано поддържането на разработената и внедрена от </w:t>
      </w:r>
      <w:r w:rsidR="009F7C0E" w:rsidRPr="006D7474">
        <w:rPr>
          <w:rFonts w:ascii="Times New Roman" w:eastAsia="Calibri" w:hAnsi="Times New Roman" w:cs="Times New Roman"/>
          <w:color w:val="000000"/>
          <w:sz w:val="24"/>
          <w:szCs w:val="24"/>
        </w:rPr>
        <w:t>Държавна агенция „Архиви” (</w:t>
      </w:r>
      <w:r w:rsidRPr="006D7474">
        <w:rPr>
          <w:rFonts w:ascii="Times New Roman" w:eastAsia="Calibri" w:hAnsi="Times New Roman" w:cs="Times New Roman"/>
          <w:color w:val="000000"/>
          <w:sz w:val="24"/>
          <w:szCs w:val="24"/>
        </w:rPr>
        <w:t>ДАА</w:t>
      </w:r>
      <w:r w:rsidR="009F7C0E" w:rsidRPr="006D7474">
        <w:rPr>
          <w:rFonts w:ascii="Times New Roman" w:eastAsia="Calibri" w:hAnsi="Times New Roman" w:cs="Times New Roman"/>
          <w:color w:val="000000"/>
          <w:sz w:val="24"/>
          <w:szCs w:val="24"/>
        </w:rPr>
        <w:t>)</w:t>
      </w:r>
      <w:r w:rsidRPr="006D7474">
        <w:rPr>
          <w:rFonts w:ascii="Times New Roman" w:eastAsia="Calibri" w:hAnsi="Times New Roman" w:cs="Times New Roman"/>
          <w:color w:val="000000"/>
          <w:sz w:val="24"/>
          <w:szCs w:val="24"/>
        </w:rPr>
        <w:t xml:space="preserve"> по проекта по ОПДУ Система за е-Архивиране на ценни електронни документи, която предоставя възможност за предаване, опазване, съхранение и използване на ценните електронни документи в държавните архиви. С цел постигане на по-голяма яснота при прилагането на акта, в § 1 от Допълнителните разпоредби на Наредбата са дефинирани понятията „електронен архив“ и „електронно архивиране на документи“. Това ще доведе до организиране и проследяване на целия жизнен цикъл на електронните документи (създаване, управление, съхранение, предаване или унищожаване) с цел гарантиране на тяхната автентичност, надеждност и използваемост както от страна на държавните и общинските институции, така и от страна на държавните архиви.</w:t>
      </w:r>
    </w:p>
    <w:p w14:paraId="219F7AA2" w14:textId="77777777" w:rsidR="00A14020" w:rsidRPr="00496500" w:rsidRDefault="00A14020"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В изпълнение на мерките от Правителствената програма беше прието Решение № 171 на Министерския съвет от 19 март 2025 г. за създаване на необходимата организация за въвеждане на изцяло електронен вътрешен оборот на документи в администрациите на органите на изпълнителната власт. С Решението се цели движението на документите вътре в администрациите на органите на изпълнителната власт да става изцяло и единствено електронно – целият поток от документи в администрацията, както и цялата оперативна информация (отчети, становища, справки, заповеди и др.) да бъдат изготвяни, съгласувани и подписвани само в електронна форма.</w:t>
      </w:r>
    </w:p>
    <w:p w14:paraId="7E306AE5" w14:textId="17F916E7" w:rsidR="00A14020" w:rsidRPr="00496500" w:rsidRDefault="00A14020"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lastRenderedPageBreak/>
        <w:t>Понастоящем част от актовете и документите се създават и обработват от подпомагащите ги администрации на хартиен носител. Преобладаващият брой от тези хартиени документи впоследствие се сканират и прикачат в деловодната система, дори без да се спазват изискванията на Закона за електронното управление. Описаният подход на работа е резултат от наложената дългогодишна практика, което е нецелесъобразно и неефективно.</w:t>
      </w:r>
    </w:p>
    <w:p w14:paraId="2281CF6D" w14:textId="77777777" w:rsidR="00A14020" w:rsidRPr="00496500" w:rsidRDefault="00A14020"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Съгласно приетото решени</w:t>
      </w:r>
      <w:r w:rsidR="0069430D" w:rsidRPr="00496500">
        <w:rPr>
          <w:rFonts w:ascii="Times New Roman" w:eastAsia="Calibri" w:hAnsi="Times New Roman" w:cs="Times New Roman"/>
          <w:color w:val="000000"/>
          <w:sz w:val="24"/>
          <w:szCs w:val="24"/>
        </w:rPr>
        <w:t>е</w:t>
      </w:r>
      <w:r w:rsidRPr="00496500">
        <w:rPr>
          <w:rFonts w:ascii="Times New Roman" w:eastAsia="Calibri" w:hAnsi="Times New Roman" w:cs="Times New Roman"/>
          <w:color w:val="000000"/>
          <w:sz w:val="24"/>
          <w:szCs w:val="24"/>
        </w:rPr>
        <w:t xml:space="preserve">, </w:t>
      </w:r>
      <w:r w:rsidR="00EB5AC5" w:rsidRPr="00496500">
        <w:rPr>
          <w:rFonts w:ascii="Times New Roman" w:eastAsia="Calibri" w:hAnsi="Times New Roman" w:cs="Times New Roman"/>
          <w:color w:val="000000"/>
          <w:sz w:val="24"/>
          <w:szCs w:val="24"/>
        </w:rPr>
        <w:t>координацията</w:t>
      </w:r>
      <w:r w:rsidRPr="00496500">
        <w:rPr>
          <w:rFonts w:ascii="Times New Roman" w:eastAsia="Calibri" w:hAnsi="Times New Roman" w:cs="Times New Roman"/>
          <w:color w:val="000000"/>
          <w:sz w:val="24"/>
          <w:szCs w:val="24"/>
        </w:rPr>
        <w:t xml:space="preserve"> и контролът са възложени на министъра на електронното управление. Във връзка с изпълнението са утвърдени Методически указания за въвеждане на изцяло електронен вътрешен оборот на документи при изпълнението на всички административни процедури в администрациите на органите на изпълнителната власт, чиято цел е прилагането на единен подход от органите на изпълнителната власт по чл. 19 от Закона за администрацията при въвеждане на изцяло електронен вътрешен оборот на документи съгласно Наредбата за обмена на документи в администрацията. Указанията са публикувани и достъпни на интернет страницата на МЕУ на адрес: </w:t>
      </w:r>
      <w:hyperlink r:id="rId25" w:history="1">
        <w:r w:rsidRPr="00496500">
          <w:rPr>
            <w:rStyle w:val="Hyperlink"/>
            <w:rFonts w:ascii="Times New Roman" w:hAnsi="Times New Roman" w:cs="Times New Roman"/>
            <w:sz w:val="24"/>
            <w:szCs w:val="24"/>
          </w:rPr>
          <w:t>https://egov.government.bg/wps/portal/ministry-meu/home/veod</w:t>
        </w:r>
      </w:hyperlink>
      <w:r w:rsidRPr="00496500">
        <w:rPr>
          <w:rFonts w:ascii="Times New Roman" w:eastAsia="Calibri" w:hAnsi="Times New Roman" w:cs="Times New Roman"/>
          <w:color w:val="000000"/>
          <w:sz w:val="24"/>
          <w:szCs w:val="24"/>
        </w:rPr>
        <w:t>.</w:t>
      </w:r>
    </w:p>
    <w:p w14:paraId="68FF425D" w14:textId="4B29FA27" w:rsidR="00A14020" w:rsidRPr="00496500" w:rsidRDefault="000A742E" w:rsidP="003B412E">
      <w:pPr>
        <w:spacing w:after="120" w:line="24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резултат</w:t>
      </w:r>
      <w:r w:rsidRPr="00496500">
        <w:rPr>
          <w:rFonts w:ascii="Times New Roman" w:eastAsia="Calibri" w:hAnsi="Times New Roman" w:cs="Times New Roman"/>
          <w:color w:val="000000"/>
          <w:sz w:val="24"/>
          <w:szCs w:val="24"/>
        </w:rPr>
        <w:t xml:space="preserve"> </w:t>
      </w:r>
      <w:r w:rsidR="00A14020" w:rsidRPr="00496500">
        <w:rPr>
          <w:rFonts w:ascii="Times New Roman" w:eastAsia="Calibri" w:hAnsi="Times New Roman" w:cs="Times New Roman"/>
          <w:color w:val="000000"/>
          <w:sz w:val="24"/>
          <w:szCs w:val="24"/>
        </w:rPr>
        <w:t xml:space="preserve">на общите усилия към 30 юни 2025 г. Администрацията на Министерския съвет и министерствата вече </w:t>
      </w:r>
      <w:r w:rsidR="00BB4BF2" w:rsidRPr="00496500">
        <w:rPr>
          <w:rFonts w:ascii="Times New Roman" w:eastAsia="Calibri" w:hAnsi="Times New Roman" w:cs="Times New Roman"/>
          <w:color w:val="000000"/>
          <w:sz w:val="24"/>
          <w:szCs w:val="24"/>
        </w:rPr>
        <w:t>извършват</w:t>
      </w:r>
      <w:r w:rsidR="00A14020" w:rsidRPr="00496500">
        <w:rPr>
          <w:rFonts w:ascii="Times New Roman" w:eastAsia="Calibri" w:hAnsi="Times New Roman" w:cs="Times New Roman"/>
          <w:color w:val="000000"/>
          <w:sz w:val="24"/>
          <w:szCs w:val="24"/>
        </w:rPr>
        <w:t xml:space="preserve"> вътрешен електронен документооборот.</w:t>
      </w:r>
    </w:p>
    <w:p w14:paraId="23A1EBB6" w14:textId="77777777" w:rsidR="00A14020" w:rsidRPr="00496500" w:rsidRDefault="00503553" w:rsidP="003B412E">
      <w:pPr>
        <w:snapToGrid w:val="0"/>
        <w:spacing w:after="120" w:line="240" w:lineRule="auto"/>
        <w:jc w:val="both"/>
        <w:rPr>
          <w:rFonts w:ascii="Times New Roman" w:eastAsia="Calibri" w:hAnsi="Times New Roman" w:cs="Times New Roman"/>
          <w:b/>
          <w:bCs/>
          <w:color w:val="000000"/>
          <w:sz w:val="24"/>
          <w:szCs w:val="24"/>
        </w:rPr>
      </w:pPr>
      <w:r w:rsidRPr="00496500">
        <w:rPr>
          <w:rFonts w:ascii="Times New Roman" w:eastAsia="Calibri" w:hAnsi="Times New Roman" w:cs="Times New Roman"/>
          <w:b/>
          <w:bCs/>
          <w:color w:val="000000"/>
          <w:sz w:val="24"/>
          <w:szCs w:val="24"/>
        </w:rPr>
        <w:t xml:space="preserve">Сектор </w:t>
      </w:r>
      <w:r w:rsidR="009E61FE" w:rsidRPr="00496500">
        <w:rPr>
          <w:rFonts w:ascii="Times New Roman" w:eastAsia="Calibri" w:hAnsi="Times New Roman" w:cs="Times New Roman"/>
          <w:b/>
          <w:bCs/>
          <w:color w:val="000000"/>
          <w:sz w:val="24"/>
          <w:szCs w:val="24"/>
        </w:rPr>
        <w:t>„Здравеопазване“</w:t>
      </w:r>
    </w:p>
    <w:p w14:paraId="15DC7D9C" w14:textId="667ACF16" w:rsidR="00DA23AA" w:rsidRPr="00496500" w:rsidRDefault="00503553" w:rsidP="00D6279D">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 xml:space="preserve">Резултатите на България в областта на електронното здравеопазване се подобряват. Националната здравна информационна система </w:t>
      </w:r>
      <w:r w:rsidR="002378CC">
        <w:rPr>
          <w:rFonts w:ascii="Times New Roman" w:eastAsia="Calibri" w:hAnsi="Times New Roman" w:cs="Times New Roman"/>
          <w:color w:val="000000" w:themeColor="text1"/>
          <w:sz w:val="24"/>
          <w:szCs w:val="24"/>
        </w:rPr>
        <w:t xml:space="preserve">(НЗИС) </w:t>
      </w:r>
      <w:r w:rsidRPr="00496500">
        <w:rPr>
          <w:rFonts w:ascii="Times New Roman" w:eastAsia="Calibri" w:hAnsi="Times New Roman" w:cs="Times New Roman"/>
          <w:color w:val="000000" w:themeColor="text1"/>
          <w:sz w:val="24"/>
          <w:szCs w:val="24"/>
        </w:rPr>
        <w:t xml:space="preserve">улеснява достъпа на гражданите до здравни досиета, като продължава процесът по пълното интегриране на цифровите инструменти в здравеопазването. </w:t>
      </w:r>
      <w:r w:rsidR="00DA23AA" w:rsidRPr="00496500">
        <w:rPr>
          <w:rFonts w:ascii="Times New Roman" w:eastAsia="Calibri" w:hAnsi="Times New Roman" w:cs="Times New Roman"/>
          <w:color w:val="000000" w:themeColor="text1"/>
          <w:sz w:val="24"/>
          <w:szCs w:val="24"/>
        </w:rPr>
        <w:t xml:space="preserve">През 2020 г. страната отчита </w:t>
      </w:r>
      <w:r w:rsidR="00F133C7">
        <w:rPr>
          <w:rFonts w:ascii="Times New Roman" w:eastAsia="Calibri" w:hAnsi="Times New Roman" w:cs="Times New Roman"/>
          <w:color w:val="000000" w:themeColor="text1"/>
          <w:sz w:val="24"/>
          <w:szCs w:val="24"/>
        </w:rPr>
        <w:t>съгласно</w:t>
      </w:r>
      <w:r w:rsidR="00F133C7" w:rsidRPr="00496500">
        <w:rPr>
          <w:rFonts w:ascii="Times New Roman" w:eastAsia="Calibri" w:hAnsi="Times New Roman" w:cs="Times New Roman"/>
          <w:color w:val="000000" w:themeColor="text1"/>
          <w:sz w:val="24"/>
          <w:szCs w:val="24"/>
        </w:rPr>
        <w:t xml:space="preserve"> </w:t>
      </w:r>
      <w:r w:rsidR="00DA23AA" w:rsidRPr="00496500">
        <w:rPr>
          <w:rFonts w:ascii="Times New Roman" w:eastAsia="Calibri" w:hAnsi="Times New Roman" w:cs="Times New Roman"/>
          <w:color w:val="000000" w:themeColor="text1"/>
          <w:sz w:val="24"/>
          <w:szCs w:val="24"/>
        </w:rPr>
        <w:t xml:space="preserve">DESI, че ускорява въвеждането на </w:t>
      </w:r>
      <w:r w:rsidR="002378CC">
        <w:rPr>
          <w:rFonts w:ascii="Times New Roman" w:eastAsia="Calibri" w:hAnsi="Times New Roman" w:cs="Times New Roman"/>
          <w:color w:val="000000" w:themeColor="text1"/>
          <w:sz w:val="24"/>
          <w:szCs w:val="24"/>
        </w:rPr>
        <w:t xml:space="preserve">НЗИС </w:t>
      </w:r>
      <w:r w:rsidR="00DA23AA" w:rsidRPr="00496500">
        <w:rPr>
          <w:rFonts w:ascii="Times New Roman" w:eastAsia="Calibri" w:hAnsi="Times New Roman" w:cs="Times New Roman"/>
          <w:color w:val="000000" w:themeColor="text1"/>
          <w:sz w:val="24"/>
          <w:szCs w:val="24"/>
        </w:rPr>
        <w:t>и з</w:t>
      </w:r>
      <w:r w:rsidR="00B77A42" w:rsidRPr="00496500">
        <w:rPr>
          <w:rFonts w:ascii="Times New Roman" w:eastAsia="Calibri" w:hAnsi="Times New Roman" w:cs="Times New Roman"/>
          <w:color w:val="000000" w:themeColor="text1"/>
          <w:sz w:val="24"/>
          <w:szCs w:val="24"/>
        </w:rPr>
        <w:t>а 2024 г. вече е осигурен на 87</w:t>
      </w:r>
      <w:r w:rsidR="007A7C99">
        <w:rPr>
          <w:rFonts w:ascii="Times New Roman" w:eastAsia="Calibri" w:hAnsi="Times New Roman" w:cs="Times New Roman"/>
          <w:color w:val="000000" w:themeColor="text1"/>
          <w:sz w:val="24"/>
          <w:szCs w:val="24"/>
        </w:rPr>
        <w:t>,</w:t>
      </w:r>
      <w:r w:rsidR="00DA23AA" w:rsidRPr="00496500">
        <w:rPr>
          <w:rFonts w:ascii="Times New Roman" w:eastAsia="Calibri" w:hAnsi="Times New Roman" w:cs="Times New Roman"/>
          <w:color w:val="000000" w:themeColor="text1"/>
          <w:sz w:val="24"/>
          <w:szCs w:val="24"/>
        </w:rPr>
        <w:t xml:space="preserve">5% достъпът </w:t>
      </w:r>
      <w:r w:rsidR="00C66955">
        <w:rPr>
          <w:rFonts w:ascii="Times New Roman" w:eastAsia="Calibri" w:hAnsi="Times New Roman" w:cs="Times New Roman"/>
          <w:color w:val="000000" w:themeColor="text1"/>
          <w:sz w:val="24"/>
          <w:szCs w:val="24"/>
        </w:rPr>
        <w:t xml:space="preserve">на гражданите </w:t>
      </w:r>
      <w:r w:rsidR="00DA23AA" w:rsidRPr="00496500">
        <w:rPr>
          <w:rFonts w:ascii="Times New Roman" w:eastAsia="Calibri" w:hAnsi="Times New Roman" w:cs="Times New Roman"/>
          <w:color w:val="000000" w:themeColor="text1"/>
          <w:sz w:val="24"/>
          <w:szCs w:val="24"/>
        </w:rPr>
        <w:t xml:space="preserve">до </w:t>
      </w:r>
      <w:r w:rsidR="007A3EB8">
        <w:rPr>
          <w:rFonts w:ascii="Times New Roman" w:eastAsia="Calibri" w:hAnsi="Times New Roman" w:cs="Times New Roman"/>
          <w:color w:val="000000" w:themeColor="text1"/>
          <w:sz w:val="24"/>
          <w:szCs w:val="24"/>
        </w:rPr>
        <w:t xml:space="preserve">електронните им </w:t>
      </w:r>
      <w:r w:rsidR="00DA23AA" w:rsidRPr="00496500">
        <w:rPr>
          <w:rFonts w:ascii="Times New Roman" w:eastAsia="Calibri" w:hAnsi="Times New Roman" w:cs="Times New Roman"/>
          <w:color w:val="000000" w:themeColor="text1"/>
          <w:sz w:val="24"/>
          <w:szCs w:val="24"/>
        </w:rPr>
        <w:t xml:space="preserve">здравни  </w:t>
      </w:r>
      <w:r w:rsidR="00C66955">
        <w:rPr>
          <w:rFonts w:ascii="Times New Roman" w:eastAsia="Calibri" w:hAnsi="Times New Roman" w:cs="Times New Roman"/>
          <w:color w:val="000000" w:themeColor="text1"/>
          <w:sz w:val="24"/>
          <w:szCs w:val="24"/>
        </w:rPr>
        <w:t>досиета</w:t>
      </w:r>
      <w:r w:rsidR="00DA23AA" w:rsidRPr="00496500">
        <w:rPr>
          <w:rFonts w:ascii="Times New Roman" w:eastAsia="Calibri" w:hAnsi="Times New Roman" w:cs="Times New Roman"/>
          <w:color w:val="000000" w:themeColor="text1"/>
          <w:sz w:val="24"/>
          <w:szCs w:val="24"/>
        </w:rPr>
        <w:t xml:space="preserve">, </w:t>
      </w:r>
      <w:r w:rsidR="00E017D4" w:rsidRPr="00496500">
        <w:rPr>
          <w:rFonts w:ascii="Times New Roman" w:eastAsia="Calibri" w:hAnsi="Times New Roman" w:cs="Times New Roman"/>
          <w:color w:val="000000" w:themeColor="text1"/>
          <w:sz w:val="24"/>
          <w:szCs w:val="24"/>
        </w:rPr>
        <w:t>к</w:t>
      </w:r>
      <w:r w:rsidR="00E017D4">
        <w:rPr>
          <w:rFonts w:ascii="Times New Roman" w:eastAsia="Calibri" w:hAnsi="Times New Roman" w:cs="Times New Roman"/>
          <w:color w:val="000000" w:themeColor="text1"/>
          <w:sz w:val="24"/>
          <w:szCs w:val="24"/>
        </w:rPr>
        <w:t>оето</w:t>
      </w:r>
      <w:r w:rsidR="00E017D4" w:rsidRPr="00496500">
        <w:rPr>
          <w:rFonts w:ascii="Times New Roman" w:eastAsia="Calibri" w:hAnsi="Times New Roman" w:cs="Times New Roman"/>
          <w:color w:val="000000" w:themeColor="text1"/>
          <w:sz w:val="24"/>
          <w:szCs w:val="24"/>
        </w:rPr>
        <w:t xml:space="preserve"> </w:t>
      </w:r>
      <w:r w:rsidR="007A3EB8" w:rsidRPr="00496500">
        <w:rPr>
          <w:rFonts w:ascii="Times New Roman" w:eastAsia="Calibri" w:hAnsi="Times New Roman" w:cs="Times New Roman"/>
          <w:color w:val="000000" w:themeColor="text1"/>
          <w:sz w:val="24"/>
          <w:szCs w:val="24"/>
        </w:rPr>
        <w:t>н</w:t>
      </w:r>
      <w:r w:rsidR="007A3EB8">
        <w:rPr>
          <w:rFonts w:ascii="Times New Roman" w:eastAsia="Calibri" w:hAnsi="Times New Roman" w:cs="Times New Roman"/>
          <w:color w:val="000000" w:themeColor="text1"/>
          <w:sz w:val="24"/>
          <w:szCs w:val="24"/>
        </w:rPr>
        <w:t>адв</w:t>
      </w:r>
      <w:r w:rsidR="007A3EB8" w:rsidRPr="00496500">
        <w:rPr>
          <w:rFonts w:ascii="Times New Roman" w:eastAsia="Calibri" w:hAnsi="Times New Roman" w:cs="Times New Roman"/>
          <w:color w:val="000000" w:themeColor="text1"/>
          <w:sz w:val="24"/>
          <w:szCs w:val="24"/>
        </w:rPr>
        <w:t>и</w:t>
      </w:r>
      <w:r w:rsidR="007A3EB8">
        <w:rPr>
          <w:rFonts w:ascii="Times New Roman" w:eastAsia="Calibri" w:hAnsi="Times New Roman" w:cs="Times New Roman"/>
          <w:color w:val="000000" w:themeColor="text1"/>
          <w:sz w:val="24"/>
          <w:szCs w:val="24"/>
        </w:rPr>
        <w:t>шава</w:t>
      </w:r>
      <w:r w:rsidR="007A3EB8" w:rsidRPr="00496500">
        <w:rPr>
          <w:rFonts w:ascii="Times New Roman" w:eastAsia="Calibri" w:hAnsi="Times New Roman" w:cs="Times New Roman"/>
          <w:color w:val="000000" w:themeColor="text1"/>
          <w:sz w:val="24"/>
          <w:szCs w:val="24"/>
        </w:rPr>
        <w:t xml:space="preserve"> </w:t>
      </w:r>
      <w:r w:rsidR="00B77A42" w:rsidRPr="00496500">
        <w:rPr>
          <w:rFonts w:ascii="Times New Roman" w:eastAsia="Calibri" w:hAnsi="Times New Roman" w:cs="Times New Roman"/>
          <w:color w:val="000000" w:themeColor="text1"/>
          <w:sz w:val="24"/>
          <w:szCs w:val="24"/>
        </w:rPr>
        <w:t>средн</w:t>
      </w:r>
      <w:r w:rsidR="007A3EB8">
        <w:rPr>
          <w:rFonts w:ascii="Times New Roman" w:eastAsia="Calibri" w:hAnsi="Times New Roman" w:cs="Times New Roman"/>
          <w:color w:val="000000" w:themeColor="text1"/>
          <w:sz w:val="24"/>
          <w:szCs w:val="24"/>
        </w:rPr>
        <w:t>ата</w:t>
      </w:r>
      <w:r w:rsidR="00B77A42" w:rsidRPr="00496500">
        <w:rPr>
          <w:rFonts w:ascii="Times New Roman" w:eastAsia="Calibri" w:hAnsi="Times New Roman" w:cs="Times New Roman"/>
          <w:color w:val="000000" w:themeColor="text1"/>
          <w:sz w:val="24"/>
          <w:szCs w:val="24"/>
        </w:rPr>
        <w:t xml:space="preserve"> стойност</w:t>
      </w:r>
      <w:r w:rsidR="007A3EB8">
        <w:rPr>
          <w:rFonts w:ascii="Times New Roman" w:eastAsia="Calibri" w:hAnsi="Times New Roman" w:cs="Times New Roman"/>
          <w:color w:val="000000" w:themeColor="text1"/>
          <w:sz w:val="24"/>
          <w:szCs w:val="24"/>
        </w:rPr>
        <w:t xml:space="preserve"> за ЕС</w:t>
      </w:r>
      <w:r w:rsidR="00B77A42" w:rsidRPr="00496500">
        <w:rPr>
          <w:rFonts w:ascii="Times New Roman" w:eastAsia="Calibri" w:hAnsi="Times New Roman" w:cs="Times New Roman"/>
          <w:color w:val="000000" w:themeColor="text1"/>
          <w:sz w:val="24"/>
          <w:szCs w:val="24"/>
        </w:rPr>
        <w:t xml:space="preserve"> (82</w:t>
      </w:r>
      <w:r w:rsidR="007A7C99">
        <w:rPr>
          <w:rFonts w:ascii="Times New Roman" w:eastAsia="Calibri" w:hAnsi="Times New Roman" w:cs="Times New Roman"/>
          <w:color w:val="000000" w:themeColor="text1"/>
          <w:sz w:val="24"/>
          <w:szCs w:val="24"/>
        </w:rPr>
        <w:t>,</w:t>
      </w:r>
      <w:r w:rsidR="00DA23AA" w:rsidRPr="00496500">
        <w:rPr>
          <w:rFonts w:ascii="Times New Roman" w:eastAsia="Calibri" w:hAnsi="Times New Roman" w:cs="Times New Roman"/>
          <w:color w:val="000000" w:themeColor="text1"/>
          <w:sz w:val="24"/>
          <w:szCs w:val="24"/>
        </w:rPr>
        <w:t xml:space="preserve">7). </w:t>
      </w:r>
    </w:p>
    <w:p w14:paraId="46CB9101" w14:textId="77777777" w:rsidR="00B479C7" w:rsidRPr="00496500" w:rsidRDefault="00B479C7" w:rsidP="00D6279D">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Напредъкът в областта на електронното здравеопазване е неразривно свързан с осигуряването на адекватни гаранции за защита на пациентската информация. Поради спецификата на тази област на политика, нормативната рамка както на европейско, така и на национално ниво</w:t>
      </w:r>
      <w:r w:rsidR="003D4F9B" w:rsidRPr="00496500">
        <w:rPr>
          <w:rFonts w:ascii="Times New Roman" w:eastAsia="Calibri" w:hAnsi="Times New Roman" w:cs="Times New Roman"/>
          <w:color w:val="000000" w:themeColor="text1"/>
          <w:sz w:val="24"/>
          <w:szCs w:val="24"/>
        </w:rPr>
        <w:t xml:space="preserve"> се характеризира с многопластова структура, в различна степен на детайлизация и не регулира в достатъчна степен електронното здравеопазване, като приоритетна област. Това</w:t>
      </w:r>
      <w:r w:rsidRPr="00496500">
        <w:rPr>
          <w:rFonts w:ascii="Times New Roman" w:eastAsia="Calibri" w:hAnsi="Times New Roman" w:cs="Times New Roman"/>
          <w:color w:val="000000" w:themeColor="text1"/>
          <w:sz w:val="24"/>
          <w:szCs w:val="24"/>
        </w:rPr>
        <w:t xml:space="preserve"> съществено утежнява процеса на </w:t>
      </w:r>
      <w:r w:rsidR="00AA68D1" w:rsidRPr="00496500">
        <w:rPr>
          <w:rFonts w:ascii="Times New Roman" w:eastAsia="Calibri" w:hAnsi="Times New Roman" w:cs="Times New Roman"/>
          <w:color w:val="000000" w:themeColor="text1"/>
          <w:sz w:val="24"/>
          <w:szCs w:val="24"/>
        </w:rPr>
        <w:t>цифровизация</w:t>
      </w:r>
      <w:r w:rsidRPr="00496500">
        <w:rPr>
          <w:rFonts w:ascii="Times New Roman" w:eastAsia="Calibri" w:hAnsi="Times New Roman" w:cs="Times New Roman"/>
          <w:color w:val="000000" w:themeColor="text1"/>
          <w:sz w:val="24"/>
          <w:szCs w:val="24"/>
        </w:rPr>
        <w:t xml:space="preserve"> </w:t>
      </w:r>
      <w:r w:rsidR="003D4F9B" w:rsidRPr="00496500">
        <w:rPr>
          <w:rFonts w:ascii="Times New Roman" w:eastAsia="Calibri" w:hAnsi="Times New Roman" w:cs="Times New Roman"/>
          <w:color w:val="000000" w:themeColor="text1"/>
          <w:sz w:val="24"/>
          <w:szCs w:val="24"/>
        </w:rPr>
        <w:t xml:space="preserve">в здравеопазването </w:t>
      </w:r>
      <w:r w:rsidRPr="00496500">
        <w:rPr>
          <w:rFonts w:ascii="Times New Roman" w:eastAsia="Calibri" w:hAnsi="Times New Roman" w:cs="Times New Roman"/>
          <w:color w:val="000000" w:themeColor="text1"/>
          <w:sz w:val="24"/>
          <w:szCs w:val="24"/>
        </w:rPr>
        <w:t>и изискват висока степен на прецизност по отношение обмена на данни, сигурност и надеждност при изграждането и развитието на информационните системи, функционалностите и приложенията за цифрови здравни услуги.</w:t>
      </w:r>
    </w:p>
    <w:p w14:paraId="0A86AA35" w14:textId="5E4AC96B" w:rsidR="00BB11C7" w:rsidRPr="00496500" w:rsidRDefault="00B479C7" w:rsidP="00D6279D">
      <w:pPr>
        <w:spacing w:after="120" w:line="240" w:lineRule="auto"/>
        <w:ind w:firstLine="720"/>
        <w:jc w:val="both"/>
        <w:rPr>
          <w:rFonts w:ascii="Times New Roman" w:eastAsia="Times New Roman" w:hAnsi="Times New Roman" w:cs="Times New Roman"/>
          <w:sz w:val="24"/>
          <w:szCs w:val="24"/>
        </w:rPr>
      </w:pPr>
      <w:r w:rsidRPr="00496500">
        <w:rPr>
          <w:rFonts w:ascii="Times New Roman" w:eastAsia="Calibri" w:hAnsi="Times New Roman" w:cs="Times New Roman"/>
          <w:color w:val="000000" w:themeColor="text1"/>
          <w:sz w:val="24"/>
          <w:szCs w:val="24"/>
        </w:rPr>
        <w:t xml:space="preserve">Въпреки тези утежняващи фактори, само за 4 години </w:t>
      </w:r>
      <w:r w:rsidR="0052006B" w:rsidRPr="00496500">
        <w:rPr>
          <w:rFonts w:ascii="Times New Roman" w:eastAsia="Calibri" w:hAnsi="Times New Roman" w:cs="Times New Roman"/>
          <w:color w:val="000000" w:themeColor="text1"/>
          <w:sz w:val="24"/>
          <w:szCs w:val="24"/>
        </w:rPr>
        <w:t xml:space="preserve">разгръщането на НЗИС включва разработката и въвеждането на здравно-информационен портал (his.bg); </w:t>
      </w:r>
      <w:r w:rsidR="00DB4FCD">
        <w:rPr>
          <w:rFonts w:ascii="Times New Roman" w:eastAsia="Calibri" w:hAnsi="Times New Roman" w:cs="Times New Roman"/>
          <w:color w:val="000000" w:themeColor="text1"/>
          <w:sz w:val="24"/>
          <w:szCs w:val="24"/>
        </w:rPr>
        <w:t xml:space="preserve">мобилно приложение еЗдраве, </w:t>
      </w:r>
      <w:r w:rsidR="0052006B" w:rsidRPr="00496500">
        <w:rPr>
          <w:rFonts w:ascii="Times New Roman" w:eastAsia="Calibri" w:hAnsi="Times New Roman" w:cs="Times New Roman"/>
          <w:color w:val="000000" w:themeColor="text1"/>
          <w:sz w:val="24"/>
          <w:szCs w:val="24"/>
        </w:rPr>
        <w:t xml:space="preserve">единна среда за обмен на медицински данни, здравно-информационни стандарти и номенклатури </w:t>
      </w:r>
      <w:r w:rsidR="008D3F1C">
        <w:rPr>
          <w:rFonts w:ascii="Times New Roman" w:eastAsia="Calibri" w:hAnsi="Times New Roman" w:cs="Times New Roman"/>
          <w:color w:val="000000" w:themeColor="text1"/>
          <w:sz w:val="24"/>
          <w:szCs w:val="24"/>
        </w:rPr>
        <w:sym w:font="Symbol" w:char="F02D"/>
      </w:r>
      <w:r w:rsidR="0052006B" w:rsidRPr="00496500">
        <w:rPr>
          <w:rFonts w:ascii="Times New Roman" w:eastAsia="Calibri" w:hAnsi="Times New Roman" w:cs="Times New Roman"/>
          <w:color w:val="000000" w:themeColor="text1"/>
          <w:sz w:val="24"/>
          <w:szCs w:val="24"/>
        </w:rPr>
        <w:t xml:space="preserve"> ядрото на НЗИС, посредством което се осъществява интеграцията на системата с множество софтуери, информационни системи на други органи (болници, НЗОК, </w:t>
      </w:r>
      <w:r w:rsidR="00872451">
        <w:rPr>
          <w:rFonts w:ascii="Times New Roman" w:eastAsia="Calibri" w:hAnsi="Times New Roman" w:cs="Times New Roman"/>
          <w:bCs/>
          <w:color w:val="000000" w:themeColor="text1"/>
          <w:sz w:val="24"/>
          <w:szCs w:val="24"/>
        </w:rPr>
        <w:t>Н</w:t>
      </w:r>
      <w:r w:rsidR="00872451" w:rsidRPr="00872451">
        <w:rPr>
          <w:rFonts w:ascii="Times New Roman" w:eastAsia="Calibri" w:hAnsi="Times New Roman" w:cs="Times New Roman"/>
          <w:bCs/>
          <w:color w:val="000000" w:themeColor="text1"/>
          <w:sz w:val="24"/>
          <w:szCs w:val="24"/>
          <w:lang w:val="en-US"/>
        </w:rPr>
        <w:t>ационален съвет по цени и реимбурсиране на лекарствените продукти</w:t>
      </w:r>
      <w:r w:rsidR="0052006B" w:rsidRPr="00496500">
        <w:rPr>
          <w:rFonts w:ascii="Times New Roman" w:eastAsia="Calibri" w:hAnsi="Times New Roman" w:cs="Times New Roman"/>
          <w:color w:val="000000" w:themeColor="text1"/>
          <w:sz w:val="24"/>
          <w:szCs w:val="24"/>
        </w:rPr>
        <w:t xml:space="preserve">); електронно медицинско досие/електронен здравен запис, електронна рецепта и електронно направление; </w:t>
      </w:r>
      <w:r w:rsidR="00BB11C7" w:rsidRPr="00496500">
        <w:rPr>
          <w:rFonts w:ascii="Times New Roman" w:eastAsia="Calibri" w:hAnsi="Times New Roman" w:cs="Times New Roman"/>
          <w:color w:val="000000" w:themeColor="text1"/>
          <w:sz w:val="24"/>
          <w:szCs w:val="24"/>
        </w:rPr>
        <w:t>п</w:t>
      </w:r>
      <w:r w:rsidR="0052006B" w:rsidRPr="00496500">
        <w:rPr>
          <w:rFonts w:ascii="Times New Roman" w:eastAsia="Calibri" w:hAnsi="Times New Roman" w:cs="Times New Roman"/>
          <w:color w:val="000000" w:themeColor="text1"/>
          <w:sz w:val="24"/>
          <w:szCs w:val="24"/>
        </w:rPr>
        <w:t>одсистема за събиране на информация от болници</w:t>
      </w:r>
      <w:r w:rsidR="00BB11C7" w:rsidRPr="00496500">
        <w:rPr>
          <w:rFonts w:ascii="Times New Roman" w:eastAsia="Calibri" w:hAnsi="Times New Roman" w:cs="Times New Roman"/>
          <w:color w:val="000000" w:themeColor="text1"/>
          <w:sz w:val="24"/>
          <w:szCs w:val="24"/>
        </w:rPr>
        <w:t>; система за мониторинг и контрол в здравеопазването (DWH – Data warehouse). Внедрена е Интегрираната информационна система на НЗОК, в която важни за гражданите модули са Системата за информация и регистрация на събития, свързани с хоспитализация и дехоспитализация (HOSP_CPW) и здравния</w:t>
      </w:r>
      <w:r w:rsidR="008D3F1C">
        <w:rPr>
          <w:rFonts w:ascii="Times New Roman" w:eastAsia="Calibri" w:hAnsi="Times New Roman" w:cs="Times New Roman"/>
          <w:color w:val="000000" w:themeColor="text1"/>
          <w:sz w:val="24"/>
          <w:szCs w:val="24"/>
        </w:rPr>
        <w:t>т</w:t>
      </w:r>
      <w:r w:rsidR="00BB11C7" w:rsidRPr="00496500">
        <w:rPr>
          <w:rFonts w:ascii="Times New Roman" w:eastAsia="Calibri" w:hAnsi="Times New Roman" w:cs="Times New Roman"/>
          <w:color w:val="000000" w:themeColor="text1"/>
          <w:sz w:val="24"/>
          <w:szCs w:val="24"/>
        </w:rPr>
        <w:t xml:space="preserve"> портал на НЗОК (</w:t>
      </w:r>
      <w:hyperlink r:id="rId26" w:history="1">
        <w:r w:rsidR="00BB11C7" w:rsidRPr="00496500">
          <w:rPr>
            <w:rFonts w:ascii="Times New Roman" w:eastAsia="Calibri" w:hAnsi="Times New Roman" w:cs="Times New Roman"/>
            <w:color w:val="000000" w:themeColor="text1"/>
            <w:sz w:val="24"/>
            <w:szCs w:val="24"/>
          </w:rPr>
          <w:t>https://pis.nhif.bg/main/</w:t>
        </w:r>
      </w:hyperlink>
      <w:r w:rsidR="00BB11C7" w:rsidRPr="00496500">
        <w:rPr>
          <w:rFonts w:ascii="Times New Roman" w:eastAsia="Calibri" w:hAnsi="Times New Roman" w:cs="Times New Roman"/>
          <w:color w:val="000000" w:themeColor="text1"/>
          <w:sz w:val="24"/>
          <w:szCs w:val="24"/>
        </w:rPr>
        <w:t xml:space="preserve">). Разработени и внедрени са системи и регистри и на други партньори в системата на здравеопазването: Национален регистър по инвазивна кардиология (Националният център по обществено здраве и анализи – НЦОЗА); Електронна система за закупуване на лекарствени продукти за нуждите на лечебните заведения в Република България и Специализирана електронна </w:t>
      </w:r>
      <w:r w:rsidR="00BB11C7" w:rsidRPr="00496500">
        <w:rPr>
          <w:rFonts w:ascii="Times New Roman" w:eastAsia="Calibri" w:hAnsi="Times New Roman" w:cs="Times New Roman"/>
          <w:color w:val="000000" w:themeColor="text1"/>
          <w:sz w:val="24"/>
          <w:szCs w:val="24"/>
        </w:rPr>
        <w:lastRenderedPageBreak/>
        <w:t xml:space="preserve">система за проследяване и анализ на лекарствените продукти (СЕСПА); Информационни системи за </w:t>
      </w:r>
      <w:r w:rsidR="00FE7473" w:rsidRPr="00496500">
        <w:rPr>
          <w:rFonts w:ascii="Times New Roman" w:eastAsia="Calibri" w:hAnsi="Times New Roman" w:cs="Times New Roman"/>
          <w:color w:val="000000" w:themeColor="text1"/>
          <w:sz w:val="24"/>
          <w:szCs w:val="24"/>
        </w:rPr>
        <w:t xml:space="preserve">анализ на данни, </w:t>
      </w:r>
      <w:r w:rsidR="00BB11C7" w:rsidRPr="00496500">
        <w:rPr>
          <w:rFonts w:ascii="Times New Roman" w:eastAsia="Calibri" w:hAnsi="Times New Roman" w:cs="Times New Roman"/>
          <w:color w:val="000000" w:themeColor="text1"/>
          <w:sz w:val="24"/>
          <w:szCs w:val="24"/>
        </w:rPr>
        <w:t xml:space="preserve">проследяване и лечение </w:t>
      </w:r>
      <w:r w:rsidR="00FE7473" w:rsidRPr="00496500">
        <w:rPr>
          <w:rFonts w:ascii="Times New Roman" w:eastAsia="Calibri" w:hAnsi="Times New Roman" w:cs="Times New Roman"/>
          <w:color w:val="000000" w:themeColor="text1"/>
          <w:sz w:val="24"/>
          <w:szCs w:val="24"/>
        </w:rPr>
        <w:t>на различни остри и социално значими заболявания; Електронна система „Медицинска Експертиза“ за освидетелстване/преосвидетелстване на лицата; Електронна платформа за поддържане на Националната аптечна карта (НАК) и други.</w:t>
      </w:r>
      <w:r w:rsidR="00C25F04" w:rsidRPr="00496500">
        <w:rPr>
          <w:rFonts w:ascii="Times New Roman" w:eastAsia="Calibri" w:hAnsi="Times New Roman" w:cs="Times New Roman"/>
          <w:color w:val="000000" w:themeColor="text1"/>
          <w:sz w:val="24"/>
          <w:szCs w:val="24"/>
        </w:rPr>
        <w:t xml:space="preserve"> </w:t>
      </w:r>
      <w:r w:rsidR="00C25F04" w:rsidRPr="00496500">
        <w:rPr>
          <w:rFonts w:ascii="Times New Roman" w:eastAsia="Times New Roman" w:hAnsi="Times New Roman" w:cs="Times New Roman"/>
          <w:sz w:val="24"/>
          <w:szCs w:val="24"/>
        </w:rPr>
        <w:t>Изградена е и в</w:t>
      </w:r>
      <w:r w:rsidR="00C25F04" w:rsidRPr="00496500">
        <w:rPr>
          <w:rFonts w:ascii="Times New Roman" w:eastAsia="Times New Roman" w:hAnsi="Times New Roman" w:cs="Times New Roman"/>
          <w:bCs/>
          <w:sz w:val="24"/>
          <w:szCs w:val="24"/>
        </w:rPr>
        <w:t>ръзката между НЗИС и Националния осигурителен институт</w:t>
      </w:r>
      <w:r w:rsidR="00C25F04" w:rsidRPr="00496500">
        <w:rPr>
          <w:rFonts w:ascii="Times New Roman" w:eastAsia="Times New Roman" w:hAnsi="Times New Roman" w:cs="Times New Roman"/>
          <w:sz w:val="24"/>
          <w:szCs w:val="24"/>
        </w:rPr>
        <w:t xml:space="preserve"> за автоматичен обмен на болнични листове, както и между аптеки, здравноосигурителни фондове и лечебни заведения. Понастоящем работата по разгръщането на потенциала на е-здравеопазване продължава с изграждането на </w:t>
      </w:r>
      <w:r w:rsidR="00C25F04" w:rsidRPr="00496500">
        <w:rPr>
          <w:rFonts w:ascii="Times New Roman" w:eastAsia="Times New Roman" w:hAnsi="Times New Roman" w:cs="Times New Roman"/>
          <w:bCs/>
          <w:sz w:val="24"/>
          <w:szCs w:val="24"/>
        </w:rPr>
        <w:t>регистри на хронични заболявания, ваксинации, онкологични пациенти, редки болести</w:t>
      </w:r>
      <w:r w:rsidR="00C25F04" w:rsidRPr="00496500">
        <w:rPr>
          <w:rFonts w:ascii="Times New Roman" w:eastAsia="Times New Roman" w:hAnsi="Times New Roman" w:cs="Times New Roman"/>
          <w:sz w:val="24"/>
          <w:szCs w:val="24"/>
        </w:rPr>
        <w:t xml:space="preserve">, които дават възможност за по-добро </w:t>
      </w:r>
      <w:r w:rsidR="00C25F04" w:rsidRPr="00496500">
        <w:rPr>
          <w:rFonts w:ascii="Times New Roman" w:eastAsia="Times New Roman" w:hAnsi="Times New Roman" w:cs="Times New Roman"/>
          <w:bCs/>
          <w:sz w:val="24"/>
          <w:szCs w:val="24"/>
        </w:rPr>
        <w:t>здравно планиране и превенция</w:t>
      </w:r>
      <w:r w:rsidR="00C25F04" w:rsidRPr="00496500">
        <w:rPr>
          <w:rFonts w:ascii="Times New Roman" w:eastAsia="Times New Roman" w:hAnsi="Times New Roman" w:cs="Times New Roman"/>
          <w:sz w:val="24"/>
          <w:szCs w:val="24"/>
        </w:rPr>
        <w:t xml:space="preserve"> на ниво население.</w:t>
      </w:r>
    </w:p>
    <w:p w14:paraId="6B3C7ABC" w14:textId="77777777" w:rsidR="001D4ECD" w:rsidRPr="00496500" w:rsidRDefault="001D4ECD" w:rsidP="006E661C">
      <w:pPr>
        <w:spacing w:after="120" w:line="240" w:lineRule="auto"/>
        <w:ind w:firstLine="720"/>
        <w:jc w:val="both"/>
        <w:rPr>
          <w:rFonts w:ascii="Times New Roman" w:eastAsia="Times New Roman" w:hAnsi="Times New Roman" w:cs="Times New Roman"/>
          <w:sz w:val="24"/>
          <w:szCs w:val="24"/>
        </w:rPr>
      </w:pPr>
      <w:r w:rsidRPr="00496500">
        <w:rPr>
          <w:rFonts w:ascii="Times New Roman" w:eastAsia="Times New Roman" w:hAnsi="Times New Roman" w:cs="Times New Roman"/>
          <w:sz w:val="24"/>
          <w:szCs w:val="24"/>
        </w:rPr>
        <w:t xml:space="preserve">В </w:t>
      </w:r>
      <w:r w:rsidRPr="00496500">
        <w:rPr>
          <w:rFonts w:ascii="Times New Roman" w:eastAsia="Calibri" w:hAnsi="Times New Roman" w:cs="Times New Roman"/>
          <w:color w:val="000000" w:themeColor="text1"/>
          <w:sz w:val="24"/>
          <w:szCs w:val="24"/>
        </w:rPr>
        <w:t>страната</w:t>
      </w:r>
      <w:r w:rsidRPr="00496500">
        <w:rPr>
          <w:rFonts w:ascii="Times New Roman" w:eastAsia="Times New Roman" w:hAnsi="Times New Roman" w:cs="Times New Roman"/>
          <w:sz w:val="24"/>
          <w:szCs w:val="24"/>
        </w:rPr>
        <w:t xml:space="preserve"> се наблюдава нарастващ </w:t>
      </w:r>
      <w:r w:rsidRPr="00496500">
        <w:rPr>
          <w:rFonts w:ascii="Times New Roman" w:eastAsia="Calibri" w:hAnsi="Times New Roman" w:cs="Times New Roman"/>
          <w:color w:val="000000" w:themeColor="text1"/>
          <w:sz w:val="24"/>
          <w:szCs w:val="24"/>
        </w:rPr>
        <w:t>интерес</w:t>
      </w:r>
      <w:r w:rsidRPr="00496500">
        <w:rPr>
          <w:rFonts w:ascii="Times New Roman" w:eastAsia="Times New Roman" w:hAnsi="Times New Roman" w:cs="Times New Roman"/>
          <w:sz w:val="24"/>
          <w:szCs w:val="24"/>
        </w:rPr>
        <w:t xml:space="preserve"> към </w:t>
      </w:r>
      <w:r w:rsidRPr="00496500">
        <w:rPr>
          <w:rFonts w:ascii="Times New Roman" w:eastAsia="Times New Roman" w:hAnsi="Times New Roman" w:cs="Times New Roman"/>
          <w:bCs/>
          <w:sz w:val="24"/>
          <w:szCs w:val="24"/>
        </w:rPr>
        <w:t>дистанционни консултации</w:t>
      </w:r>
      <w:r w:rsidRPr="00496500">
        <w:rPr>
          <w:rFonts w:ascii="Times New Roman" w:eastAsia="Times New Roman" w:hAnsi="Times New Roman" w:cs="Times New Roman"/>
          <w:sz w:val="24"/>
          <w:szCs w:val="24"/>
        </w:rPr>
        <w:t xml:space="preserve"> – особено в кардиология, дерматология и психология. Частни платформи и мобилни приложения все по-масово </w:t>
      </w:r>
      <w:r w:rsidRPr="00496500">
        <w:rPr>
          <w:rFonts w:ascii="Times New Roman" w:eastAsia="Times New Roman" w:hAnsi="Times New Roman" w:cs="Times New Roman"/>
          <w:bCs/>
          <w:sz w:val="24"/>
          <w:szCs w:val="24"/>
        </w:rPr>
        <w:t>предлагат цифрови здравни услуги</w:t>
      </w:r>
      <w:r w:rsidRPr="00496500">
        <w:rPr>
          <w:rFonts w:ascii="Times New Roman" w:eastAsia="Times New Roman" w:hAnsi="Times New Roman" w:cs="Times New Roman"/>
          <w:b/>
          <w:sz w:val="24"/>
          <w:szCs w:val="24"/>
        </w:rPr>
        <w:t xml:space="preserve">. </w:t>
      </w:r>
      <w:r w:rsidRPr="00496500">
        <w:rPr>
          <w:rFonts w:ascii="Times New Roman" w:eastAsia="Times New Roman" w:hAnsi="Times New Roman" w:cs="Times New Roman"/>
          <w:bCs/>
          <w:sz w:val="24"/>
          <w:szCs w:val="24"/>
        </w:rPr>
        <w:t>Изкуственият интелект и автоматизацията</w:t>
      </w:r>
      <w:r w:rsidRPr="00496500">
        <w:rPr>
          <w:rFonts w:ascii="Times New Roman" w:eastAsia="Times New Roman" w:hAnsi="Times New Roman" w:cs="Times New Roman"/>
          <w:sz w:val="24"/>
          <w:szCs w:val="24"/>
        </w:rPr>
        <w:t xml:space="preserve"> навлизат експериментално в административните процеси и в диагностиката (напр. в образната диагностика).</w:t>
      </w:r>
    </w:p>
    <w:p w14:paraId="0A3D6314" w14:textId="0C958AF9" w:rsidR="0052006B" w:rsidRPr="00496500" w:rsidRDefault="00FE7473" w:rsidP="00D6279D">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Активният процес по разработване и въвеждане на компоненти от инфраструктурата на е-здравеопазване е отчетен, но следващият етап – използването им</w:t>
      </w:r>
      <w:r w:rsidR="00AD65AA">
        <w:rPr>
          <w:rFonts w:ascii="Times New Roman" w:eastAsia="Calibri" w:hAnsi="Times New Roman" w:cs="Times New Roman"/>
          <w:color w:val="000000" w:themeColor="text1"/>
          <w:sz w:val="24"/>
          <w:szCs w:val="24"/>
        </w:rPr>
        <w:t>,</w:t>
      </w:r>
      <w:r w:rsidRPr="00496500">
        <w:rPr>
          <w:rFonts w:ascii="Times New Roman" w:eastAsia="Calibri" w:hAnsi="Times New Roman" w:cs="Times New Roman"/>
          <w:color w:val="000000" w:themeColor="text1"/>
          <w:sz w:val="24"/>
          <w:szCs w:val="24"/>
        </w:rPr>
        <w:t xml:space="preserve"> е пряко зависим</w:t>
      </w:r>
      <w:r w:rsidR="00ED003D" w:rsidRPr="00496500">
        <w:rPr>
          <w:rFonts w:ascii="Times New Roman" w:eastAsia="Calibri" w:hAnsi="Times New Roman" w:cs="Times New Roman"/>
          <w:color w:val="000000" w:themeColor="text1"/>
          <w:sz w:val="24"/>
          <w:szCs w:val="24"/>
        </w:rPr>
        <w:t>о</w:t>
      </w:r>
      <w:r w:rsidRPr="00496500">
        <w:rPr>
          <w:rFonts w:ascii="Times New Roman" w:eastAsia="Calibri" w:hAnsi="Times New Roman" w:cs="Times New Roman"/>
          <w:color w:val="000000" w:themeColor="text1"/>
          <w:sz w:val="24"/>
          <w:szCs w:val="24"/>
        </w:rPr>
        <w:t xml:space="preserve"> от наличието на оперативна съвместимост. </w:t>
      </w:r>
      <w:r w:rsidR="00ED003D" w:rsidRPr="00496500">
        <w:rPr>
          <w:rFonts w:ascii="Times New Roman" w:eastAsia="Calibri" w:hAnsi="Times New Roman" w:cs="Times New Roman"/>
          <w:color w:val="000000" w:themeColor="text1"/>
          <w:sz w:val="24"/>
          <w:szCs w:val="24"/>
        </w:rPr>
        <w:t>Секторът на здравеопазването се характеризира с липсата на инициативи за оперативна съвместимост. Допълнително, различни регистри, информационни системи, болнични софтуерни продукти, платформи и модули са въведени и се поддържат от различни доставчици.</w:t>
      </w:r>
      <w:r w:rsidRPr="00496500">
        <w:rPr>
          <w:rFonts w:ascii="Times New Roman" w:eastAsia="Calibri" w:hAnsi="Times New Roman" w:cs="Times New Roman"/>
          <w:color w:val="000000" w:themeColor="text1"/>
          <w:sz w:val="24"/>
          <w:szCs w:val="24"/>
        </w:rPr>
        <w:t xml:space="preserve"> </w:t>
      </w:r>
      <w:r w:rsidR="00FF35C2" w:rsidRPr="00496500">
        <w:rPr>
          <w:rFonts w:ascii="Times New Roman" w:eastAsia="Calibri" w:hAnsi="Times New Roman" w:cs="Times New Roman"/>
          <w:color w:val="000000" w:themeColor="text1"/>
          <w:sz w:val="24"/>
          <w:szCs w:val="24"/>
        </w:rPr>
        <w:t xml:space="preserve">Последователният и устойчив напредък на развитието на електронното здравеопазване, както и потенциалните рискове по отношение на координацията и приоритизирането на инициативите изискват по-систематичен подход. Поради това, конкретните инициативи </w:t>
      </w:r>
      <w:r w:rsidR="00104998" w:rsidRPr="00496500">
        <w:rPr>
          <w:rFonts w:ascii="Times New Roman" w:eastAsia="Calibri" w:hAnsi="Times New Roman" w:cs="Times New Roman"/>
          <w:color w:val="000000" w:themeColor="text1"/>
          <w:sz w:val="24"/>
          <w:szCs w:val="24"/>
        </w:rPr>
        <w:t xml:space="preserve">и мерки </w:t>
      </w:r>
      <w:r w:rsidR="00FF35C2" w:rsidRPr="00496500">
        <w:rPr>
          <w:rFonts w:ascii="Times New Roman" w:eastAsia="Calibri" w:hAnsi="Times New Roman" w:cs="Times New Roman"/>
          <w:color w:val="000000" w:themeColor="text1"/>
          <w:sz w:val="24"/>
          <w:szCs w:val="24"/>
        </w:rPr>
        <w:t xml:space="preserve">за развитие на електронното здравеопазване следва да включват </w:t>
      </w:r>
      <w:r w:rsidR="00104998" w:rsidRPr="00496500">
        <w:rPr>
          <w:rFonts w:ascii="Times New Roman" w:eastAsia="Calibri" w:hAnsi="Times New Roman" w:cs="Times New Roman"/>
          <w:color w:val="000000" w:themeColor="text1"/>
          <w:sz w:val="24"/>
          <w:szCs w:val="24"/>
        </w:rPr>
        <w:t>дейности, насочени към осигуряване на</w:t>
      </w:r>
      <w:r w:rsidR="00AD65AA">
        <w:rPr>
          <w:rFonts w:ascii="Times New Roman" w:eastAsia="Calibri" w:hAnsi="Times New Roman" w:cs="Times New Roman"/>
          <w:color w:val="000000" w:themeColor="text1"/>
          <w:sz w:val="24"/>
          <w:szCs w:val="24"/>
        </w:rPr>
        <w:t xml:space="preserve"> </w:t>
      </w:r>
      <w:r w:rsidR="00FF35C2" w:rsidRPr="00496500">
        <w:rPr>
          <w:rFonts w:ascii="Times New Roman" w:eastAsia="Calibri" w:hAnsi="Times New Roman" w:cs="Times New Roman"/>
          <w:color w:val="000000" w:themeColor="text1"/>
          <w:sz w:val="24"/>
          <w:szCs w:val="24"/>
        </w:rPr>
        <w:t>оперативна съвместимост</w:t>
      </w:r>
      <w:r w:rsidR="00104998" w:rsidRPr="00496500">
        <w:rPr>
          <w:rFonts w:ascii="Times New Roman" w:eastAsia="Calibri" w:hAnsi="Times New Roman" w:cs="Times New Roman"/>
          <w:color w:val="000000" w:themeColor="text1"/>
          <w:sz w:val="24"/>
          <w:szCs w:val="24"/>
        </w:rPr>
        <w:t xml:space="preserve"> както на национално, така и на трансгранично ниво</w:t>
      </w:r>
      <w:r w:rsidR="00A621B6" w:rsidRPr="00496500">
        <w:rPr>
          <w:rFonts w:ascii="Times New Roman" w:eastAsia="Calibri" w:hAnsi="Times New Roman" w:cs="Times New Roman"/>
          <w:color w:val="000000" w:themeColor="text1"/>
          <w:sz w:val="24"/>
          <w:szCs w:val="24"/>
        </w:rPr>
        <w:t>.</w:t>
      </w:r>
    </w:p>
    <w:p w14:paraId="700EB594" w14:textId="77777777" w:rsidR="009E61FE" w:rsidRPr="00496500" w:rsidRDefault="009E61FE" w:rsidP="006E661C">
      <w:pPr>
        <w:snapToGrid w:val="0"/>
        <w:spacing w:after="120" w:line="240" w:lineRule="auto"/>
        <w:jc w:val="both"/>
        <w:rPr>
          <w:rFonts w:ascii="Times New Roman" w:eastAsia="Calibri" w:hAnsi="Times New Roman" w:cs="Times New Roman"/>
          <w:b/>
          <w:bCs/>
          <w:color w:val="000000"/>
          <w:sz w:val="24"/>
          <w:szCs w:val="24"/>
        </w:rPr>
      </w:pPr>
      <w:r w:rsidRPr="00496500">
        <w:rPr>
          <w:rFonts w:ascii="Times New Roman" w:eastAsia="Calibri" w:hAnsi="Times New Roman" w:cs="Times New Roman"/>
          <w:b/>
          <w:bCs/>
          <w:color w:val="000000"/>
          <w:sz w:val="24"/>
          <w:szCs w:val="24"/>
        </w:rPr>
        <w:t>Сектор „Правосъдие“</w:t>
      </w:r>
    </w:p>
    <w:p w14:paraId="7F58DB42" w14:textId="77777777" w:rsidR="009E61FE" w:rsidRPr="00496500" w:rsidRDefault="009E61FE" w:rsidP="006E661C">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 xml:space="preserve">България изгражда постепенно екосистемата на електронното правосъдие. </w:t>
      </w:r>
      <w:r w:rsidRPr="00496500">
        <w:rPr>
          <w:rFonts w:ascii="Times New Roman" w:eastAsia="Calibri" w:hAnsi="Times New Roman"/>
          <w:color w:val="000000" w:themeColor="text1"/>
          <w:sz w:val="24"/>
          <w:szCs w:val="24"/>
        </w:rPr>
        <w:t xml:space="preserve">В </w:t>
      </w:r>
      <w:r w:rsidR="00CB4D93" w:rsidRPr="00496500">
        <w:rPr>
          <w:rFonts w:ascii="Times New Roman" w:eastAsia="Calibri" w:hAnsi="Times New Roman" w:cs="Times New Roman"/>
          <w:color w:val="000000" w:themeColor="text1"/>
          <w:sz w:val="24"/>
          <w:szCs w:val="24"/>
        </w:rPr>
        <w:t>страната</w:t>
      </w:r>
      <w:r w:rsidRPr="00496500">
        <w:rPr>
          <w:rFonts w:ascii="Times New Roman" w:eastAsia="Calibri" w:hAnsi="Times New Roman" w:cs="Times New Roman"/>
          <w:color w:val="000000" w:themeColor="text1"/>
          <w:sz w:val="24"/>
          <w:szCs w:val="24"/>
        </w:rPr>
        <w:t xml:space="preserve"> е въведена Единна информационна система на съдилищата (ЕИСС) - централна платформа за електронно деловодство, проследяване на дела и управление на съдебни процеси. Системата е въведена в над 140 съдилища и е частично интегрирана с други системи (на НАП, МВР, Агенция по вписванията). </w:t>
      </w:r>
    </w:p>
    <w:p w14:paraId="0EE073C8" w14:textId="77777777" w:rsidR="009E61FE" w:rsidRPr="00496500" w:rsidRDefault="009E61FE" w:rsidP="006E661C">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Порталът за електронно правосъдие дава достъп до електронни дела за адвокати и граждани, но все още не е напълно функционален и е с ограничен обхват.</w:t>
      </w:r>
    </w:p>
    <w:p w14:paraId="53C67C6C" w14:textId="77777777" w:rsidR="009E61FE" w:rsidRPr="00496500" w:rsidRDefault="009E61FE" w:rsidP="006E661C">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 xml:space="preserve">Електронният регистър на съдебните актове позволява публикуване на съдебни решения и определения онлайн, </w:t>
      </w:r>
      <w:r w:rsidR="00FB4002" w:rsidRPr="00496500">
        <w:rPr>
          <w:rFonts w:ascii="Times New Roman" w:eastAsia="Calibri" w:hAnsi="Times New Roman" w:cs="Times New Roman"/>
          <w:color w:val="000000" w:themeColor="text1"/>
          <w:sz w:val="24"/>
          <w:szCs w:val="24"/>
        </w:rPr>
        <w:t xml:space="preserve">което </w:t>
      </w:r>
      <w:r w:rsidRPr="00496500">
        <w:rPr>
          <w:rFonts w:ascii="Times New Roman" w:eastAsia="Calibri" w:hAnsi="Times New Roman" w:cs="Times New Roman"/>
          <w:color w:val="000000" w:themeColor="text1"/>
          <w:sz w:val="24"/>
          <w:szCs w:val="24"/>
        </w:rPr>
        <w:t>е съществено за прозрачността и достъпа до правосъдие.</w:t>
      </w:r>
    </w:p>
    <w:p w14:paraId="1A1E5704" w14:textId="761DE4A3" w:rsidR="009E61FE" w:rsidRPr="00496500" w:rsidRDefault="009E61FE" w:rsidP="006E661C">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Допълнително се развиват и Системата за управление на преписки в прокуратурата и Информационната система за управление на наказателните случаи (ИСУНС).</w:t>
      </w:r>
      <w:r w:rsidR="00ED03A6">
        <w:rPr>
          <w:rFonts w:ascii="Times New Roman" w:eastAsia="Calibri" w:hAnsi="Times New Roman" w:cs="Times New Roman"/>
          <w:color w:val="000000" w:themeColor="text1"/>
          <w:sz w:val="24"/>
          <w:szCs w:val="24"/>
        </w:rPr>
        <w:t xml:space="preserve"> </w:t>
      </w:r>
      <w:r w:rsidRPr="00496500">
        <w:rPr>
          <w:rFonts w:ascii="Times New Roman" w:eastAsia="Calibri" w:hAnsi="Times New Roman" w:cs="Times New Roman"/>
          <w:color w:val="000000" w:themeColor="text1"/>
          <w:sz w:val="24"/>
          <w:szCs w:val="24"/>
        </w:rPr>
        <w:t xml:space="preserve">В някои съдилища граждани и адвокати могат да подават документи електронно, но системата не е напълно уеднаквена за всички съдилища в страната. </w:t>
      </w:r>
    </w:p>
    <w:p w14:paraId="18FCE469" w14:textId="77777777" w:rsidR="009E61FE" w:rsidRPr="00496500" w:rsidRDefault="009E61FE" w:rsidP="006E661C">
      <w:pPr>
        <w:spacing w:after="120" w:line="240" w:lineRule="auto"/>
        <w:ind w:firstLine="720"/>
        <w:jc w:val="both"/>
        <w:rPr>
          <w:rFonts w:ascii="Times New Roman" w:eastAsia="Calibri" w:hAnsi="Times New Roman" w:cs="Times New Roman"/>
          <w:color w:val="000000" w:themeColor="text1"/>
          <w:sz w:val="24"/>
          <w:szCs w:val="24"/>
        </w:rPr>
      </w:pPr>
      <w:r w:rsidRPr="00496500">
        <w:rPr>
          <w:rFonts w:ascii="Times New Roman" w:eastAsia="Calibri" w:hAnsi="Times New Roman" w:cs="Times New Roman"/>
          <w:color w:val="000000" w:themeColor="text1"/>
          <w:sz w:val="24"/>
          <w:szCs w:val="24"/>
        </w:rPr>
        <w:t>Има известен напредък в процеса на обмен на документи по досъдебни производства, но все още липсва пълна оперативна съвместимост между системите на:</w:t>
      </w:r>
    </w:p>
    <w:p w14:paraId="38D358B7" w14:textId="77777777" w:rsidR="009E61FE" w:rsidRPr="00496500" w:rsidRDefault="009E61FE" w:rsidP="006E661C">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Съдебната власт;</w:t>
      </w:r>
    </w:p>
    <w:p w14:paraId="1EFF2808" w14:textId="77777777" w:rsidR="009E61FE" w:rsidRPr="00496500" w:rsidRDefault="009E61FE" w:rsidP="006E661C">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Министерство на вътрешните работи;</w:t>
      </w:r>
    </w:p>
    <w:p w14:paraId="3DAF77E6" w14:textId="77777777" w:rsidR="009E61FE" w:rsidRPr="00496500" w:rsidRDefault="009E61FE" w:rsidP="006E661C">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Национална агенция за приходите;</w:t>
      </w:r>
    </w:p>
    <w:p w14:paraId="0F9786DA" w14:textId="77777777" w:rsidR="009E61FE" w:rsidRPr="00496500" w:rsidRDefault="009E61FE" w:rsidP="006E661C">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lastRenderedPageBreak/>
        <w:t>Агенцията по вписванията;</w:t>
      </w:r>
    </w:p>
    <w:p w14:paraId="431D19EF" w14:textId="77777777" w:rsidR="009E61FE" w:rsidRPr="00496500" w:rsidRDefault="009E61FE" w:rsidP="006E661C">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Прокуратурата.</w:t>
      </w:r>
    </w:p>
    <w:p w14:paraId="4E78BD44" w14:textId="77777777" w:rsidR="009E61FE" w:rsidRPr="00496500" w:rsidRDefault="009E61FE" w:rsidP="006E661C">
      <w:pPr>
        <w:spacing w:after="120" w:line="240" w:lineRule="auto"/>
        <w:ind w:firstLine="720"/>
        <w:jc w:val="both"/>
        <w:rPr>
          <w:rFonts w:ascii="Times New Roman" w:eastAsia="Calibri" w:hAnsi="Times New Roman"/>
          <w:color w:val="000000" w:themeColor="text1"/>
          <w:sz w:val="24"/>
          <w:szCs w:val="24"/>
        </w:rPr>
      </w:pPr>
      <w:r w:rsidRPr="00496500">
        <w:rPr>
          <w:rFonts w:ascii="Times New Roman" w:eastAsia="Calibri" w:hAnsi="Times New Roman"/>
          <w:color w:val="000000" w:themeColor="text1"/>
          <w:sz w:val="24"/>
          <w:szCs w:val="24"/>
        </w:rPr>
        <w:t>В страната се набюдава разнородно ниво на цифрова компетентност сред съдии, прокурори, съдебни служители. В допълнение, част от съдиите и адвокатите предпочитат работа с хартиени документи.</w:t>
      </w:r>
    </w:p>
    <w:p w14:paraId="0901B292" w14:textId="77777777" w:rsidR="00430F04" w:rsidRPr="00496500" w:rsidRDefault="00430F04" w:rsidP="006E661C">
      <w:pPr>
        <w:snapToGrid w:val="0"/>
        <w:spacing w:after="120" w:line="240" w:lineRule="auto"/>
        <w:jc w:val="both"/>
        <w:rPr>
          <w:rFonts w:ascii="Times New Roman" w:eastAsia="Calibri" w:hAnsi="Times New Roman" w:cs="Times New Roman"/>
          <w:b/>
          <w:bCs/>
          <w:color w:val="000000"/>
          <w:sz w:val="24"/>
          <w:szCs w:val="24"/>
        </w:rPr>
      </w:pPr>
      <w:r w:rsidRPr="00496500">
        <w:rPr>
          <w:rFonts w:ascii="Times New Roman" w:eastAsia="Calibri" w:hAnsi="Times New Roman" w:cs="Times New Roman"/>
          <w:b/>
          <w:bCs/>
          <w:color w:val="000000"/>
          <w:sz w:val="24"/>
          <w:szCs w:val="24"/>
        </w:rPr>
        <w:t>Сектор „Публични финанси“</w:t>
      </w:r>
    </w:p>
    <w:p w14:paraId="212C4EDA" w14:textId="6CE3E354" w:rsidR="00430F04" w:rsidRPr="00496500" w:rsidRDefault="00430F04" w:rsidP="006E661C">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НАП и Агенция „Митници“ </w:t>
      </w:r>
      <w:r w:rsidR="00BC38CA">
        <w:rPr>
          <w:rFonts w:ascii="Times New Roman" w:hAnsi="Times New Roman" w:cs="Times New Roman"/>
          <w:sz w:val="24"/>
          <w:szCs w:val="24"/>
        </w:rPr>
        <w:t xml:space="preserve">(АМ) </w:t>
      </w:r>
      <w:r w:rsidRPr="00496500">
        <w:rPr>
          <w:rFonts w:ascii="Times New Roman" w:hAnsi="Times New Roman" w:cs="Times New Roman"/>
          <w:sz w:val="24"/>
          <w:szCs w:val="24"/>
        </w:rPr>
        <w:t xml:space="preserve">са сред най-напредналите институции по отношение на цифровизация и обмен на данни. </w:t>
      </w:r>
      <w:r w:rsidRPr="00496500">
        <w:rPr>
          <w:rFonts w:ascii="Times New Roman" w:eastAsia="Calibri" w:hAnsi="Times New Roman" w:cs="Times New Roman"/>
          <w:color w:val="000000"/>
          <w:sz w:val="24"/>
          <w:szCs w:val="24"/>
        </w:rPr>
        <w:t>Съгласно</w:t>
      </w:r>
      <w:r w:rsidRPr="00496500">
        <w:rPr>
          <w:rFonts w:ascii="Times New Roman" w:hAnsi="Times New Roman" w:cs="Times New Roman"/>
          <w:sz w:val="24"/>
          <w:szCs w:val="24"/>
        </w:rPr>
        <w:t xml:space="preserve"> </w:t>
      </w:r>
      <w:hyperlink r:id="rId27" w:history="1">
        <w:r w:rsidRPr="00496500">
          <w:rPr>
            <w:rStyle w:val="Hyperlink"/>
            <w:rFonts w:ascii="Times New Roman" w:hAnsi="Times New Roman" w:cs="Times New Roman"/>
            <w:sz w:val="24"/>
            <w:szCs w:val="24"/>
          </w:rPr>
          <w:t>Годишния отчет за дейността на НАП</w:t>
        </w:r>
      </w:hyperlink>
      <w:r w:rsidRPr="00496500">
        <w:rPr>
          <w:rStyle w:val="FootnoteReference"/>
          <w:rFonts w:ascii="Times New Roman" w:hAnsi="Times New Roman" w:cs="Times New Roman"/>
          <w:sz w:val="24"/>
          <w:szCs w:val="24"/>
        </w:rPr>
        <w:footnoteReference w:id="23"/>
      </w:r>
      <w:r w:rsidRPr="00496500">
        <w:rPr>
          <w:rFonts w:ascii="Times New Roman" w:hAnsi="Times New Roman" w:cs="Times New Roman"/>
          <w:sz w:val="24"/>
          <w:szCs w:val="24"/>
        </w:rPr>
        <w:t xml:space="preserve"> над 99% от всички основни декларации (данъчни, осигурителни, уведомления по Кодекса на труда) се подават в НАП по електронен път. Разработената функционалност за предварително, служебно попълване на данните за физическите лица в годишните декларации за доходите им се надгражда всяка година, което се превръща в трайно облекчение за деклариращите и води до ежегодно покачване на процента подадени годишни данъчни декларации по електронен път. За 2024 г. декларациите с автоматично попълване на данни съставляват над 80% от подадените по електронен път декларации. Системите на НАП са интегрирани със системите на други институции (НЗОК, АВ, НОИ, </w:t>
      </w:r>
      <w:r w:rsidR="00BC38CA">
        <w:rPr>
          <w:rFonts w:ascii="Times New Roman" w:hAnsi="Times New Roman" w:cs="Times New Roman"/>
          <w:sz w:val="24"/>
          <w:szCs w:val="24"/>
        </w:rPr>
        <w:t>АМ</w:t>
      </w:r>
      <w:r w:rsidRPr="00496500">
        <w:rPr>
          <w:rFonts w:ascii="Times New Roman" w:hAnsi="Times New Roman" w:cs="Times New Roman"/>
          <w:sz w:val="24"/>
          <w:szCs w:val="24"/>
        </w:rPr>
        <w:t xml:space="preserve"> и други) и осигуряват възможност за напълно електронен обмен на данни и информация. Например, за улесняване на новорегистрираните търговци едновременно със заявяване в АВ на обща регистрация има възможност да се заявя и регистрация по ЗДДС (извършвана от </w:t>
      </w:r>
      <w:r w:rsidR="00BC38CA">
        <w:rPr>
          <w:rFonts w:ascii="Times New Roman" w:hAnsi="Times New Roman" w:cs="Times New Roman"/>
          <w:sz w:val="24"/>
          <w:szCs w:val="24"/>
        </w:rPr>
        <w:t>НАП</w:t>
      </w:r>
      <w:r w:rsidRPr="00496500">
        <w:rPr>
          <w:rFonts w:ascii="Times New Roman" w:hAnsi="Times New Roman" w:cs="Times New Roman"/>
          <w:sz w:val="24"/>
          <w:szCs w:val="24"/>
        </w:rPr>
        <w:t>), без да е необходимо да се подават ново заявление в НАП.</w:t>
      </w:r>
    </w:p>
    <w:p w14:paraId="3BD9C36F" w14:textId="77777777" w:rsidR="002B7E22" w:rsidRPr="00496500" w:rsidRDefault="00430F04" w:rsidP="006E661C">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Планирано е разширяване на въвеждането на електронни фактури (е-инвойс) между бизнеса и административните органи. </w:t>
      </w:r>
      <w:r w:rsidR="002B7E22" w:rsidRPr="00496500">
        <w:rPr>
          <w:rFonts w:ascii="Times New Roman" w:hAnsi="Times New Roman" w:cs="Times New Roman"/>
          <w:sz w:val="24"/>
          <w:szCs w:val="24"/>
        </w:rPr>
        <w:t>Същевременно, НАП и Министерство на финансите работят върху усъвършенствана платформа с ИИ за анализи (напр. за борба с ДДС измами).</w:t>
      </w:r>
    </w:p>
    <w:p w14:paraId="2C2B42AE" w14:textId="77777777" w:rsidR="00430F04" w:rsidRPr="00496500" w:rsidRDefault="00430F04" w:rsidP="006E661C">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Частично са модернизирани системата за публични разходи (SEBRA) и Единната информационна система за управление на бюджета (ЕИСУБ).</w:t>
      </w:r>
    </w:p>
    <w:p w14:paraId="12A9E062" w14:textId="77777777" w:rsidR="00430F04" w:rsidRPr="00496500" w:rsidRDefault="00430F04" w:rsidP="006E661C">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Агенция „Митници“ има електронна система за митнически декларации и контрол. Агенцията поддържа </w:t>
      </w:r>
      <w:r w:rsidR="007B5F34" w:rsidRPr="00496500">
        <w:rPr>
          <w:rFonts w:ascii="Times New Roman" w:hAnsi="Times New Roman" w:cs="Times New Roman"/>
          <w:sz w:val="24"/>
          <w:szCs w:val="24"/>
        </w:rPr>
        <w:t xml:space="preserve">и </w:t>
      </w:r>
      <w:r w:rsidRPr="00496500">
        <w:rPr>
          <w:rFonts w:ascii="Times New Roman" w:hAnsi="Times New Roman" w:cs="Times New Roman"/>
          <w:sz w:val="24"/>
          <w:szCs w:val="24"/>
        </w:rPr>
        <w:t>комуникация с европейските системи (EMCS, ICS2, TARIC и др.) и осъществява автоматизиран риск-анализ и проследимост на транзакции.</w:t>
      </w:r>
    </w:p>
    <w:p w14:paraId="1A11DAE8" w14:textId="77777777" w:rsidR="008C262E" w:rsidRPr="004626F0" w:rsidRDefault="008C262E" w:rsidP="008C262E">
      <w:pPr>
        <w:spacing w:after="120" w:line="240" w:lineRule="auto"/>
        <w:jc w:val="both"/>
        <w:rPr>
          <w:rFonts w:ascii="Times New Roman" w:hAnsi="Times New Roman" w:cs="Times New Roman"/>
          <w:b/>
          <w:sz w:val="24"/>
          <w:szCs w:val="24"/>
        </w:rPr>
      </w:pPr>
      <w:r w:rsidRPr="004626F0">
        <w:rPr>
          <w:rFonts w:ascii="Times New Roman" w:hAnsi="Times New Roman" w:cs="Times New Roman"/>
          <w:b/>
          <w:sz w:val="24"/>
          <w:szCs w:val="24"/>
        </w:rPr>
        <w:t>Сектор „Е-архив и е-архивиране на документи”</w:t>
      </w:r>
    </w:p>
    <w:p w14:paraId="3A07BED0" w14:textId="77777777" w:rsidR="00C67AF7" w:rsidRPr="004626F0" w:rsidRDefault="00B77E23" w:rsidP="00C67AF7">
      <w:pPr>
        <w:spacing w:after="0" w:line="240" w:lineRule="auto"/>
        <w:ind w:right="166" w:firstLine="709"/>
        <w:jc w:val="both"/>
        <w:rPr>
          <w:rFonts w:ascii="Times New Roman" w:hAnsi="Times New Roman" w:cs="Times New Roman"/>
          <w:sz w:val="24"/>
          <w:szCs w:val="24"/>
        </w:rPr>
      </w:pPr>
      <w:r w:rsidRPr="004626F0">
        <w:rPr>
          <w:rFonts w:ascii="Times New Roman" w:hAnsi="Times New Roman" w:cs="Times New Roman"/>
          <w:sz w:val="24"/>
          <w:szCs w:val="24"/>
        </w:rPr>
        <w:t xml:space="preserve">Сектор „Е-архив и Е-Архивиране на документи” е съотносим към цялостното функциониране на държавната администрация. </w:t>
      </w:r>
      <w:r w:rsidR="004A1D91" w:rsidRPr="004626F0">
        <w:rPr>
          <w:rFonts w:ascii="Times New Roman" w:hAnsi="Times New Roman" w:cs="Times New Roman"/>
          <w:sz w:val="24"/>
          <w:szCs w:val="24"/>
        </w:rPr>
        <w:t xml:space="preserve">Той осигурява ефективното взаимодействие между администрацията и държавните архиви и създава ясни и унифицирани разпоредби по отношение на принципите за експертиза, съхранение, опазване и достъп до ценни електронни документи – обект на НАФ. </w:t>
      </w:r>
      <w:r w:rsidRPr="004626F0">
        <w:rPr>
          <w:rFonts w:ascii="Times New Roman" w:hAnsi="Times New Roman" w:cs="Times New Roman"/>
          <w:sz w:val="24"/>
          <w:szCs w:val="24"/>
        </w:rPr>
        <w:t xml:space="preserve">Електронното архивиране е хоризонтален процес в рамките на електронното управление, </w:t>
      </w:r>
      <w:r w:rsidR="004A1D91" w:rsidRPr="004626F0">
        <w:rPr>
          <w:rFonts w:ascii="Times New Roman" w:hAnsi="Times New Roman" w:cs="Times New Roman"/>
          <w:sz w:val="24"/>
          <w:szCs w:val="24"/>
        </w:rPr>
        <w:t xml:space="preserve">който не се ограничава само до използването на електронни документи и услуги, а е пряко свързан с дейността на цялата държавна администрация. </w:t>
      </w:r>
      <w:r w:rsidR="00C67AF7" w:rsidRPr="004626F0">
        <w:rPr>
          <w:rFonts w:ascii="Times New Roman" w:hAnsi="Times New Roman" w:cs="Times New Roman"/>
          <w:sz w:val="24"/>
          <w:szCs w:val="24"/>
        </w:rPr>
        <w:t xml:space="preserve">С увеличаващия се брой електронни документи в процеса на планирано преминаване от хартиен документооборот към електронен, изискващо опериране единствено с документи в цифров вид в администрациите, от съществено значение е тяхното организиране, дългосрочното им съхранение в държавните и общинските институции, както и предаването на ценните електронни документи за постоянното запазване в държавните архиви. Това наложи разработване на цялостна стратегия, обхващаща всички тези процеси, а не отделни самостоятелни инициативи в някоя от основните области на дейност. През 2023 г. са изготвени проекти на Стратегия за развитие на е-архивиране в Република България с </w:t>
      </w:r>
      <w:r w:rsidR="00C67AF7" w:rsidRPr="004626F0">
        <w:rPr>
          <w:rFonts w:ascii="Times New Roman" w:hAnsi="Times New Roman" w:cs="Times New Roman"/>
          <w:sz w:val="24"/>
          <w:szCs w:val="24"/>
        </w:rPr>
        <w:lastRenderedPageBreak/>
        <w:t>хоризонт до 2030 г. с Пътна карта</w:t>
      </w:r>
      <w:r w:rsidR="00C67AF7" w:rsidRPr="004626F0">
        <w:rPr>
          <w:rStyle w:val="FootnoteReference"/>
          <w:rFonts w:ascii="Times New Roman" w:hAnsi="Times New Roman" w:cs="Times New Roman"/>
          <w:sz w:val="24"/>
          <w:szCs w:val="24"/>
        </w:rPr>
        <w:footnoteReference w:id="24"/>
      </w:r>
      <w:r w:rsidR="00C67AF7" w:rsidRPr="004626F0">
        <w:rPr>
          <w:rFonts w:ascii="Times New Roman" w:hAnsi="Times New Roman" w:cs="Times New Roman"/>
          <w:sz w:val="24"/>
          <w:szCs w:val="24"/>
        </w:rPr>
        <w:t xml:space="preserve"> по </w:t>
      </w:r>
      <w:r w:rsidR="00C67AF7" w:rsidRPr="004626F0">
        <w:rPr>
          <w:rStyle w:val="Strong"/>
          <w:rFonts w:ascii="Times New Roman" w:hAnsi="Times New Roman" w:cs="Times New Roman"/>
          <w:b w:val="0"/>
          <w:sz w:val="24"/>
          <w:szCs w:val="24"/>
        </w:rPr>
        <w:t xml:space="preserve">проект „Разработка и внедряване на система за е-архивиране” по ОПДУ. </w:t>
      </w:r>
      <w:r w:rsidR="00C67AF7" w:rsidRPr="004626F0">
        <w:rPr>
          <w:rFonts w:ascii="Times New Roman" w:hAnsi="Times New Roman" w:cs="Times New Roman"/>
          <w:sz w:val="24"/>
          <w:szCs w:val="24"/>
        </w:rPr>
        <w:t>Проектът на Стратегия представя визията, принципите, целите и дейностите, които ще допринесат за модернизация и трансформация на процесите по организация, експертиза, съхранение и използване на електронните документи в държавните и общинските институции и п</w:t>
      </w:r>
      <w:r w:rsidR="004A1D91" w:rsidRPr="004626F0">
        <w:rPr>
          <w:rFonts w:ascii="Times New Roman" w:hAnsi="Times New Roman" w:cs="Times New Roman"/>
          <w:sz w:val="24"/>
          <w:szCs w:val="24"/>
        </w:rPr>
        <w:t>редаването им в държавен архив.</w:t>
      </w:r>
    </w:p>
    <w:p w14:paraId="563004CF" w14:textId="77777777" w:rsidR="008C262E" w:rsidRPr="004626F0" w:rsidRDefault="00C67AF7" w:rsidP="00C67AF7">
      <w:pPr>
        <w:spacing w:after="0" w:line="240" w:lineRule="auto"/>
        <w:ind w:right="166" w:firstLine="709"/>
        <w:jc w:val="both"/>
        <w:rPr>
          <w:rFonts w:ascii="Times New Roman" w:hAnsi="Times New Roman" w:cs="Times New Roman"/>
          <w:sz w:val="24"/>
          <w:szCs w:val="24"/>
        </w:rPr>
      </w:pPr>
      <w:r w:rsidRPr="004626F0">
        <w:rPr>
          <w:rFonts w:ascii="Times New Roman" w:hAnsi="Times New Roman" w:cs="Times New Roman"/>
          <w:sz w:val="24"/>
          <w:szCs w:val="24"/>
        </w:rPr>
        <w:t>Разработена</w:t>
      </w:r>
      <w:r w:rsidR="008C262E" w:rsidRPr="004626F0">
        <w:rPr>
          <w:rFonts w:ascii="Times New Roman" w:hAnsi="Times New Roman" w:cs="Times New Roman"/>
          <w:sz w:val="24"/>
          <w:szCs w:val="24"/>
        </w:rPr>
        <w:t xml:space="preserve"> и внедрена </w:t>
      </w:r>
      <w:r w:rsidRPr="004626F0">
        <w:rPr>
          <w:rFonts w:ascii="Times New Roman" w:hAnsi="Times New Roman" w:cs="Times New Roman"/>
          <w:sz w:val="24"/>
          <w:szCs w:val="24"/>
        </w:rPr>
        <w:t>през същата година</w:t>
      </w:r>
      <w:r w:rsidR="008C262E" w:rsidRPr="004626F0">
        <w:rPr>
          <w:rFonts w:ascii="Times New Roman" w:hAnsi="Times New Roman" w:cs="Times New Roman"/>
          <w:sz w:val="24"/>
          <w:szCs w:val="24"/>
        </w:rPr>
        <w:t xml:space="preserve"> </w:t>
      </w:r>
      <w:r w:rsidRPr="004626F0">
        <w:rPr>
          <w:rFonts w:ascii="Times New Roman" w:hAnsi="Times New Roman" w:cs="Times New Roman"/>
          <w:sz w:val="24"/>
          <w:szCs w:val="24"/>
        </w:rPr>
        <w:t>е и</w:t>
      </w:r>
      <w:r w:rsidR="008C262E" w:rsidRPr="004626F0">
        <w:rPr>
          <w:rFonts w:ascii="Times New Roman" w:hAnsi="Times New Roman" w:cs="Times New Roman"/>
          <w:color w:val="000000"/>
          <w:sz w:val="24"/>
          <w:szCs w:val="24"/>
        </w:rPr>
        <w:t xml:space="preserve"> </w:t>
      </w:r>
      <w:r w:rsidR="008C262E" w:rsidRPr="004626F0">
        <w:rPr>
          <w:rFonts w:ascii="Times New Roman" w:hAnsi="Times New Roman" w:cs="Times New Roman"/>
          <w:sz w:val="24"/>
          <w:szCs w:val="24"/>
        </w:rPr>
        <w:t>Система за е-архивиране</w:t>
      </w:r>
      <w:r w:rsidR="004A1D91" w:rsidRPr="004626F0">
        <w:rPr>
          <w:rFonts w:ascii="Times New Roman" w:hAnsi="Times New Roman" w:cs="Times New Roman"/>
          <w:sz w:val="24"/>
          <w:szCs w:val="24"/>
        </w:rPr>
        <w:t xml:space="preserve"> на ценни е-документи</w:t>
      </w:r>
      <w:r w:rsidR="00B77E23" w:rsidRPr="004626F0">
        <w:rPr>
          <w:rFonts w:ascii="Times New Roman" w:hAnsi="Times New Roman" w:cs="Times New Roman"/>
          <w:sz w:val="24"/>
          <w:szCs w:val="24"/>
        </w:rPr>
        <w:t>. Тя</w:t>
      </w:r>
      <w:r w:rsidR="008C262E" w:rsidRPr="004626F0">
        <w:rPr>
          <w:rFonts w:ascii="Times New Roman" w:hAnsi="Times New Roman" w:cs="Times New Roman"/>
          <w:sz w:val="24"/>
          <w:szCs w:val="24"/>
        </w:rPr>
        <w:t xml:space="preserve"> осигур</w:t>
      </w:r>
      <w:r w:rsidR="00B77E23" w:rsidRPr="004626F0">
        <w:rPr>
          <w:rFonts w:ascii="Times New Roman" w:hAnsi="Times New Roman" w:cs="Times New Roman"/>
          <w:sz w:val="24"/>
          <w:szCs w:val="24"/>
        </w:rPr>
        <w:t>ява</w:t>
      </w:r>
      <w:r w:rsidR="008C262E" w:rsidRPr="004626F0">
        <w:rPr>
          <w:rFonts w:ascii="Times New Roman" w:hAnsi="Times New Roman" w:cs="Times New Roman"/>
          <w:sz w:val="24"/>
          <w:szCs w:val="24"/>
        </w:rPr>
        <w:t xml:space="preserve"> приемането, съхранението, достъпа и използването на ценни електронни документи от държавните и общинските институции, както и от видни за обществото личности, политически партии, юридически лица с нестопанска цел и търговски дружества, българи и български организации в чужбина с принос към българската история</w:t>
      </w:r>
      <w:r w:rsidR="004A1D91" w:rsidRPr="004626F0">
        <w:rPr>
          <w:rFonts w:ascii="Times New Roman" w:hAnsi="Times New Roman" w:cs="Times New Roman"/>
          <w:sz w:val="24"/>
          <w:szCs w:val="24"/>
        </w:rPr>
        <w:t xml:space="preserve"> и опазването им за идните поколения</w:t>
      </w:r>
      <w:r w:rsidR="008C262E" w:rsidRPr="004626F0">
        <w:rPr>
          <w:rFonts w:ascii="Times New Roman" w:hAnsi="Times New Roman" w:cs="Times New Roman"/>
          <w:sz w:val="24"/>
          <w:szCs w:val="24"/>
        </w:rPr>
        <w:t xml:space="preserve">. Публичен достъп до базата данни от архивни описания се осигурява чрез web-базиран интерфейс чрез административната интернет страница на ДАА </w:t>
      </w:r>
      <w:hyperlink r:id="rId28" w:history="1">
        <w:r w:rsidR="008C262E" w:rsidRPr="004626F0">
          <w:rPr>
            <w:rStyle w:val="Hyperlink"/>
            <w:rFonts w:ascii="Times New Roman" w:hAnsi="Times New Roman" w:cs="Times New Roman"/>
            <w:sz w:val="24"/>
            <w:szCs w:val="24"/>
          </w:rPr>
          <w:t>www.archives.government.bg</w:t>
        </w:r>
      </w:hyperlink>
      <w:r w:rsidR="008C262E" w:rsidRPr="004626F0">
        <w:rPr>
          <w:rFonts w:ascii="Times New Roman" w:hAnsi="Times New Roman" w:cs="Times New Roman"/>
          <w:sz w:val="24"/>
          <w:szCs w:val="24"/>
        </w:rPr>
        <w:t xml:space="preserve">. </w:t>
      </w:r>
    </w:p>
    <w:p w14:paraId="0B354B79" w14:textId="77777777" w:rsidR="008C262E" w:rsidRPr="00496500" w:rsidRDefault="00C67AF7" w:rsidP="004A1D91">
      <w:pPr>
        <w:tabs>
          <w:tab w:val="left" w:pos="709"/>
        </w:tabs>
        <w:ind w:right="144" w:firstLine="709"/>
        <w:jc w:val="both"/>
        <w:rPr>
          <w:rFonts w:ascii="Times New Roman" w:hAnsi="Times New Roman" w:cs="Times New Roman"/>
          <w:strike/>
          <w:sz w:val="24"/>
          <w:szCs w:val="24"/>
        </w:rPr>
      </w:pPr>
      <w:r w:rsidRPr="004626F0">
        <w:rPr>
          <w:rFonts w:ascii="Times New Roman" w:hAnsi="Times New Roman" w:cs="Times New Roman"/>
          <w:color w:val="000000"/>
          <w:sz w:val="24"/>
          <w:szCs w:val="24"/>
        </w:rPr>
        <w:t xml:space="preserve">Създадена е единна нормативна регламентация за организиране, обработване, експертиза, съхранение и използване на документите в учрежденските архиви на държавните и общинските институции с приетата с </w:t>
      </w:r>
      <w:r w:rsidR="008C262E" w:rsidRPr="004626F0">
        <w:rPr>
          <w:rFonts w:ascii="Times New Roman" w:hAnsi="Times New Roman" w:cs="Times New Roman"/>
          <w:color w:val="000000"/>
          <w:sz w:val="24"/>
          <w:szCs w:val="24"/>
        </w:rPr>
        <w:t xml:space="preserve">Постановление № 67 на Министерския съвет от 28.03.2024 г. </w:t>
      </w:r>
      <w:r w:rsidRPr="004626F0">
        <w:rPr>
          <w:rFonts w:ascii="Times New Roman" w:hAnsi="Times New Roman" w:cs="Times New Roman"/>
          <w:color w:val="000000"/>
          <w:sz w:val="24"/>
          <w:szCs w:val="24"/>
        </w:rPr>
        <w:t>Наредба</w:t>
      </w:r>
      <w:r w:rsidR="008C262E" w:rsidRPr="004626F0">
        <w:rPr>
          <w:rFonts w:ascii="Times New Roman" w:hAnsi="Times New Roman" w:cs="Times New Roman"/>
          <w:color w:val="000000"/>
          <w:sz w:val="24"/>
          <w:szCs w:val="24"/>
        </w:rPr>
        <w:t xml:space="preserve"> </w:t>
      </w:r>
      <w:r w:rsidRPr="004626F0">
        <w:rPr>
          <w:rFonts w:ascii="Times New Roman" w:hAnsi="Times New Roman" w:cs="Times New Roman"/>
          <w:color w:val="000000"/>
          <w:sz w:val="24"/>
          <w:szCs w:val="24"/>
        </w:rPr>
        <w:t>по реда на чл. 52 от Закона за Националния архивен фонд</w:t>
      </w:r>
      <w:r w:rsidR="008C262E" w:rsidRPr="004626F0">
        <w:rPr>
          <w:rFonts w:ascii="Times New Roman" w:hAnsi="Times New Roman" w:cs="Times New Roman"/>
          <w:color w:val="000000"/>
          <w:sz w:val="24"/>
          <w:szCs w:val="24"/>
        </w:rPr>
        <w:t>.</w:t>
      </w:r>
      <w:r w:rsidRPr="00496500">
        <w:rPr>
          <w:rFonts w:ascii="Times New Roman" w:hAnsi="Times New Roman" w:cs="Times New Roman"/>
          <w:color w:val="000000"/>
          <w:sz w:val="24"/>
          <w:szCs w:val="24"/>
        </w:rPr>
        <w:t xml:space="preserve"> </w:t>
      </w:r>
    </w:p>
    <w:p w14:paraId="169D255F" w14:textId="77777777" w:rsidR="00643145" w:rsidRPr="00496500" w:rsidRDefault="00643145" w:rsidP="003B412E">
      <w:pPr>
        <w:pStyle w:val="ListParagraph"/>
        <w:numPr>
          <w:ilvl w:val="2"/>
          <w:numId w:val="10"/>
        </w:numPr>
        <w:spacing w:after="120" w:line="240" w:lineRule="auto"/>
        <w:ind w:left="1134" w:hanging="567"/>
        <w:contextualSpacing w:val="0"/>
        <w:rPr>
          <w:rFonts w:ascii="Times New Roman" w:hAnsi="Times New Roman" w:cs="Times New Roman"/>
          <w:b/>
          <w:bCs/>
          <w:sz w:val="24"/>
          <w:szCs w:val="24"/>
        </w:rPr>
      </w:pPr>
      <w:r w:rsidRPr="00496500">
        <w:rPr>
          <w:rFonts w:ascii="Times New Roman" w:hAnsi="Times New Roman" w:cs="Times New Roman"/>
          <w:b/>
          <w:bCs/>
          <w:sz w:val="24"/>
          <w:szCs w:val="24"/>
        </w:rPr>
        <w:t>Електронна идентификация</w:t>
      </w:r>
      <w:r w:rsidR="007A39F5" w:rsidRPr="00496500">
        <w:rPr>
          <w:rFonts w:ascii="Times New Roman" w:hAnsi="Times New Roman" w:cs="Times New Roman"/>
          <w:b/>
          <w:bCs/>
          <w:sz w:val="24"/>
          <w:szCs w:val="24"/>
        </w:rPr>
        <w:t xml:space="preserve"> и автентикация</w:t>
      </w:r>
    </w:p>
    <w:p w14:paraId="25AF5AC5" w14:textId="77777777" w:rsidR="007A39F5" w:rsidRPr="00496500" w:rsidRDefault="007A39F5" w:rsidP="003B412E">
      <w:pPr>
        <w:snapToGrid w:val="0"/>
        <w:spacing w:after="120" w:line="240" w:lineRule="auto"/>
        <w:jc w:val="both"/>
        <w:rPr>
          <w:rFonts w:ascii="Times New Roman" w:eastAsia="Calibri" w:hAnsi="Times New Roman" w:cs="Times New Roman"/>
          <w:b/>
          <w:bCs/>
          <w:color w:val="000000"/>
          <w:sz w:val="24"/>
          <w:szCs w:val="24"/>
        </w:rPr>
      </w:pPr>
      <w:r w:rsidRPr="00496500">
        <w:rPr>
          <w:rFonts w:ascii="Times New Roman" w:eastAsia="Calibri" w:hAnsi="Times New Roman" w:cs="Times New Roman"/>
          <w:b/>
          <w:bCs/>
          <w:color w:val="000000"/>
          <w:sz w:val="24"/>
          <w:szCs w:val="24"/>
        </w:rPr>
        <w:t>Електронна идентификация</w:t>
      </w:r>
    </w:p>
    <w:p w14:paraId="533A0651" w14:textId="77777777" w:rsidR="003E7FCD" w:rsidRPr="00496500" w:rsidRDefault="003E7FCD" w:rsidP="003B412E">
      <w:pPr>
        <w:snapToGrid w:val="0"/>
        <w:spacing w:after="120" w:line="240" w:lineRule="auto"/>
        <w:ind w:firstLine="567"/>
        <w:jc w:val="both"/>
        <w:rPr>
          <w:rFonts w:ascii="Times New Roman" w:hAnsi="Times New Roman" w:cs="Times New Roman"/>
          <w:sz w:val="24"/>
          <w:szCs w:val="24"/>
        </w:rPr>
      </w:pPr>
      <w:r w:rsidRPr="00496500">
        <w:rPr>
          <w:rFonts w:ascii="Times New Roman" w:eastAsia="Calibri" w:hAnsi="Times New Roman" w:cs="Times New Roman"/>
          <w:color w:val="000000"/>
          <w:sz w:val="24"/>
          <w:szCs w:val="24"/>
        </w:rPr>
        <w:t>Обменът на данни и информация</w:t>
      </w:r>
      <w:r w:rsidR="00017B15" w:rsidRPr="00496500">
        <w:rPr>
          <w:rFonts w:ascii="Times New Roman" w:eastAsia="Calibri" w:hAnsi="Times New Roman" w:cs="Times New Roman"/>
          <w:color w:val="000000"/>
          <w:sz w:val="24"/>
          <w:szCs w:val="24"/>
        </w:rPr>
        <w:t xml:space="preserve">, и реализацията и използването на изцяло цифрови услуги, национални и трансгранични, </w:t>
      </w:r>
      <w:r w:rsidR="00D862E1" w:rsidRPr="00496500">
        <w:rPr>
          <w:rFonts w:ascii="Times New Roman" w:eastAsia="Calibri" w:hAnsi="Times New Roman" w:cs="Times New Roman"/>
          <w:color w:val="000000"/>
          <w:sz w:val="24"/>
          <w:szCs w:val="24"/>
        </w:rPr>
        <w:t>са</w:t>
      </w:r>
      <w:r w:rsidR="00017B15" w:rsidRPr="00496500">
        <w:rPr>
          <w:rFonts w:ascii="Times New Roman" w:eastAsia="Calibri" w:hAnsi="Times New Roman" w:cs="Times New Roman"/>
          <w:color w:val="000000"/>
          <w:sz w:val="24"/>
          <w:szCs w:val="24"/>
        </w:rPr>
        <w:t xml:space="preserve"> ограничен</w:t>
      </w:r>
      <w:r w:rsidR="00D862E1" w:rsidRPr="00496500">
        <w:rPr>
          <w:rFonts w:ascii="Times New Roman" w:eastAsia="Calibri" w:hAnsi="Times New Roman" w:cs="Times New Roman"/>
          <w:color w:val="000000"/>
          <w:sz w:val="24"/>
          <w:szCs w:val="24"/>
        </w:rPr>
        <w:t>и</w:t>
      </w:r>
      <w:r w:rsidR="00017B15" w:rsidRPr="00496500">
        <w:rPr>
          <w:rFonts w:ascii="Times New Roman" w:eastAsia="Calibri" w:hAnsi="Times New Roman" w:cs="Times New Roman"/>
          <w:color w:val="000000"/>
          <w:sz w:val="24"/>
          <w:szCs w:val="24"/>
        </w:rPr>
        <w:t xml:space="preserve"> при липсата на сигурни средства за електронна идентификация и автентикация</w:t>
      </w:r>
      <w:r w:rsidR="00D862E1" w:rsidRPr="00496500">
        <w:rPr>
          <w:rFonts w:ascii="Times New Roman" w:eastAsia="Calibri" w:hAnsi="Times New Roman" w:cs="Times New Roman"/>
          <w:color w:val="000000"/>
          <w:sz w:val="24"/>
          <w:szCs w:val="24"/>
        </w:rPr>
        <w:t xml:space="preserve">. В изпълнение на </w:t>
      </w:r>
      <w:r w:rsidR="00D862E1" w:rsidRPr="00496500">
        <w:rPr>
          <w:rFonts w:ascii="Times New Roman" w:hAnsi="Times New Roman" w:cs="Times New Roman"/>
          <w:sz w:val="24"/>
          <w:szCs w:val="24"/>
        </w:rPr>
        <w:t xml:space="preserve">Регламент (ЕС) № 910/2014 България има </w:t>
      </w:r>
      <w:r w:rsidR="0048341D" w:rsidRPr="00496500">
        <w:rPr>
          <w:rFonts w:ascii="Times New Roman" w:hAnsi="Times New Roman" w:cs="Times New Roman"/>
          <w:sz w:val="24"/>
          <w:szCs w:val="24"/>
        </w:rPr>
        <w:t xml:space="preserve">нотифицирана пред Европейската комисия </w:t>
      </w:r>
      <w:r w:rsidR="00D862E1" w:rsidRPr="00496500">
        <w:rPr>
          <w:rFonts w:ascii="Times New Roman" w:hAnsi="Times New Roman" w:cs="Times New Roman"/>
          <w:sz w:val="24"/>
          <w:szCs w:val="24"/>
        </w:rPr>
        <w:t xml:space="preserve">схема за електронна идентификация, </w:t>
      </w:r>
      <w:r w:rsidR="00D862E1" w:rsidRPr="00496500">
        <w:rPr>
          <w:rFonts w:ascii="Times New Roman" w:eastAsia="Calibri" w:hAnsi="Times New Roman" w:cs="Times New Roman"/>
          <w:color w:val="000000"/>
          <w:sz w:val="24"/>
          <w:szCs w:val="24"/>
        </w:rPr>
        <w:t>която е призната от останалите държави членки. Тя е разработена и се управлява от частноправен субект и се базира на лицево разпознаване и на мобилен КЕП. Схемата е публикувана в Официалния вестник на ЕС на 05.07.2023 г.</w:t>
      </w:r>
    </w:p>
    <w:p w14:paraId="74112797" w14:textId="77777777" w:rsidR="00D862E1" w:rsidRPr="00496500" w:rsidRDefault="00D862E1"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hAnsi="Times New Roman" w:cs="Times New Roman"/>
          <w:sz w:val="24"/>
          <w:szCs w:val="24"/>
        </w:rPr>
        <w:t>Законът</w:t>
      </w:r>
      <w:r w:rsidRPr="00496500">
        <w:rPr>
          <w:rFonts w:ascii="Times New Roman" w:eastAsia="Calibri" w:hAnsi="Times New Roman" w:cs="Times New Roman"/>
          <w:color w:val="000000"/>
          <w:sz w:val="24"/>
          <w:szCs w:val="24"/>
        </w:rPr>
        <w:t xml:space="preserve"> за електронната идентификация (ЗЕИ) е в сила от 2016 г., но вече почти 10 години схемата за електронна идентификация, регламентирана чрез този закон, все още не е изградена и българските граждани не могат да се идентифицират чрез единно средство за електронна идентификация, предоставено от държавата. </w:t>
      </w:r>
    </w:p>
    <w:p w14:paraId="5128C7B6" w14:textId="77777777" w:rsidR="00D862E1" w:rsidRPr="00496500" w:rsidRDefault="00D862E1"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Към настоящия момент Министерството на вътрешните работи (МВР) изпълнява обществена поръчка с наименование „Проектиране, изграждане и управление на Система за издаване на български лични документи поколение 2019“. Проектът предвижда изграждането на Централизирана система за електронна идентификация. Предвижда се още българските лични документи да бъдат носители на удостоверение за електронна идентичност. Това удостоверение по подразбиране следва да се записва в личната карта като гражданинът може да се откаже от него като изрично заяви това. </w:t>
      </w:r>
    </w:p>
    <w:p w14:paraId="248274B3" w14:textId="77777777" w:rsidR="007A39F5" w:rsidRPr="00496500" w:rsidRDefault="007A39F5"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Поради липсата на национална схема за електронна идентификация към момента се използват средствата, регламентирани в § 5 от ПЗР на Наредба за общите изисквания към </w:t>
      </w:r>
      <w:r w:rsidRPr="00496500">
        <w:rPr>
          <w:rFonts w:ascii="Times New Roman" w:hAnsi="Times New Roman" w:cs="Times New Roman"/>
          <w:sz w:val="24"/>
          <w:szCs w:val="24"/>
        </w:rPr>
        <w:t>информационните</w:t>
      </w:r>
      <w:r w:rsidRPr="00496500">
        <w:rPr>
          <w:rFonts w:ascii="Times New Roman" w:eastAsia="Calibri" w:hAnsi="Times New Roman" w:cs="Times New Roman"/>
          <w:color w:val="000000"/>
          <w:sz w:val="24"/>
          <w:szCs w:val="24"/>
        </w:rPr>
        <w:t xml:space="preserve"> системи, регистрите и електронните административни услуги (НОИИСРЕАУ), а именно: КЕП, ПИК на НАП, НОИ и уникален код за достъп (УКД) на Националната здравноосигурителна каса (НЗОК), ако съответните публични органи </w:t>
      </w:r>
      <w:r w:rsidRPr="00496500">
        <w:rPr>
          <w:rFonts w:ascii="Times New Roman" w:eastAsia="Calibri" w:hAnsi="Times New Roman" w:cs="Times New Roman"/>
          <w:color w:val="000000"/>
          <w:sz w:val="24"/>
          <w:szCs w:val="24"/>
        </w:rPr>
        <w:lastRenderedPageBreak/>
        <w:t xml:space="preserve">предвиждат възможност гражданите да се идентифицират пред тях чрез тези средства. Чрез посочените средства обаче българските граждани не могат да се идентифицират, когато заявяват електронни административни услуги в други държави – членки на Европейския съюз, което препятства възможността за ползване на трансгранични електронни услуги в рамките на ЕС. </w:t>
      </w:r>
    </w:p>
    <w:p w14:paraId="3BC3B9DD" w14:textId="77777777" w:rsidR="007A39F5" w:rsidRPr="00496500" w:rsidRDefault="007A39F5"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Наред с посочено</w:t>
      </w:r>
      <w:r w:rsidR="00876724" w:rsidRPr="00496500">
        <w:rPr>
          <w:rFonts w:ascii="Times New Roman" w:eastAsia="Calibri" w:hAnsi="Times New Roman" w:cs="Times New Roman"/>
          <w:color w:val="000000"/>
          <w:sz w:val="24"/>
          <w:szCs w:val="24"/>
        </w:rPr>
        <w:t>то</w:t>
      </w:r>
      <w:r w:rsidRPr="00496500">
        <w:rPr>
          <w:rFonts w:ascii="Times New Roman" w:eastAsia="Calibri" w:hAnsi="Times New Roman" w:cs="Times New Roman"/>
          <w:color w:val="000000"/>
          <w:sz w:val="24"/>
          <w:szCs w:val="24"/>
        </w:rPr>
        <w:t xml:space="preserve">, част от средствата за електронна идентификация като ПИК и УКД, не отговарят на </w:t>
      </w:r>
      <w:r w:rsidRPr="00496500">
        <w:rPr>
          <w:rFonts w:ascii="Times New Roman" w:hAnsi="Times New Roman" w:cs="Times New Roman"/>
          <w:sz w:val="24"/>
          <w:szCs w:val="24"/>
        </w:rPr>
        <w:t>изискванията</w:t>
      </w:r>
      <w:r w:rsidRPr="00496500">
        <w:rPr>
          <w:rFonts w:ascii="Times New Roman" w:eastAsia="Calibri" w:hAnsi="Times New Roman" w:cs="Times New Roman"/>
          <w:color w:val="000000"/>
          <w:sz w:val="24"/>
          <w:szCs w:val="24"/>
        </w:rPr>
        <w:t xml:space="preserve"> на Регламент (ЕС) № 910/2014 за нива на осигуреност „значително“ или „високо“ и чрез тях не могат да се заявяват всички административни услуги. </w:t>
      </w:r>
    </w:p>
    <w:p w14:paraId="5EBE2E06" w14:textId="77777777" w:rsidR="003E7FCD" w:rsidRPr="00496500" w:rsidRDefault="007A39F5"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КЕП се използва като средство за електронна идентификация, поради факта, че в него се съдържат </w:t>
      </w:r>
      <w:r w:rsidRPr="00496500">
        <w:rPr>
          <w:rFonts w:ascii="Times New Roman" w:hAnsi="Times New Roman" w:cs="Times New Roman"/>
          <w:sz w:val="24"/>
          <w:szCs w:val="24"/>
        </w:rPr>
        <w:t>лични</w:t>
      </w:r>
      <w:r w:rsidRPr="00496500">
        <w:rPr>
          <w:rFonts w:ascii="Times New Roman" w:eastAsia="Calibri" w:hAnsi="Times New Roman" w:cs="Times New Roman"/>
          <w:color w:val="000000"/>
          <w:sz w:val="24"/>
          <w:szCs w:val="24"/>
        </w:rPr>
        <w:t xml:space="preserve"> данни, които могат да идентифицират физическото лице – три имена и ЕГН.</w:t>
      </w:r>
    </w:p>
    <w:p w14:paraId="40F874BF" w14:textId="77777777" w:rsidR="007A39F5" w:rsidRPr="00496500" w:rsidRDefault="007A39F5"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По отношение на </w:t>
      </w:r>
      <w:r w:rsidRPr="00496500">
        <w:rPr>
          <w:rFonts w:ascii="Times New Roman" w:eastAsia="Calibri" w:hAnsi="Times New Roman" w:cs="Times New Roman"/>
          <w:sz w:val="24"/>
          <w:szCs w:val="24"/>
        </w:rPr>
        <w:t xml:space="preserve">средство за електронна идентификация с ниво на осигуреност </w:t>
      </w:r>
      <w:r w:rsidR="00876724" w:rsidRPr="00496500">
        <w:rPr>
          <w:rFonts w:ascii="Times New Roman" w:eastAsia="Calibri" w:hAnsi="Times New Roman" w:cs="Times New Roman"/>
          <w:sz w:val="24"/>
          <w:szCs w:val="24"/>
        </w:rPr>
        <w:t>„</w:t>
      </w:r>
      <w:r w:rsidRPr="00496500">
        <w:rPr>
          <w:rFonts w:ascii="Times New Roman" w:eastAsia="Calibri" w:hAnsi="Times New Roman" w:cs="Times New Roman"/>
          <w:sz w:val="24"/>
          <w:szCs w:val="24"/>
        </w:rPr>
        <w:t>високо</w:t>
      </w:r>
      <w:r w:rsidR="00876724" w:rsidRPr="00496500">
        <w:rPr>
          <w:rFonts w:ascii="Times New Roman" w:eastAsia="Calibri" w:hAnsi="Times New Roman" w:cs="Times New Roman"/>
          <w:sz w:val="24"/>
          <w:szCs w:val="24"/>
        </w:rPr>
        <w:t>“</w:t>
      </w:r>
      <w:r w:rsidRPr="00496500">
        <w:rPr>
          <w:rFonts w:ascii="Times New Roman" w:eastAsia="Calibri" w:hAnsi="Times New Roman" w:cs="Times New Roman"/>
          <w:sz w:val="24"/>
          <w:szCs w:val="24"/>
        </w:rPr>
        <w:t xml:space="preserve">, </w:t>
      </w:r>
      <w:r w:rsidRPr="00496500">
        <w:rPr>
          <w:rFonts w:ascii="Times New Roman" w:hAnsi="Times New Roman" w:cs="Times New Roman"/>
          <w:sz w:val="24"/>
          <w:szCs w:val="24"/>
        </w:rPr>
        <w:t>издавано</w:t>
      </w:r>
      <w:r w:rsidRPr="00496500">
        <w:rPr>
          <w:rFonts w:ascii="Times New Roman" w:eastAsia="Calibri" w:hAnsi="Times New Roman" w:cs="Times New Roman"/>
          <w:sz w:val="24"/>
          <w:szCs w:val="24"/>
        </w:rPr>
        <w:t xml:space="preserve"> в рамките на удостоверителна услуга за електронна идентификация с национално покритие, вписана в Доверителния списък, воден от Комисията за регулиране на съобщенията по чл. 22 от Регламент (ЕС) № 910/2014 г. – три са дружествата, който към настоящия момент предоставят такава услуга в България.</w:t>
      </w:r>
    </w:p>
    <w:p w14:paraId="16A391B1" w14:textId="77777777" w:rsidR="007A39F5" w:rsidRPr="00496500" w:rsidRDefault="007A39F5" w:rsidP="003B412E">
      <w:pPr>
        <w:snapToGrid w:val="0"/>
        <w:spacing w:after="120" w:line="240" w:lineRule="auto"/>
        <w:jc w:val="both"/>
        <w:rPr>
          <w:rFonts w:ascii="Times New Roman" w:eastAsia="Calibri" w:hAnsi="Times New Roman" w:cs="Times New Roman"/>
          <w:b/>
          <w:sz w:val="24"/>
          <w:szCs w:val="24"/>
        </w:rPr>
      </w:pPr>
      <w:r w:rsidRPr="00496500">
        <w:rPr>
          <w:rFonts w:ascii="Times New Roman" w:eastAsia="Calibri" w:hAnsi="Times New Roman" w:cs="Times New Roman"/>
          <w:b/>
          <w:sz w:val="24"/>
          <w:szCs w:val="24"/>
        </w:rPr>
        <w:t>Система за електронна автентикация (еАвтентикация)</w:t>
      </w:r>
    </w:p>
    <w:p w14:paraId="1C18DFA9" w14:textId="51F8B410" w:rsidR="007A39F5" w:rsidRPr="00496500" w:rsidRDefault="007A39F5" w:rsidP="003B412E">
      <w:pPr>
        <w:snapToGrid w:val="0"/>
        <w:spacing w:after="120" w:line="240" w:lineRule="auto"/>
        <w:ind w:firstLine="567"/>
        <w:jc w:val="both"/>
        <w:rPr>
          <w:rFonts w:ascii="Times New Roman" w:eastAsia="Calibri" w:hAnsi="Times New Roman" w:cs="Times New Roman"/>
          <w:sz w:val="24"/>
          <w:szCs w:val="24"/>
        </w:rPr>
      </w:pPr>
      <w:r w:rsidRPr="00496500">
        <w:rPr>
          <w:rFonts w:ascii="Times New Roman" w:eastAsia="Calibri" w:hAnsi="Times New Roman" w:cs="Times New Roman"/>
          <w:color w:val="000000"/>
          <w:sz w:val="24"/>
          <w:szCs w:val="24"/>
        </w:rPr>
        <w:t>Съгласно</w:t>
      </w:r>
      <w:r w:rsidRPr="00496500">
        <w:rPr>
          <w:rFonts w:ascii="Times New Roman" w:eastAsia="Calibri" w:hAnsi="Times New Roman" w:cs="Times New Roman"/>
          <w:sz w:val="24"/>
          <w:szCs w:val="24"/>
        </w:rPr>
        <w:t xml:space="preserve"> чл. 5, ал. 3 от ЗЕУ централните системи за заявяване на електронни административни услуги и информационните системи на административни</w:t>
      </w:r>
      <w:r w:rsidR="005F2402" w:rsidRPr="00496500">
        <w:rPr>
          <w:rFonts w:ascii="Times New Roman" w:eastAsia="Calibri" w:hAnsi="Times New Roman" w:cs="Times New Roman"/>
          <w:sz w:val="24"/>
          <w:szCs w:val="24"/>
        </w:rPr>
        <w:t>те</w:t>
      </w:r>
      <w:r w:rsidRPr="00496500">
        <w:rPr>
          <w:rFonts w:ascii="Times New Roman" w:eastAsia="Calibri" w:hAnsi="Times New Roman" w:cs="Times New Roman"/>
          <w:sz w:val="24"/>
          <w:szCs w:val="24"/>
        </w:rPr>
        <w:t xml:space="preserve"> органи, лицата, осъществяващи публични функции и организациите, предоставящи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 xml:space="preserve"> услуги следва да са интегрирани със системата за еАвтентикация, поддържана от Министерството на електронното управление. По този начин се осигурява възможност за една интеграция към всички законово регламентирани в България средства за електронна идентификация. Интеграцията се осъществява по стандартизиран защитен протокол от тип „система-система“, утвърден от министъра на електронното управление.</w:t>
      </w:r>
    </w:p>
    <w:p w14:paraId="01491E41" w14:textId="77777777" w:rsidR="007A39F5" w:rsidRPr="00496500" w:rsidRDefault="007A39F5" w:rsidP="003B412E">
      <w:pPr>
        <w:snapToGrid w:val="0"/>
        <w:spacing w:after="120" w:line="240" w:lineRule="auto"/>
        <w:ind w:firstLine="567"/>
        <w:jc w:val="both"/>
        <w:rPr>
          <w:rFonts w:ascii="Times New Roman" w:eastAsia="Calibri" w:hAnsi="Times New Roman" w:cs="Times New Roman"/>
          <w:sz w:val="24"/>
          <w:szCs w:val="24"/>
        </w:rPr>
      </w:pPr>
      <w:r w:rsidRPr="00496500">
        <w:rPr>
          <w:rFonts w:ascii="Times New Roman" w:eastAsia="Calibri" w:hAnsi="Times New Roman" w:cs="Times New Roman"/>
          <w:color w:val="000000"/>
          <w:sz w:val="24"/>
          <w:szCs w:val="24"/>
        </w:rPr>
        <w:t>Системата</w:t>
      </w:r>
      <w:r w:rsidRPr="00496500">
        <w:rPr>
          <w:rFonts w:ascii="Times New Roman" w:eastAsia="Calibri" w:hAnsi="Times New Roman" w:cs="Times New Roman"/>
          <w:sz w:val="24"/>
          <w:szCs w:val="24"/>
        </w:rPr>
        <w:t xml:space="preserve"> еАвтентикация извършва автентикация на потребители след избор от потребителя на поддържано от системата средство за електронна идентификация и валидиране на средството чрез съответния доставчик на идентификация.</w:t>
      </w:r>
    </w:p>
    <w:p w14:paraId="6D1A5E81" w14:textId="77777777" w:rsidR="007A39F5" w:rsidRPr="00496500" w:rsidRDefault="007A39F5" w:rsidP="003B412E">
      <w:pPr>
        <w:snapToGrid w:val="0"/>
        <w:spacing w:after="120" w:line="240" w:lineRule="auto"/>
        <w:ind w:firstLine="567"/>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В допълнение, средството за идентификация или доставчикът на идентификация следва да предоставят на еАвтентикация един от нормативно установените уникални </w:t>
      </w:r>
      <w:r w:rsidRPr="00496500">
        <w:rPr>
          <w:rFonts w:ascii="Times New Roman" w:hAnsi="Times New Roman" w:cs="Times New Roman"/>
          <w:sz w:val="24"/>
          <w:szCs w:val="24"/>
        </w:rPr>
        <w:t>идентификатори</w:t>
      </w:r>
      <w:r w:rsidRPr="00496500">
        <w:rPr>
          <w:rFonts w:ascii="Times New Roman" w:eastAsia="Calibri" w:hAnsi="Times New Roman" w:cs="Times New Roman"/>
          <w:sz w:val="24"/>
          <w:szCs w:val="24"/>
        </w:rPr>
        <w:t xml:space="preserve"> на лице – ЕГН или ЛНЧ. Резултатът от проверката за валидност, заедно с идентификационните данни се предават от системата еАвтентикация до информационната система, отправила запитване за автентикация под формата на атестат.</w:t>
      </w:r>
    </w:p>
    <w:p w14:paraId="27A8723A" w14:textId="77777777" w:rsidR="00E70767" w:rsidRPr="00496500" w:rsidRDefault="00E70767" w:rsidP="003B412E">
      <w:pPr>
        <w:snapToGrid w:val="0"/>
        <w:spacing w:after="120" w:line="240" w:lineRule="auto"/>
        <w:jc w:val="both"/>
        <w:rPr>
          <w:rFonts w:ascii="Times New Roman" w:eastAsia="Calibri" w:hAnsi="Times New Roman" w:cs="Times New Roman"/>
          <w:b/>
          <w:color w:val="000000"/>
          <w:sz w:val="24"/>
          <w:szCs w:val="24"/>
        </w:rPr>
      </w:pPr>
      <w:r w:rsidRPr="00496500">
        <w:rPr>
          <w:rFonts w:ascii="Times New Roman" w:eastAsia="Calibri" w:hAnsi="Times New Roman" w:cs="Times New Roman"/>
          <w:b/>
          <w:color w:val="000000"/>
          <w:sz w:val="24"/>
          <w:szCs w:val="24"/>
        </w:rPr>
        <w:t>eIDAS възел за нуждите на трансграничната електронна идентификация</w:t>
      </w:r>
    </w:p>
    <w:p w14:paraId="0432E7BA" w14:textId="77777777" w:rsidR="007A39F5" w:rsidRPr="00496500" w:rsidRDefault="007A39F5" w:rsidP="003B412E">
      <w:pPr>
        <w:snapToGrid w:val="0"/>
        <w:spacing w:after="120" w:line="240" w:lineRule="auto"/>
        <w:ind w:firstLine="567"/>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С </w:t>
      </w:r>
      <w:r w:rsidRPr="00496500">
        <w:rPr>
          <w:rFonts w:ascii="Times New Roman" w:eastAsia="Calibri" w:hAnsi="Times New Roman" w:cs="Times New Roman"/>
          <w:color w:val="000000"/>
          <w:sz w:val="24"/>
          <w:szCs w:val="24"/>
        </w:rPr>
        <w:t>eIDAS</w:t>
      </w:r>
      <w:r w:rsidRPr="00496500">
        <w:rPr>
          <w:rFonts w:ascii="Times New Roman" w:eastAsia="Calibri" w:hAnsi="Times New Roman" w:cs="Times New Roman"/>
          <w:sz w:val="24"/>
          <w:szCs w:val="24"/>
        </w:rPr>
        <w:t xml:space="preserve"> 1.0 се въвежда задължение за държавите членки за взаимно признаване на средствата за електронна идентификация, издадени в рамките нотифицирани схеми за електронна идентификация. На технологично ниво това задължение се изпълнява чрез изграждането на т. нар. eIDAS възел, които е ключов компонент в архитектурата на електронната идентификация в Европейския съюз. По своята същност eIDAS възелът е софтуерен компонент, който осигурява сигурно и стандартизирано трансгранично взаимно признаване на средства за електронна идентификация. Чрез него се приемат, обработват и препращат данни от/до еIDAS възли на други държави членки, с което се дава възможност на националната инфраструктура за електронна идентификация на една държава членка да се свързва с инфраструктурата на друга държава членка, така че да се осъществи сигурна електронна идентификация и сигурно електронно удостоверяване на самоличността на гражданите на ЕС при заявяване и предоставяне на електронни административни услуги (ЕАУ).</w:t>
      </w:r>
    </w:p>
    <w:p w14:paraId="2FF07714" w14:textId="77777777" w:rsidR="007A39F5" w:rsidRPr="00496500" w:rsidRDefault="007A39F5" w:rsidP="003B412E">
      <w:pPr>
        <w:snapToGrid w:val="0"/>
        <w:spacing w:after="120" w:line="240" w:lineRule="auto"/>
        <w:ind w:firstLine="567"/>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lastRenderedPageBreak/>
        <w:t>На национално ниво чрез възела се извършва трансгранична автентикация на граждани на държави - членки на ЕС, които желаят да заявят електронни административни услуги в България. За целта е достатъчно гражданите да разполагат със средства за електронна идентификация, издадени в съответните държави членки (различни от България), когато тези средства са част от схема за електронна идентификация, за която е извършено уведомяване на ЕК и която е публикувана в Официалния вестник на ЕС.</w:t>
      </w:r>
    </w:p>
    <w:p w14:paraId="3715100F" w14:textId="77777777" w:rsidR="00EB5AC5" w:rsidRPr="00496500" w:rsidRDefault="007A39F5"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sz w:val="24"/>
          <w:szCs w:val="24"/>
        </w:rPr>
        <w:t xml:space="preserve">В </w:t>
      </w:r>
      <w:r w:rsidRPr="00496500">
        <w:rPr>
          <w:rFonts w:ascii="Times New Roman" w:eastAsia="Calibri" w:hAnsi="Times New Roman" w:cs="Times New Roman"/>
          <w:color w:val="000000"/>
          <w:sz w:val="24"/>
          <w:szCs w:val="24"/>
        </w:rPr>
        <w:t>България</w:t>
      </w:r>
      <w:r w:rsidRPr="00496500">
        <w:rPr>
          <w:rFonts w:ascii="Times New Roman" w:eastAsia="Calibri" w:hAnsi="Times New Roman" w:cs="Times New Roman"/>
          <w:sz w:val="24"/>
          <w:szCs w:val="24"/>
        </w:rPr>
        <w:t xml:space="preserve"> възелът е интегриран с хоризонталната система за еАвтентикация, която поддържа </w:t>
      </w:r>
      <w:r w:rsidRPr="00496500">
        <w:rPr>
          <w:rFonts w:ascii="Times New Roman" w:hAnsi="Times New Roman" w:cs="Times New Roman"/>
          <w:sz w:val="24"/>
          <w:szCs w:val="24"/>
        </w:rPr>
        <w:t>разглежданите</w:t>
      </w:r>
      <w:r w:rsidRPr="00496500">
        <w:rPr>
          <w:rFonts w:ascii="Times New Roman" w:eastAsia="Calibri" w:hAnsi="Times New Roman" w:cs="Times New Roman"/>
          <w:sz w:val="24"/>
          <w:szCs w:val="24"/>
        </w:rPr>
        <w:t xml:space="preserve"> по-горе средства за електронна идентификация: КЕП, в т.ч. мобилен такъв и ПИК на НАП и НОИ.</w:t>
      </w:r>
    </w:p>
    <w:p w14:paraId="3E15E877" w14:textId="77777777" w:rsidR="00D961A8" w:rsidRPr="00496500" w:rsidRDefault="00D961A8"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С цел облекчаване на лицата при изпълнение на данъчните и осигурителните им задължения </w:t>
      </w:r>
      <w:r w:rsidRPr="00496500">
        <w:rPr>
          <w:rFonts w:ascii="Times New Roman" w:hAnsi="Times New Roman" w:cs="Times New Roman"/>
          <w:sz w:val="24"/>
          <w:szCs w:val="24"/>
        </w:rPr>
        <w:t>НАП</w:t>
      </w:r>
      <w:r w:rsidRPr="00496500">
        <w:rPr>
          <w:rFonts w:ascii="Times New Roman" w:eastAsia="Calibri" w:hAnsi="Times New Roman" w:cs="Times New Roman"/>
          <w:color w:val="000000"/>
          <w:sz w:val="24"/>
          <w:szCs w:val="24"/>
        </w:rPr>
        <w:t xml:space="preserve"> издава при поискване ПИК. Персоналният идентификационен код на НАП е безплатен, безсрочен, сигурен и се издава веднага след подаване на искането. С ПИК издаден от Агенцията лицата могат да достъпват както услугите на НАП, така и електронни услуги, предоставяни от други администрации, с които НАП има споразумение за това, което е предпоставка за увеличаване на броя на издадените ПИК, като за 2024 година е вече над 1 929 000 бр</w:t>
      </w:r>
      <w:r w:rsidR="00EB5AC5" w:rsidRPr="00496500">
        <w:rPr>
          <w:rFonts w:ascii="Times New Roman" w:eastAsia="Calibri" w:hAnsi="Times New Roman" w:cs="Times New Roman"/>
          <w:color w:val="000000"/>
          <w:sz w:val="24"/>
          <w:szCs w:val="24"/>
        </w:rPr>
        <w:t>.</w:t>
      </w:r>
    </w:p>
    <w:p w14:paraId="6983EEFA" w14:textId="77777777" w:rsidR="00B7731F" w:rsidRPr="00496500" w:rsidRDefault="002710CD"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През 2024 г. европейската нормативна рамка в областта на електронната идентификация и автентикация е актуализирана – приет е Регламент (ЕС) 2024/1183 (eIDAS 2.0), чиято </w:t>
      </w:r>
      <w:r w:rsidRPr="00496500">
        <w:rPr>
          <w:rFonts w:ascii="Times New Roman" w:hAnsi="Times New Roman" w:cs="Times New Roman"/>
          <w:sz w:val="24"/>
          <w:szCs w:val="24"/>
        </w:rPr>
        <w:t>необходимост</w:t>
      </w:r>
      <w:r w:rsidRPr="00496500">
        <w:rPr>
          <w:rFonts w:ascii="Times New Roman" w:eastAsia="Calibri" w:hAnsi="Times New Roman" w:cs="Times New Roman"/>
          <w:color w:val="000000"/>
          <w:sz w:val="24"/>
          <w:szCs w:val="24"/>
        </w:rPr>
        <w:t xml:space="preserve"> е продиктувана от редица практически, технологични и политически нужди, които надхвърлят обхвата и възможностите на първоначалния Регламент eIDAS (ЕС) № 910/2014. Актуализацията се налагат, поради ограничената ефективност на </w:t>
      </w:r>
      <w:r w:rsidR="00E87380" w:rsidRPr="00496500">
        <w:rPr>
          <w:rFonts w:ascii="Times New Roman" w:eastAsia="Calibri" w:hAnsi="Times New Roman" w:cs="Times New Roman"/>
          <w:color w:val="000000"/>
          <w:sz w:val="24"/>
          <w:szCs w:val="24"/>
        </w:rPr>
        <w:t>eIDAS 1.0:</w:t>
      </w:r>
    </w:p>
    <w:p w14:paraId="0573CD2F" w14:textId="77777777" w:rsidR="00E87380" w:rsidRPr="00496500" w:rsidRDefault="00E87380" w:rsidP="00300228">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относително ниска използваемост - нотифицирането на схеми за електронна идентификация не е задължително, което препятства широкото разпространение на електронната идентификация в трансграничен контекст;</w:t>
      </w:r>
    </w:p>
    <w:p w14:paraId="469327D1" w14:textId="77777777" w:rsidR="00E87380" w:rsidRPr="00496500" w:rsidRDefault="00E87380" w:rsidP="00300228">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фокус върху </w:t>
      </w:r>
      <w:r w:rsidR="00A101D1" w:rsidRPr="00496500">
        <w:rPr>
          <w:rFonts w:ascii="Times New Roman" w:eastAsia="Calibri" w:hAnsi="Times New Roman" w:cs="Times New Roman"/>
          <w:sz w:val="24"/>
          <w:szCs w:val="24"/>
        </w:rPr>
        <w:t>публични</w:t>
      </w:r>
      <w:r w:rsidRPr="00496500">
        <w:rPr>
          <w:rFonts w:ascii="Times New Roman" w:eastAsia="Calibri" w:hAnsi="Times New Roman" w:cs="Times New Roman"/>
          <w:sz w:val="24"/>
          <w:szCs w:val="24"/>
        </w:rPr>
        <w:t>те услуги - eIDAS 1.0 бе насочен главно към услугите в публичния сектор, въпреки че повечето случаи на използване на цифрова идентичност са в частния сектор, като банкиране и електронна търговия;</w:t>
      </w:r>
    </w:p>
    <w:p w14:paraId="166B490E" w14:textId="77777777" w:rsidR="00E87380" w:rsidRPr="00496500" w:rsidRDefault="00E87380" w:rsidP="00300228">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липса на стимули - доставчиците на частни услуги и държавите членки не получиха достатъчно стимули за присъединяване към инициативата. Това доведе до малко случаи на трансгранично използване;</w:t>
      </w:r>
    </w:p>
    <w:p w14:paraId="2CDE668B" w14:textId="77777777" w:rsidR="00E87380" w:rsidRPr="00496500" w:rsidRDefault="00E87380" w:rsidP="00300228">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фрагментирани стандарти, които затрудняват оперативната съвместимост; </w:t>
      </w:r>
    </w:p>
    <w:p w14:paraId="6B10AEC5" w14:textId="77777777" w:rsidR="00E87380" w:rsidRPr="00496500" w:rsidRDefault="00E87380" w:rsidP="00300228">
      <w:pPr>
        <w:pStyle w:val="ListParagraph"/>
        <w:numPr>
          <w:ilvl w:val="0"/>
          <w:numId w:val="29"/>
        </w:numPr>
        <w:tabs>
          <w:tab w:val="left" w:pos="1134"/>
        </w:tabs>
        <w:spacing w:after="120" w:line="240" w:lineRule="auto"/>
        <w:ind w:left="0" w:firstLine="709"/>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правни пречки в националното законодателство на някои държави;</w:t>
      </w:r>
    </w:p>
    <w:p w14:paraId="7A0DB852" w14:textId="77777777" w:rsidR="00E87380" w:rsidRPr="00496500" w:rsidRDefault="00E87380" w:rsidP="00300228">
      <w:pPr>
        <w:pStyle w:val="ListParagraph"/>
        <w:numPr>
          <w:ilvl w:val="0"/>
          <w:numId w:val="29"/>
        </w:numPr>
        <w:tabs>
          <w:tab w:val="left" w:pos="1134"/>
        </w:tabs>
        <w:snapToGrid w:val="0"/>
        <w:spacing w:after="120" w:line="240" w:lineRule="auto"/>
        <w:ind w:left="0" w:firstLine="709"/>
        <w:contextualSpacing w:val="0"/>
        <w:jc w:val="both"/>
        <w:rPr>
          <w:rFonts w:ascii="Times New Roman" w:eastAsia="Calibri" w:hAnsi="Times New Roman" w:cs="Times New Roman"/>
          <w:color w:val="000000"/>
          <w:sz w:val="24"/>
          <w:szCs w:val="24"/>
        </w:rPr>
      </w:pPr>
      <w:r w:rsidRPr="00496500">
        <w:rPr>
          <w:rFonts w:ascii="Times New Roman" w:eastAsia="Calibri" w:hAnsi="Times New Roman" w:cs="Times New Roman"/>
          <w:sz w:val="24"/>
          <w:szCs w:val="24"/>
        </w:rPr>
        <w:t>липса на информираност сред гражданите на ЕС.</w:t>
      </w:r>
    </w:p>
    <w:p w14:paraId="7B650C42" w14:textId="77777777" w:rsidR="002710CD" w:rsidRPr="00496500" w:rsidRDefault="00E87380" w:rsidP="003B412E">
      <w:pPr>
        <w:snapToGrid w:val="0"/>
        <w:spacing w:after="120" w:line="240" w:lineRule="auto"/>
        <w:ind w:firstLine="567"/>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С приемането на eIDAS 2.0 пред България стои задължението за изграждане на Европейски портфейл за цифрова самоличност (ЕПЦС), основан на единен европейски стандарт за цифрова идентичност. ЕПЦС позволява на потребителите да управляват и споделят данни и атрибути с публични органи и частни компании с цел проверка на </w:t>
      </w:r>
      <w:r w:rsidRPr="00496500">
        <w:rPr>
          <w:rFonts w:ascii="Times New Roman" w:hAnsi="Times New Roman" w:cs="Times New Roman"/>
          <w:sz w:val="24"/>
          <w:szCs w:val="24"/>
        </w:rPr>
        <w:t>самоличността</w:t>
      </w:r>
      <w:r w:rsidRPr="00496500">
        <w:rPr>
          <w:rFonts w:ascii="Times New Roman" w:eastAsia="Calibri" w:hAnsi="Times New Roman" w:cs="Times New Roman"/>
          <w:color w:val="000000"/>
          <w:sz w:val="24"/>
          <w:szCs w:val="24"/>
        </w:rPr>
        <w:t>, както и да подписват с електронни подписи и печати. Портфейлът е безплатен и може да се използва както онлайн, така и офлайн. Чрез него се дава на гражданите пълен контрол над личните данни, които споделят с трети страни. Всяка държава членка следва да изгради свой ЕПЦС до края на 2026 г</w:t>
      </w:r>
      <w:r w:rsidR="006E3A33" w:rsidRPr="00496500">
        <w:rPr>
          <w:rFonts w:ascii="Times New Roman" w:eastAsia="Calibri" w:hAnsi="Times New Roman" w:cs="Times New Roman"/>
          <w:color w:val="000000"/>
          <w:sz w:val="24"/>
          <w:szCs w:val="24"/>
        </w:rPr>
        <w:t>одина</w:t>
      </w:r>
      <w:r w:rsidRPr="00496500">
        <w:rPr>
          <w:rFonts w:ascii="Times New Roman" w:eastAsia="Calibri" w:hAnsi="Times New Roman" w:cs="Times New Roman"/>
          <w:color w:val="000000"/>
          <w:sz w:val="24"/>
          <w:szCs w:val="24"/>
        </w:rPr>
        <w:t xml:space="preserve">. </w:t>
      </w:r>
    </w:p>
    <w:p w14:paraId="6E944486" w14:textId="77777777" w:rsidR="002710CD" w:rsidRPr="00496500" w:rsidRDefault="00E87380" w:rsidP="006E661C">
      <w:pPr>
        <w:snapToGrid w:val="0"/>
        <w:spacing w:after="120" w:line="240" w:lineRule="auto"/>
        <w:ind w:firstLine="567"/>
        <w:jc w:val="both"/>
        <w:rPr>
          <w:rFonts w:ascii="Times New Roman" w:hAnsi="Times New Roman" w:cs="Times New Roman"/>
          <w:sz w:val="24"/>
          <w:szCs w:val="24"/>
        </w:rPr>
      </w:pPr>
      <w:r w:rsidRPr="00496500">
        <w:rPr>
          <w:rFonts w:ascii="Times New Roman" w:hAnsi="Times New Roman" w:cs="Times New Roman"/>
          <w:sz w:val="24"/>
          <w:szCs w:val="24"/>
        </w:rPr>
        <w:t xml:space="preserve">Осигуряването на възможност за надеждна и леснодостъпна електронна идентификация и изграждането на ЕПЦС е от стратегическо значение за </w:t>
      </w:r>
      <w:r w:rsidR="00AA68D1" w:rsidRPr="00496500">
        <w:rPr>
          <w:rFonts w:ascii="Times New Roman" w:hAnsi="Times New Roman" w:cs="Times New Roman"/>
          <w:sz w:val="24"/>
          <w:szCs w:val="24"/>
        </w:rPr>
        <w:t>цифрова</w:t>
      </w:r>
      <w:r w:rsidRPr="00496500">
        <w:rPr>
          <w:rFonts w:ascii="Times New Roman" w:hAnsi="Times New Roman" w:cs="Times New Roman"/>
          <w:sz w:val="24"/>
          <w:szCs w:val="24"/>
        </w:rPr>
        <w:t xml:space="preserve">та трансформация на България. Предстоящите задължения по eIDAS 2.0 изискват спешни действия на нормативно, техническо и организационно ниво. При правилно изпълнение, </w:t>
      </w:r>
      <w:r w:rsidRPr="00496500">
        <w:rPr>
          <w:rFonts w:ascii="Times New Roman" w:hAnsi="Times New Roman" w:cs="Times New Roman"/>
          <w:sz w:val="24"/>
          <w:szCs w:val="24"/>
        </w:rPr>
        <w:lastRenderedPageBreak/>
        <w:t>това ще доведе до по-добър достъп до цифрови услуги, подобрено трансгранично сътрудничество и повишено доверие в електронното управление.</w:t>
      </w:r>
    </w:p>
    <w:p w14:paraId="4915AEF5" w14:textId="77777777" w:rsidR="00253436" w:rsidRPr="00496500" w:rsidRDefault="00253436" w:rsidP="00B21111">
      <w:pPr>
        <w:snapToGrid w:val="0"/>
        <w:spacing w:after="240" w:line="240" w:lineRule="auto"/>
        <w:ind w:firstLine="567"/>
        <w:jc w:val="both"/>
        <w:rPr>
          <w:rFonts w:ascii="Times New Roman" w:hAnsi="Times New Roman" w:cs="Times New Roman"/>
          <w:sz w:val="24"/>
          <w:szCs w:val="24"/>
        </w:rPr>
      </w:pPr>
    </w:p>
    <w:p w14:paraId="5FE5C498" w14:textId="77777777" w:rsidR="00EF1CC6" w:rsidRPr="00496500" w:rsidRDefault="00EF1CC6" w:rsidP="0087353F">
      <w:pPr>
        <w:pStyle w:val="ListParagraph"/>
        <w:numPr>
          <w:ilvl w:val="1"/>
          <w:numId w:val="10"/>
        </w:numPr>
        <w:tabs>
          <w:tab w:val="left" w:pos="993"/>
        </w:tabs>
        <w:spacing w:before="120" w:after="120" w:line="240" w:lineRule="auto"/>
        <w:ind w:left="567" w:hanging="567"/>
        <w:contextualSpacing w:val="0"/>
        <w:outlineLvl w:val="1"/>
        <w:rPr>
          <w:rFonts w:ascii="Times New Roman" w:hAnsi="Times New Roman" w:cs="Times New Roman"/>
          <w:b/>
          <w:sz w:val="24"/>
          <w:szCs w:val="24"/>
        </w:rPr>
      </w:pPr>
      <w:bookmarkStart w:id="9" w:name="_Toc209084888"/>
      <w:r w:rsidRPr="00496500">
        <w:rPr>
          <w:rFonts w:ascii="Times New Roman" w:hAnsi="Times New Roman" w:cs="Times New Roman"/>
          <w:b/>
          <w:sz w:val="24"/>
          <w:szCs w:val="24"/>
        </w:rPr>
        <w:t>Бизнес, основан на данни и цифрови технологии за пов</w:t>
      </w:r>
      <w:r w:rsidR="007F2AF4" w:rsidRPr="00496500">
        <w:rPr>
          <w:rFonts w:ascii="Times New Roman" w:hAnsi="Times New Roman" w:cs="Times New Roman"/>
          <w:b/>
          <w:sz w:val="24"/>
          <w:szCs w:val="24"/>
        </w:rPr>
        <w:t>ишаване на качеството на живот</w:t>
      </w:r>
      <w:bookmarkEnd w:id="9"/>
    </w:p>
    <w:p w14:paraId="0CB3E206" w14:textId="3A1E035F" w:rsidR="000D0416" w:rsidRPr="00496500" w:rsidRDefault="000D0416"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България отбелязва умерен напредък в прилагането на цифрови технологии от страна на бизнеса, като част от по-широката цел за трансформация към интелигентна и устойчива икономика. Според последния Индекс за навлизането на цифровите технологии в икономиката и обществото (DESI), българският бизнес показва напредък в области като електронна търговия, използване на облачни услуги и базирани на данни решения, а според Доклада за състоянието на цифровото десетилетие </w:t>
      </w:r>
      <w:r w:rsidR="00C446B7">
        <w:rPr>
          <w:rFonts w:ascii="Times New Roman" w:eastAsia="Calibri" w:hAnsi="Times New Roman" w:cs="Times New Roman"/>
          <w:color w:val="000000"/>
          <w:sz w:val="24"/>
          <w:szCs w:val="24"/>
        </w:rPr>
        <w:t xml:space="preserve">за </w:t>
      </w:r>
      <w:r w:rsidRPr="00496500">
        <w:rPr>
          <w:rFonts w:ascii="Times New Roman" w:eastAsia="Calibri" w:hAnsi="Times New Roman" w:cs="Times New Roman"/>
          <w:color w:val="000000"/>
          <w:sz w:val="24"/>
          <w:szCs w:val="24"/>
        </w:rPr>
        <w:t>2025</w:t>
      </w:r>
      <w:r w:rsidR="00C446B7">
        <w:rPr>
          <w:rFonts w:ascii="Times New Roman" w:eastAsia="Calibri" w:hAnsi="Times New Roman" w:cs="Times New Roman"/>
          <w:color w:val="000000"/>
          <w:sz w:val="24"/>
          <w:szCs w:val="24"/>
        </w:rPr>
        <w:t xml:space="preserve"> г.,</w:t>
      </w:r>
      <w:r w:rsidRPr="00496500">
        <w:rPr>
          <w:rFonts w:ascii="Times New Roman" w:eastAsia="Calibri" w:hAnsi="Times New Roman" w:cs="Times New Roman"/>
          <w:color w:val="000000"/>
          <w:sz w:val="24"/>
          <w:szCs w:val="24"/>
        </w:rPr>
        <w:t xml:space="preserve"> България има добре развита инфраструктура за свързаност и се позиционира като все по-голям участник в критичните технологии с инициативи в областта на полупроводниците и квантовите изчислителни технологии. Неотдавнашните действия, като например стартирането на фабрика за </w:t>
      </w:r>
      <w:r w:rsidR="006E3A33" w:rsidRPr="00496500">
        <w:rPr>
          <w:rFonts w:ascii="Times New Roman" w:eastAsia="Calibri" w:hAnsi="Times New Roman" w:cs="Times New Roman"/>
          <w:color w:val="000000"/>
          <w:sz w:val="24"/>
          <w:szCs w:val="24"/>
        </w:rPr>
        <w:t>изкуствен интелект</w:t>
      </w:r>
      <w:r w:rsidRPr="00496500">
        <w:rPr>
          <w:rFonts w:ascii="Times New Roman" w:eastAsia="Calibri" w:hAnsi="Times New Roman" w:cs="Times New Roman"/>
          <w:color w:val="000000"/>
          <w:sz w:val="24"/>
          <w:szCs w:val="24"/>
        </w:rPr>
        <w:t xml:space="preserve"> в София Тех Парк, потвърждават амбицията на България да подобри своята технологична екосистема. </w:t>
      </w:r>
    </w:p>
    <w:p w14:paraId="6BF2BBBF" w14:textId="00FC7BDC" w:rsidR="000D0416" w:rsidRPr="00496500" w:rsidRDefault="000D0416"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Въпреки че цифровизацията на предприятията напредва, особено при внедряването на ИИ, цялостното внедряване на съвременни цифрови технологии остава под номиналната стойност за ЕС. Страната ни остава под средното ниво и по отношение на цифровите умения, особено при малките и средни предприятия (МСП). </w:t>
      </w:r>
    </w:p>
    <w:p w14:paraId="5A1977BC" w14:textId="571008E9" w:rsidR="000D0416" w:rsidRDefault="000D0416"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България насочва цифровите си политики към по-голям суверенитет чрез укрепване на европейските партньорства в областта на критичните технологии, въпреки че продължава да разчита на китайските телекомуникационни компоненти.</w:t>
      </w:r>
    </w:p>
    <w:p w14:paraId="1D32C8A9" w14:textId="1BD7E8BF" w:rsidR="004D45AE" w:rsidRPr="006D7474" w:rsidRDefault="00944A55" w:rsidP="006D7474">
      <w:pPr>
        <w:pStyle w:val="Caption"/>
        <w:rPr>
          <w:rFonts w:cs="Times New Roman"/>
          <w:sz w:val="20"/>
          <w:szCs w:val="20"/>
        </w:rPr>
      </w:pPr>
      <w:bookmarkStart w:id="10" w:name="_Toc209079342"/>
      <w:r>
        <w:t xml:space="preserve">Таблица </w:t>
      </w:r>
      <w:r>
        <w:fldChar w:fldCharType="begin"/>
      </w:r>
      <w:r>
        <w:instrText xml:space="preserve"> SEQ Таблица \* ARABIC </w:instrText>
      </w:r>
      <w:r>
        <w:fldChar w:fldCharType="separate"/>
      </w:r>
      <w:r>
        <w:rPr>
          <w:noProof/>
        </w:rPr>
        <w:t>4</w:t>
      </w:r>
      <w:r>
        <w:fldChar w:fldCharType="end"/>
      </w:r>
      <w:r>
        <w:t xml:space="preserve"> </w:t>
      </w:r>
      <w:r w:rsidR="004D45AE" w:rsidRPr="002F618B">
        <w:rPr>
          <w:rFonts w:cs="Times New Roman"/>
          <w:sz w:val="20"/>
          <w:szCs w:val="20"/>
        </w:rPr>
        <w:t>Показатели по отношение на бизнес</w:t>
      </w:r>
      <w:bookmarkEnd w:id="10"/>
    </w:p>
    <w:tbl>
      <w:tblPr>
        <w:tblW w:w="0" w:type="auto"/>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ook w:val="04A0" w:firstRow="1" w:lastRow="0" w:firstColumn="1" w:lastColumn="0" w:noHBand="0" w:noVBand="1"/>
      </w:tblPr>
      <w:tblGrid>
        <w:gridCol w:w="4057"/>
        <w:gridCol w:w="2175"/>
        <w:gridCol w:w="3116"/>
      </w:tblGrid>
      <w:tr w:rsidR="000D0416" w:rsidRPr="0061613B" w14:paraId="5EE881D6" w14:textId="77777777" w:rsidTr="008521D2">
        <w:trPr>
          <w:trHeight w:val="922"/>
        </w:trPr>
        <w:tc>
          <w:tcPr>
            <w:tcW w:w="0" w:type="auto"/>
            <w:shd w:val="clear" w:color="auto" w:fill="FFF2CC" w:themeFill="accent4" w:themeFillTint="33"/>
            <w:vAlign w:val="center"/>
            <w:hideMark/>
          </w:tcPr>
          <w:p w14:paraId="1E135020" w14:textId="77777777" w:rsidR="000D0416" w:rsidRPr="0061613B" w:rsidRDefault="000D0416" w:rsidP="00974065">
            <w:pPr>
              <w:spacing w:after="0" w:line="240" w:lineRule="auto"/>
              <w:jc w:val="center"/>
              <w:rPr>
                <w:rFonts w:ascii="Times New Roman" w:eastAsia="Times New Roman" w:hAnsi="Times New Roman" w:cs="Times New Roman"/>
                <w:b/>
                <w:bCs/>
              </w:rPr>
            </w:pPr>
            <w:r w:rsidRPr="0061613B">
              <w:rPr>
                <w:rFonts w:ascii="Times New Roman" w:eastAsia="Times New Roman" w:hAnsi="Times New Roman" w:cs="Times New Roman"/>
                <w:b/>
                <w:bCs/>
              </w:rPr>
              <w:t>Индикатор/КПЕ за цифровото десетилетие</w:t>
            </w:r>
          </w:p>
        </w:tc>
        <w:tc>
          <w:tcPr>
            <w:tcW w:w="2175" w:type="dxa"/>
            <w:shd w:val="clear" w:color="auto" w:fill="FFF2CC" w:themeFill="accent4" w:themeFillTint="33"/>
            <w:vAlign w:val="center"/>
            <w:hideMark/>
          </w:tcPr>
          <w:p w14:paraId="65F59385" w14:textId="77777777" w:rsidR="000D0416" w:rsidRPr="0061613B" w:rsidRDefault="000D0416" w:rsidP="00974065">
            <w:pPr>
              <w:spacing w:after="0" w:line="240" w:lineRule="auto"/>
              <w:jc w:val="center"/>
              <w:rPr>
                <w:rFonts w:ascii="Times New Roman" w:eastAsia="Times New Roman" w:hAnsi="Times New Roman" w:cs="Times New Roman"/>
                <w:b/>
                <w:bCs/>
              </w:rPr>
            </w:pPr>
            <w:r w:rsidRPr="0061613B">
              <w:rPr>
                <w:rFonts w:ascii="Times New Roman" w:eastAsia="Times New Roman" w:hAnsi="Times New Roman" w:cs="Times New Roman"/>
                <w:b/>
                <w:bCs/>
              </w:rPr>
              <w:t>България (2024 г.)</w:t>
            </w:r>
          </w:p>
        </w:tc>
        <w:tc>
          <w:tcPr>
            <w:tcW w:w="3116" w:type="dxa"/>
            <w:shd w:val="clear" w:color="auto" w:fill="FFF2CC" w:themeFill="accent4" w:themeFillTint="33"/>
            <w:vAlign w:val="center"/>
            <w:hideMark/>
          </w:tcPr>
          <w:p w14:paraId="1929427D" w14:textId="77777777" w:rsidR="000D0416" w:rsidRPr="0061613B" w:rsidRDefault="000D0416" w:rsidP="00974065">
            <w:pPr>
              <w:spacing w:after="0" w:line="240" w:lineRule="auto"/>
              <w:jc w:val="center"/>
              <w:rPr>
                <w:rFonts w:ascii="Times New Roman" w:eastAsia="Times New Roman" w:hAnsi="Times New Roman" w:cs="Times New Roman"/>
                <w:b/>
                <w:bCs/>
              </w:rPr>
            </w:pPr>
            <w:r w:rsidRPr="0061613B">
              <w:rPr>
                <w:rFonts w:ascii="Times New Roman" w:eastAsia="Times New Roman" w:hAnsi="Times New Roman" w:cs="Times New Roman"/>
                <w:b/>
                <w:bCs/>
              </w:rPr>
              <w:t>Средно за ЕС (последни налични данни)</w:t>
            </w:r>
          </w:p>
        </w:tc>
      </w:tr>
      <w:tr w:rsidR="000D0416" w:rsidRPr="0061613B" w14:paraId="135D6AE7" w14:textId="77777777" w:rsidTr="008521D2">
        <w:tc>
          <w:tcPr>
            <w:tcW w:w="0" w:type="auto"/>
            <w:shd w:val="clear" w:color="auto" w:fill="E2EFD9" w:themeFill="accent6" w:themeFillTint="33"/>
            <w:vAlign w:val="center"/>
            <w:hideMark/>
          </w:tcPr>
          <w:p w14:paraId="18C9D313"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Предприятия с достъп до интернет</w:t>
            </w:r>
          </w:p>
        </w:tc>
        <w:tc>
          <w:tcPr>
            <w:tcW w:w="2175" w:type="dxa"/>
            <w:vAlign w:val="center"/>
            <w:hideMark/>
          </w:tcPr>
          <w:p w14:paraId="11B33BB3" w14:textId="4508AFB1"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96</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4%</w:t>
            </w:r>
          </w:p>
        </w:tc>
        <w:tc>
          <w:tcPr>
            <w:tcW w:w="3116" w:type="dxa"/>
            <w:vAlign w:val="center"/>
            <w:hideMark/>
          </w:tcPr>
          <w:p w14:paraId="2405F38F" w14:textId="77777777" w:rsidR="000D0416" w:rsidRPr="0061613B" w:rsidRDefault="00FB4002"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99</w:t>
            </w:r>
            <w:r w:rsidR="000D0416" w:rsidRPr="0061613B">
              <w:rPr>
                <w:rFonts w:ascii="Times New Roman" w:eastAsia="Times New Roman" w:hAnsi="Times New Roman" w:cs="Times New Roman"/>
              </w:rPr>
              <w:t>%</w:t>
            </w:r>
          </w:p>
        </w:tc>
      </w:tr>
      <w:tr w:rsidR="000D0416" w:rsidRPr="0061613B" w14:paraId="5B7644DD" w14:textId="77777777" w:rsidTr="008521D2">
        <w:tc>
          <w:tcPr>
            <w:tcW w:w="0" w:type="auto"/>
            <w:shd w:val="clear" w:color="auto" w:fill="E2EFD9" w:themeFill="accent6" w:themeFillTint="33"/>
            <w:vAlign w:val="center"/>
            <w:hideMark/>
          </w:tcPr>
          <w:p w14:paraId="01DACB02"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Фирми с фиксирана интернет връзка</w:t>
            </w:r>
          </w:p>
        </w:tc>
        <w:tc>
          <w:tcPr>
            <w:tcW w:w="2175" w:type="dxa"/>
            <w:vAlign w:val="center"/>
            <w:hideMark/>
          </w:tcPr>
          <w:p w14:paraId="41AAA9D9" w14:textId="7948FE00"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89</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2%</w:t>
            </w:r>
          </w:p>
        </w:tc>
        <w:tc>
          <w:tcPr>
            <w:tcW w:w="3116" w:type="dxa"/>
            <w:vAlign w:val="center"/>
            <w:hideMark/>
          </w:tcPr>
          <w:p w14:paraId="4B42C46C" w14:textId="77777777" w:rsidR="000D0416" w:rsidRPr="0061613B" w:rsidRDefault="00FB4002"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95</w:t>
            </w:r>
            <w:r w:rsidR="000D0416" w:rsidRPr="0061613B">
              <w:rPr>
                <w:rFonts w:ascii="Times New Roman" w:eastAsia="Times New Roman" w:hAnsi="Times New Roman" w:cs="Times New Roman"/>
              </w:rPr>
              <w:t>%</w:t>
            </w:r>
          </w:p>
        </w:tc>
      </w:tr>
      <w:tr w:rsidR="000D0416" w:rsidRPr="0061613B" w14:paraId="03A64E97" w14:textId="77777777" w:rsidTr="008521D2">
        <w:tc>
          <w:tcPr>
            <w:tcW w:w="0" w:type="auto"/>
            <w:shd w:val="clear" w:color="auto" w:fill="E2EFD9" w:themeFill="accent6" w:themeFillTint="33"/>
            <w:vAlign w:val="center"/>
            <w:hideMark/>
          </w:tcPr>
          <w:p w14:paraId="633CC61F"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Облачни услуги (платени)</w:t>
            </w:r>
          </w:p>
        </w:tc>
        <w:tc>
          <w:tcPr>
            <w:tcW w:w="2175" w:type="dxa"/>
            <w:vAlign w:val="center"/>
            <w:hideMark/>
          </w:tcPr>
          <w:p w14:paraId="2D898C6C" w14:textId="00454B00"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17</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5%</w:t>
            </w:r>
          </w:p>
        </w:tc>
        <w:tc>
          <w:tcPr>
            <w:tcW w:w="3116" w:type="dxa"/>
            <w:vAlign w:val="center"/>
            <w:hideMark/>
          </w:tcPr>
          <w:p w14:paraId="10DCDA10" w14:textId="77777777" w:rsidR="000D0416" w:rsidRPr="0061613B" w:rsidRDefault="000D0416"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w:t>
            </w:r>
            <w:r w:rsidR="00FB4002" w:rsidRPr="0061613B">
              <w:rPr>
                <w:rFonts w:ascii="Times New Roman" w:eastAsia="Times New Roman" w:hAnsi="Times New Roman" w:cs="Times New Roman"/>
              </w:rPr>
              <w:t>45</w:t>
            </w:r>
            <w:r w:rsidRPr="0061613B">
              <w:rPr>
                <w:rFonts w:ascii="Times New Roman" w:eastAsia="Times New Roman" w:hAnsi="Times New Roman" w:cs="Times New Roman"/>
              </w:rPr>
              <w:t>%</w:t>
            </w:r>
          </w:p>
        </w:tc>
      </w:tr>
      <w:tr w:rsidR="000D0416" w:rsidRPr="0061613B" w14:paraId="2547905A" w14:textId="77777777" w:rsidTr="008521D2">
        <w:tc>
          <w:tcPr>
            <w:tcW w:w="0" w:type="auto"/>
            <w:shd w:val="clear" w:color="auto" w:fill="E2EFD9" w:themeFill="accent6" w:themeFillTint="33"/>
            <w:vAlign w:val="center"/>
            <w:hideMark/>
          </w:tcPr>
          <w:p w14:paraId="1E21A1DE"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ERP системи</w:t>
            </w:r>
          </w:p>
        </w:tc>
        <w:tc>
          <w:tcPr>
            <w:tcW w:w="2175" w:type="dxa"/>
            <w:vAlign w:val="center"/>
            <w:hideMark/>
          </w:tcPr>
          <w:p w14:paraId="0B4B7F2B" w14:textId="7D5B025B"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21</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7%</w:t>
            </w:r>
          </w:p>
        </w:tc>
        <w:tc>
          <w:tcPr>
            <w:tcW w:w="3116" w:type="dxa"/>
            <w:vAlign w:val="center"/>
            <w:hideMark/>
          </w:tcPr>
          <w:p w14:paraId="6A5A4CF7" w14:textId="77777777" w:rsidR="000D0416" w:rsidRPr="0061613B" w:rsidRDefault="000D0416"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w:t>
            </w:r>
            <w:r w:rsidR="00FB4002" w:rsidRPr="0061613B">
              <w:rPr>
                <w:rFonts w:ascii="Times New Roman" w:eastAsia="Times New Roman" w:hAnsi="Times New Roman" w:cs="Times New Roman"/>
              </w:rPr>
              <w:t>43</w:t>
            </w:r>
            <w:r w:rsidRPr="0061613B">
              <w:rPr>
                <w:rFonts w:ascii="Times New Roman" w:eastAsia="Times New Roman" w:hAnsi="Times New Roman" w:cs="Times New Roman"/>
              </w:rPr>
              <w:t>%</w:t>
            </w:r>
          </w:p>
        </w:tc>
      </w:tr>
      <w:tr w:rsidR="000D0416" w:rsidRPr="0061613B" w14:paraId="5BD80D11" w14:textId="77777777" w:rsidTr="008521D2">
        <w:tc>
          <w:tcPr>
            <w:tcW w:w="0" w:type="auto"/>
            <w:shd w:val="clear" w:color="auto" w:fill="E2EFD9" w:themeFill="accent6" w:themeFillTint="33"/>
            <w:vAlign w:val="center"/>
            <w:hideMark/>
          </w:tcPr>
          <w:p w14:paraId="45798065"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CRM системи</w:t>
            </w:r>
          </w:p>
        </w:tc>
        <w:tc>
          <w:tcPr>
            <w:tcW w:w="2175" w:type="dxa"/>
            <w:vAlign w:val="center"/>
            <w:hideMark/>
          </w:tcPr>
          <w:p w14:paraId="613F8944" w14:textId="27766894"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10</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5%</w:t>
            </w:r>
          </w:p>
        </w:tc>
        <w:tc>
          <w:tcPr>
            <w:tcW w:w="3116" w:type="dxa"/>
            <w:vAlign w:val="center"/>
            <w:hideMark/>
          </w:tcPr>
          <w:p w14:paraId="5D81E917" w14:textId="77777777" w:rsidR="000D0416" w:rsidRPr="0061613B" w:rsidRDefault="000D0416"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w:t>
            </w:r>
            <w:r w:rsidR="00FB4002" w:rsidRPr="0061613B">
              <w:rPr>
                <w:rFonts w:ascii="Times New Roman" w:eastAsia="Times New Roman" w:hAnsi="Times New Roman" w:cs="Times New Roman"/>
              </w:rPr>
              <w:t>26</w:t>
            </w:r>
            <w:r w:rsidRPr="0061613B">
              <w:rPr>
                <w:rFonts w:ascii="Times New Roman" w:eastAsia="Times New Roman" w:hAnsi="Times New Roman" w:cs="Times New Roman"/>
              </w:rPr>
              <w:t>%</w:t>
            </w:r>
          </w:p>
        </w:tc>
      </w:tr>
      <w:tr w:rsidR="000D0416" w:rsidRPr="0061613B" w14:paraId="0EA44BCA" w14:textId="77777777" w:rsidTr="008521D2">
        <w:tc>
          <w:tcPr>
            <w:tcW w:w="0" w:type="auto"/>
            <w:shd w:val="clear" w:color="auto" w:fill="E2EFD9" w:themeFill="accent6" w:themeFillTint="33"/>
            <w:vAlign w:val="center"/>
            <w:hideMark/>
          </w:tcPr>
          <w:p w14:paraId="0A7A2CBB"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Изкуствен интелект (общо)</w:t>
            </w:r>
          </w:p>
        </w:tc>
        <w:tc>
          <w:tcPr>
            <w:tcW w:w="2175" w:type="dxa"/>
            <w:vAlign w:val="center"/>
            <w:hideMark/>
          </w:tcPr>
          <w:p w14:paraId="0C12B676" w14:textId="0496BFE0" w:rsidR="000D0416" w:rsidRPr="0061613B" w:rsidRDefault="00FB4002"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6</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5</w:t>
            </w:r>
            <w:r w:rsidR="000D0416" w:rsidRPr="0061613B">
              <w:rPr>
                <w:rFonts w:ascii="Times New Roman" w:eastAsia="Times New Roman" w:hAnsi="Times New Roman" w:cs="Times New Roman"/>
              </w:rPr>
              <w:t>%</w:t>
            </w:r>
          </w:p>
        </w:tc>
        <w:tc>
          <w:tcPr>
            <w:tcW w:w="3116" w:type="dxa"/>
            <w:vAlign w:val="center"/>
            <w:hideMark/>
          </w:tcPr>
          <w:p w14:paraId="44EE8D01" w14:textId="77777777" w:rsidR="000D0416" w:rsidRPr="0061613B" w:rsidRDefault="000D0416"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w:t>
            </w:r>
            <w:r w:rsidR="00FB4002" w:rsidRPr="0061613B">
              <w:rPr>
                <w:rFonts w:ascii="Times New Roman" w:eastAsia="Times New Roman" w:hAnsi="Times New Roman" w:cs="Times New Roman"/>
              </w:rPr>
              <w:t>13</w:t>
            </w:r>
            <w:r w:rsidRPr="0061613B">
              <w:rPr>
                <w:rFonts w:ascii="Times New Roman" w:eastAsia="Times New Roman" w:hAnsi="Times New Roman" w:cs="Times New Roman"/>
              </w:rPr>
              <w:t>%</w:t>
            </w:r>
          </w:p>
        </w:tc>
      </w:tr>
      <w:tr w:rsidR="000D0416" w:rsidRPr="0061613B" w14:paraId="33BB91AA" w14:textId="77777777" w:rsidTr="008521D2">
        <w:tc>
          <w:tcPr>
            <w:tcW w:w="0" w:type="auto"/>
            <w:shd w:val="clear" w:color="auto" w:fill="E2EFD9" w:themeFill="accent6" w:themeFillTint="33"/>
            <w:vAlign w:val="center"/>
            <w:hideMark/>
          </w:tcPr>
          <w:p w14:paraId="4FFC317D" w14:textId="09086BF4" w:rsidR="000D0416" w:rsidRPr="0061613B" w:rsidRDefault="00984087"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 xml:space="preserve">ИИ </w:t>
            </w:r>
            <w:r w:rsidR="000D0416" w:rsidRPr="0061613B">
              <w:rPr>
                <w:rFonts w:ascii="Times New Roman" w:eastAsia="Times New Roman" w:hAnsi="Times New Roman" w:cs="Times New Roman"/>
              </w:rPr>
              <w:t>във фирми с 250+ служители</w:t>
            </w:r>
          </w:p>
        </w:tc>
        <w:tc>
          <w:tcPr>
            <w:tcW w:w="2175" w:type="dxa"/>
            <w:vAlign w:val="center"/>
            <w:hideMark/>
          </w:tcPr>
          <w:p w14:paraId="19036F97" w14:textId="264B9A24" w:rsidR="000D0416" w:rsidRPr="0061613B" w:rsidRDefault="00FB4002"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20</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2</w:t>
            </w:r>
            <w:r w:rsidR="000D0416" w:rsidRPr="0061613B">
              <w:rPr>
                <w:rFonts w:ascii="Times New Roman" w:eastAsia="Times New Roman" w:hAnsi="Times New Roman" w:cs="Times New Roman"/>
              </w:rPr>
              <w:t>%</w:t>
            </w:r>
          </w:p>
        </w:tc>
        <w:tc>
          <w:tcPr>
            <w:tcW w:w="3116" w:type="dxa"/>
            <w:vAlign w:val="center"/>
            <w:hideMark/>
          </w:tcPr>
          <w:p w14:paraId="33DCABE7" w14:textId="77777777" w:rsidR="000D0416" w:rsidRPr="0061613B" w:rsidRDefault="000D0416"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w:t>
            </w:r>
            <w:r w:rsidR="00FB4002" w:rsidRPr="0061613B">
              <w:rPr>
                <w:rFonts w:ascii="Times New Roman" w:eastAsia="Times New Roman" w:hAnsi="Times New Roman" w:cs="Times New Roman"/>
              </w:rPr>
              <w:t>41</w:t>
            </w:r>
            <w:r w:rsidRPr="0061613B">
              <w:rPr>
                <w:rFonts w:ascii="Times New Roman" w:eastAsia="Times New Roman" w:hAnsi="Times New Roman" w:cs="Times New Roman"/>
              </w:rPr>
              <w:t>%</w:t>
            </w:r>
          </w:p>
        </w:tc>
      </w:tr>
      <w:tr w:rsidR="000D0416" w:rsidRPr="0061613B" w14:paraId="7CA93BFC" w14:textId="77777777" w:rsidTr="008521D2">
        <w:tc>
          <w:tcPr>
            <w:tcW w:w="0" w:type="auto"/>
            <w:shd w:val="clear" w:color="auto" w:fill="E2EFD9" w:themeFill="accent6" w:themeFillTint="33"/>
            <w:vAlign w:val="center"/>
            <w:hideMark/>
          </w:tcPr>
          <w:p w14:paraId="3DCFEAF1"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Използване на социални мрежи</w:t>
            </w:r>
          </w:p>
        </w:tc>
        <w:tc>
          <w:tcPr>
            <w:tcW w:w="2175" w:type="dxa"/>
            <w:vAlign w:val="center"/>
            <w:hideMark/>
          </w:tcPr>
          <w:p w14:paraId="6C7504A0" w14:textId="3D651F89"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38</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0%</w:t>
            </w:r>
          </w:p>
        </w:tc>
        <w:tc>
          <w:tcPr>
            <w:tcW w:w="3116" w:type="dxa"/>
            <w:vAlign w:val="center"/>
            <w:hideMark/>
          </w:tcPr>
          <w:p w14:paraId="603F6F99" w14:textId="77777777" w:rsidR="000D0416" w:rsidRPr="0061613B" w:rsidRDefault="000D0416" w:rsidP="00FB4002">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w:t>
            </w:r>
            <w:r w:rsidR="00FB4002" w:rsidRPr="0061613B">
              <w:rPr>
                <w:rFonts w:ascii="Times New Roman" w:eastAsia="Times New Roman" w:hAnsi="Times New Roman" w:cs="Times New Roman"/>
              </w:rPr>
              <w:t>61</w:t>
            </w:r>
            <w:r w:rsidRPr="0061613B">
              <w:rPr>
                <w:rFonts w:ascii="Times New Roman" w:eastAsia="Times New Roman" w:hAnsi="Times New Roman" w:cs="Times New Roman"/>
              </w:rPr>
              <w:t>%</w:t>
            </w:r>
          </w:p>
        </w:tc>
      </w:tr>
      <w:tr w:rsidR="000D0416" w:rsidRPr="0061613B" w14:paraId="098A0DF7" w14:textId="77777777" w:rsidTr="008521D2">
        <w:tc>
          <w:tcPr>
            <w:tcW w:w="0" w:type="auto"/>
            <w:shd w:val="clear" w:color="auto" w:fill="E2EFD9" w:themeFill="accent6" w:themeFillTint="33"/>
            <w:vAlign w:val="center"/>
            <w:hideMark/>
          </w:tcPr>
          <w:p w14:paraId="036F38F9"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Основни цифрови умения сред работещите</w:t>
            </w:r>
          </w:p>
        </w:tc>
        <w:tc>
          <w:tcPr>
            <w:tcW w:w="2175" w:type="dxa"/>
            <w:vAlign w:val="center"/>
            <w:hideMark/>
          </w:tcPr>
          <w:p w14:paraId="5CE956D6" w14:textId="77777777"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19%</w:t>
            </w:r>
          </w:p>
        </w:tc>
        <w:tc>
          <w:tcPr>
            <w:tcW w:w="3116" w:type="dxa"/>
            <w:vAlign w:val="center"/>
            <w:hideMark/>
          </w:tcPr>
          <w:p w14:paraId="7EB53A49" w14:textId="77777777"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~55%</w:t>
            </w:r>
          </w:p>
        </w:tc>
      </w:tr>
      <w:tr w:rsidR="000D0416" w:rsidRPr="0061613B" w14:paraId="6243785C" w14:textId="77777777" w:rsidTr="008521D2">
        <w:tc>
          <w:tcPr>
            <w:tcW w:w="0" w:type="auto"/>
            <w:shd w:val="clear" w:color="auto" w:fill="E2EFD9" w:themeFill="accent6" w:themeFillTint="33"/>
            <w:vAlign w:val="center"/>
          </w:tcPr>
          <w:p w14:paraId="1046718F"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МСП с поне основно ниво на цифров интензитет</w:t>
            </w:r>
          </w:p>
        </w:tc>
        <w:tc>
          <w:tcPr>
            <w:tcW w:w="2175" w:type="dxa"/>
            <w:vAlign w:val="center"/>
          </w:tcPr>
          <w:p w14:paraId="797F3098" w14:textId="6B77970B"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49</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9%</w:t>
            </w:r>
          </w:p>
        </w:tc>
        <w:tc>
          <w:tcPr>
            <w:tcW w:w="3116" w:type="dxa"/>
            <w:vAlign w:val="center"/>
          </w:tcPr>
          <w:p w14:paraId="1F783985" w14:textId="65EA7DC0"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72</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9%</w:t>
            </w:r>
          </w:p>
        </w:tc>
      </w:tr>
      <w:tr w:rsidR="000D0416" w:rsidRPr="0061613B" w14:paraId="5192BCBD" w14:textId="77777777" w:rsidTr="008521D2">
        <w:tc>
          <w:tcPr>
            <w:tcW w:w="0" w:type="auto"/>
            <w:shd w:val="clear" w:color="auto" w:fill="E2EFD9" w:themeFill="accent6" w:themeFillTint="33"/>
            <w:vAlign w:val="center"/>
          </w:tcPr>
          <w:p w14:paraId="516D417B"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Еднорози</w:t>
            </w:r>
          </w:p>
        </w:tc>
        <w:tc>
          <w:tcPr>
            <w:tcW w:w="2175" w:type="dxa"/>
            <w:vAlign w:val="center"/>
          </w:tcPr>
          <w:p w14:paraId="6775E047" w14:textId="77777777"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0</w:t>
            </w:r>
          </w:p>
        </w:tc>
        <w:tc>
          <w:tcPr>
            <w:tcW w:w="3116" w:type="dxa"/>
            <w:vAlign w:val="center"/>
          </w:tcPr>
          <w:p w14:paraId="3029E068" w14:textId="77777777"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286</w:t>
            </w:r>
          </w:p>
        </w:tc>
      </w:tr>
      <w:tr w:rsidR="000D0416" w:rsidRPr="0061613B" w14:paraId="6FC4C784" w14:textId="77777777" w:rsidTr="008521D2">
        <w:tc>
          <w:tcPr>
            <w:tcW w:w="0" w:type="auto"/>
            <w:shd w:val="clear" w:color="auto" w:fill="E2EFD9" w:themeFill="accent6" w:themeFillTint="33"/>
            <w:vAlign w:val="center"/>
          </w:tcPr>
          <w:p w14:paraId="055F7907" w14:textId="77777777" w:rsidR="000D0416" w:rsidRPr="0061613B" w:rsidRDefault="000D0416" w:rsidP="00974065">
            <w:pPr>
              <w:spacing w:before="20" w:after="20" w:line="240" w:lineRule="auto"/>
              <w:jc w:val="both"/>
              <w:rPr>
                <w:rFonts w:ascii="Times New Roman" w:eastAsia="Times New Roman" w:hAnsi="Times New Roman" w:cs="Times New Roman"/>
              </w:rPr>
            </w:pPr>
            <w:r w:rsidRPr="0061613B">
              <w:rPr>
                <w:rFonts w:ascii="Times New Roman" w:eastAsia="Times New Roman" w:hAnsi="Times New Roman" w:cs="Times New Roman"/>
              </w:rPr>
              <w:t xml:space="preserve">Цифрови </w:t>
            </w:r>
            <w:r w:rsidR="00A101D1" w:rsidRPr="0061613B">
              <w:rPr>
                <w:rFonts w:ascii="Times New Roman" w:eastAsia="Times New Roman" w:hAnsi="Times New Roman" w:cs="Times New Roman"/>
              </w:rPr>
              <w:t>публични</w:t>
            </w:r>
            <w:r w:rsidRPr="0061613B">
              <w:rPr>
                <w:rFonts w:ascii="Times New Roman" w:eastAsia="Times New Roman" w:hAnsi="Times New Roman" w:cs="Times New Roman"/>
              </w:rPr>
              <w:t xml:space="preserve"> услуги за предприятията</w:t>
            </w:r>
          </w:p>
        </w:tc>
        <w:tc>
          <w:tcPr>
            <w:tcW w:w="2175" w:type="dxa"/>
            <w:vAlign w:val="center"/>
          </w:tcPr>
          <w:p w14:paraId="3AB2B744" w14:textId="6FE71938"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94</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0</w:t>
            </w:r>
          </w:p>
        </w:tc>
        <w:tc>
          <w:tcPr>
            <w:tcW w:w="3116" w:type="dxa"/>
            <w:vAlign w:val="center"/>
          </w:tcPr>
          <w:p w14:paraId="752D8E9B" w14:textId="0FBF7DD2" w:rsidR="000D0416" w:rsidRPr="0061613B" w:rsidRDefault="000D0416" w:rsidP="00974065">
            <w:pPr>
              <w:spacing w:before="20" w:after="20" w:line="240" w:lineRule="auto"/>
              <w:jc w:val="center"/>
              <w:rPr>
                <w:rFonts w:ascii="Times New Roman" w:eastAsia="Times New Roman" w:hAnsi="Times New Roman" w:cs="Times New Roman"/>
              </w:rPr>
            </w:pPr>
            <w:r w:rsidRPr="0061613B">
              <w:rPr>
                <w:rFonts w:ascii="Times New Roman" w:eastAsia="Times New Roman" w:hAnsi="Times New Roman" w:cs="Times New Roman"/>
              </w:rPr>
              <w:t>86</w:t>
            </w:r>
            <w:r w:rsidR="007A7C99" w:rsidRPr="0061613B">
              <w:rPr>
                <w:rFonts w:ascii="Times New Roman" w:eastAsia="Times New Roman" w:hAnsi="Times New Roman" w:cs="Times New Roman"/>
              </w:rPr>
              <w:t>,</w:t>
            </w:r>
            <w:r w:rsidRPr="0061613B">
              <w:rPr>
                <w:rFonts w:ascii="Times New Roman" w:eastAsia="Times New Roman" w:hAnsi="Times New Roman" w:cs="Times New Roman"/>
              </w:rPr>
              <w:t>2</w:t>
            </w:r>
          </w:p>
        </w:tc>
      </w:tr>
    </w:tbl>
    <w:p w14:paraId="6B2712DA" w14:textId="17D811F3" w:rsidR="00974065" w:rsidRPr="006D7474" w:rsidRDefault="00974065" w:rsidP="006D7474">
      <w:pPr>
        <w:ind w:left="993" w:hanging="993"/>
        <w:jc w:val="both"/>
        <w:rPr>
          <w:rFonts w:cs="Times New Roman"/>
          <w:color w:val="44546A" w:themeColor="text2"/>
          <w:sz w:val="20"/>
          <w:szCs w:val="20"/>
        </w:rPr>
      </w:pPr>
    </w:p>
    <w:p w14:paraId="550B37CB" w14:textId="7B3CB0DA" w:rsidR="000D0416" w:rsidRPr="00496500" w:rsidRDefault="000D0416" w:rsidP="00974065">
      <w:pPr>
        <w:spacing w:before="120"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 xml:space="preserve">Съгласно ежегодния доклад за </w:t>
      </w:r>
      <w:r w:rsidR="00DB6405" w:rsidRPr="00496500">
        <w:rPr>
          <w:rFonts w:ascii="Times New Roman" w:eastAsia="Calibri" w:hAnsi="Times New Roman" w:cs="Times New Roman"/>
          <w:b/>
          <w:color w:val="000000"/>
          <w:sz w:val="24"/>
          <w:szCs w:val="24"/>
        </w:rPr>
        <w:t xml:space="preserve">състоянието на цифровото десетилетие през 2025 г. </w:t>
      </w:r>
      <w:r w:rsidRPr="00496500">
        <w:rPr>
          <w:rFonts w:ascii="Times New Roman" w:eastAsia="Calibri" w:hAnsi="Times New Roman" w:cs="Times New Roman"/>
          <w:color w:val="000000"/>
          <w:sz w:val="24"/>
          <w:szCs w:val="24"/>
        </w:rPr>
        <w:t xml:space="preserve">потенциалът на България за конкурентоспособност е възпрепятстван от фрагментирана екосистема, пропуски в научноизследователската и развойна дейност, слабо внедряване на </w:t>
      </w:r>
      <w:r w:rsidRPr="00496500">
        <w:rPr>
          <w:rFonts w:ascii="Times New Roman" w:eastAsia="Calibri" w:hAnsi="Times New Roman" w:cs="Times New Roman"/>
          <w:color w:val="000000"/>
          <w:sz w:val="24"/>
          <w:szCs w:val="24"/>
        </w:rPr>
        <w:lastRenderedPageBreak/>
        <w:t>иновации и технологии от страна на МСП и стартиращите предприятия. Приносът на България към цифровото десетилетие е умерено амбициозен, с 12 национални цели, половината от които са приведени в съответствие с целите на ЕС за 2030 г. България не е изпълнила 13-те препоръки, отправени от Комисията през 2024 г., чрез нови мерки. Относно наблюдаваните препоръки (за 2024 г.), България продължава да прилага съществуващите мерки, но не предприема никакви нови мерки. В тази връзка и във връзка с подобряване на позицията, която страната ни заема в различните области, трябва да се положат повече усилия за предлагане, и съответно прилагане, на нови по-ефективни мерки за увеличаване напредъка и постигане на заложените цели, подобряване на конкурентоспособността и приносът на България към цифровото десетилетие.</w:t>
      </w:r>
    </w:p>
    <w:p w14:paraId="2A6857AA" w14:textId="77777777" w:rsidR="000D0416" w:rsidRPr="00496500" w:rsidRDefault="000D0416" w:rsidP="003B412E">
      <w:pPr>
        <w:spacing w:after="120" w:line="240" w:lineRule="auto"/>
        <w:ind w:firstLine="720"/>
        <w:jc w:val="both"/>
        <w:rPr>
          <w:rFonts w:ascii="Times New Roman" w:eastAsia="Calibri" w:hAnsi="Times New Roman" w:cs="Times New Roman"/>
          <w:color w:val="000000"/>
          <w:sz w:val="24"/>
          <w:szCs w:val="24"/>
        </w:rPr>
      </w:pPr>
      <w:r w:rsidRPr="00496500">
        <w:rPr>
          <w:rFonts w:ascii="Times New Roman" w:eastAsia="Calibri" w:hAnsi="Times New Roman" w:cs="Times New Roman"/>
          <w:color w:val="000000"/>
          <w:sz w:val="24"/>
          <w:szCs w:val="24"/>
        </w:rPr>
        <w:t>По-долу е представена информация за състоянието на цифровата трансформация в България по отношение на различни области и по данни от различни източници, както следва:</w:t>
      </w:r>
    </w:p>
    <w:p w14:paraId="7FF7E454" w14:textId="77777777" w:rsidR="000D0416" w:rsidRPr="00496500" w:rsidRDefault="000D0416" w:rsidP="003B412E">
      <w:pPr>
        <w:spacing w:after="120" w:line="240" w:lineRule="auto"/>
        <w:ind w:firstLine="720"/>
        <w:jc w:val="both"/>
        <w:rPr>
          <w:rFonts w:ascii="Times New Roman" w:hAnsi="Times New Roman" w:cs="Times New Roman"/>
          <w:b/>
          <w:sz w:val="24"/>
          <w:szCs w:val="24"/>
        </w:rPr>
      </w:pPr>
      <w:r w:rsidRPr="00496500">
        <w:rPr>
          <w:rFonts w:ascii="Times New Roman" w:hAnsi="Times New Roman" w:cs="Times New Roman"/>
          <w:b/>
          <w:sz w:val="24"/>
          <w:szCs w:val="24"/>
        </w:rPr>
        <w:t>Достъп до интернет и използване на ИКТ</w:t>
      </w:r>
    </w:p>
    <w:p w14:paraId="63FF66F8" w14:textId="77777777" w:rsidR="000D0416" w:rsidRPr="00496500" w:rsidRDefault="000D0416" w:rsidP="003B412E">
      <w:pPr>
        <w:spacing w:after="120" w:line="240" w:lineRule="auto"/>
        <w:ind w:firstLine="720"/>
        <w:jc w:val="both"/>
        <w:rPr>
          <w:rStyle w:val="relative"/>
          <w:rFonts w:ascii="Times New Roman" w:hAnsi="Times New Roman" w:cs="Times New Roman"/>
          <w:sz w:val="24"/>
          <w:szCs w:val="24"/>
        </w:rPr>
      </w:pPr>
      <w:r w:rsidRPr="00496500">
        <w:rPr>
          <w:rStyle w:val="relative"/>
          <w:rFonts w:ascii="Times New Roman" w:hAnsi="Times New Roman" w:cs="Times New Roman"/>
          <w:sz w:val="24"/>
          <w:szCs w:val="24"/>
        </w:rPr>
        <w:t xml:space="preserve">Според данни на </w:t>
      </w:r>
      <w:r w:rsidRPr="00496500">
        <w:rPr>
          <w:rFonts w:ascii="Times New Roman" w:eastAsia="Calibri" w:hAnsi="Times New Roman" w:cs="Times New Roman"/>
          <w:color w:val="000000"/>
          <w:sz w:val="24"/>
          <w:szCs w:val="24"/>
        </w:rPr>
        <w:t>Националния</w:t>
      </w:r>
      <w:r w:rsidRPr="00496500">
        <w:rPr>
          <w:rStyle w:val="relative"/>
          <w:rFonts w:ascii="Times New Roman" w:hAnsi="Times New Roman" w:cs="Times New Roman"/>
          <w:sz w:val="24"/>
          <w:szCs w:val="24"/>
        </w:rPr>
        <w:t xml:space="preserve"> статистически институт (НСИ) за 2024 г.:</w:t>
      </w:r>
    </w:p>
    <w:p w14:paraId="581E2D0E" w14:textId="62599268" w:rsidR="000D0416" w:rsidRPr="00496500" w:rsidRDefault="000D0416" w:rsidP="006E661C">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96</w:t>
      </w:r>
      <w:r w:rsidR="007A7C99">
        <w:rPr>
          <w:rStyle w:val="relative"/>
          <w:lang w:val="bg-BG"/>
        </w:rPr>
        <w:t>,</w:t>
      </w:r>
      <w:r w:rsidRPr="00496500">
        <w:rPr>
          <w:rStyle w:val="relative"/>
          <w:lang w:val="bg-BG"/>
        </w:rPr>
        <w:t xml:space="preserve">4% от нефинансовите предприятия с 10 и повече заети лица имат достъп до интернет; </w:t>
      </w:r>
      <w:hyperlink r:id="rId29" w:tgtFrame="_blank" w:history="1">
        <w:r w:rsidRPr="00496500">
          <w:rPr>
            <w:rStyle w:val="relative"/>
            <w:lang w:val="bg-BG"/>
          </w:rPr>
          <w:t>nsi.bg+4nsi.bg+4nsi.bg+4</w:t>
        </w:r>
      </w:hyperlink>
    </w:p>
    <w:p w14:paraId="18B360AF" w14:textId="21527953"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89</w:t>
      </w:r>
      <w:r w:rsidR="007A7C99">
        <w:rPr>
          <w:rStyle w:val="relative"/>
          <w:lang w:val="bg-BG"/>
        </w:rPr>
        <w:t>,</w:t>
      </w:r>
      <w:r w:rsidRPr="00496500">
        <w:rPr>
          <w:rStyle w:val="relative"/>
          <w:lang w:val="bg-BG"/>
        </w:rPr>
        <w:t xml:space="preserve">2%  от предприятията разполагат с фиксирана интернет връзка; </w:t>
      </w:r>
      <w:hyperlink r:id="rId30" w:tgtFrame="_blank" w:history="1">
        <w:r w:rsidRPr="00496500">
          <w:rPr>
            <w:rStyle w:val="relative"/>
            <w:lang w:val="bg-BG"/>
          </w:rPr>
          <w:t>nsi.bg+12nsi.bg+12nsi.bg+12</w:t>
        </w:r>
      </w:hyperlink>
    </w:p>
    <w:p w14:paraId="3490D0F2" w14:textId="74051AF3"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54</w:t>
      </w:r>
      <w:r w:rsidR="007A7C99">
        <w:rPr>
          <w:rStyle w:val="relative"/>
          <w:lang w:val="bg-BG"/>
        </w:rPr>
        <w:t>,</w:t>
      </w:r>
      <w:r w:rsidRPr="00496500">
        <w:rPr>
          <w:rStyle w:val="relative"/>
          <w:lang w:val="bg-BG"/>
        </w:rPr>
        <w:t xml:space="preserve">1% от предприятията имат скорост за изтегляне на данни над 100 Mbps; </w:t>
      </w:r>
      <w:hyperlink r:id="rId31" w:tgtFrame="_blank" w:history="1">
        <w:r w:rsidRPr="00496500">
          <w:rPr>
            <w:rStyle w:val="relative"/>
            <w:lang w:val="bg-BG"/>
          </w:rPr>
          <w:t>nsi.bg+1nsi.bg+1</w:t>
        </w:r>
      </w:hyperlink>
      <w:r w:rsidRPr="00496500">
        <w:rPr>
          <w:rStyle w:val="relative"/>
          <w:lang w:val="bg-BG"/>
        </w:rPr>
        <w:t xml:space="preserve"> </w:t>
      </w:r>
    </w:p>
    <w:p w14:paraId="32ACB6AC" w14:textId="02E7C628" w:rsidR="00897D03" w:rsidRPr="00496500" w:rsidRDefault="00897D03" w:rsidP="00897D03">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7</w:t>
      </w:r>
      <w:r w:rsidR="007A7C99">
        <w:rPr>
          <w:rStyle w:val="relative"/>
          <w:lang w:val="bg-BG"/>
        </w:rPr>
        <w:t>,</w:t>
      </w:r>
      <w:r w:rsidRPr="00496500">
        <w:rPr>
          <w:rStyle w:val="relative"/>
          <w:lang w:val="bg-BG"/>
        </w:rPr>
        <w:t xml:space="preserve">7% от предприятията разполагат със скорост за изтегляне на данни над 1 Gbps; </w:t>
      </w:r>
      <w:hyperlink r:id="rId32" w:tgtFrame="_blank" w:history="1">
        <w:r w:rsidRPr="00496500">
          <w:rPr>
            <w:rStyle w:val="relative"/>
            <w:lang w:val="bg-BG"/>
          </w:rPr>
          <w:t>nsi.bg</w:t>
        </w:r>
      </w:hyperlink>
    </w:p>
    <w:p w14:paraId="26E8A766" w14:textId="10A992F9"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18</w:t>
      </w:r>
      <w:r w:rsidR="007A7C99">
        <w:rPr>
          <w:rStyle w:val="relative"/>
          <w:lang w:val="bg-BG"/>
        </w:rPr>
        <w:t>,</w:t>
      </w:r>
      <w:r w:rsidRPr="00496500">
        <w:rPr>
          <w:rStyle w:val="relative"/>
          <w:lang w:val="bg-BG"/>
        </w:rPr>
        <w:t xml:space="preserve">9% от предприятията </w:t>
      </w:r>
      <w:r w:rsidR="00897D03" w:rsidRPr="00496500">
        <w:rPr>
          <w:rStyle w:val="relative"/>
          <w:lang w:val="bg-BG"/>
        </w:rPr>
        <w:t xml:space="preserve">с 250 и повече заети лица </w:t>
      </w:r>
      <w:r w:rsidRPr="00496500">
        <w:rPr>
          <w:rStyle w:val="relative"/>
          <w:lang w:val="bg-BG"/>
        </w:rPr>
        <w:t>разполагат със скорост за изтегляне на данни над 1 Gbps;</w:t>
      </w:r>
    </w:p>
    <w:p w14:paraId="466AAF66" w14:textId="77777777"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ms-1"/>
          <w:lang w:val="bg-BG"/>
        </w:rPr>
      </w:pPr>
      <w:r w:rsidRPr="00496500">
        <w:rPr>
          <w:rStyle w:val="ms-1"/>
          <w:lang w:val="bg-BG"/>
        </w:rPr>
        <w:t xml:space="preserve">100% от фирмите в сектор „Създаване и разпространение на информация и творчески продукти; далекосъобщения“ имат </w:t>
      </w:r>
      <w:r w:rsidR="00897D03" w:rsidRPr="00496500">
        <w:rPr>
          <w:rStyle w:val="ms-1"/>
          <w:lang w:val="bg-BG"/>
        </w:rPr>
        <w:t>достъп до интернет</w:t>
      </w:r>
      <w:r w:rsidRPr="00496500">
        <w:rPr>
          <w:rStyle w:val="ms-1"/>
          <w:lang w:val="bg-BG"/>
        </w:rPr>
        <w:t>;</w:t>
      </w:r>
    </w:p>
    <w:p w14:paraId="05D7B081" w14:textId="77777777" w:rsidR="000D0416" w:rsidRPr="00496500" w:rsidRDefault="000D0416" w:rsidP="003B412E">
      <w:pPr>
        <w:spacing w:after="120" w:line="240" w:lineRule="auto"/>
        <w:ind w:firstLine="720"/>
        <w:jc w:val="both"/>
        <w:rPr>
          <w:rFonts w:ascii="Times New Roman" w:hAnsi="Times New Roman" w:cs="Times New Roman"/>
          <w:b/>
          <w:sz w:val="24"/>
          <w:szCs w:val="24"/>
        </w:rPr>
      </w:pPr>
      <w:r w:rsidRPr="00496500">
        <w:rPr>
          <w:rFonts w:ascii="Times New Roman" w:hAnsi="Times New Roman" w:cs="Times New Roman"/>
          <w:b/>
          <w:sz w:val="24"/>
          <w:szCs w:val="24"/>
        </w:rPr>
        <w:t>Използване на облачни услуги и бизнес софтуер</w:t>
      </w:r>
      <w:r w:rsidR="00FB4002" w:rsidRPr="00496500">
        <w:rPr>
          <w:rFonts w:ascii="Times New Roman" w:hAnsi="Times New Roman" w:cs="Times New Roman"/>
          <w:b/>
          <w:sz w:val="24"/>
          <w:szCs w:val="24"/>
        </w:rPr>
        <w:t xml:space="preserve"> </w:t>
      </w:r>
      <w:r w:rsidR="00FB4002" w:rsidRPr="00765780">
        <w:rPr>
          <w:rFonts w:ascii="Times New Roman" w:hAnsi="Times New Roman" w:cs="Times New Roman"/>
          <w:b/>
          <w:sz w:val="24"/>
          <w:szCs w:val="24"/>
        </w:rPr>
        <w:t>(</w:t>
      </w:r>
      <w:r w:rsidR="00FB4002" w:rsidRPr="00496500">
        <w:rPr>
          <w:rFonts w:ascii="Times New Roman" w:hAnsi="Times New Roman" w:cs="Times New Roman"/>
          <w:b/>
          <w:sz w:val="24"/>
          <w:szCs w:val="24"/>
        </w:rPr>
        <w:t>данните са за 2023 г.)</w:t>
      </w:r>
    </w:p>
    <w:p w14:paraId="3E9AED2D" w14:textId="6DB8E0A7"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17</w:t>
      </w:r>
      <w:r w:rsidR="007A7C99">
        <w:rPr>
          <w:rStyle w:val="relative"/>
          <w:lang w:val="bg-BG"/>
        </w:rPr>
        <w:t>,</w:t>
      </w:r>
      <w:r w:rsidRPr="00496500">
        <w:rPr>
          <w:rStyle w:val="relative"/>
          <w:lang w:val="bg-BG"/>
        </w:rPr>
        <w:t>5% от предприятията използват платени компютърни услуги в облак</w:t>
      </w:r>
      <w:r w:rsidR="001327C0">
        <w:rPr>
          <w:rStyle w:val="relative"/>
          <w:lang w:val="bg-BG"/>
        </w:rPr>
        <w:t>,</w:t>
      </w:r>
      <w:r w:rsidRPr="00496500">
        <w:rPr>
          <w:lang w:val="bg-BG"/>
        </w:rPr>
        <w:t xml:space="preserve"> </w:t>
      </w:r>
      <w:hyperlink r:id="rId33" w:tgtFrame="_blank" w:history="1">
        <w:r w:rsidRPr="00496500">
          <w:rPr>
            <w:rStyle w:val="max-w-full"/>
            <w:color w:val="0000FF"/>
            <w:u w:val="single"/>
            <w:lang w:val="bg-BG"/>
          </w:rPr>
          <w:t>nsi.bg</w:t>
        </w:r>
        <w:r w:rsidRPr="00496500">
          <w:rPr>
            <w:rStyle w:val="-me-1"/>
            <w:color w:val="0000FF"/>
            <w:u w:val="single"/>
            <w:lang w:val="bg-BG"/>
          </w:rPr>
          <w:t>+1</w:t>
        </w:r>
        <w:r w:rsidRPr="00496500">
          <w:rPr>
            <w:rStyle w:val="max-w-full"/>
            <w:color w:val="0000FF"/>
            <w:u w:val="single"/>
            <w:lang w:val="bg-BG"/>
          </w:rPr>
          <w:t>nsi.bg</w:t>
        </w:r>
        <w:r w:rsidRPr="00496500">
          <w:rPr>
            <w:rStyle w:val="-me-1"/>
            <w:color w:val="0000FF"/>
            <w:u w:val="single"/>
            <w:lang w:val="bg-BG"/>
          </w:rPr>
          <w:t>+1</w:t>
        </w:r>
      </w:hyperlink>
      <w:r w:rsidR="001327C0">
        <w:rPr>
          <w:rStyle w:val="relative"/>
          <w:lang w:val="bg-BG"/>
        </w:rPr>
        <w:t>;</w:t>
      </w:r>
    </w:p>
    <w:p w14:paraId="5889A68C" w14:textId="2236F3D9"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21</w:t>
      </w:r>
      <w:r w:rsidR="007A7C99">
        <w:rPr>
          <w:rStyle w:val="relative"/>
          <w:lang w:val="bg-BG"/>
        </w:rPr>
        <w:t>,</w:t>
      </w:r>
      <w:r w:rsidRPr="00496500">
        <w:rPr>
          <w:rStyle w:val="relative"/>
          <w:lang w:val="bg-BG"/>
        </w:rPr>
        <w:t>7% използват системи за управление на ресурсите (ERP)</w:t>
      </w:r>
      <w:r w:rsidR="001327C0">
        <w:rPr>
          <w:rStyle w:val="relative"/>
          <w:lang w:val="bg-BG"/>
        </w:rPr>
        <w:t>,</w:t>
      </w:r>
      <w:r w:rsidRPr="00496500">
        <w:rPr>
          <w:lang w:val="bg-BG"/>
        </w:rPr>
        <w:t xml:space="preserve"> </w:t>
      </w:r>
      <w:hyperlink r:id="rId34" w:tgtFrame="_blank" w:history="1">
        <w:r w:rsidRPr="00496500">
          <w:rPr>
            <w:rStyle w:val="max-w-full"/>
            <w:color w:val="0000FF"/>
            <w:u w:val="single"/>
            <w:lang w:val="bg-BG"/>
          </w:rPr>
          <w:t>nsi.bg</w:t>
        </w:r>
        <w:r w:rsidRPr="00496500">
          <w:rPr>
            <w:rStyle w:val="-me-1"/>
            <w:color w:val="0000FF"/>
            <w:u w:val="single"/>
            <w:lang w:val="bg-BG"/>
          </w:rPr>
          <w:t>+4</w:t>
        </w:r>
        <w:r w:rsidRPr="00496500">
          <w:rPr>
            <w:rStyle w:val="max-w-full"/>
            <w:color w:val="0000FF"/>
            <w:u w:val="single"/>
            <w:lang w:val="bg-BG"/>
          </w:rPr>
          <w:t>nsi.bg</w:t>
        </w:r>
        <w:r w:rsidRPr="00496500">
          <w:rPr>
            <w:rStyle w:val="-me-1"/>
            <w:color w:val="0000FF"/>
            <w:u w:val="single"/>
            <w:lang w:val="bg-BG"/>
          </w:rPr>
          <w:t>+4</w:t>
        </w:r>
        <w:r w:rsidRPr="00496500">
          <w:rPr>
            <w:rStyle w:val="max-w-full"/>
            <w:color w:val="0000FF"/>
            <w:u w:val="single"/>
            <w:lang w:val="bg-BG"/>
          </w:rPr>
          <w:t>nsi.bg</w:t>
        </w:r>
        <w:r w:rsidRPr="00496500">
          <w:rPr>
            <w:rStyle w:val="-me-1"/>
            <w:color w:val="0000FF"/>
            <w:u w:val="single"/>
            <w:lang w:val="bg-BG"/>
          </w:rPr>
          <w:t>+4</w:t>
        </w:r>
      </w:hyperlink>
      <w:r w:rsidR="001327C0">
        <w:rPr>
          <w:rStyle w:val="relative"/>
          <w:lang w:val="bg-BG"/>
        </w:rPr>
        <w:t>;</w:t>
      </w:r>
    </w:p>
    <w:p w14:paraId="33C7227A" w14:textId="712A5447"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10</w:t>
      </w:r>
      <w:r w:rsidR="007A7C99">
        <w:rPr>
          <w:rStyle w:val="relative"/>
          <w:lang w:val="bg-BG"/>
        </w:rPr>
        <w:t>,</w:t>
      </w:r>
      <w:r w:rsidRPr="00496500">
        <w:rPr>
          <w:rStyle w:val="relative"/>
          <w:lang w:val="bg-BG"/>
        </w:rPr>
        <w:t>5% използват системи за управление на връзките с клиенти (CRM)</w:t>
      </w:r>
      <w:r w:rsidR="001327C0">
        <w:rPr>
          <w:rStyle w:val="relative"/>
          <w:lang w:val="bg-BG"/>
        </w:rPr>
        <w:t>,</w:t>
      </w:r>
      <w:r w:rsidRPr="00496500">
        <w:rPr>
          <w:lang w:val="bg-BG"/>
        </w:rPr>
        <w:t xml:space="preserve"> </w:t>
      </w:r>
      <w:hyperlink r:id="rId35" w:tgtFrame="_blank" w:history="1">
        <w:r w:rsidRPr="00496500">
          <w:rPr>
            <w:rStyle w:val="max-w-full"/>
            <w:color w:val="0000FF"/>
            <w:u w:val="single"/>
            <w:lang w:val="bg-BG"/>
          </w:rPr>
          <w:t>nsi.bg</w:t>
        </w:r>
      </w:hyperlink>
      <w:r w:rsidR="001327C0">
        <w:rPr>
          <w:rStyle w:val="max-w-full"/>
          <w:color w:val="0000FF"/>
          <w:u w:val="single"/>
          <w:lang w:val="bg-BG"/>
        </w:rPr>
        <w:t>;</w:t>
      </w:r>
      <w:r w:rsidRPr="00496500">
        <w:rPr>
          <w:rStyle w:val="relative"/>
          <w:lang w:val="bg-BG"/>
        </w:rPr>
        <w:t xml:space="preserve"> </w:t>
      </w:r>
    </w:p>
    <w:p w14:paraId="79825F15" w14:textId="54434A55"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4</w:t>
      </w:r>
      <w:r w:rsidR="007A7C99">
        <w:rPr>
          <w:rStyle w:val="relative"/>
          <w:lang w:val="bg-BG"/>
        </w:rPr>
        <w:t>,</w:t>
      </w:r>
      <w:r w:rsidRPr="00496500">
        <w:rPr>
          <w:rStyle w:val="relative"/>
          <w:lang w:val="bg-BG"/>
        </w:rPr>
        <w:t>2% използват системи за бизнес анализ (BI)</w:t>
      </w:r>
      <w:r w:rsidR="001327C0">
        <w:rPr>
          <w:rStyle w:val="relative"/>
          <w:lang w:val="bg-BG"/>
        </w:rPr>
        <w:t>,</w:t>
      </w:r>
      <w:r w:rsidRPr="00496500">
        <w:rPr>
          <w:lang w:val="bg-BG"/>
        </w:rPr>
        <w:t xml:space="preserve"> </w:t>
      </w:r>
      <w:hyperlink r:id="rId36" w:tgtFrame="_blank" w:history="1">
        <w:r w:rsidRPr="00496500">
          <w:rPr>
            <w:rStyle w:val="max-w-full"/>
            <w:color w:val="0000FF"/>
            <w:u w:val="single"/>
            <w:lang w:val="bg-BG"/>
          </w:rPr>
          <w:t>nsi.bg</w:t>
        </w:r>
      </w:hyperlink>
      <w:r w:rsidR="00F948B8">
        <w:rPr>
          <w:rStyle w:val="max-w-full"/>
          <w:color w:val="0000FF"/>
          <w:u w:val="single"/>
          <w:lang w:val="bg-BG"/>
        </w:rPr>
        <w:t>.</w:t>
      </w:r>
    </w:p>
    <w:p w14:paraId="1986B4BF" w14:textId="77777777" w:rsidR="000D0416" w:rsidRPr="00496500" w:rsidRDefault="000D0416" w:rsidP="003B412E">
      <w:pPr>
        <w:spacing w:after="120" w:line="240" w:lineRule="auto"/>
        <w:ind w:firstLine="720"/>
        <w:jc w:val="both"/>
        <w:rPr>
          <w:rFonts w:ascii="Times New Roman" w:hAnsi="Times New Roman" w:cs="Times New Roman"/>
          <w:b/>
          <w:sz w:val="24"/>
          <w:szCs w:val="24"/>
        </w:rPr>
      </w:pPr>
      <w:r w:rsidRPr="00496500">
        <w:rPr>
          <w:rFonts w:ascii="Times New Roman" w:hAnsi="Times New Roman" w:cs="Times New Roman"/>
          <w:b/>
          <w:sz w:val="24"/>
          <w:szCs w:val="24"/>
        </w:rPr>
        <w:t xml:space="preserve">Използване на изкуствен интелект </w:t>
      </w:r>
    </w:p>
    <w:p w14:paraId="5FD0D0A3" w14:textId="312EFD42" w:rsidR="000D0416" w:rsidRPr="00496500" w:rsidRDefault="00EB2EA5"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6</w:t>
      </w:r>
      <w:r w:rsidR="007A7C99">
        <w:rPr>
          <w:rStyle w:val="relative"/>
          <w:lang w:val="bg-BG"/>
        </w:rPr>
        <w:t>,</w:t>
      </w:r>
      <w:r w:rsidRPr="00496500">
        <w:rPr>
          <w:rStyle w:val="relative"/>
          <w:lang w:val="bg-BG"/>
        </w:rPr>
        <w:t>5</w:t>
      </w:r>
      <w:r w:rsidR="000D0416" w:rsidRPr="00496500">
        <w:rPr>
          <w:rStyle w:val="relative"/>
          <w:lang w:val="bg-BG"/>
        </w:rPr>
        <w:t>% от предприятията използват технологии с ИИ</w:t>
      </w:r>
      <w:r w:rsidR="001327C0">
        <w:rPr>
          <w:rStyle w:val="relative"/>
          <w:lang w:val="bg-BG"/>
        </w:rPr>
        <w:t>,</w:t>
      </w:r>
      <w:r w:rsidR="000D0416" w:rsidRPr="00496500">
        <w:rPr>
          <w:lang w:val="bg-BG"/>
        </w:rPr>
        <w:t xml:space="preserve"> </w:t>
      </w:r>
      <w:hyperlink r:id="rId37" w:tgtFrame="_blank" w:history="1">
        <w:r w:rsidR="000D0416" w:rsidRPr="00496500">
          <w:rPr>
            <w:rStyle w:val="max-w-full"/>
            <w:color w:val="0000FF"/>
            <w:u w:val="single"/>
            <w:lang w:val="bg-BG"/>
          </w:rPr>
          <w:t>nsi.bg</w:t>
        </w:r>
      </w:hyperlink>
      <w:r w:rsidR="001327C0">
        <w:rPr>
          <w:rStyle w:val="max-w-full"/>
          <w:color w:val="0000FF"/>
          <w:u w:val="single"/>
          <w:lang w:val="bg-BG"/>
        </w:rPr>
        <w:t>;</w:t>
      </w:r>
    </w:p>
    <w:p w14:paraId="68E0E177" w14:textId="64EB08EE"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Използването на ИИ е по-често срещано във фирмите с 250 и повече заети лица (</w:t>
      </w:r>
      <w:r w:rsidR="00EB2EA5" w:rsidRPr="00496500">
        <w:rPr>
          <w:rStyle w:val="relative"/>
          <w:lang w:val="bg-BG"/>
        </w:rPr>
        <w:t>20</w:t>
      </w:r>
      <w:r w:rsidR="007A7C99">
        <w:rPr>
          <w:rStyle w:val="relative"/>
          <w:lang w:val="bg-BG"/>
        </w:rPr>
        <w:t>,</w:t>
      </w:r>
      <w:r w:rsidR="00EB2EA5" w:rsidRPr="00496500">
        <w:rPr>
          <w:rStyle w:val="relative"/>
          <w:lang w:val="bg-BG"/>
        </w:rPr>
        <w:t>2</w:t>
      </w:r>
      <w:r w:rsidRPr="00496500">
        <w:rPr>
          <w:rStyle w:val="relative"/>
          <w:lang w:val="bg-BG"/>
        </w:rPr>
        <w:t>%)</w:t>
      </w:r>
      <w:r w:rsidR="001327C0">
        <w:rPr>
          <w:rStyle w:val="relative"/>
          <w:lang w:val="bg-BG"/>
        </w:rPr>
        <w:t xml:space="preserve">, </w:t>
      </w:r>
      <w:hyperlink r:id="rId38" w:tgtFrame="_blank" w:history="1">
        <w:r w:rsidRPr="00496500">
          <w:rPr>
            <w:rStyle w:val="max-w-full"/>
            <w:color w:val="0000FF"/>
            <w:u w:val="single"/>
            <w:lang w:val="bg-BG"/>
          </w:rPr>
          <w:t>nsi.bg</w:t>
        </w:r>
        <w:r w:rsidRPr="00496500">
          <w:rPr>
            <w:rStyle w:val="-me-1"/>
            <w:color w:val="0000FF"/>
            <w:u w:val="single"/>
            <w:lang w:val="bg-BG"/>
          </w:rPr>
          <w:t>+2</w:t>
        </w:r>
        <w:r w:rsidRPr="00496500">
          <w:rPr>
            <w:rStyle w:val="max-w-full"/>
            <w:color w:val="0000FF"/>
            <w:u w:val="single"/>
            <w:lang w:val="bg-BG"/>
          </w:rPr>
          <w:t>nsi.bg</w:t>
        </w:r>
        <w:r w:rsidRPr="00496500">
          <w:rPr>
            <w:rStyle w:val="-me-1"/>
            <w:color w:val="0000FF"/>
            <w:u w:val="single"/>
            <w:lang w:val="bg-BG"/>
          </w:rPr>
          <w:t>+2</w:t>
        </w:r>
        <w:r w:rsidRPr="00496500">
          <w:rPr>
            <w:rStyle w:val="max-w-full"/>
            <w:color w:val="0000FF"/>
            <w:u w:val="single"/>
            <w:lang w:val="bg-BG"/>
          </w:rPr>
          <w:t>nsi.bg</w:t>
        </w:r>
        <w:r w:rsidRPr="00496500">
          <w:rPr>
            <w:rStyle w:val="-me-1"/>
            <w:color w:val="0000FF"/>
            <w:u w:val="single"/>
            <w:lang w:val="bg-BG"/>
          </w:rPr>
          <w:t>+2</w:t>
        </w:r>
      </w:hyperlink>
      <w:r w:rsidR="00F948B8">
        <w:rPr>
          <w:rStyle w:val="-me-1"/>
          <w:color w:val="0000FF"/>
          <w:u w:val="single"/>
          <w:lang w:val="bg-BG"/>
        </w:rPr>
        <w:t>.</w:t>
      </w:r>
    </w:p>
    <w:p w14:paraId="163693C9" w14:textId="77777777" w:rsidR="000D0416" w:rsidRPr="00496500" w:rsidRDefault="000D0416" w:rsidP="003B412E">
      <w:pPr>
        <w:spacing w:after="120" w:line="240" w:lineRule="auto"/>
        <w:ind w:firstLine="720"/>
        <w:jc w:val="both"/>
        <w:rPr>
          <w:rFonts w:ascii="Times New Roman" w:hAnsi="Times New Roman" w:cs="Times New Roman"/>
          <w:b/>
          <w:sz w:val="24"/>
          <w:szCs w:val="24"/>
        </w:rPr>
      </w:pPr>
      <w:r w:rsidRPr="00496500">
        <w:rPr>
          <w:rFonts w:ascii="Times New Roman" w:hAnsi="Times New Roman" w:cs="Times New Roman"/>
          <w:b/>
          <w:sz w:val="24"/>
          <w:szCs w:val="24"/>
        </w:rPr>
        <w:t>Използване на социални медии/мрежи</w:t>
      </w:r>
      <w:r w:rsidR="00EB2EA5" w:rsidRPr="00496500">
        <w:rPr>
          <w:rFonts w:ascii="Times New Roman" w:hAnsi="Times New Roman" w:cs="Times New Roman"/>
          <w:b/>
          <w:sz w:val="24"/>
          <w:szCs w:val="24"/>
        </w:rPr>
        <w:t xml:space="preserve"> </w:t>
      </w:r>
      <w:r w:rsidR="00EB2EA5" w:rsidRPr="00765780">
        <w:rPr>
          <w:rFonts w:ascii="Times New Roman" w:hAnsi="Times New Roman" w:cs="Times New Roman"/>
          <w:b/>
          <w:sz w:val="24"/>
          <w:szCs w:val="24"/>
        </w:rPr>
        <w:t>(</w:t>
      </w:r>
      <w:r w:rsidR="00EB2EA5" w:rsidRPr="00496500">
        <w:rPr>
          <w:rFonts w:ascii="Times New Roman" w:hAnsi="Times New Roman" w:cs="Times New Roman"/>
          <w:b/>
          <w:sz w:val="24"/>
          <w:szCs w:val="24"/>
        </w:rPr>
        <w:t>данните са за 2023 г.)</w:t>
      </w:r>
    </w:p>
    <w:p w14:paraId="46D03BAB" w14:textId="27C28AB9"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38</w:t>
      </w:r>
      <w:r w:rsidR="007A7C99">
        <w:rPr>
          <w:rStyle w:val="relative"/>
          <w:lang w:val="bg-BG"/>
        </w:rPr>
        <w:t>,</w:t>
      </w:r>
      <w:r w:rsidRPr="00496500">
        <w:rPr>
          <w:rStyle w:val="relative"/>
          <w:lang w:val="bg-BG"/>
        </w:rPr>
        <w:t>0% от предприятията използват социални медии за развитие на дейността си;</w:t>
      </w:r>
    </w:p>
    <w:p w14:paraId="3D8DEB0F" w14:textId="6D50A323"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37</w:t>
      </w:r>
      <w:r w:rsidR="007A7C99">
        <w:rPr>
          <w:rStyle w:val="relative"/>
          <w:lang w:val="bg-BG"/>
        </w:rPr>
        <w:t>,</w:t>
      </w:r>
      <w:r w:rsidRPr="00496500">
        <w:rPr>
          <w:rStyle w:val="relative"/>
          <w:lang w:val="bg-BG"/>
        </w:rPr>
        <w:t>2% поддържат профил в социални мрежи като Facebook, LinkedIn и др.;</w:t>
      </w:r>
    </w:p>
    <w:p w14:paraId="087F736C" w14:textId="498F5DF1"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lang w:val="bg-BG"/>
        </w:rPr>
        <w:t>13</w:t>
      </w:r>
      <w:r w:rsidR="007A7C99">
        <w:rPr>
          <w:rStyle w:val="relative"/>
          <w:lang w:val="bg-BG"/>
        </w:rPr>
        <w:t>,</w:t>
      </w:r>
      <w:r w:rsidRPr="00496500">
        <w:rPr>
          <w:rStyle w:val="relative"/>
          <w:lang w:val="bg-BG"/>
        </w:rPr>
        <w:t>2% използват уебсайтове и приложения за споделяне на мулт</w:t>
      </w:r>
      <w:r w:rsidR="00F948B8">
        <w:rPr>
          <w:rStyle w:val="relative"/>
          <w:lang w:val="bg-BG"/>
        </w:rPr>
        <w:t xml:space="preserve">имедия като YouTube и Instagram, </w:t>
      </w:r>
      <w:hyperlink r:id="rId39" w:tgtFrame="_blank" w:history="1">
        <w:r w:rsidRPr="00496500">
          <w:rPr>
            <w:rStyle w:val="max-w-full"/>
            <w:color w:val="0000FF"/>
            <w:u w:val="single"/>
            <w:lang w:val="bg-BG"/>
          </w:rPr>
          <w:t>nsi.bg</w:t>
        </w:r>
      </w:hyperlink>
      <w:r w:rsidR="00F948B8">
        <w:rPr>
          <w:rStyle w:val="relative"/>
          <w:lang w:val="bg-BG"/>
        </w:rPr>
        <w:t>.</w:t>
      </w:r>
    </w:p>
    <w:p w14:paraId="1C7BA8F7" w14:textId="77777777" w:rsidR="000D0416" w:rsidRPr="00496500" w:rsidRDefault="000D0416" w:rsidP="003B412E">
      <w:pPr>
        <w:spacing w:after="120" w:line="240" w:lineRule="auto"/>
        <w:ind w:firstLine="720"/>
        <w:jc w:val="both"/>
        <w:rPr>
          <w:rFonts w:ascii="Times New Roman" w:hAnsi="Times New Roman" w:cs="Times New Roman"/>
          <w:b/>
          <w:sz w:val="24"/>
          <w:szCs w:val="24"/>
        </w:rPr>
      </w:pPr>
      <w:r w:rsidRPr="00496500">
        <w:rPr>
          <w:rFonts w:ascii="Times New Roman" w:hAnsi="Times New Roman" w:cs="Times New Roman"/>
          <w:b/>
          <w:sz w:val="24"/>
          <w:szCs w:val="24"/>
        </w:rPr>
        <w:lastRenderedPageBreak/>
        <w:t>Ниво на основните цифрови компетенции</w:t>
      </w:r>
    </w:p>
    <w:p w14:paraId="4F0DBE15" w14:textId="20D19395" w:rsidR="000D0416" w:rsidRPr="00496500" w:rsidRDefault="000D0416" w:rsidP="006D7474">
      <w:pPr>
        <w:pStyle w:val="NormalWeb"/>
        <w:spacing w:before="0" w:beforeAutospacing="0" w:after="120" w:afterAutospacing="0"/>
        <w:ind w:firstLine="720"/>
        <w:jc w:val="both"/>
        <w:rPr>
          <w:rStyle w:val="relative"/>
          <w:rFonts w:asciiTheme="minorHAnsi" w:eastAsiaTheme="minorHAnsi" w:hAnsiTheme="minorHAnsi" w:cstheme="minorBidi"/>
          <w:sz w:val="22"/>
          <w:szCs w:val="22"/>
          <w:lang w:val="bg-BG"/>
        </w:rPr>
      </w:pPr>
      <w:r w:rsidRPr="00496500">
        <w:rPr>
          <w:rStyle w:val="relative"/>
          <w:lang w:val="bg-BG"/>
        </w:rPr>
        <w:t>Според проучване на БСК, Министерството на труда и социалната политика (МТСП) и профсъюзите (КНСБ)</w:t>
      </w:r>
      <w:r w:rsidR="00786114">
        <w:rPr>
          <w:rStyle w:val="relative"/>
          <w:lang w:val="bg-BG"/>
        </w:rPr>
        <w:t>:</w:t>
      </w:r>
    </w:p>
    <w:p w14:paraId="5D4207DD" w14:textId="1C13B381"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b/>
          <w:bCs/>
          <w:lang w:val="bg-BG"/>
        </w:rPr>
        <w:t>31%</w:t>
      </w:r>
      <w:r w:rsidRPr="00496500">
        <w:rPr>
          <w:rStyle w:val="relative"/>
          <w:lang w:val="bg-BG"/>
        </w:rPr>
        <w:t xml:space="preserve"> от работодателите приемат служители със средно ниво на цифрова грамотност; само </w:t>
      </w:r>
      <w:r w:rsidRPr="00496500">
        <w:rPr>
          <w:rStyle w:val="relative"/>
          <w:b/>
          <w:bCs/>
          <w:lang w:val="bg-BG"/>
        </w:rPr>
        <w:t>2%</w:t>
      </w:r>
      <w:r w:rsidRPr="00496500">
        <w:rPr>
          <w:rStyle w:val="relative"/>
          <w:lang w:val="bg-BG"/>
        </w:rPr>
        <w:t xml:space="preserve"> – с основно</w:t>
      </w:r>
      <w:r w:rsidR="00786114">
        <w:rPr>
          <w:rStyle w:val="relative"/>
          <w:lang w:val="bg-BG"/>
        </w:rPr>
        <w:t>;</w:t>
      </w:r>
    </w:p>
    <w:p w14:paraId="49349A20" w14:textId="3ADA243F" w:rsidR="000D0416" w:rsidRPr="00496500" w:rsidRDefault="000D0416"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sidRPr="00496500">
        <w:rPr>
          <w:rStyle w:val="relative"/>
          <w:b/>
          <w:bCs/>
          <w:lang w:val="bg-BG"/>
        </w:rPr>
        <w:t>19%</w:t>
      </w:r>
      <w:r w:rsidRPr="00496500">
        <w:rPr>
          <w:rStyle w:val="relative"/>
          <w:lang w:val="bg-BG"/>
        </w:rPr>
        <w:t xml:space="preserve"> от работещите покриват нужните цифрови умения за длъжността си</w:t>
      </w:r>
      <w:r w:rsidR="00786114">
        <w:rPr>
          <w:rStyle w:val="relative"/>
          <w:lang w:val="bg-BG"/>
        </w:rPr>
        <w:t>;</w:t>
      </w:r>
    </w:p>
    <w:p w14:paraId="0209AC99" w14:textId="5C043AAD" w:rsidR="000D0416" w:rsidRPr="00496500" w:rsidRDefault="00786114"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Pr>
          <w:rStyle w:val="relative"/>
          <w:lang w:val="bg-BG"/>
        </w:rPr>
        <w:t>в</w:t>
      </w:r>
      <w:r w:rsidR="000D0416" w:rsidRPr="00496500">
        <w:rPr>
          <w:rStyle w:val="relative"/>
          <w:lang w:val="bg-BG"/>
        </w:rPr>
        <w:t xml:space="preserve"> сектори като </w:t>
      </w:r>
      <w:r w:rsidR="000D0416" w:rsidRPr="00496500">
        <w:rPr>
          <w:rStyle w:val="relative"/>
          <w:b/>
          <w:bCs/>
          <w:lang w:val="bg-BG"/>
        </w:rPr>
        <w:t>селско стопанство</w:t>
      </w:r>
      <w:r w:rsidR="000D0416" w:rsidRPr="00496500">
        <w:rPr>
          <w:rStyle w:val="relative"/>
          <w:lang w:val="bg-BG"/>
        </w:rPr>
        <w:t xml:space="preserve"> и </w:t>
      </w:r>
      <w:r w:rsidR="000D0416" w:rsidRPr="00496500">
        <w:rPr>
          <w:rStyle w:val="relative"/>
          <w:b/>
          <w:bCs/>
          <w:lang w:val="bg-BG"/>
        </w:rPr>
        <w:t>производство</w:t>
      </w:r>
      <w:r w:rsidR="000D0416" w:rsidRPr="00496500">
        <w:rPr>
          <w:rStyle w:val="relative"/>
          <w:lang w:val="bg-BG"/>
        </w:rPr>
        <w:t xml:space="preserve">, само </w:t>
      </w:r>
      <w:r w:rsidR="000D0416" w:rsidRPr="00496500">
        <w:rPr>
          <w:rStyle w:val="relative"/>
          <w:b/>
          <w:bCs/>
          <w:lang w:val="bg-BG"/>
        </w:rPr>
        <w:t>30-40%</w:t>
      </w:r>
      <w:r w:rsidR="000D0416" w:rsidRPr="00496500">
        <w:rPr>
          <w:rStyle w:val="relative"/>
          <w:lang w:val="bg-BG"/>
        </w:rPr>
        <w:t xml:space="preserve"> имат основни цифрови умения</w:t>
      </w:r>
      <w:r>
        <w:rPr>
          <w:rStyle w:val="relative"/>
          <w:lang w:val="bg-BG"/>
        </w:rPr>
        <w:t>;</w:t>
      </w:r>
    </w:p>
    <w:p w14:paraId="482F1D6F" w14:textId="294BE8DF" w:rsidR="000D0416" w:rsidRPr="00496500" w:rsidRDefault="00786114" w:rsidP="003B412E">
      <w:pPr>
        <w:pStyle w:val="NormalWeb"/>
        <w:numPr>
          <w:ilvl w:val="0"/>
          <w:numId w:val="20"/>
        </w:numPr>
        <w:tabs>
          <w:tab w:val="clear" w:pos="720"/>
          <w:tab w:val="left" w:pos="810"/>
          <w:tab w:val="left" w:pos="990"/>
        </w:tabs>
        <w:spacing w:before="0" w:beforeAutospacing="0" w:after="120" w:afterAutospacing="0"/>
        <w:ind w:left="0" w:firstLine="720"/>
        <w:jc w:val="both"/>
        <w:rPr>
          <w:rStyle w:val="relative"/>
          <w:lang w:val="bg-BG"/>
        </w:rPr>
      </w:pPr>
      <w:r>
        <w:rPr>
          <w:rStyle w:val="relative"/>
          <w:lang w:val="bg-BG"/>
        </w:rPr>
        <w:t>с</w:t>
      </w:r>
      <w:r w:rsidR="000D0416" w:rsidRPr="00496500">
        <w:rPr>
          <w:rStyle w:val="relative"/>
          <w:lang w:val="bg-BG"/>
        </w:rPr>
        <w:t xml:space="preserve">екторите с най-висока цифрова подготовка са ИКТ, финанси и недвижими имоти – </w:t>
      </w:r>
      <w:r w:rsidR="000D0416" w:rsidRPr="00496500">
        <w:rPr>
          <w:rStyle w:val="relative"/>
          <w:b/>
          <w:bCs/>
          <w:lang w:val="bg-BG"/>
        </w:rPr>
        <w:t>80-90%</w:t>
      </w:r>
      <w:r w:rsidR="000D0416" w:rsidRPr="00496500">
        <w:rPr>
          <w:rStyle w:val="relative"/>
          <w:lang w:val="bg-BG"/>
        </w:rPr>
        <w:t>.</w:t>
      </w:r>
    </w:p>
    <w:p w14:paraId="5288F97A" w14:textId="6814F771" w:rsidR="003A5CFD" w:rsidRPr="00496500" w:rsidRDefault="003A5CFD" w:rsidP="003B412E">
      <w:pPr>
        <w:spacing w:after="120" w:line="240" w:lineRule="auto"/>
        <w:ind w:right="-2" w:firstLine="720"/>
        <w:jc w:val="both"/>
        <w:rPr>
          <w:rFonts w:ascii="Times New Roman" w:eastAsia="Times New Roman" w:hAnsi="Times New Roman" w:cs="Times New Roman"/>
          <w:sz w:val="24"/>
          <w:szCs w:val="24"/>
          <w:lang w:eastAsia="bg-BG"/>
        </w:rPr>
      </w:pPr>
      <w:r w:rsidRPr="00496500">
        <w:rPr>
          <w:rFonts w:ascii="Times New Roman" w:hAnsi="Times New Roman" w:cs="Times New Roman"/>
          <w:sz w:val="24"/>
          <w:szCs w:val="24"/>
        </w:rPr>
        <w:t xml:space="preserve">България има стабилна основа и традиции в сфери като информационните технологии (ИТ) и изкуствения интелект. От една страна </w:t>
      </w:r>
      <w:r w:rsidRPr="00496500">
        <w:rPr>
          <w:rFonts w:ascii="Times New Roman" w:eastAsia="Times New Roman" w:hAnsi="Times New Roman" w:cs="Times New Roman"/>
          <w:sz w:val="24"/>
          <w:szCs w:val="24"/>
          <w:lang w:eastAsia="bg-BG"/>
        </w:rPr>
        <w:t>България</w:t>
      </w:r>
      <w:r w:rsidRPr="00496500">
        <w:rPr>
          <w:rFonts w:ascii="Times New Roman" w:hAnsi="Times New Roman" w:cs="Times New Roman"/>
          <w:sz w:val="24"/>
          <w:szCs w:val="24"/>
        </w:rPr>
        <w:t xml:space="preserve"> има богат опит в математическото и инженерно образование и </w:t>
      </w:r>
      <w:r w:rsidRPr="00496500">
        <w:rPr>
          <w:rFonts w:ascii="Times New Roman" w:eastAsia="Times New Roman" w:hAnsi="Times New Roman" w:cs="Times New Roman"/>
          <w:sz w:val="24"/>
          <w:szCs w:val="24"/>
          <w:lang w:eastAsia="bg-BG"/>
        </w:rPr>
        <w:t>разполага с високо квалифицирани ИКТ специалисти, които допринасят за международно признати успехи. От друга, страната ни е</w:t>
      </w:r>
      <w:r w:rsidRPr="00496500">
        <w:rPr>
          <w:rFonts w:ascii="Times New Roman" w:hAnsi="Times New Roman" w:cs="Times New Roman"/>
          <w:sz w:val="24"/>
          <w:szCs w:val="24"/>
        </w:rPr>
        <w:t xml:space="preserve"> дом на водещия </w:t>
      </w:r>
      <w:r w:rsidRPr="00496500">
        <w:rPr>
          <w:rFonts w:ascii="Times New Roman" w:eastAsia="Times New Roman" w:hAnsi="Times New Roman" w:cs="Times New Roman"/>
          <w:sz w:val="24"/>
          <w:szCs w:val="24"/>
          <w:lang w:eastAsia="bg-BG"/>
        </w:rPr>
        <w:t xml:space="preserve">Институтът за компютърни науки, </w:t>
      </w:r>
      <w:r w:rsidR="00764E2E">
        <w:rPr>
          <w:rFonts w:ascii="Times New Roman" w:eastAsia="Times New Roman" w:hAnsi="Times New Roman" w:cs="Times New Roman"/>
          <w:sz w:val="24"/>
          <w:szCs w:val="24"/>
          <w:lang w:eastAsia="bg-BG"/>
        </w:rPr>
        <w:t>ИИ</w:t>
      </w:r>
      <w:r w:rsidRPr="00496500">
        <w:rPr>
          <w:rFonts w:ascii="Times New Roman" w:eastAsia="Times New Roman" w:hAnsi="Times New Roman" w:cs="Times New Roman"/>
          <w:sz w:val="24"/>
          <w:szCs w:val="24"/>
          <w:lang w:eastAsia="bg-BG"/>
        </w:rPr>
        <w:t xml:space="preserve"> и технологии (INSAIT) към Софийския университет в областта на ИИ, който привлича световноизвестни учени и е на челните позиции в изследванията по компютърни науки и изкуствен интелект.</w:t>
      </w:r>
      <w:r w:rsidRPr="00496500">
        <w:rPr>
          <w:rFonts w:ascii="Times New Roman" w:hAnsi="Times New Roman" w:cs="Times New Roman"/>
          <w:sz w:val="24"/>
          <w:szCs w:val="24"/>
        </w:rPr>
        <w:t xml:space="preserve"> </w:t>
      </w:r>
      <w:r w:rsidRPr="00496500">
        <w:rPr>
          <w:rFonts w:ascii="Times New Roman" w:eastAsia="Times New Roman" w:hAnsi="Times New Roman" w:cs="Times New Roman"/>
          <w:sz w:val="24"/>
          <w:szCs w:val="24"/>
          <w:lang w:eastAsia="bg-BG"/>
        </w:rPr>
        <w:t xml:space="preserve">Основаният преди три години INSAIT, в партньорство с два от най-добрите технически университета в света, не само създаде българския Chat GPT (BG GPT), разработен и пуснат през 2024 г., но разработи и автоматизиран инструмент, който проверява дали даден модел на ИИ (например GPT-4) отговаря на изискванията на европейския Акт за ИИ, като оценява риска на дадения модел. През м. юли 2025 г. INSAIT стартира и съвместна програма с Лабораторията по изкуствен интелект на Масачузетския технологичен институт (MIT) в САЩ. Главната ѝ цел е да насърчи международното научно сътрудничество и да създаде условия за провеждане на висококачествени изследвания в областта на ИИ и информатиката. Програмата за научен обмен между двете организации е с бюджет от 1 милион щатски долара. Това партньорство ще позволи на български учени да работят във водещия университет в областта на компютърните науки и технологиите. </w:t>
      </w:r>
    </w:p>
    <w:p w14:paraId="6BD7991B" w14:textId="6B874030" w:rsidR="003A5CFD" w:rsidRPr="00496500" w:rsidRDefault="003A5CFD" w:rsidP="003B412E">
      <w:pPr>
        <w:pStyle w:val="NormalWeb"/>
        <w:spacing w:before="0" w:beforeAutospacing="0" w:after="120" w:afterAutospacing="0"/>
        <w:ind w:right="-2" w:firstLine="720"/>
        <w:jc w:val="both"/>
        <w:rPr>
          <w:lang w:val="bg-BG" w:eastAsia="bg-BG"/>
        </w:rPr>
      </w:pPr>
      <w:r w:rsidRPr="00496500">
        <w:rPr>
          <w:lang w:val="bg-BG" w:eastAsia="bg-BG"/>
        </w:rPr>
        <w:t>По отношение на нормативната рамка в областта на ИИ през 2024 г. ЕС прие първата правна рамка в света за установяване на хармонизирани правила относно ИИ въведени с Регламент (ЕС) 2024/1689 (Акт за ИИ). Същият има за цел да установи ясни и приложими правила, които да гарантират безопасното и отговорно използване на системите с ИИ, при спазване на основните права и ценности в Европейския съюз, като същевременно се стимулират иновациите и инвестициите в тази област. Актът за ИИ подкрепя развитието на единния пазар на законни, безопасни и доверени приложения с ИИ при избягване на пазарна фрагментация. Същият налага редица важни задължения на държавите членки, изискващи съществена организационна, административна и правна адаптация. Общият принцип на Акта е основан на идентифицираните рискове при използването на системи с ИИ, което определя диференцирания регулаторен подход. Степените на риск представени в Регламент (ЕС) 2024/1689 са определени чрез следните четири категории: забранени практики, съгласно чл. 5 от Регламента; високорискови системи, съгласно чл. 6 от Регламента; ограничен риск (системи с изкуствен интелект</w:t>
      </w:r>
      <w:r w:rsidR="009C7F4A">
        <w:rPr>
          <w:lang w:val="bg-BG" w:eastAsia="bg-BG"/>
        </w:rPr>
        <w:t>,</w:t>
      </w:r>
      <w:r w:rsidRPr="00496500">
        <w:rPr>
          <w:lang w:val="bg-BG" w:eastAsia="bg-BG"/>
        </w:rPr>
        <w:t xml:space="preserve"> спазващи условията за прозрачност); минимален риск.</w:t>
      </w:r>
    </w:p>
    <w:p w14:paraId="49198E34" w14:textId="77777777" w:rsidR="003A5CFD" w:rsidRPr="00496500" w:rsidRDefault="003A5CFD" w:rsidP="003B412E">
      <w:pPr>
        <w:pStyle w:val="NormalWeb"/>
        <w:spacing w:before="0" w:beforeAutospacing="0" w:after="120" w:afterAutospacing="0"/>
        <w:ind w:right="-2" w:firstLine="720"/>
        <w:jc w:val="both"/>
        <w:rPr>
          <w:lang w:val="bg-BG" w:eastAsia="bg-BG"/>
        </w:rPr>
      </w:pPr>
      <w:r w:rsidRPr="00496500">
        <w:rPr>
          <w:lang w:val="bg-BG" w:eastAsia="bg-BG"/>
        </w:rPr>
        <w:t xml:space="preserve">България беше активен участник в обсъжданията и формирането на българската позиция по проекта на Рамковата конвенция за изкуствения интелект, правата на човека, демокрацията и принципите на правовата държава на Съвета на Европа. Конвенцията установява на основни принципи, правила и права за гарантиране и зачитане правата на </w:t>
      </w:r>
      <w:r w:rsidRPr="00496500">
        <w:rPr>
          <w:lang w:val="bg-BG" w:eastAsia="bg-BG"/>
        </w:rPr>
        <w:lastRenderedPageBreak/>
        <w:t>човека, функционирането на демокрацията и спазването на върховенството на закона в процеса на проектиране, разработване и прилагане на системи с ИИ.</w:t>
      </w:r>
    </w:p>
    <w:p w14:paraId="74714238" w14:textId="77777777" w:rsidR="003A5CFD" w:rsidRPr="00496500" w:rsidRDefault="003A5CFD" w:rsidP="003B412E">
      <w:pPr>
        <w:pStyle w:val="NormalWeb"/>
        <w:spacing w:before="0" w:beforeAutospacing="0" w:after="120" w:afterAutospacing="0"/>
        <w:ind w:right="-2" w:firstLine="720"/>
        <w:jc w:val="both"/>
        <w:rPr>
          <w:lang w:val="bg-BG"/>
        </w:rPr>
      </w:pPr>
      <w:r w:rsidRPr="00496500">
        <w:rPr>
          <w:lang w:val="bg-BG" w:eastAsia="bg-BG"/>
        </w:rPr>
        <w:t>Същевременно, България активно участва в ключови европейски инициативи в областта на ИИ - ч</w:t>
      </w:r>
      <w:r w:rsidRPr="00496500">
        <w:rPr>
          <w:lang w:val="bg-BG"/>
        </w:rPr>
        <w:t xml:space="preserve">лен </w:t>
      </w:r>
      <w:r w:rsidRPr="00496500">
        <w:rPr>
          <w:lang w:val="bg-BG" w:eastAsia="bg-BG"/>
        </w:rPr>
        <w:t xml:space="preserve">на </w:t>
      </w:r>
      <w:r w:rsidRPr="00496500">
        <w:rPr>
          <w:bCs/>
          <w:lang w:val="bg-BG" w:eastAsia="bg-BG"/>
        </w:rPr>
        <w:t>Alliance for Language Technologies (ALT-EDIC) и</w:t>
      </w:r>
      <w:r w:rsidRPr="00496500">
        <w:rPr>
          <w:lang w:val="bg-BG" w:eastAsia="bg-BG"/>
        </w:rPr>
        <w:t xml:space="preserve"> в пилотните</w:t>
      </w:r>
      <w:r w:rsidRPr="00496500">
        <w:rPr>
          <w:lang w:val="bg-BG"/>
        </w:rPr>
        <w:t xml:space="preserve"> консорциуми по Европейския дигитален портфейл (EUDI Wallet). </w:t>
      </w:r>
    </w:p>
    <w:p w14:paraId="38065CAC" w14:textId="02412B3D" w:rsidR="003A5CFD" w:rsidRPr="00496500" w:rsidRDefault="003A5CFD" w:rsidP="00984087">
      <w:pPr>
        <w:pStyle w:val="NormalWeb"/>
        <w:tabs>
          <w:tab w:val="left" w:pos="7797"/>
        </w:tabs>
        <w:spacing w:before="0" w:beforeAutospacing="0" w:after="120" w:afterAutospacing="0"/>
        <w:ind w:right="-2" w:firstLine="720"/>
        <w:jc w:val="both"/>
        <w:rPr>
          <w:lang w:val="bg-BG" w:eastAsia="bg-BG"/>
        </w:rPr>
      </w:pPr>
      <w:r w:rsidRPr="00496500">
        <w:rPr>
          <w:lang w:val="bg-BG" w:eastAsia="bg-BG"/>
        </w:rPr>
        <w:t>По данни на Евростат за 2024 г. 6</w:t>
      </w:r>
      <w:r w:rsidR="007A7C99">
        <w:rPr>
          <w:lang w:val="bg-BG" w:eastAsia="bg-BG"/>
        </w:rPr>
        <w:t>,</w:t>
      </w:r>
      <w:r w:rsidRPr="00496500">
        <w:rPr>
          <w:lang w:val="bg-BG" w:eastAsia="bg-BG"/>
        </w:rPr>
        <w:t>5% от предприятията в България използват ИИ с годишен ръст от предходната година от 78</w:t>
      </w:r>
      <w:r w:rsidR="007A7C99">
        <w:rPr>
          <w:lang w:val="bg-BG" w:eastAsia="bg-BG"/>
        </w:rPr>
        <w:t>,</w:t>
      </w:r>
      <w:r w:rsidRPr="00496500">
        <w:rPr>
          <w:lang w:val="bg-BG" w:eastAsia="bg-BG"/>
        </w:rPr>
        <w:t>73%. Това е сигурен показател за бързите темпове на навлизане на системи с ИИ в предприятията., въпреки че нивото все още е сред най-ниските в ЕС. По-конкретно, използването на си</w:t>
      </w:r>
      <w:r w:rsidR="004079CF" w:rsidRPr="00496500">
        <w:rPr>
          <w:lang w:val="bg-BG" w:eastAsia="bg-BG"/>
        </w:rPr>
        <w:t xml:space="preserve">стеми с ИИ сред МСП е ниско </w:t>
      </w:r>
      <w:r w:rsidR="007A7C99">
        <w:rPr>
          <w:lang w:val="bg-BG" w:eastAsia="bg-BG"/>
        </w:rPr>
        <w:t>–</w:t>
      </w:r>
      <w:r w:rsidR="004079CF" w:rsidRPr="00496500">
        <w:rPr>
          <w:lang w:val="bg-BG" w:eastAsia="bg-BG"/>
        </w:rPr>
        <w:t xml:space="preserve"> 6</w:t>
      </w:r>
      <w:r w:rsidR="007A7C99">
        <w:rPr>
          <w:lang w:val="bg-BG" w:eastAsia="bg-BG"/>
        </w:rPr>
        <w:t>,</w:t>
      </w:r>
      <w:r w:rsidRPr="00496500">
        <w:rPr>
          <w:lang w:val="bg-BG" w:eastAsia="bg-BG"/>
        </w:rPr>
        <w:t>13%, докато при големите предприятия се отчита значително по-ви</w:t>
      </w:r>
      <w:r w:rsidR="004079CF" w:rsidRPr="00496500">
        <w:rPr>
          <w:lang w:val="bg-BG" w:eastAsia="bg-BG"/>
        </w:rPr>
        <w:t>сок процент на използване от 20</w:t>
      </w:r>
      <w:r w:rsidR="007A7C99">
        <w:rPr>
          <w:lang w:val="bg-BG" w:eastAsia="bg-BG"/>
        </w:rPr>
        <w:t>,</w:t>
      </w:r>
      <w:r w:rsidRPr="00496500">
        <w:rPr>
          <w:lang w:val="bg-BG" w:eastAsia="bg-BG"/>
        </w:rPr>
        <w:t xml:space="preserve">19%. </w:t>
      </w:r>
    </w:p>
    <w:p w14:paraId="671E15EA" w14:textId="77777777" w:rsidR="003A5CFD" w:rsidRPr="00496500" w:rsidRDefault="003A5CFD" w:rsidP="003B412E">
      <w:pPr>
        <w:tabs>
          <w:tab w:val="num" w:pos="1134"/>
        </w:tabs>
        <w:spacing w:after="120" w:line="240" w:lineRule="auto"/>
        <w:ind w:right="-2"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 xml:space="preserve">През октомври 2024 г. Министерство на иновациите и растежа подписа договори с 8 </w:t>
      </w:r>
      <w:r w:rsidR="00AA68D1" w:rsidRPr="00496500">
        <w:rPr>
          <w:rFonts w:ascii="Times New Roman" w:eastAsia="Times New Roman" w:hAnsi="Times New Roman" w:cs="Times New Roman"/>
          <w:sz w:val="24"/>
          <w:szCs w:val="24"/>
          <w:lang w:eastAsia="bg-BG"/>
        </w:rPr>
        <w:t>цифрови</w:t>
      </w:r>
      <w:r w:rsidRPr="00496500">
        <w:rPr>
          <w:rFonts w:ascii="Times New Roman" w:eastAsia="Times New Roman" w:hAnsi="Times New Roman" w:cs="Times New Roman"/>
          <w:sz w:val="24"/>
          <w:szCs w:val="24"/>
          <w:lang w:eastAsia="bg-BG"/>
        </w:rPr>
        <w:t xml:space="preserve"> и иновационни хъбове, наградени със „Seal of Excellence“ от Европейската комисия, като един от тях е European Digital Innovation Hub for Big Data, High-Speed Computing and Artificial Intelligence (InnovationAmp). EDIH са отделни субекти или координирани групи от субекти с допълващи се експертни познания, чиято роля е да подкрепят цифровата трансформация на микро, малки и средни предприятия (МСП), малки предприятия със средна капитализация и организации от публичния сектор във връзка с неикономически дейности.</w:t>
      </w:r>
    </w:p>
    <w:p w14:paraId="083B8D46" w14:textId="77777777" w:rsidR="003A5CFD" w:rsidRPr="00496500" w:rsidRDefault="003A5CFD" w:rsidP="003B412E">
      <w:pPr>
        <w:spacing w:after="120" w:line="240" w:lineRule="auto"/>
        <w:ind w:right="-2"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 xml:space="preserve">Правителството на България следи отблизо нивата на приемане на ИИ и иновациите на своите предприятия, като ги категоризира в четири отделни групи: </w:t>
      </w:r>
    </w:p>
    <w:p w14:paraId="6FA7730B" w14:textId="77777777" w:rsidR="003A5CFD" w:rsidRPr="00496500" w:rsidRDefault="003A5CFD" w:rsidP="008E44B5">
      <w:pPr>
        <w:pStyle w:val="ListParagraph"/>
        <w:numPr>
          <w:ilvl w:val="0"/>
          <w:numId w:val="15"/>
        </w:numPr>
        <w:tabs>
          <w:tab w:val="left" w:pos="1134"/>
        </w:tabs>
        <w:spacing w:after="120" w:line="240" w:lineRule="auto"/>
        <w:ind w:left="0" w:right="-2"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Групата на „лидерите“ представлява 14% от българските предприятия, които са най-иновативни и безпроблемно интегрират AI в различни бизнес функции със специални бюджети и силен ангажимент към иновациите.</w:t>
      </w:r>
    </w:p>
    <w:p w14:paraId="05F56B2E" w14:textId="77777777" w:rsidR="003A5CFD" w:rsidRPr="00496500" w:rsidRDefault="003A5CFD" w:rsidP="008E44B5">
      <w:pPr>
        <w:pStyle w:val="ListParagraph"/>
        <w:numPr>
          <w:ilvl w:val="0"/>
          <w:numId w:val="15"/>
        </w:numPr>
        <w:tabs>
          <w:tab w:val="left" w:pos="1134"/>
        </w:tabs>
        <w:spacing w:after="120" w:line="240" w:lineRule="auto"/>
        <w:ind w:left="0" w:right="-2"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Групата „наваксващи“ включва 23% от предприятията, които бързо приемат ИИ и експериментират с множество инструменти. Те често участват в автоматизация на складове и системи за управление, управлявани от ИИ, но са малко по-малко иновативни от лидерите. </w:t>
      </w:r>
    </w:p>
    <w:p w14:paraId="331D72B1" w14:textId="77777777" w:rsidR="003A5CFD" w:rsidRPr="00496500" w:rsidRDefault="003A5CFD" w:rsidP="008E44B5">
      <w:pPr>
        <w:pStyle w:val="ListParagraph"/>
        <w:numPr>
          <w:ilvl w:val="0"/>
          <w:numId w:val="15"/>
        </w:numPr>
        <w:tabs>
          <w:tab w:val="left" w:pos="1134"/>
        </w:tabs>
        <w:spacing w:after="120" w:line="240" w:lineRule="auto"/>
        <w:ind w:left="0" w:right="-2"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 xml:space="preserve">Групата на „изоставащите“ е най-голямата с 41% от предприятията, които имат минимално приемане на ИИ и ограничено разбиране на потенциала му, и които използват ИИ само рядко и повърхностно. </w:t>
      </w:r>
    </w:p>
    <w:p w14:paraId="0BC5C5DF" w14:textId="77777777" w:rsidR="003A5CFD" w:rsidRPr="00496500" w:rsidRDefault="003A5CFD" w:rsidP="008E44B5">
      <w:pPr>
        <w:pStyle w:val="ListParagraph"/>
        <w:numPr>
          <w:ilvl w:val="0"/>
          <w:numId w:val="15"/>
        </w:numPr>
        <w:tabs>
          <w:tab w:val="left" w:pos="1134"/>
        </w:tabs>
        <w:spacing w:after="120" w:line="240" w:lineRule="auto"/>
        <w:ind w:left="0" w:right="-2" w:firstLine="720"/>
        <w:contextualSpacing w:val="0"/>
        <w:jc w:val="both"/>
        <w:rPr>
          <w:rFonts w:ascii="Times New Roman" w:hAnsi="Times New Roman" w:cs="Times New Roman"/>
          <w:sz w:val="24"/>
          <w:szCs w:val="24"/>
        </w:rPr>
      </w:pPr>
      <w:r w:rsidRPr="00496500">
        <w:rPr>
          <w:rFonts w:ascii="Times New Roman" w:hAnsi="Times New Roman" w:cs="Times New Roman"/>
          <w:sz w:val="24"/>
          <w:szCs w:val="24"/>
        </w:rPr>
        <w:t>Групата „Искащи“ се състои от 22% от предприятията, които са ентусиазирани относно ИИ, но имат ограничено реално внедряване, често разпределяйки бюджети, но нямайки необходимите процеси и опит за ефективно приемане.</w:t>
      </w:r>
    </w:p>
    <w:p w14:paraId="3D44C01F" w14:textId="77777777" w:rsidR="003A5CFD" w:rsidRPr="00496500" w:rsidRDefault="003A5CFD" w:rsidP="003B412E">
      <w:pPr>
        <w:spacing w:after="120" w:line="240" w:lineRule="auto"/>
        <w:ind w:right="-2"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Обществена информираност за ИИ значително се повишава. Обществото подкрепя развитието на ИИ като отчита по високата производителност, пестенето на време и възможността за анализиране на големи данни. Освините притеснения са свързани със защита на личните данни, етични рискове, използването на убедителни фалшификати, дезинформацията и загубата на работни места.</w:t>
      </w:r>
    </w:p>
    <w:p w14:paraId="118B4360" w14:textId="19246F72" w:rsidR="005C3AAD" w:rsidRPr="00496500" w:rsidRDefault="003A5CFD" w:rsidP="005C3AAD">
      <w:pPr>
        <w:spacing w:after="120" w:line="240" w:lineRule="auto"/>
        <w:ind w:right="-2"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b/>
          <w:sz w:val="24"/>
          <w:szCs w:val="24"/>
          <w:lang w:eastAsia="bg-BG"/>
        </w:rPr>
        <w:t>Все още има слаба интеграция на ИИ в образователната система.</w:t>
      </w:r>
      <w:r w:rsidRPr="00496500">
        <w:rPr>
          <w:rFonts w:ascii="Times New Roman" w:eastAsia="Times New Roman" w:hAnsi="Times New Roman" w:cs="Times New Roman"/>
          <w:sz w:val="24"/>
          <w:szCs w:val="24"/>
          <w:lang w:eastAsia="bg-BG"/>
        </w:rPr>
        <w:t xml:space="preserve"> Съществуват национални програми за обучение на преподаватели, но с недостатъчен мащаб. </w:t>
      </w:r>
      <w:r w:rsidR="005C3AAD" w:rsidRPr="00496500">
        <w:rPr>
          <w:rFonts w:ascii="Times New Roman" w:eastAsia="Times New Roman" w:hAnsi="Times New Roman" w:cs="Times New Roman"/>
          <w:sz w:val="24"/>
          <w:szCs w:val="24"/>
          <w:lang w:eastAsia="bg-BG"/>
        </w:rPr>
        <w:t>Резултатите от Индекса за готовността за ИИ - проучване на ИПА, проведено в периода април</w:t>
      </w:r>
      <w:r w:rsidR="00BD324B">
        <w:rPr>
          <w:rFonts w:ascii="Times New Roman" w:eastAsia="Times New Roman" w:hAnsi="Times New Roman" w:cs="Times New Roman"/>
          <w:sz w:val="24"/>
          <w:szCs w:val="24"/>
          <w:lang w:eastAsia="bg-BG"/>
        </w:rPr>
        <w:t xml:space="preserve"> </w:t>
      </w:r>
      <w:r w:rsidR="00BD324B">
        <w:rPr>
          <w:rFonts w:ascii="Times New Roman" w:eastAsia="Times New Roman" w:hAnsi="Times New Roman" w:cs="Times New Roman"/>
          <w:sz w:val="24"/>
          <w:szCs w:val="24"/>
          <w:lang w:eastAsia="bg-BG"/>
        </w:rPr>
        <w:sym w:font="Symbol" w:char="F02D"/>
      </w:r>
      <w:r w:rsidR="00BD324B">
        <w:rPr>
          <w:rFonts w:ascii="Times New Roman" w:eastAsia="Times New Roman" w:hAnsi="Times New Roman" w:cs="Times New Roman"/>
          <w:sz w:val="24"/>
          <w:szCs w:val="24"/>
          <w:lang w:eastAsia="bg-BG"/>
        </w:rPr>
        <w:t xml:space="preserve"> </w:t>
      </w:r>
      <w:r w:rsidR="005C3AAD" w:rsidRPr="00496500">
        <w:rPr>
          <w:rFonts w:ascii="Times New Roman" w:eastAsia="Times New Roman" w:hAnsi="Times New Roman" w:cs="Times New Roman"/>
          <w:sz w:val="24"/>
          <w:szCs w:val="24"/>
          <w:lang w:eastAsia="bg-BG"/>
        </w:rPr>
        <w:t>май 2025 г. демонстрират няколко съществени слабости: липсват ясна визия и вътрешни политики за ИИ, ангажираността на ръководствата по темата е слаба, а реалното използване на ИИ е на ниски нива. Повечето служители не са запознати със Законодателният акт за ИИ (Регламент (ЕС) 2024/1689) и институциите все още не са предприели конкретни стъпки за осигуряване на съответствие.</w:t>
      </w:r>
    </w:p>
    <w:p w14:paraId="26A472BF" w14:textId="77777777" w:rsidR="003A5CFD" w:rsidRPr="00496500" w:rsidRDefault="005C3AAD" w:rsidP="005C3AAD">
      <w:pPr>
        <w:spacing w:after="120" w:line="240" w:lineRule="auto"/>
        <w:ind w:right="-2"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lastRenderedPageBreak/>
        <w:t xml:space="preserve">Програмата „Интелигентно управление на данни и ИИ“ от Каталог 2025 на ИПА е с най-голям интерес и заявки от държавните служители и обхваща ключови теми, свързани с технологиите на ИИ и следва да продължи да се предлага и развива. </w:t>
      </w:r>
      <w:r w:rsidR="003A5CFD" w:rsidRPr="00496500">
        <w:rPr>
          <w:rFonts w:ascii="Times New Roman" w:eastAsia="Times New Roman" w:hAnsi="Times New Roman" w:cs="Times New Roman"/>
          <w:sz w:val="24"/>
          <w:szCs w:val="24"/>
          <w:lang w:eastAsia="bg-BG"/>
        </w:rPr>
        <w:t xml:space="preserve">Наблюдава се географски дисбаланс свързан с регионални и социални неравенства по отношение на достъпа до ИИ поради слабо навлизане на цифровите инфраструктури в слабо населените места и липсата на </w:t>
      </w:r>
      <w:r w:rsidR="00AA68D1" w:rsidRPr="00496500">
        <w:rPr>
          <w:rFonts w:ascii="Times New Roman" w:eastAsia="Times New Roman" w:hAnsi="Times New Roman" w:cs="Times New Roman"/>
          <w:sz w:val="24"/>
          <w:szCs w:val="24"/>
          <w:lang w:eastAsia="bg-BG"/>
        </w:rPr>
        <w:t>цифрови</w:t>
      </w:r>
      <w:r w:rsidR="003A5CFD" w:rsidRPr="00496500">
        <w:rPr>
          <w:rFonts w:ascii="Times New Roman" w:eastAsia="Times New Roman" w:hAnsi="Times New Roman" w:cs="Times New Roman"/>
          <w:sz w:val="24"/>
          <w:szCs w:val="24"/>
          <w:lang w:eastAsia="bg-BG"/>
        </w:rPr>
        <w:t xml:space="preserve"> умения. </w:t>
      </w:r>
    </w:p>
    <w:p w14:paraId="0DD2DE0F" w14:textId="77777777" w:rsidR="003A5CFD" w:rsidRPr="00496500" w:rsidRDefault="003A5CFD" w:rsidP="00B21111">
      <w:pPr>
        <w:spacing w:after="24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България разполага с добре изградена научна база и изследователски центрове. В страната щe бъдe пocтpoeнa и eднa oт шecтте нoви фaбpиĸи зa изĸycтвeн интeлeĸт нa EС. Toвa cтaвa възмoжнo, cлeд ĸaтo cтpaнaтa ни cпeчeли пpoeĸт c финaнcиpaнe oт 90 милиoнa eвpo, с активното участие и на INSAIT. Бългapcĸaтa фaбpиĸa за ИИ ВRАІN++ щe зaпoчнe дa ce изгpaждa пpeз 2026-</w:t>
      </w:r>
      <w:r w:rsidR="007C212A" w:rsidRPr="00496500">
        <w:rPr>
          <w:rFonts w:ascii="Times New Roman" w:eastAsia="Times New Roman" w:hAnsi="Times New Roman" w:cs="Times New Roman"/>
          <w:sz w:val="24"/>
          <w:szCs w:val="24"/>
          <w:lang w:eastAsia="bg-BG"/>
        </w:rPr>
        <w:t>т</w:t>
      </w:r>
      <w:r w:rsidRPr="00496500">
        <w:rPr>
          <w:rFonts w:ascii="Times New Roman" w:eastAsia="Times New Roman" w:hAnsi="Times New Roman" w:cs="Times New Roman"/>
          <w:sz w:val="24"/>
          <w:szCs w:val="24"/>
          <w:lang w:eastAsia="bg-BG"/>
        </w:rPr>
        <w:t>a гoдинa. Tя щe ce cъcтoи oт двa ĸлючoви ĸoмпoнeнтa, ĸoитo щe paбoтят в cинepгия: cyпepĸoмпютъp oт нoвo пoĸoлeниe Dіѕсоvеrеr++, oптимизиpaн cъc cиcтeми зa изĸycтвeн интeлeĸт и цeнтъp, ĸoйтo щe пpeдлaгa ycлyги нa пpaвитeлcтвeни, oбpaзoвaтeлни и чacтни opгaнизaции и ĸoмпaнии. ВRАІN++ имa зa цeл дa нaдгpaди пocтигнaтитe peзyлтaти и да пoзициoниpa Бългapия ĸaтo лидep в Eвpoпa в oблacттa нa изĸycтвeния интeлeĸт, ĸaтo нacъpчaвa paзвитиeтo нa тaлaнти, пoдĸpeпя cтapтиpaщи мaлĸи и cpeдни пpeдпpиятия и изcлeдoвaтeли, и cтимyлиpa нaпpeдъĸa в ĸлючoви ceĸтopи ĸaтo poбoтиĸa, индycтpия, ĸocмичecĸи изcлeдвaния, здpaвeoпaзвaнe, ceлcĸo cтoпaнcтвo, фapмaция, yпpaвлeниe нa бeдcтвия, лoгиcтиĸa и гpaдcĸo плaниpaнe, paбoтa c мoдeли зa пpилoжeния нa бългapcĸия eзиĸ и дp. Той също така ще интегрира облачно решение, наречено BulgAI Sandbox, осигуряващо сигурно пространство за МСП и изследователи за разработване, тестване и внедряване на AI решения. Този хибриден подход съчетава българския суперкомпютър Discoverer+ EuroHPC с облачно базирани функции, предлагайки гъвкава и достъпна среда за иновации в ИИ.</w:t>
      </w:r>
    </w:p>
    <w:p w14:paraId="6D9DA2AA" w14:textId="77777777" w:rsidR="002B7E22" w:rsidRPr="00496500" w:rsidRDefault="002B7E22" w:rsidP="006E661C">
      <w:pPr>
        <w:ind w:right="-674"/>
        <w:jc w:val="both"/>
        <w:rPr>
          <w:rFonts w:ascii="Times New Roman" w:hAnsi="Times New Roman" w:cs="Times New Roman"/>
          <w:b/>
          <w:bCs/>
          <w:sz w:val="24"/>
        </w:rPr>
      </w:pPr>
      <w:r w:rsidRPr="00496500">
        <w:rPr>
          <w:rFonts w:ascii="Times New Roman" w:hAnsi="Times New Roman" w:cs="Times New Roman"/>
          <w:b/>
          <w:bCs/>
          <w:sz w:val="24"/>
        </w:rPr>
        <w:t xml:space="preserve">Цифровизация на кръговата икономика и ресурсна ефективност </w:t>
      </w:r>
    </w:p>
    <w:p w14:paraId="53763CF5" w14:textId="77777777" w:rsidR="002B7E22" w:rsidRPr="00496500" w:rsidRDefault="002B7E22" w:rsidP="006E661C">
      <w:pPr>
        <w:spacing w:after="24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Настоящото положение на ИКТ в областта на кръговата икономика и ресурсната ефективност в България се характеризира с начален, фрагментиран, но нарастващ напредък, като основните усилия се концентрират около мониторинг, управление на отпадъци, цифровизация на процесите и платформи за споделяне. Националният план за управление на отпадъците 2021–2028 г. включва мерки за цифровизация, но реализацията им е все още ограничена. България е обвързана с Европейския зелен пакт и Цифровия компас 2030, което предполага ускоряване на ИКТ решенията за устойчивост.</w:t>
      </w:r>
    </w:p>
    <w:p w14:paraId="7A0D5DBD" w14:textId="77777777" w:rsidR="002B7E22" w:rsidRPr="00496500" w:rsidRDefault="002B7E22" w:rsidP="006E661C">
      <w:pPr>
        <w:spacing w:after="24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Министерството на околната среда и водите (МОСВ) поддържа Национална информационна система за отпадъци (НИСО), която събира данни от бизнеса. Въведени са електронни регистри на производители, търговци, оператори на отпадъци и ВЕИ оборудване, но системите не са напълно свързани. Наблюдението на въздействие върху ресурсите (вода, почви, въздух) в контекста на кръгова икономика все още остава ограничено.</w:t>
      </w:r>
    </w:p>
    <w:p w14:paraId="6DD21A96" w14:textId="77777777" w:rsidR="002B7E22" w:rsidRPr="00496500" w:rsidRDefault="002B7E22" w:rsidP="006E661C">
      <w:pPr>
        <w:spacing w:after="24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Някои големи и средни общини използват интелигентни контейнери със сензори за ниво на пълнота, базирани на IoT технологии. За планиране на събиране, сортиране и транспорт на отпадъци се използват ГИС системи и платформи. София, Бургас, Пловдив и Варна имат електронни платформи за справки и докладване за отпадъци и рециклиране.</w:t>
      </w:r>
    </w:p>
    <w:p w14:paraId="3052E14F" w14:textId="77777777" w:rsidR="002B7E22" w:rsidRPr="00496500" w:rsidRDefault="002B7E22" w:rsidP="006E661C">
      <w:pPr>
        <w:spacing w:after="24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В страната се развиват онлайн платформи за продажба и повторна употреба на стоки (напр. OLX, Circular Economy Bulgaria, Sharemat), а малки стартиращи компании и неправителствен сектор създават цифрови решения за устойчиво потребление (zero-waste платформи, локални B2B борси за суровини и отпадъци).</w:t>
      </w:r>
    </w:p>
    <w:p w14:paraId="769A4E11" w14:textId="77777777" w:rsidR="002B7E22" w:rsidRPr="00496500" w:rsidRDefault="002B7E22" w:rsidP="006E661C">
      <w:pPr>
        <w:spacing w:after="24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lastRenderedPageBreak/>
        <w:t>Европейски проекти (по LIFE, Horizon Europe, Interreg и др.) подпомагат пилотни ИКТ инициативи за проследимост на ресурси, повторна употреба и кръгови бизнес модели. Появяват се иновативни български решения, свързани с блокчейн за проследимост на суровини, ИИ за анализ на отпадъчни потоци и платформи за индустриална симбиоза.</w:t>
      </w:r>
    </w:p>
    <w:p w14:paraId="18B1CF20" w14:textId="77777777" w:rsidR="002B7E22" w:rsidRPr="00496500" w:rsidRDefault="00BD693D" w:rsidP="006E661C">
      <w:pPr>
        <w:ind w:right="-674"/>
        <w:jc w:val="both"/>
        <w:rPr>
          <w:rFonts w:ascii="Times New Roman" w:hAnsi="Times New Roman" w:cs="Times New Roman"/>
          <w:b/>
          <w:bCs/>
        </w:rPr>
      </w:pPr>
      <w:r w:rsidRPr="00496500">
        <w:rPr>
          <w:rFonts w:ascii="Times New Roman" w:hAnsi="Times New Roman" w:cs="Times New Roman"/>
          <w:b/>
          <w:bCs/>
        </w:rPr>
        <w:t xml:space="preserve">Сектор </w:t>
      </w:r>
      <w:r w:rsidR="002B7E22" w:rsidRPr="00496500">
        <w:rPr>
          <w:rFonts w:ascii="Times New Roman" w:hAnsi="Times New Roman" w:cs="Times New Roman"/>
          <w:b/>
          <w:bCs/>
        </w:rPr>
        <w:t>„Туризъм“</w:t>
      </w:r>
    </w:p>
    <w:p w14:paraId="7863B64B"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 xml:space="preserve">Настоящото състояние на </w:t>
      </w:r>
      <w:r w:rsidR="00BD693D" w:rsidRPr="00496500">
        <w:rPr>
          <w:rFonts w:ascii="Times New Roman" w:eastAsia="Times New Roman" w:hAnsi="Times New Roman" w:cs="Times New Roman"/>
          <w:sz w:val="24"/>
          <w:szCs w:val="24"/>
          <w:lang w:eastAsia="bg-BG"/>
        </w:rPr>
        <w:t>цифровизация</w:t>
      </w:r>
      <w:r w:rsidRPr="00496500">
        <w:rPr>
          <w:rFonts w:ascii="Times New Roman" w:eastAsia="Times New Roman" w:hAnsi="Times New Roman" w:cs="Times New Roman"/>
          <w:sz w:val="24"/>
          <w:szCs w:val="24"/>
          <w:lang w:eastAsia="bg-BG"/>
        </w:rPr>
        <w:t xml:space="preserve"> в сектор „Туризъм“ в България може да бъде описано като развиващо се, но все още с ниска степен на цифрова трансформация, особено извън големите градове и курортни зони. </w:t>
      </w:r>
    </w:p>
    <w:p w14:paraId="245559E0"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В страната са осигурени възможности за онлайн резервации, цифрови карти, виртуални турове, чатботи, автоматични потвърждения, както и възможност за персонализирани оферти чрез анализ на потребителското поведение (напр. чрез ИИ и Big Data). Онлайн платформи (Booking, TripAdvisor, Google Maps) и социални мрежи позволяват на туристическите обекти да достигат до глобална аудитория. Цифровият маркетинг увеличава международната разпознаваемост на по-малко популярни дестинации (селски, културен, еко-туризъм).</w:t>
      </w:r>
    </w:p>
    <w:p w14:paraId="7965BF50"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ИКТ позволяват събиране на данни за туристически потоци, предпочитания и поведение, което е основа за по-добро планиране и стратегическо управление. Използваните системи за управление на резервации (PMS), връзки с клиенти (CRM), управление на приходи (RMS) и канали за дистрибуция (Channel Manager) повишават ефективността на бизнеса.</w:t>
      </w:r>
    </w:p>
    <w:p w14:paraId="4F695134"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Цифровите решения подобряват отчетността, проследимостта на посетителите и данъчната прозрачност. Съществуват и възможности за въвеждане на електронна туристическа такса и автоматично отчитане към институциите.</w:t>
      </w:r>
    </w:p>
    <w:p w14:paraId="165D1C86"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Използваните интелигентни системи позволяват управление на трафика, туристическия поток и натоварването на инфраструктурата. Качеството на туристическите услуги се подобрява и от наличните геолокационни услуги, мобилни приложения и платформи за обратна връзка.</w:t>
      </w:r>
    </w:p>
    <w:p w14:paraId="0D1BF1FC"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ИКТ дават възможност за изграждане на туристически екосистеми – свързани мрежи между хотели, ресторанти, културни институции и транспортни оператори. Повечето хотели, къщи за гости и туристически агенции имат уебсайтове и профили в социалните мрежи, но качеството и поддръжката варират значително. Малък дял от МСП в туризма използват инструменти за анализ на потребителско поведение, CRM системи или автоматизирани маркетингови платформи, а голям процент от резервациите се правят през външни платформи (Booking, Airbnb), което ограничава прякото взаимодействие между бизнеса и клиента.</w:t>
      </w:r>
    </w:p>
    <w:p w14:paraId="041F17F5"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Разработени са няколко смарт туристически портала (като VisitBulgaria.net, bulgariatravel.org), но повечето са частично актуални или с ограничена интерактивност. Някои общини (Пловдив, Велико Търново, Варна, София) имат мобилни приложения или цифрови маршрути, но обхватът е ограничен. Използването на големи данни и ИИ за анализ на туристически потоци, персонализация и прогнозиране е много ограничено, главно при някои големи вериги или туроператори.</w:t>
      </w:r>
    </w:p>
    <w:p w14:paraId="37E6C974"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Повечето бизнеси предлагат сигурни онлайн разплащания, но малките обекти в селски и еко туризъм често използват неофициални или базови платформи, което повдига въпроси за сигурността и проследимостта.</w:t>
      </w:r>
    </w:p>
    <w:p w14:paraId="2BCB2A81"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Националният туристически регистър е цифровизиран, но не е напълно свързан с други системи като НАП, МВР, НСИ. Регистрацията на гости в много места продължава да се прави ръчно или с несъвместими локални софтуери.</w:t>
      </w:r>
    </w:p>
    <w:p w14:paraId="2C2A55A8"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lastRenderedPageBreak/>
        <w:t>В туристически региони с лоша инфраструктура (Планински, селски, гранични райони) достъпът до бърз интернет, IoT и модерни ИКТ решения остава проблем.</w:t>
      </w:r>
    </w:p>
    <w:p w14:paraId="6F24C9BF"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Малкият бизнес в селския и еко-туризма често не разполага с капацитет за внедряване на ИКТ, поради липса на знания, ресурси и време.</w:t>
      </w:r>
    </w:p>
    <w:p w14:paraId="715C9BAB" w14:textId="77777777" w:rsidR="002B7E22" w:rsidRPr="00496500" w:rsidRDefault="00BD693D" w:rsidP="006E661C">
      <w:pPr>
        <w:spacing w:before="120" w:after="120" w:line="240" w:lineRule="auto"/>
        <w:ind w:right="-674"/>
        <w:jc w:val="both"/>
        <w:rPr>
          <w:rFonts w:ascii="Times New Roman" w:hAnsi="Times New Roman" w:cs="Times New Roman"/>
          <w:b/>
          <w:bCs/>
          <w:sz w:val="24"/>
          <w:szCs w:val="24"/>
        </w:rPr>
      </w:pPr>
      <w:r w:rsidRPr="00496500">
        <w:rPr>
          <w:rFonts w:ascii="Times New Roman" w:hAnsi="Times New Roman" w:cs="Times New Roman"/>
          <w:b/>
          <w:bCs/>
          <w:sz w:val="24"/>
          <w:szCs w:val="24"/>
        </w:rPr>
        <w:t>Н</w:t>
      </w:r>
      <w:r w:rsidR="002B7E22" w:rsidRPr="00496500">
        <w:rPr>
          <w:rFonts w:ascii="Times New Roman" w:hAnsi="Times New Roman" w:cs="Times New Roman"/>
          <w:b/>
          <w:bCs/>
          <w:sz w:val="24"/>
          <w:szCs w:val="24"/>
        </w:rPr>
        <w:t>аучно-изследователска и иновационна екосистема</w:t>
      </w:r>
    </w:p>
    <w:p w14:paraId="08CCF5EC" w14:textId="25D434CE"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Настоящото положение на българската научно</w:t>
      </w:r>
      <w:r w:rsidR="007C212A" w:rsidRPr="00496500">
        <w:rPr>
          <w:rFonts w:ascii="Times New Roman" w:eastAsia="Times New Roman" w:hAnsi="Times New Roman" w:cs="Times New Roman"/>
          <w:sz w:val="24"/>
          <w:szCs w:val="24"/>
          <w:lang w:eastAsia="bg-BG"/>
        </w:rPr>
        <w:t>-</w:t>
      </w:r>
      <w:r w:rsidRPr="00496500">
        <w:rPr>
          <w:rFonts w:ascii="Times New Roman" w:eastAsia="Times New Roman" w:hAnsi="Times New Roman" w:cs="Times New Roman"/>
          <w:sz w:val="24"/>
          <w:szCs w:val="24"/>
          <w:lang w:eastAsia="bg-BG"/>
        </w:rPr>
        <w:t xml:space="preserve">изследователска и иновационна екосистема с насоченост към информационните технологии (ИТ) отразява динамично развитие, но и съществени структурни предизвикателства. България има едно от най-силно развитите ИТ сектори в Югоизточна Европа, с голям принос към БВП (над 6%), както и силно инженерно и ИТ образование; традиции в математика и компютърни науки. В страната писъстват международни компании и </w:t>
      </w:r>
      <w:r w:rsidR="00590B40" w:rsidRPr="00590B40">
        <w:rPr>
          <w:rFonts w:ascii="Times New Roman" w:eastAsia="Times New Roman" w:hAnsi="Times New Roman" w:cs="Times New Roman"/>
          <w:sz w:val="24"/>
          <w:szCs w:val="24"/>
          <w:lang w:val="en-US" w:eastAsia="bg-BG"/>
        </w:rPr>
        <w:t>Центрове за научноизследователска и развойна дейност</w:t>
      </w:r>
      <w:r w:rsidR="00590B40" w:rsidRPr="00590B40">
        <w:rPr>
          <w:rFonts w:ascii="Times New Roman" w:eastAsia="Times New Roman" w:hAnsi="Times New Roman" w:cs="Times New Roman"/>
          <w:sz w:val="24"/>
          <w:szCs w:val="24"/>
          <w:lang w:eastAsia="bg-BG"/>
        </w:rPr>
        <w:t xml:space="preserve"> </w:t>
      </w:r>
      <w:r w:rsidRPr="00496500">
        <w:rPr>
          <w:rFonts w:ascii="Times New Roman" w:eastAsia="Times New Roman" w:hAnsi="Times New Roman" w:cs="Times New Roman"/>
          <w:sz w:val="24"/>
          <w:szCs w:val="24"/>
          <w:lang w:eastAsia="bg-BG"/>
        </w:rPr>
        <w:t xml:space="preserve"> – наличие на развойни офиси на глобални играчи (SAP, VMware, Bosch, HP, Uber и др.). </w:t>
      </w:r>
      <w:r w:rsidR="00F64D96" w:rsidRPr="00496500">
        <w:rPr>
          <w:rFonts w:ascii="Times New Roman" w:eastAsia="Times New Roman" w:hAnsi="Times New Roman" w:cs="Times New Roman"/>
          <w:sz w:val="24"/>
          <w:szCs w:val="24"/>
          <w:lang w:eastAsia="bg-BG"/>
        </w:rPr>
        <w:t xml:space="preserve">Българските висши училища и </w:t>
      </w:r>
      <w:r w:rsidRPr="00496500">
        <w:rPr>
          <w:rFonts w:ascii="Times New Roman" w:eastAsia="Times New Roman" w:hAnsi="Times New Roman" w:cs="Times New Roman"/>
          <w:sz w:val="24"/>
          <w:szCs w:val="24"/>
          <w:lang w:eastAsia="bg-BG"/>
        </w:rPr>
        <w:t xml:space="preserve">научни организации участват в програми на ЕС –„Хоризонт Европа“, „Цифрова Европа“, Digital Innovation Hubs, EDIH и други. По ОП „Наука и образование за интелигентен растеж“ са изградени Центрове за върхови постижения и компетентност. В България функционират и научни паркове и инкубатори – „София Тех Парк“, Пловдивски Тех Парк (в развитие), както и няколко хъбове и мрежи – EDIH Sofia, Varna, Gabrovo, Digital4Foundation и др. </w:t>
      </w:r>
    </w:p>
    <w:p w14:paraId="3A030985" w14:textId="58FA797F"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 xml:space="preserve">Актуалните приоритетни направления в ИТ научните изследвания и иновации са </w:t>
      </w:r>
      <w:r w:rsidR="009C7F4A">
        <w:rPr>
          <w:rFonts w:ascii="Times New Roman" w:eastAsia="Times New Roman" w:hAnsi="Times New Roman" w:cs="Times New Roman"/>
          <w:sz w:val="24"/>
          <w:szCs w:val="24"/>
          <w:lang w:eastAsia="bg-BG"/>
        </w:rPr>
        <w:t>ИИ</w:t>
      </w:r>
      <w:r w:rsidRPr="00496500">
        <w:rPr>
          <w:rFonts w:ascii="Times New Roman" w:eastAsia="Times New Roman" w:hAnsi="Times New Roman" w:cs="Times New Roman"/>
          <w:sz w:val="24"/>
          <w:szCs w:val="24"/>
          <w:lang w:eastAsia="bg-BG"/>
        </w:rPr>
        <w:t>, киберсигурност, облачни технологии, интернет на нещата, роботика и автоматизация, големи данни и предиктивна аналитика.</w:t>
      </w:r>
    </w:p>
    <w:p w14:paraId="2191024B" w14:textId="77777777" w:rsidR="002B7E22" w:rsidRPr="00496500" w:rsidRDefault="002B7E22" w:rsidP="006E661C">
      <w:pPr>
        <w:spacing w:before="120" w:after="120" w:line="240" w:lineRule="auto"/>
        <w:ind w:firstLine="720"/>
        <w:jc w:val="both"/>
        <w:rPr>
          <w:rFonts w:ascii="Times New Roman" w:eastAsia="Times New Roman" w:hAnsi="Times New Roman" w:cs="Times New Roman"/>
          <w:sz w:val="24"/>
          <w:szCs w:val="24"/>
          <w:lang w:eastAsia="bg-BG"/>
        </w:rPr>
      </w:pPr>
      <w:r w:rsidRPr="00496500">
        <w:rPr>
          <w:rFonts w:ascii="Times New Roman" w:eastAsia="Times New Roman" w:hAnsi="Times New Roman" w:cs="Times New Roman"/>
          <w:sz w:val="24"/>
          <w:szCs w:val="24"/>
          <w:lang w:eastAsia="bg-BG"/>
        </w:rPr>
        <w:t>България разполага с</w:t>
      </w:r>
      <w:r w:rsidR="00BD693D" w:rsidRPr="00496500">
        <w:rPr>
          <w:rFonts w:ascii="Times New Roman" w:eastAsia="Times New Roman" w:hAnsi="Times New Roman" w:cs="Times New Roman"/>
          <w:sz w:val="24"/>
          <w:szCs w:val="24"/>
          <w:lang w:eastAsia="bg-BG"/>
        </w:rPr>
        <w:t>ъс</w:t>
      </w:r>
      <w:r w:rsidRPr="00496500">
        <w:rPr>
          <w:rFonts w:ascii="Times New Roman" w:eastAsia="Times New Roman" w:hAnsi="Times New Roman" w:cs="Times New Roman"/>
          <w:sz w:val="24"/>
          <w:szCs w:val="24"/>
          <w:lang w:eastAsia="bg-BG"/>
        </w:rPr>
        <w:t xml:space="preserve"> силен ИТ сектор, но научно-изследователската и иновационна база все още не е напълно интегрирана с индустрията. Системата се нуждае от структурна модернизация, по-добро финансиране, стимули за публично-частни партньорства и ефективна трансформация на резултатите от научната дейност в пазарни иновации.</w:t>
      </w:r>
    </w:p>
    <w:p w14:paraId="5311BBF4" w14:textId="77777777" w:rsidR="002B7E22" w:rsidRPr="00496500" w:rsidRDefault="00BD693D" w:rsidP="003D64E8">
      <w:pPr>
        <w:spacing w:before="120" w:after="120" w:line="240" w:lineRule="auto"/>
        <w:rPr>
          <w:rFonts w:ascii="Times New Roman" w:hAnsi="Times New Roman" w:cs="Times New Roman"/>
          <w:b/>
          <w:bCs/>
          <w:color w:val="0070C0"/>
          <w:sz w:val="24"/>
          <w:szCs w:val="24"/>
        </w:rPr>
      </w:pPr>
      <w:r w:rsidRPr="00496500">
        <w:rPr>
          <w:rFonts w:ascii="Times New Roman" w:hAnsi="Times New Roman" w:cs="Times New Roman"/>
          <w:b/>
          <w:bCs/>
          <w:sz w:val="24"/>
          <w:szCs w:val="24"/>
        </w:rPr>
        <w:t>У</w:t>
      </w:r>
      <w:r w:rsidR="002B7E22" w:rsidRPr="00496500">
        <w:rPr>
          <w:rFonts w:ascii="Times New Roman" w:hAnsi="Times New Roman" w:cs="Times New Roman"/>
          <w:b/>
          <w:bCs/>
          <w:sz w:val="24"/>
          <w:szCs w:val="24"/>
        </w:rPr>
        <w:t xml:space="preserve">мни населени места </w:t>
      </w:r>
    </w:p>
    <w:p w14:paraId="6A646F22" w14:textId="77777777" w:rsidR="002B7E22" w:rsidRPr="00496500" w:rsidRDefault="002B7E22" w:rsidP="003D64E8">
      <w:pPr>
        <w:spacing w:before="120"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България има небалансирано териториално развитие, с концентрация на икономически и човешки ресурси в големите градове – София, Пловдив, Варна, Бургас. Северна и </w:t>
      </w:r>
      <w:r w:rsidR="00D40DB9" w:rsidRPr="00496500">
        <w:rPr>
          <w:rFonts w:ascii="Times New Roman" w:hAnsi="Times New Roman" w:cs="Times New Roman"/>
          <w:sz w:val="24"/>
          <w:szCs w:val="24"/>
        </w:rPr>
        <w:t>С</w:t>
      </w:r>
      <w:r w:rsidRPr="00496500">
        <w:rPr>
          <w:rFonts w:ascii="Times New Roman" w:hAnsi="Times New Roman" w:cs="Times New Roman"/>
          <w:sz w:val="24"/>
          <w:szCs w:val="24"/>
        </w:rPr>
        <w:t>еверозападна България изостават по отношение на инвестиции, инфраструктура и услуги. Съществува риск от засилване на регионалните диспропорции и заради липсата на икономическа диверсификация и демографски спад в селските и отдалечени райони. Много общини нямат достъп до цифрови технологии, високоскоростен интернет или капацитет за интелигентни решения. Цифровата пропаст между големи и малки населени места се задълбочава. Има отделни добри примери (например смарт осветление или камери в села), но те са резултат на отделни проекти, без мащабност или устойчивост.</w:t>
      </w:r>
    </w:p>
    <w:p w14:paraId="2A084FFB" w14:textId="77777777" w:rsidR="002B7E22" w:rsidRPr="00496500" w:rsidRDefault="002B7E22" w:rsidP="003D64E8">
      <w:pPr>
        <w:spacing w:before="120"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Водещи примери за „умни градове“ (Smart Cities) са София, Пловдив, Бургас, частично Варна и Стара Загора, в които са </w:t>
      </w:r>
      <w:r w:rsidR="007C212A" w:rsidRPr="00496500">
        <w:rPr>
          <w:rFonts w:ascii="Times New Roman" w:hAnsi="Times New Roman" w:cs="Times New Roman"/>
          <w:sz w:val="24"/>
          <w:szCs w:val="24"/>
        </w:rPr>
        <w:t>в</w:t>
      </w:r>
      <w:r w:rsidRPr="00496500">
        <w:rPr>
          <w:rFonts w:ascii="Times New Roman" w:hAnsi="Times New Roman" w:cs="Times New Roman"/>
          <w:sz w:val="24"/>
          <w:szCs w:val="24"/>
        </w:rPr>
        <w:t>недрени някои интелигентни решения, напр.: интелигентно улично осветление, видеонаблюдение и системи за сигурност, управление на трафика и паркирането (в София, Пловдив), електронни административни услуги, цифрови платформи за комуникация с гражданите. Въпреки че липсва координирана национална рамка или стратегия за развитието на умни градове. Започват да се прилагат пилотно програми като “Умни селища” (Smart Villages) в рамките на европейската политика за развитие на селските райони.</w:t>
      </w:r>
    </w:p>
    <w:p w14:paraId="1BF127DA" w14:textId="77777777" w:rsidR="00253436" w:rsidRPr="00496500" w:rsidRDefault="00253436" w:rsidP="00B21111">
      <w:pPr>
        <w:spacing w:after="240" w:line="240" w:lineRule="auto"/>
        <w:ind w:firstLine="720"/>
        <w:jc w:val="both"/>
        <w:rPr>
          <w:rFonts w:ascii="Times New Roman" w:eastAsia="Times New Roman" w:hAnsi="Times New Roman" w:cs="Times New Roman"/>
          <w:sz w:val="24"/>
          <w:szCs w:val="24"/>
          <w:lang w:eastAsia="bg-BG"/>
        </w:rPr>
      </w:pPr>
    </w:p>
    <w:p w14:paraId="0D929D9B" w14:textId="77777777" w:rsidR="00EF1CC6" w:rsidRPr="00496500" w:rsidRDefault="00EF1CC6" w:rsidP="00B21111">
      <w:pPr>
        <w:pStyle w:val="ListParagraph"/>
        <w:numPr>
          <w:ilvl w:val="1"/>
          <w:numId w:val="10"/>
        </w:numPr>
        <w:spacing w:before="120" w:after="120" w:line="240" w:lineRule="auto"/>
        <w:ind w:left="567" w:hanging="567"/>
        <w:contextualSpacing w:val="0"/>
        <w:outlineLvl w:val="1"/>
        <w:rPr>
          <w:rFonts w:ascii="Times New Roman" w:hAnsi="Times New Roman" w:cs="Times New Roman"/>
          <w:b/>
          <w:sz w:val="24"/>
          <w:szCs w:val="24"/>
        </w:rPr>
      </w:pPr>
      <w:bookmarkStart w:id="11" w:name="_Toc209084889"/>
      <w:r w:rsidRPr="00496500">
        <w:rPr>
          <w:rFonts w:ascii="Times New Roman" w:hAnsi="Times New Roman" w:cs="Times New Roman"/>
          <w:b/>
          <w:sz w:val="24"/>
          <w:szCs w:val="24"/>
        </w:rPr>
        <w:t>Човешки ресурси</w:t>
      </w:r>
      <w:r w:rsidR="0075769B" w:rsidRPr="00496500">
        <w:rPr>
          <w:rFonts w:ascii="Times New Roman" w:hAnsi="Times New Roman" w:cs="Times New Roman"/>
          <w:b/>
          <w:sz w:val="24"/>
          <w:szCs w:val="24"/>
        </w:rPr>
        <w:t xml:space="preserve">. </w:t>
      </w:r>
      <w:r w:rsidRPr="00496500">
        <w:rPr>
          <w:rFonts w:ascii="Times New Roman" w:hAnsi="Times New Roman" w:cs="Times New Roman"/>
          <w:b/>
          <w:sz w:val="24"/>
          <w:szCs w:val="24"/>
        </w:rPr>
        <w:t>Цифрови умения</w:t>
      </w:r>
      <w:r w:rsidR="007F2AF4" w:rsidRPr="00496500">
        <w:rPr>
          <w:rFonts w:ascii="Times New Roman" w:hAnsi="Times New Roman" w:cs="Times New Roman"/>
          <w:b/>
          <w:sz w:val="24"/>
          <w:szCs w:val="24"/>
        </w:rPr>
        <w:t xml:space="preserve"> и цифрово гражданско общество</w:t>
      </w:r>
      <w:bookmarkEnd w:id="11"/>
    </w:p>
    <w:p w14:paraId="4CB4FAC1" w14:textId="77777777" w:rsidR="00591396" w:rsidRPr="00496500" w:rsidRDefault="00591396" w:rsidP="003B412E">
      <w:pPr>
        <w:spacing w:after="120" w:line="240" w:lineRule="auto"/>
        <w:ind w:right="-2" w:firstLine="720"/>
        <w:jc w:val="both"/>
        <w:rPr>
          <w:rFonts w:ascii="Times New Roman" w:eastAsia="Gill Sans" w:hAnsi="Times New Roman" w:cs="Times New Roman"/>
          <w:b/>
          <w:sz w:val="24"/>
          <w:szCs w:val="24"/>
        </w:rPr>
      </w:pPr>
      <w:r w:rsidRPr="00496500">
        <w:rPr>
          <w:rFonts w:ascii="Times New Roman" w:eastAsia="Gill Sans" w:hAnsi="Times New Roman" w:cs="Times New Roman"/>
          <w:b/>
          <w:sz w:val="24"/>
          <w:szCs w:val="24"/>
        </w:rPr>
        <w:lastRenderedPageBreak/>
        <w:t xml:space="preserve">Настоящото положение на цифровите умения </w:t>
      </w:r>
    </w:p>
    <w:p w14:paraId="5604A7D6" w14:textId="77777777" w:rsidR="00591396" w:rsidRPr="00496500" w:rsidRDefault="00591396" w:rsidP="003B412E">
      <w:pPr>
        <w:spacing w:after="120" w:line="240" w:lineRule="auto"/>
        <w:ind w:right="-2" w:firstLine="720"/>
        <w:jc w:val="both"/>
        <w:rPr>
          <w:rFonts w:ascii="Times New Roman" w:eastAsia="Gill Sans" w:hAnsi="Times New Roman" w:cs="Times New Roman"/>
          <w:sz w:val="24"/>
          <w:szCs w:val="24"/>
        </w:rPr>
      </w:pPr>
      <w:r w:rsidRPr="00496500">
        <w:rPr>
          <w:rFonts w:ascii="Times New Roman" w:eastAsia="Gill Sans" w:hAnsi="Times New Roman" w:cs="Times New Roman"/>
          <w:sz w:val="24"/>
          <w:szCs w:val="24"/>
        </w:rPr>
        <w:t>Цифровите умения и компетенции са приоритет за целия образователен спектър. Достъпът до ИКТ за децата от XXI век е неразделна част от достъпа до образование. Навлизането на иновации, базирани на ИКТ в системата на образованието ще усъвършенства процеса на обучение и ще повиши неговата ефикасност и ефективност. В сферата на образованието се прилагат политики, насочени към изграждане и надграждане на образователна облачна среда и създаване на ресурси, както и към споделяне и интегриране на вече съществуващи и доказали се на национално и международно равнище ресурси. Насърчава се формирането на умения при учениците да станат цифрови създатели, да моделират, програмират и развиват цифрова креативност. Усилията се насочват към въвеждане на специализирани софтуерни решения за анализ и оценяване на образователните резултати.</w:t>
      </w:r>
    </w:p>
    <w:p w14:paraId="0BA7A1E6" w14:textId="77777777" w:rsidR="00591396" w:rsidRPr="00496500" w:rsidRDefault="00591396" w:rsidP="003B412E">
      <w:pPr>
        <w:spacing w:after="120" w:line="240" w:lineRule="auto"/>
        <w:ind w:right="-2" w:firstLine="720"/>
        <w:jc w:val="both"/>
        <w:rPr>
          <w:rFonts w:ascii="Times New Roman" w:eastAsia="Times New Roman" w:hAnsi="Times New Roman" w:cs="Times New Roman"/>
          <w:sz w:val="24"/>
          <w:szCs w:val="24"/>
        </w:rPr>
      </w:pPr>
      <w:r w:rsidRPr="00496500">
        <w:rPr>
          <w:rFonts w:ascii="Times New Roman" w:eastAsia="Times New Roman" w:hAnsi="Times New Roman" w:cs="Times New Roman"/>
          <w:sz w:val="24"/>
          <w:szCs w:val="24"/>
        </w:rPr>
        <w:t xml:space="preserve">Отговорните министерства, отговарящи за развитието на цифровите умения и компетентности са </w:t>
      </w:r>
      <w:r w:rsidRPr="00496500">
        <w:rPr>
          <w:rFonts w:ascii="Times New Roman" w:eastAsia="Times New Roman" w:hAnsi="Times New Roman" w:cs="Times New Roman"/>
          <w:bCs/>
          <w:sz w:val="24"/>
          <w:szCs w:val="24"/>
        </w:rPr>
        <w:t>Министерство на образованието и науката</w:t>
      </w:r>
      <w:r w:rsidRPr="00496500">
        <w:rPr>
          <w:rFonts w:ascii="Times New Roman" w:eastAsia="Times New Roman" w:hAnsi="Times New Roman" w:cs="Times New Roman"/>
          <w:sz w:val="24"/>
          <w:szCs w:val="24"/>
        </w:rPr>
        <w:t xml:space="preserve"> и </w:t>
      </w:r>
      <w:r w:rsidRPr="00496500">
        <w:rPr>
          <w:rFonts w:ascii="Times New Roman" w:eastAsia="Times New Roman" w:hAnsi="Times New Roman" w:cs="Times New Roman"/>
          <w:bCs/>
          <w:sz w:val="24"/>
          <w:szCs w:val="24"/>
        </w:rPr>
        <w:t>Министерство на труда и социалната политика</w:t>
      </w:r>
      <w:r w:rsidRPr="00496500">
        <w:rPr>
          <w:rFonts w:ascii="Times New Roman" w:eastAsia="Times New Roman" w:hAnsi="Times New Roman" w:cs="Times New Roman"/>
          <w:sz w:val="24"/>
          <w:szCs w:val="24"/>
        </w:rPr>
        <w:t xml:space="preserve">. Координирани действия и междусекторен подход се прилагат в сътрудничество и с други органи на изпълнителната власт, за да бъдат гарантирани последователните и целенасочени мерки в секторите на образованието и пазара на труда. </w:t>
      </w:r>
    </w:p>
    <w:p w14:paraId="38FAB046" w14:textId="40351614"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Според </w:t>
      </w:r>
      <w:hyperlink r:id="rId40" w:history="1">
        <w:r w:rsidR="00164CC9" w:rsidRPr="00496500">
          <w:rPr>
            <w:rFonts w:ascii="Times New Roman" w:hAnsi="Times New Roman" w:cs="Times New Roman"/>
            <w:sz w:val="24"/>
            <w:szCs w:val="24"/>
          </w:rPr>
          <w:t>данни за 2023 г.</w:t>
        </w:r>
      </w:hyperlink>
      <w:r w:rsidRPr="00496500">
        <w:rPr>
          <w:rStyle w:val="FootnoteReference"/>
          <w:rFonts w:ascii="Times New Roman" w:hAnsi="Times New Roman" w:cs="Times New Roman"/>
          <w:sz w:val="24"/>
          <w:szCs w:val="24"/>
        </w:rPr>
        <w:footnoteReference w:id="25"/>
      </w:r>
      <w:r w:rsidR="009F7525" w:rsidRPr="00496500">
        <w:rPr>
          <w:rFonts w:ascii="Times New Roman" w:hAnsi="Times New Roman" w:cs="Times New Roman"/>
          <w:sz w:val="24"/>
          <w:szCs w:val="24"/>
        </w:rPr>
        <w:t xml:space="preserve"> 35</w:t>
      </w:r>
      <w:r w:rsidR="003D5C93">
        <w:rPr>
          <w:rFonts w:ascii="Times New Roman" w:hAnsi="Times New Roman" w:cs="Times New Roman"/>
          <w:sz w:val="24"/>
          <w:szCs w:val="24"/>
        </w:rPr>
        <w:t>,</w:t>
      </w:r>
      <w:r w:rsidRPr="00496500">
        <w:rPr>
          <w:rFonts w:ascii="Times New Roman" w:hAnsi="Times New Roman" w:cs="Times New Roman"/>
          <w:sz w:val="24"/>
          <w:szCs w:val="24"/>
        </w:rPr>
        <w:t>5% от хората в България притежават най-малко основни цифрови умения, което е п</w:t>
      </w:r>
      <w:r w:rsidR="004079CF" w:rsidRPr="00496500">
        <w:rPr>
          <w:rFonts w:ascii="Times New Roman" w:hAnsi="Times New Roman" w:cs="Times New Roman"/>
          <w:sz w:val="24"/>
          <w:szCs w:val="24"/>
        </w:rPr>
        <w:t>од средното за ЕС равнище от 55</w:t>
      </w:r>
      <w:r w:rsidR="003D5C93">
        <w:rPr>
          <w:rFonts w:ascii="Times New Roman" w:hAnsi="Times New Roman" w:cs="Times New Roman"/>
          <w:sz w:val="24"/>
          <w:szCs w:val="24"/>
        </w:rPr>
        <w:t>,</w:t>
      </w:r>
      <w:r w:rsidRPr="00496500">
        <w:rPr>
          <w:rFonts w:ascii="Times New Roman" w:hAnsi="Times New Roman" w:cs="Times New Roman"/>
          <w:sz w:val="24"/>
          <w:szCs w:val="24"/>
        </w:rPr>
        <w:t>56 %.</w:t>
      </w:r>
    </w:p>
    <w:p w14:paraId="04493E5B" w14:textId="4D400C23" w:rsidR="00591396"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По отношение на хората с над основни цифрови умения, разликата със средната стойност за ЕС също е много голяма (</w:t>
      </w:r>
      <w:r w:rsidR="007C212A" w:rsidRPr="00496500">
        <w:rPr>
          <w:rFonts w:ascii="Times New Roman" w:hAnsi="Times New Roman" w:cs="Times New Roman"/>
          <w:sz w:val="24"/>
          <w:szCs w:val="24"/>
        </w:rPr>
        <w:t>7</w:t>
      </w:r>
      <w:r w:rsidR="003D5C93">
        <w:rPr>
          <w:rFonts w:ascii="Times New Roman" w:hAnsi="Times New Roman" w:cs="Times New Roman"/>
          <w:sz w:val="24"/>
          <w:szCs w:val="24"/>
        </w:rPr>
        <w:t>,</w:t>
      </w:r>
      <w:r w:rsidR="007C212A" w:rsidRPr="00496500">
        <w:rPr>
          <w:rFonts w:ascii="Times New Roman" w:hAnsi="Times New Roman" w:cs="Times New Roman"/>
          <w:sz w:val="24"/>
          <w:szCs w:val="24"/>
        </w:rPr>
        <w:t>73</w:t>
      </w:r>
      <w:r w:rsidR="009F7525" w:rsidRPr="00496500">
        <w:rPr>
          <w:rFonts w:ascii="Times New Roman" w:hAnsi="Times New Roman" w:cs="Times New Roman"/>
          <w:sz w:val="24"/>
          <w:szCs w:val="24"/>
        </w:rPr>
        <w:t xml:space="preserve">% в сравнение с </w:t>
      </w:r>
      <w:r w:rsidR="007C212A" w:rsidRPr="00496500">
        <w:rPr>
          <w:rFonts w:ascii="Times New Roman" w:hAnsi="Times New Roman" w:cs="Times New Roman"/>
          <w:sz w:val="24"/>
          <w:szCs w:val="24"/>
        </w:rPr>
        <w:t>27</w:t>
      </w:r>
      <w:r w:rsidR="003D5C93">
        <w:rPr>
          <w:rFonts w:ascii="Times New Roman" w:hAnsi="Times New Roman" w:cs="Times New Roman"/>
          <w:sz w:val="24"/>
          <w:szCs w:val="24"/>
        </w:rPr>
        <w:t>,</w:t>
      </w:r>
      <w:r w:rsidR="007C212A" w:rsidRPr="00496500">
        <w:rPr>
          <w:rFonts w:ascii="Times New Roman" w:hAnsi="Times New Roman" w:cs="Times New Roman"/>
          <w:sz w:val="24"/>
          <w:szCs w:val="24"/>
        </w:rPr>
        <w:t>32</w:t>
      </w:r>
      <w:r w:rsidRPr="00496500">
        <w:rPr>
          <w:rFonts w:ascii="Times New Roman" w:hAnsi="Times New Roman" w:cs="Times New Roman"/>
          <w:sz w:val="24"/>
          <w:szCs w:val="24"/>
        </w:rPr>
        <w:t>% на равнище ЕС)</w:t>
      </w:r>
      <w:r w:rsidRPr="00496500">
        <w:rPr>
          <w:rStyle w:val="FootnoteReference"/>
          <w:rFonts w:ascii="Times New Roman" w:hAnsi="Times New Roman" w:cs="Times New Roman"/>
          <w:sz w:val="24"/>
          <w:szCs w:val="24"/>
        </w:rPr>
        <w:footnoteReference w:id="26"/>
      </w:r>
      <w:r w:rsidRPr="00496500">
        <w:rPr>
          <w:rFonts w:ascii="Times New Roman" w:hAnsi="Times New Roman" w:cs="Times New Roman"/>
          <w:sz w:val="24"/>
          <w:szCs w:val="24"/>
        </w:rPr>
        <w:t>. Същевременно, нарастването на предлаганите от предприятията обучения по ИКТ може да доведе до по-широко използване на технологиите в страната.</w:t>
      </w:r>
    </w:p>
    <w:p w14:paraId="70A9CC12" w14:textId="5E130028" w:rsidR="00661041" w:rsidRPr="006D7474" w:rsidRDefault="00944A55" w:rsidP="006D7474">
      <w:pPr>
        <w:pStyle w:val="Caption"/>
        <w:rPr>
          <w:rFonts w:cs="Times New Roman"/>
          <w:i w:val="0"/>
          <w:iCs w:val="0"/>
          <w:sz w:val="20"/>
          <w:szCs w:val="20"/>
        </w:rPr>
      </w:pPr>
      <w:bookmarkStart w:id="12" w:name="_Toc209079343"/>
      <w:r>
        <w:t xml:space="preserve">Таблица </w:t>
      </w:r>
      <w:r>
        <w:fldChar w:fldCharType="begin"/>
      </w:r>
      <w:r>
        <w:instrText xml:space="preserve"> SEQ Таблица \* ARABIC </w:instrText>
      </w:r>
      <w:r>
        <w:fldChar w:fldCharType="separate"/>
      </w:r>
      <w:r>
        <w:rPr>
          <w:noProof/>
        </w:rPr>
        <w:t>5</w:t>
      </w:r>
      <w:r>
        <w:fldChar w:fldCharType="end"/>
      </w:r>
      <w:r>
        <w:t xml:space="preserve"> </w:t>
      </w:r>
      <w:r w:rsidR="00661041" w:rsidRPr="006D7474">
        <w:rPr>
          <w:rFonts w:cs="Times New Roman"/>
          <w:sz w:val="20"/>
          <w:szCs w:val="20"/>
        </w:rPr>
        <w:t>Показатели по отношение на цифрови умения в България</w:t>
      </w:r>
      <w:bookmarkEnd w:id="12"/>
    </w:p>
    <w:tbl>
      <w:tblPr>
        <w:tblOverlap w:val="never"/>
        <w:tblW w:w="9963" w:type="dxa"/>
        <w:jc w:val="cente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ayout w:type="fixed"/>
        <w:tblCellMar>
          <w:left w:w="10" w:type="dxa"/>
          <w:right w:w="10" w:type="dxa"/>
        </w:tblCellMar>
        <w:tblLook w:val="04A0" w:firstRow="1" w:lastRow="0" w:firstColumn="1" w:lastColumn="0" w:noHBand="0" w:noVBand="1"/>
      </w:tblPr>
      <w:tblGrid>
        <w:gridCol w:w="3843"/>
        <w:gridCol w:w="810"/>
        <w:gridCol w:w="990"/>
        <w:gridCol w:w="720"/>
        <w:gridCol w:w="810"/>
        <w:gridCol w:w="900"/>
        <w:gridCol w:w="900"/>
        <w:gridCol w:w="990"/>
      </w:tblGrid>
      <w:tr w:rsidR="00591396" w:rsidRPr="0061613B" w14:paraId="73E68204" w14:textId="77777777" w:rsidTr="003F6000">
        <w:trPr>
          <w:trHeight w:hRule="exact" w:val="344"/>
          <w:jc w:val="center"/>
        </w:trPr>
        <w:tc>
          <w:tcPr>
            <w:tcW w:w="3843" w:type="dxa"/>
            <w:vMerge w:val="restart"/>
            <w:shd w:val="clear" w:color="auto" w:fill="FFF2CC" w:themeFill="accent4" w:themeFillTint="33"/>
            <w:vAlign w:val="center"/>
          </w:tcPr>
          <w:p w14:paraId="08E9E322" w14:textId="77777777" w:rsidR="00591396" w:rsidRPr="0061613B" w:rsidRDefault="00591396" w:rsidP="003B412E">
            <w:pPr>
              <w:widowControl w:val="0"/>
              <w:spacing w:after="120" w:line="240" w:lineRule="auto"/>
              <w:ind w:left="435" w:right="-2" w:hanging="435"/>
              <w:jc w:val="both"/>
              <w:rPr>
                <w:rFonts w:ascii="Times New Roman" w:eastAsia="Times New Roman" w:hAnsi="Times New Roman" w:cs="Times New Roman"/>
              </w:rPr>
            </w:pPr>
          </w:p>
        </w:tc>
        <w:tc>
          <w:tcPr>
            <w:tcW w:w="4230" w:type="dxa"/>
            <w:gridSpan w:val="5"/>
            <w:shd w:val="clear" w:color="auto" w:fill="FFF2CC" w:themeFill="accent4" w:themeFillTint="33"/>
            <w:vAlign w:val="center"/>
          </w:tcPr>
          <w:p w14:paraId="0FBB3A10" w14:textId="77777777" w:rsidR="00591396" w:rsidRPr="0061613B" w:rsidRDefault="00591396" w:rsidP="003B412E">
            <w:pPr>
              <w:widowControl w:val="0"/>
              <w:spacing w:after="120" w:line="240" w:lineRule="auto"/>
              <w:ind w:right="-2"/>
              <w:jc w:val="center"/>
              <w:rPr>
                <w:rFonts w:ascii="Times New Roman" w:eastAsia="Calibri" w:hAnsi="Times New Roman" w:cs="Times New Roman"/>
                <w:b/>
              </w:rPr>
            </w:pPr>
            <w:r w:rsidRPr="0061613B">
              <w:rPr>
                <w:rFonts w:ascii="Times New Roman" w:eastAsia="Calibri" w:hAnsi="Times New Roman" w:cs="Times New Roman"/>
                <w:b/>
              </w:rPr>
              <w:t>България</w:t>
            </w:r>
          </w:p>
        </w:tc>
        <w:tc>
          <w:tcPr>
            <w:tcW w:w="1890" w:type="dxa"/>
            <w:gridSpan w:val="2"/>
            <w:shd w:val="clear" w:color="auto" w:fill="FFF2CC" w:themeFill="accent4" w:themeFillTint="33"/>
            <w:vAlign w:val="center"/>
          </w:tcPr>
          <w:p w14:paraId="1CAF3FD2" w14:textId="77777777" w:rsidR="00591396" w:rsidRPr="0061613B" w:rsidRDefault="00591396" w:rsidP="003B412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b/>
              </w:rPr>
              <w:t>ЕС</w:t>
            </w:r>
          </w:p>
          <w:p w14:paraId="0A30241F" w14:textId="77777777" w:rsidR="00591396" w:rsidRPr="0061613B" w:rsidRDefault="00591396" w:rsidP="003B412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b/>
              </w:rPr>
              <w:t>ЕС</w:t>
            </w:r>
          </w:p>
        </w:tc>
      </w:tr>
      <w:tr w:rsidR="00591396" w:rsidRPr="0061613B" w14:paraId="3E1E75ED" w14:textId="77777777" w:rsidTr="003F6000">
        <w:trPr>
          <w:trHeight w:hRule="exact" w:val="1027"/>
          <w:jc w:val="center"/>
        </w:trPr>
        <w:tc>
          <w:tcPr>
            <w:tcW w:w="3843" w:type="dxa"/>
            <w:vMerge/>
            <w:shd w:val="clear" w:color="auto" w:fill="FFF2CC" w:themeFill="accent4" w:themeFillTint="33"/>
            <w:vAlign w:val="center"/>
          </w:tcPr>
          <w:p w14:paraId="6D16BB9A" w14:textId="77777777" w:rsidR="00591396" w:rsidRPr="0061613B" w:rsidRDefault="00591396" w:rsidP="003B412E">
            <w:pPr>
              <w:widowControl w:val="0"/>
              <w:spacing w:after="120" w:line="240" w:lineRule="auto"/>
              <w:ind w:right="-2"/>
              <w:jc w:val="both"/>
              <w:rPr>
                <w:rFonts w:ascii="Times New Roman" w:eastAsia="Times New Roman" w:hAnsi="Times New Roman" w:cs="Times New Roman"/>
              </w:rPr>
            </w:pPr>
          </w:p>
        </w:tc>
        <w:tc>
          <w:tcPr>
            <w:tcW w:w="810" w:type="dxa"/>
            <w:shd w:val="clear" w:color="auto" w:fill="FFF2CC" w:themeFill="accent4" w:themeFillTint="33"/>
            <w:vAlign w:val="center"/>
          </w:tcPr>
          <w:p w14:paraId="1C27EF5E" w14:textId="77777777" w:rsidR="00591396" w:rsidRPr="0061613B" w:rsidRDefault="00591396" w:rsidP="003B412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b/>
              </w:rPr>
              <w:t>DESI 2021 г.</w:t>
            </w:r>
          </w:p>
        </w:tc>
        <w:tc>
          <w:tcPr>
            <w:tcW w:w="990" w:type="dxa"/>
            <w:shd w:val="clear" w:color="auto" w:fill="FFF2CC" w:themeFill="accent4" w:themeFillTint="33"/>
            <w:vAlign w:val="center"/>
          </w:tcPr>
          <w:p w14:paraId="4316BCB2" w14:textId="77777777" w:rsidR="00591396" w:rsidRPr="0061613B" w:rsidRDefault="00591396" w:rsidP="003B412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b/>
              </w:rPr>
              <w:t>DESI 2022 г.</w:t>
            </w:r>
          </w:p>
        </w:tc>
        <w:tc>
          <w:tcPr>
            <w:tcW w:w="720" w:type="dxa"/>
            <w:shd w:val="clear" w:color="auto" w:fill="FFF2CC" w:themeFill="accent4" w:themeFillTint="33"/>
            <w:vAlign w:val="center"/>
          </w:tcPr>
          <w:p w14:paraId="5A51C072" w14:textId="77777777" w:rsidR="00591396" w:rsidRPr="0061613B" w:rsidRDefault="00591396" w:rsidP="003B412E">
            <w:pPr>
              <w:widowControl w:val="0"/>
              <w:spacing w:after="120" w:line="240" w:lineRule="auto"/>
              <w:ind w:right="-2"/>
              <w:jc w:val="center"/>
              <w:rPr>
                <w:rFonts w:ascii="Times New Roman" w:eastAsia="Times New Roman" w:hAnsi="Times New Roman" w:cs="Times New Roman"/>
              </w:rPr>
            </w:pPr>
            <w:r w:rsidRPr="0061613B">
              <w:rPr>
                <w:rFonts w:ascii="Times New Roman" w:eastAsia="Calibri" w:hAnsi="Times New Roman" w:cs="Times New Roman"/>
                <w:b/>
              </w:rPr>
              <w:t>DESI 2023 г.</w:t>
            </w:r>
          </w:p>
        </w:tc>
        <w:tc>
          <w:tcPr>
            <w:tcW w:w="810" w:type="dxa"/>
            <w:shd w:val="clear" w:color="auto" w:fill="FFF2CC" w:themeFill="accent4" w:themeFillTint="33"/>
            <w:vAlign w:val="center"/>
          </w:tcPr>
          <w:p w14:paraId="0D50AFB5" w14:textId="77777777" w:rsidR="00591396" w:rsidRPr="0061613B" w:rsidRDefault="00591396" w:rsidP="003B412E">
            <w:pPr>
              <w:widowControl w:val="0"/>
              <w:spacing w:after="120" w:line="240" w:lineRule="auto"/>
              <w:ind w:right="-2"/>
              <w:jc w:val="center"/>
              <w:rPr>
                <w:rFonts w:ascii="Times New Roman" w:eastAsia="Times New Roman" w:hAnsi="Times New Roman" w:cs="Times New Roman"/>
              </w:rPr>
            </w:pPr>
            <w:r w:rsidRPr="0061613B">
              <w:rPr>
                <w:rFonts w:ascii="Times New Roman" w:eastAsia="Calibri" w:hAnsi="Times New Roman" w:cs="Times New Roman"/>
                <w:b/>
              </w:rPr>
              <w:t>DESI 2024 г.</w:t>
            </w:r>
          </w:p>
        </w:tc>
        <w:tc>
          <w:tcPr>
            <w:tcW w:w="900" w:type="dxa"/>
            <w:shd w:val="clear" w:color="auto" w:fill="FFF2CC" w:themeFill="accent4" w:themeFillTint="33"/>
            <w:vAlign w:val="center"/>
          </w:tcPr>
          <w:p w14:paraId="6B716182" w14:textId="77777777" w:rsidR="00591396" w:rsidRPr="0061613B" w:rsidRDefault="00591396" w:rsidP="003B412E">
            <w:pPr>
              <w:widowControl w:val="0"/>
              <w:spacing w:after="120" w:line="240" w:lineRule="auto"/>
              <w:ind w:right="-2"/>
              <w:jc w:val="center"/>
              <w:rPr>
                <w:rFonts w:ascii="Times New Roman" w:eastAsia="Times New Roman" w:hAnsi="Times New Roman" w:cs="Times New Roman"/>
              </w:rPr>
            </w:pPr>
            <w:r w:rsidRPr="0061613B">
              <w:rPr>
                <w:rFonts w:ascii="Times New Roman" w:eastAsia="Calibri" w:hAnsi="Times New Roman" w:cs="Times New Roman"/>
                <w:b/>
              </w:rPr>
              <w:t>DESI 2025 г.</w:t>
            </w:r>
          </w:p>
        </w:tc>
        <w:tc>
          <w:tcPr>
            <w:tcW w:w="900" w:type="dxa"/>
            <w:shd w:val="clear" w:color="auto" w:fill="FFF2CC" w:themeFill="accent4" w:themeFillTint="33"/>
            <w:vAlign w:val="center"/>
          </w:tcPr>
          <w:p w14:paraId="77B69F40" w14:textId="77777777" w:rsidR="00591396" w:rsidRPr="0061613B" w:rsidRDefault="00591396" w:rsidP="003B412E">
            <w:pPr>
              <w:widowControl w:val="0"/>
              <w:spacing w:after="120" w:line="240" w:lineRule="auto"/>
              <w:ind w:right="-2"/>
              <w:jc w:val="center"/>
              <w:rPr>
                <w:rFonts w:ascii="Times New Roman" w:eastAsia="Times New Roman" w:hAnsi="Times New Roman" w:cs="Times New Roman"/>
              </w:rPr>
            </w:pPr>
            <w:r w:rsidRPr="0061613B">
              <w:rPr>
                <w:rFonts w:ascii="Times New Roman" w:eastAsia="Calibri" w:hAnsi="Times New Roman" w:cs="Times New Roman"/>
                <w:b/>
              </w:rPr>
              <w:t>DESI 2025 г.</w:t>
            </w:r>
          </w:p>
        </w:tc>
        <w:tc>
          <w:tcPr>
            <w:tcW w:w="990" w:type="dxa"/>
            <w:shd w:val="clear" w:color="auto" w:fill="FFF2CC" w:themeFill="accent4" w:themeFillTint="33"/>
            <w:vAlign w:val="center"/>
          </w:tcPr>
          <w:p w14:paraId="3408512A" w14:textId="77777777" w:rsidR="00591396" w:rsidRPr="0061613B" w:rsidRDefault="00591396" w:rsidP="003B412E">
            <w:pPr>
              <w:widowControl w:val="0"/>
              <w:spacing w:after="120" w:line="240" w:lineRule="auto"/>
              <w:ind w:right="-2"/>
              <w:jc w:val="center"/>
              <w:rPr>
                <w:rFonts w:ascii="Times New Roman" w:eastAsia="Times New Roman" w:hAnsi="Times New Roman" w:cs="Times New Roman"/>
              </w:rPr>
            </w:pPr>
            <w:r w:rsidRPr="0061613B">
              <w:rPr>
                <w:rFonts w:ascii="Times New Roman" w:eastAsia="Calibri" w:hAnsi="Times New Roman" w:cs="Times New Roman"/>
                <w:b/>
              </w:rPr>
              <w:t>Цел за 2030 г.</w:t>
            </w:r>
          </w:p>
        </w:tc>
      </w:tr>
      <w:tr w:rsidR="00591396" w:rsidRPr="0061613B" w14:paraId="59D351B3" w14:textId="77777777" w:rsidTr="003F6000">
        <w:trPr>
          <w:trHeight w:val="710"/>
          <w:jc w:val="center"/>
        </w:trPr>
        <w:tc>
          <w:tcPr>
            <w:tcW w:w="3843" w:type="dxa"/>
            <w:shd w:val="clear" w:color="auto" w:fill="E2EFD9" w:themeFill="accent6" w:themeFillTint="33"/>
            <w:vAlign w:val="center"/>
          </w:tcPr>
          <w:p w14:paraId="319ECB62"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b/>
              </w:rPr>
              <w:t>1а1 Използване на интернет</w:t>
            </w:r>
          </w:p>
          <w:p w14:paraId="33ED309D"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rPr>
              <w:t>% физически лица</w:t>
            </w:r>
          </w:p>
        </w:tc>
        <w:tc>
          <w:tcPr>
            <w:tcW w:w="810" w:type="dxa"/>
            <w:vAlign w:val="center"/>
          </w:tcPr>
          <w:p w14:paraId="2D6ED1DA" w14:textId="4D1539B8"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69</w:t>
            </w:r>
            <w:r w:rsidR="003D5C93" w:rsidRPr="0061613B">
              <w:rPr>
                <w:rFonts w:ascii="Times New Roman" w:eastAsia="Calibri" w:hAnsi="Times New Roman" w:cs="Times New Roman"/>
              </w:rPr>
              <w:t>,</w:t>
            </w:r>
            <w:r w:rsidR="00FF773D" w:rsidRPr="0061613B">
              <w:rPr>
                <w:rFonts w:ascii="Times New Roman" w:eastAsia="Calibri" w:hAnsi="Times New Roman" w:cs="Times New Roman"/>
              </w:rPr>
              <w:t>18</w:t>
            </w:r>
            <w:r w:rsidR="00591396" w:rsidRPr="0061613B">
              <w:rPr>
                <w:rFonts w:ascii="Times New Roman" w:eastAsia="Calibri" w:hAnsi="Times New Roman" w:cs="Times New Roman"/>
              </w:rPr>
              <w:t>%</w:t>
            </w:r>
          </w:p>
          <w:p w14:paraId="0F75515E"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2020</w:t>
            </w:r>
          </w:p>
        </w:tc>
        <w:tc>
          <w:tcPr>
            <w:tcW w:w="990" w:type="dxa"/>
            <w:vAlign w:val="center"/>
          </w:tcPr>
          <w:p w14:paraId="22BF4D54" w14:textId="4254346A" w:rsidR="00591396" w:rsidRPr="0061613B" w:rsidRDefault="00FF773D"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73</w:t>
            </w:r>
            <w:r w:rsidR="003D5C93" w:rsidRPr="0061613B">
              <w:rPr>
                <w:rFonts w:ascii="Times New Roman" w:eastAsia="Calibri" w:hAnsi="Times New Roman" w:cs="Times New Roman"/>
              </w:rPr>
              <w:t>,</w:t>
            </w:r>
            <w:r w:rsidRPr="0061613B">
              <w:rPr>
                <w:rFonts w:ascii="Times New Roman" w:eastAsia="Calibri" w:hAnsi="Times New Roman" w:cs="Times New Roman"/>
              </w:rPr>
              <w:t>93</w:t>
            </w:r>
            <w:r w:rsidR="00591396" w:rsidRPr="0061613B">
              <w:rPr>
                <w:rFonts w:ascii="Times New Roman" w:eastAsia="Calibri" w:hAnsi="Times New Roman" w:cs="Times New Roman"/>
              </w:rPr>
              <w:t>%</w:t>
            </w:r>
          </w:p>
          <w:p w14:paraId="2006629D"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720" w:type="dxa"/>
            <w:vAlign w:val="center"/>
          </w:tcPr>
          <w:p w14:paraId="3001E55F" w14:textId="336BA7EA"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w:t>
            </w:r>
            <w:r w:rsidR="00FF773D" w:rsidRPr="0061613B">
              <w:rPr>
                <w:rFonts w:ascii="Times New Roman" w:eastAsia="Calibri" w:hAnsi="Times New Roman" w:cs="Times New Roman"/>
              </w:rPr>
              <w:t>8</w:t>
            </w:r>
            <w:r w:rsidR="003D5C93" w:rsidRPr="0061613B">
              <w:rPr>
                <w:rFonts w:ascii="Times New Roman" w:eastAsia="Calibri" w:hAnsi="Times New Roman" w:cs="Times New Roman"/>
              </w:rPr>
              <w:t>,</w:t>
            </w:r>
            <w:r w:rsidR="00FF773D" w:rsidRPr="0061613B">
              <w:rPr>
                <w:rFonts w:ascii="Times New Roman" w:eastAsia="Calibri" w:hAnsi="Times New Roman" w:cs="Times New Roman"/>
              </w:rPr>
              <w:t>97</w:t>
            </w:r>
            <w:r w:rsidR="00591396" w:rsidRPr="0061613B">
              <w:rPr>
                <w:rFonts w:ascii="Times New Roman" w:eastAsia="Calibri" w:hAnsi="Times New Roman" w:cs="Times New Roman"/>
              </w:rPr>
              <w:t>%</w:t>
            </w:r>
          </w:p>
          <w:p w14:paraId="53C93A2A"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2022</w:t>
            </w:r>
          </w:p>
        </w:tc>
        <w:tc>
          <w:tcPr>
            <w:tcW w:w="810" w:type="dxa"/>
            <w:vAlign w:val="center"/>
          </w:tcPr>
          <w:p w14:paraId="69C93020" w14:textId="44159AF1"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79</w:t>
            </w:r>
            <w:r w:rsidR="003D5C93" w:rsidRPr="0061613B">
              <w:rPr>
                <w:rFonts w:ascii="Times New Roman" w:eastAsia="Calibri" w:hAnsi="Times New Roman" w:cs="Times New Roman"/>
              </w:rPr>
              <w:t>,</w:t>
            </w:r>
            <w:r w:rsidRPr="0061613B">
              <w:rPr>
                <w:rFonts w:ascii="Times New Roman" w:eastAsia="Calibri" w:hAnsi="Times New Roman" w:cs="Times New Roman"/>
              </w:rPr>
              <w:t>83%</w:t>
            </w:r>
          </w:p>
          <w:p w14:paraId="664837C7"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p>
        </w:tc>
        <w:tc>
          <w:tcPr>
            <w:tcW w:w="900" w:type="dxa"/>
            <w:vAlign w:val="center"/>
          </w:tcPr>
          <w:p w14:paraId="7B90CCAB" w14:textId="0BE5EEB7"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81</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92%</w:t>
            </w:r>
          </w:p>
          <w:p w14:paraId="7D08B43A"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2024</w:t>
            </w:r>
          </w:p>
        </w:tc>
        <w:tc>
          <w:tcPr>
            <w:tcW w:w="900" w:type="dxa"/>
            <w:vAlign w:val="center"/>
          </w:tcPr>
          <w:p w14:paraId="51F71BDE" w14:textId="0F0389D2"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91</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67</w:t>
            </w:r>
            <w:r w:rsidR="00591396" w:rsidRPr="0061613B">
              <w:rPr>
                <w:rFonts w:ascii="Times New Roman" w:eastAsia="Calibri" w:hAnsi="Times New Roman" w:cs="Times New Roman"/>
              </w:rPr>
              <w:t>%</w:t>
            </w:r>
          </w:p>
          <w:p w14:paraId="0FF4E4CD"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2024</w:t>
            </w:r>
          </w:p>
        </w:tc>
        <w:tc>
          <w:tcPr>
            <w:tcW w:w="990" w:type="dxa"/>
            <w:vAlign w:val="center"/>
          </w:tcPr>
          <w:p w14:paraId="40FA3516" w14:textId="77777777" w:rsidR="00591396" w:rsidRPr="0061613B" w:rsidRDefault="00591396" w:rsidP="009103DE">
            <w:pPr>
              <w:widowControl w:val="0"/>
              <w:spacing w:after="120" w:line="240" w:lineRule="auto"/>
              <w:ind w:right="-2"/>
              <w:jc w:val="center"/>
              <w:rPr>
                <w:rFonts w:ascii="Times New Roman" w:eastAsia="Times New Roman" w:hAnsi="Times New Roman" w:cs="Times New Roman"/>
              </w:rPr>
            </w:pPr>
          </w:p>
        </w:tc>
      </w:tr>
      <w:tr w:rsidR="00591396" w:rsidRPr="0061613B" w14:paraId="6EB1485E" w14:textId="77777777" w:rsidTr="003F6000">
        <w:trPr>
          <w:trHeight w:val="923"/>
          <w:jc w:val="center"/>
        </w:trPr>
        <w:tc>
          <w:tcPr>
            <w:tcW w:w="3843" w:type="dxa"/>
            <w:shd w:val="clear" w:color="auto" w:fill="E2EFD9" w:themeFill="accent6" w:themeFillTint="33"/>
            <w:vAlign w:val="center"/>
          </w:tcPr>
          <w:p w14:paraId="1AF22F86"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b/>
              </w:rPr>
              <w:t>1а2 Най-малко основни цифрови умения</w:t>
            </w:r>
          </w:p>
          <w:p w14:paraId="5815E5F2"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rPr>
              <w:t>% физически лица</w:t>
            </w:r>
          </w:p>
        </w:tc>
        <w:tc>
          <w:tcPr>
            <w:tcW w:w="810" w:type="dxa"/>
            <w:vAlign w:val="center"/>
          </w:tcPr>
          <w:p w14:paraId="5B234C94" w14:textId="77777777" w:rsidR="00591396" w:rsidRPr="0061613B" w:rsidRDefault="00565702"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w:t>
            </w:r>
          </w:p>
        </w:tc>
        <w:tc>
          <w:tcPr>
            <w:tcW w:w="990" w:type="dxa"/>
            <w:vAlign w:val="center"/>
          </w:tcPr>
          <w:p w14:paraId="743DB788" w14:textId="15CAFEA1"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31</w:t>
            </w:r>
            <w:r w:rsidR="003D5C93" w:rsidRPr="0061613B">
              <w:rPr>
                <w:rFonts w:ascii="Times New Roman" w:eastAsia="Calibri" w:hAnsi="Times New Roman" w:cs="Times New Roman"/>
              </w:rPr>
              <w:t>,</w:t>
            </w:r>
            <w:r w:rsidR="00FF773D" w:rsidRPr="0061613B">
              <w:rPr>
                <w:rFonts w:ascii="Times New Roman" w:eastAsia="Calibri" w:hAnsi="Times New Roman" w:cs="Times New Roman"/>
              </w:rPr>
              <w:t>18</w:t>
            </w:r>
            <w:r w:rsidR="00591396" w:rsidRPr="0061613B">
              <w:rPr>
                <w:rFonts w:ascii="Times New Roman" w:eastAsia="Calibri" w:hAnsi="Times New Roman" w:cs="Times New Roman"/>
              </w:rPr>
              <w:t>%</w:t>
            </w:r>
          </w:p>
          <w:p w14:paraId="7EB6E094"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720" w:type="dxa"/>
            <w:vAlign w:val="center"/>
          </w:tcPr>
          <w:p w14:paraId="48D2777D" w14:textId="279728F4"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31</w:t>
            </w:r>
            <w:r w:rsidR="003D5C93" w:rsidRPr="0061613B">
              <w:rPr>
                <w:rFonts w:ascii="Times New Roman" w:eastAsia="Calibri" w:hAnsi="Times New Roman" w:cs="Times New Roman"/>
              </w:rPr>
              <w:t>,</w:t>
            </w:r>
            <w:r w:rsidR="00FF773D" w:rsidRPr="0061613B">
              <w:rPr>
                <w:rFonts w:ascii="Times New Roman" w:eastAsia="Calibri" w:hAnsi="Times New Roman" w:cs="Times New Roman"/>
              </w:rPr>
              <w:t>18</w:t>
            </w:r>
            <w:r w:rsidR="00591396" w:rsidRPr="0061613B">
              <w:rPr>
                <w:rFonts w:ascii="Times New Roman" w:eastAsia="Calibri" w:hAnsi="Times New Roman" w:cs="Times New Roman"/>
              </w:rPr>
              <w:t>%</w:t>
            </w:r>
          </w:p>
          <w:p w14:paraId="4D3EDBA3"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810" w:type="dxa"/>
            <w:vAlign w:val="center"/>
          </w:tcPr>
          <w:p w14:paraId="7F7CE543" w14:textId="6D0AD089"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35</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52%</w:t>
            </w:r>
          </w:p>
          <w:p w14:paraId="75742E80"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p>
        </w:tc>
        <w:tc>
          <w:tcPr>
            <w:tcW w:w="900" w:type="dxa"/>
            <w:vAlign w:val="center"/>
          </w:tcPr>
          <w:p w14:paraId="0528EBC0" w14:textId="52EF04F0"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35</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52%</w:t>
            </w:r>
          </w:p>
          <w:p w14:paraId="0DE8D2FC"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r w:rsidRPr="0061613B">
              <w:rPr>
                <w:rStyle w:val="FootnoteReference"/>
                <w:rFonts w:ascii="Times New Roman" w:eastAsia="Calibri" w:hAnsi="Times New Roman" w:cs="Times New Roman"/>
              </w:rPr>
              <w:footnoteReference w:id="27"/>
            </w:r>
          </w:p>
        </w:tc>
        <w:tc>
          <w:tcPr>
            <w:tcW w:w="900" w:type="dxa"/>
            <w:vAlign w:val="center"/>
          </w:tcPr>
          <w:p w14:paraId="37F2C3CC" w14:textId="369D5E0E"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55</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56</w:t>
            </w:r>
            <w:r w:rsidR="00591396" w:rsidRPr="0061613B">
              <w:rPr>
                <w:rFonts w:ascii="Times New Roman" w:eastAsia="Calibri" w:hAnsi="Times New Roman" w:cs="Times New Roman"/>
              </w:rPr>
              <w:t>%</w:t>
            </w:r>
          </w:p>
          <w:p w14:paraId="774E3010"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p>
        </w:tc>
        <w:tc>
          <w:tcPr>
            <w:tcW w:w="990" w:type="dxa"/>
            <w:vAlign w:val="center"/>
          </w:tcPr>
          <w:p w14:paraId="0D96D68B" w14:textId="77777777"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80</w:t>
            </w:r>
            <w:r w:rsidR="00591396" w:rsidRPr="0061613B">
              <w:rPr>
                <w:rFonts w:ascii="Times New Roman" w:eastAsia="Calibri" w:hAnsi="Times New Roman" w:cs="Times New Roman"/>
              </w:rPr>
              <w:t>%</w:t>
            </w:r>
          </w:p>
        </w:tc>
      </w:tr>
      <w:tr w:rsidR="00591396" w:rsidRPr="0061613B" w14:paraId="4039A28A" w14:textId="77777777" w:rsidTr="003F6000">
        <w:trPr>
          <w:trHeight w:val="891"/>
          <w:jc w:val="center"/>
        </w:trPr>
        <w:tc>
          <w:tcPr>
            <w:tcW w:w="3843" w:type="dxa"/>
            <w:shd w:val="clear" w:color="auto" w:fill="E2EFD9" w:themeFill="accent6" w:themeFillTint="33"/>
            <w:vAlign w:val="center"/>
          </w:tcPr>
          <w:p w14:paraId="22322EFE"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b/>
              </w:rPr>
              <w:t>1a3 Над основните цифрови умения</w:t>
            </w:r>
          </w:p>
          <w:p w14:paraId="7A418F07"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rPr>
              <w:t>% физически лица</w:t>
            </w:r>
          </w:p>
        </w:tc>
        <w:tc>
          <w:tcPr>
            <w:tcW w:w="810" w:type="dxa"/>
            <w:vAlign w:val="center"/>
          </w:tcPr>
          <w:p w14:paraId="4018E7B2" w14:textId="77777777" w:rsidR="00591396" w:rsidRPr="0061613B" w:rsidRDefault="00565702"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w:t>
            </w:r>
          </w:p>
        </w:tc>
        <w:tc>
          <w:tcPr>
            <w:tcW w:w="990" w:type="dxa"/>
            <w:vAlign w:val="center"/>
          </w:tcPr>
          <w:p w14:paraId="167D5DBA" w14:textId="4E2E0405" w:rsidR="00591396" w:rsidRPr="0061613B" w:rsidRDefault="00FF773D"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w:t>
            </w:r>
            <w:r w:rsidR="003D5C93" w:rsidRPr="0061613B">
              <w:rPr>
                <w:rFonts w:ascii="Times New Roman" w:eastAsia="Calibri" w:hAnsi="Times New Roman" w:cs="Times New Roman"/>
              </w:rPr>
              <w:t>,</w:t>
            </w:r>
            <w:r w:rsidRPr="0061613B">
              <w:rPr>
                <w:rFonts w:ascii="Times New Roman" w:eastAsia="Calibri" w:hAnsi="Times New Roman" w:cs="Times New Roman"/>
              </w:rPr>
              <w:t>82</w:t>
            </w:r>
            <w:r w:rsidR="00591396" w:rsidRPr="0061613B">
              <w:rPr>
                <w:rFonts w:ascii="Times New Roman" w:eastAsia="Calibri" w:hAnsi="Times New Roman" w:cs="Times New Roman"/>
              </w:rPr>
              <w:t> %</w:t>
            </w:r>
          </w:p>
          <w:p w14:paraId="628155AD"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720" w:type="dxa"/>
            <w:vAlign w:val="center"/>
          </w:tcPr>
          <w:p w14:paraId="16C0B507" w14:textId="565D11DA" w:rsidR="00591396" w:rsidRPr="0061613B" w:rsidRDefault="00FF773D"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w:t>
            </w:r>
            <w:r w:rsidR="003D5C93" w:rsidRPr="0061613B">
              <w:rPr>
                <w:rFonts w:ascii="Times New Roman" w:eastAsia="Calibri" w:hAnsi="Times New Roman" w:cs="Times New Roman"/>
              </w:rPr>
              <w:t>,</w:t>
            </w:r>
            <w:r w:rsidRPr="0061613B">
              <w:rPr>
                <w:rFonts w:ascii="Times New Roman" w:eastAsia="Calibri" w:hAnsi="Times New Roman" w:cs="Times New Roman"/>
              </w:rPr>
              <w:t>82 </w:t>
            </w:r>
            <w:r w:rsidR="00591396" w:rsidRPr="0061613B">
              <w:rPr>
                <w:rFonts w:ascii="Times New Roman" w:eastAsia="Calibri" w:hAnsi="Times New Roman" w:cs="Times New Roman"/>
              </w:rPr>
              <w:t>%</w:t>
            </w:r>
          </w:p>
          <w:p w14:paraId="79ED8596"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810" w:type="dxa"/>
            <w:vAlign w:val="center"/>
          </w:tcPr>
          <w:p w14:paraId="282AC69A" w14:textId="4B82B076"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73%</w:t>
            </w:r>
          </w:p>
          <w:p w14:paraId="0C11C635"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p>
        </w:tc>
        <w:tc>
          <w:tcPr>
            <w:tcW w:w="900" w:type="dxa"/>
            <w:vAlign w:val="center"/>
          </w:tcPr>
          <w:p w14:paraId="20EDA4F0" w14:textId="6FB877A8"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7</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73%</w:t>
            </w:r>
          </w:p>
          <w:p w14:paraId="57DD622E"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r w:rsidRPr="0061613B">
              <w:rPr>
                <w:rStyle w:val="FootnoteReference"/>
                <w:rFonts w:ascii="Times New Roman" w:eastAsia="Calibri" w:hAnsi="Times New Roman" w:cs="Times New Roman"/>
              </w:rPr>
              <w:footnoteReference w:id="28"/>
            </w:r>
          </w:p>
        </w:tc>
        <w:tc>
          <w:tcPr>
            <w:tcW w:w="900" w:type="dxa"/>
            <w:vAlign w:val="center"/>
          </w:tcPr>
          <w:p w14:paraId="630C5421" w14:textId="12D34B3D"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27</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32</w:t>
            </w:r>
            <w:r w:rsidR="00591396" w:rsidRPr="0061613B">
              <w:rPr>
                <w:rFonts w:ascii="Times New Roman" w:eastAsia="Calibri" w:hAnsi="Times New Roman" w:cs="Times New Roman"/>
              </w:rPr>
              <w:t>%</w:t>
            </w:r>
          </w:p>
          <w:p w14:paraId="6B045286"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p>
        </w:tc>
        <w:tc>
          <w:tcPr>
            <w:tcW w:w="990" w:type="dxa"/>
            <w:vAlign w:val="center"/>
          </w:tcPr>
          <w:p w14:paraId="1FDEC509" w14:textId="77777777" w:rsidR="00591396" w:rsidRPr="0061613B" w:rsidRDefault="00591396" w:rsidP="009103DE">
            <w:pPr>
              <w:widowControl w:val="0"/>
              <w:spacing w:after="120" w:line="240" w:lineRule="auto"/>
              <w:ind w:right="-2"/>
              <w:jc w:val="center"/>
              <w:rPr>
                <w:rFonts w:ascii="Times New Roman" w:eastAsia="Times New Roman" w:hAnsi="Times New Roman" w:cs="Times New Roman"/>
              </w:rPr>
            </w:pPr>
          </w:p>
        </w:tc>
      </w:tr>
      <w:tr w:rsidR="00591396" w:rsidRPr="0061613B" w14:paraId="3FD66F0D" w14:textId="77777777" w:rsidTr="003F6000">
        <w:trPr>
          <w:trHeight w:hRule="exact" w:val="1095"/>
          <w:jc w:val="center"/>
        </w:trPr>
        <w:tc>
          <w:tcPr>
            <w:tcW w:w="3843" w:type="dxa"/>
            <w:shd w:val="clear" w:color="auto" w:fill="E2EFD9" w:themeFill="accent6" w:themeFillTint="33"/>
            <w:vAlign w:val="center"/>
          </w:tcPr>
          <w:p w14:paraId="7E1D71C7" w14:textId="77777777" w:rsidR="00591396" w:rsidRPr="0061613B" w:rsidRDefault="00591396" w:rsidP="003B412E">
            <w:pPr>
              <w:widowControl w:val="0"/>
              <w:spacing w:after="120" w:line="240" w:lineRule="auto"/>
              <w:ind w:left="80" w:right="-2"/>
              <w:jc w:val="both"/>
              <w:rPr>
                <w:rFonts w:ascii="Times New Roman" w:eastAsia="Calibri" w:hAnsi="Times New Roman" w:cs="Times New Roman"/>
                <w:b/>
              </w:rPr>
            </w:pPr>
            <w:r w:rsidRPr="0061613B">
              <w:rPr>
                <w:rFonts w:ascii="Times New Roman" w:eastAsia="Calibri" w:hAnsi="Times New Roman" w:cs="Times New Roman"/>
                <w:b/>
              </w:rPr>
              <w:t>1а5 Предприятия, предоставящи обучение в областта на ИКТ</w:t>
            </w:r>
          </w:p>
          <w:p w14:paraId="4AA2E3D7" w14:textId="77777777" w:rsidR="00591396" w:rsidRPr="0061613B" w:rsidRDefault="00591396" w:rsidP="003B412E">
            <w:pPr>
              <w:widowControl w:val="0"/>
              <w:spacing w:after="120" w:line="240" w:lineRule="auto"/>
              <w:ind w:left="80" w:right="-2"/>
              <w:jc w:val="both"/>
              <w:rPr>
                <w:rFonts w:ascii="Times New Roman" w:eastAsia="Calibri" w:hAnsi="Times New Roman" w:cs="Times New Roman"/>
              </w:rPr>
            </w:pPr>
            <w:r w:rsidRPr="0061613B">
              <w:rPr>
                <w:rFonts w:ascii="Times New Roman" w:eastAsia="Calibri" w:hAnsi="Times New Roman" w:cs="Times New Roman"/>
              </w:rPr>
              <w:t>% предприятия</w:t>
            </w:r>
          </w:p>
        </w:tc>
        <w:tc>
          <w:tcPr>
            <w:tcW w:w="810" w:type="dxa"/>
            <w:vAlign w:val="center"/>
          </w:tcPr>
          <w:p w14:paraId="660B9561" w14:textId="4EFA2984" w:rsidR="00591396" w:rsidRPr="0061613B" w:rsidRDefault="00FF773D"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6</w:t>
            </w:r>
            <w:r w:rsidR="003D5C93" w:rsidRPr="0061613B">
              <w:rPr>
                <w:rFonts w:ascii="Times New Roman" w:eastAsia="Calibri" w:hAnsi="Times New Roman" w:cs="Times New Roman"/>
              </w:rPr>
              <w:t>,</w:t>
            </w:r>
            <w:r w:rsidRPr="0061613B">
              <w:rPr>
                <w:rFonts w:ascii="Times New Roman" w:eastAsia="Calibri" w:hAnsi="Times New Roman" w:cs="Times New Roman"/>
              </w:rPr>
              <w:t>7</w:t>
            </w:r>
            <w:r w:rsidR="00591396" w:rsidRPr="0061613B">
              <w:rPr>
                <w:rFonts w:ascii="Times New Roman" w:eastAsia="Calibri" w:hAnsi="Times New Roman" w:cs="Times New Roman"/>
              </w:rPr>
              <w:t>%</w:t>
            </w:r>
          </w:p>
          <w:p w14:paraId="656EA81E"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2020</w:t>
            </w:r>
          </w:p>
        </w:tc>
        <w:tc>
          <w:tcPr>
            <w:tcW w:w="990" w:type="dxa"/>
            <w:vAlign w:val="center"/>
          </w:tcPr>
          <w:p w14:paraId="613466BB" w14:textId="6E179C4B" w:rsidR="00591396" w:rsidRPr="0061613B" w:rsidRDefault="00FF773D"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6</w:t>
            </w:r>
            <w:r w:rsidR="003D5C93" w:rsidRPr="0061613B">
              <w:rPr>
                <w:rFonts w:ascii="Times New Roman" w:eastAsia="Calibri" w:hAnsi="Times New Roman" w:cs="Times New Roman"/>
              </w:rPr>
              <w:t>,</w:t>
            </w:r>
            <w:r w:rsidRPr="0061613B">
              <w:rPr>
                <w:rFonts w:ascii="Times New Roman" w:eastAsia="Calibri" w:hAnsi="Times New Roman" w:cs="Times New Roman"/>
              </w:rPr>
              <w:t>7</w:t>
            </w:r>
            <w:r w:rsidR="00591396" w:rsidRPr="0061613B">
              <w:rPr>
                <w:rFonts w:ascii="Times New Roman" w:eastAsia="Calibri" w:hAnsi="Times New Roman" w:cs="Times New Roman"/>
              </w:rPr>
              <w:t>%</w:t>
            </w:r>
          </w:p>
          <w:p w14:paraId="3255F9FD"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2020</w:t>
            </w:r>
          </w:p>
        </w:tc>
        <w:tc>
          <w:tcPr>
            <w:tcW w:w="720" w:type="dxa"/>
            <w:vAlign w:val="center"/>
          </w:tcPr>
          <w:p w14:paraId="27642186" w14:textId="1AD3E64E"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9</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06</w:t>
            </w:r>
            <w:r w:rsidR="00591396" w:rsidRPr="0061613B">
              <w:rPr>
                <w:rFonts w:ascii="Times New Roman" w:eastAsia="Calibri" w:hAnsi="Times New Roman" w:cs="Times New Roman"/>
              </w:rPr>
              <w:t>%</w:t>
            </w:r>
          </w:p>
          <w:p w14:paraId="4766D783"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2022</w:t>
            </w:r>
          </w:p>
        </w:tc>
        <w:tc>
          <w:tcPr>
            <w:tcW w:w="810" w:type="dxa"/>
            <w:vAlign w:val="center"/>
          </w:tcPr>
          <w:p w14:paraId="4F66A185" w14:textId="4E36F7F5"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9</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06</w:t>
            </w:r>
            <w:r w:rsidR="00591396" w:rsidRPr="0061613B">
              <w:rPr>
                <w:rFonts w:ascii="Times New Roman" w:eastAsia="Calibri" w:hAnsi="Times New Roman" w:cs="Times New Roman"/>
              </w:rPr>
              <w:t>%</w:t>
            </w:r>
          </w:p>
          <w:p w14:paraId="2F4F387E"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2022</w:t>
            </w:r>
          </w:p>
        </w:tc>
        <w:tc>
          <w:tcPr>
            <w:tcW w:w="900" w:type="dxa"/>
            <w:vAlign w:val="center"/>
          </w:tcPr>
          <w:p w14:paraId="0D371710" w14:textId="2DD33FA2"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9</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11%</w:t>
            </w:r>
          </w:p>
          <w:p w14:paraId="157C79C3"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2024</w:t>
            </w:r>
          </w:p>
        </w:tc>
        <w:tc>
          <w:tcPr>
            <w:tcW w:w="900" w:type="dxa"/>
            <w:vAlign w:val="center"/>
          </w:tcPr>
          <w:p w14:paraId="6357E31D" w14:textId="1C3CE439"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22</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29</w:t>
            </w:r>
            <w:r w:rsidR="00591396" w:rsidRPr="0061613B">
              <w:rPr>
                <w:rFonts w:ascii="Times New Roman" w:eastAsia="Calibri" w:hAnsi="Times New Roman" w:cs="Times New Roman"/>
              </w:rPr>
              <w:t>%</w:t>
            </w:r>
          </w:p>
          <w:p w14:paraId="3DB0AEFF"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2024</w:t>
            </w:r>
          </w:p>
        </w:tc>
        <w:tc>
          <w:tcPr>
            <w:tcW w:w="990" w:type="dxa"/>
            <w:vAlign w:val="center"/>
          </w:tcPr>
          <w:p w14:paraId="3E362FD9" w14:textId="77777777" w:rsidR="00591396" w:rsidRPr="0061613B" w:rsidRDefault="00591396" w:rsidP="009103DE">
            <w:pPr>
              <w:widowControl w:val="0"/>
              <w:spacing w:after="120" w:line="240" w:lineRule="auto"/>
              <w:ind w:right="-2"/>
              <w:jc w:val="center"/>
              <w:rPr>
                <w:rFonts w:ascii="Times New Roman" w:eastAsia="Times New Roman" w:hAnsi="Times New Roman" w:cs="Times New Roman"/>
              </w:rPr>
            </w:pPr>
          </w:p>
        </w:tc>
      </w:tr>
      <w:tr w:rsidR="00591396" w:rsidRPr="0061613B" w14:paraId="1238B4AD" w14:textId="77777777" w:rsidTr="003F6000">
        <w:trPr>
          <w:trHeight w:hRule="exact" w:val="640"/>
          <w:jc w:val="center"/>
        </w:trPr>
        <w:tc>
          <w:tcPr>
            <w:tcW w:w="3843" w:type="dxa"/>
            <w:shd w:val="clear" w:color="auto" w:fill="E2EFD9" w:themeFill="accent6" w:themeFillTint="33"/>
            <w:vAlign w:val="center"/>
          </w:tcPr>
          <w:p w14:paraId="206F09AF"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b/>
              </w:rPr>
              <w:lastRenderedPageBreak/>
              <w:t>1б1 специалисти в областта на ИКТ</w:t>
            </w:r>
          </w:p>
        </w:tc>
        <w:tc>
          <w:tcPr>
            <w:tcW w:w="810" w:type="dxa"/>
            <w:vAlign w:val="center"/>
          </w:tcPr>
          <w:p w14:paraId="5ED34EBF" w14:textId="670C254A"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3</w:t>
            </w:r>
            <w:r w:rsidR="00591396" w:rsidRPr="0061613B">
              <w:rPr>
                <w:rFonts w:ascii="Times New Roman" w:eastAsia="Calibri" w:hAnsi="Times New Roman" w:cs="Times New Roman"/>
              </w:rPr>
              <w:t>%</w:t>
            </w:r>
          </w:p>
        </w:tc>
        <w:tc>
          <w:tcPr>
            <w:tcW w:w="990" w:type="dxa"/>
            <w:vAlign w:val="center"/>
          </w:tcPr>
          <w:p w14:paraId="6B80DCDC" w14:textId="57FF65C4"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5</w:t>
            </w:r>
            <w:r w:rsidR="00591396" w:rsidRPr="0061613B">
              <w:rPr>
                <w:rFonts w:ascii="Times New Roman" w:eastAsia="Calibri" w:hAnsi="Times New Roman" w:cs="Times New Roman"/>
              </w:rPr>
              <w:t>%</w:t>
            </w:r>
          </w:p>
        </w:tc>
        <w:tc>
          <w:tcPr>
            <w:tcW w:w="720" w:type="dxa"/>
            <w:vAlign w:val="center"/>
          </w:tcPr>
          <w:p w14:paraId="49A5DE34" w14:textId="7BF000E4"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3</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8</w:t>
            </w:r>
            <w:r w:rsidR="00591396" w:rsidRPr="0061613B">
              <w:rPr>
                <w:rFonts w:ascii="Times New Roman" w:eastAsia="Calibri" w:hAnsi="Times New Roman" w:cs="Times New Roman"/>
              </w:rPr>
              <w:t>%</w:t>
            </w:r>
          </w:p>
        </w:tc>
        <w:tc>
          <w:tcPr>
            <w:tcW w:w="810" w:type="dxa"/>
            <w:vAlign w:val="center"/>
          </w:tcPr>
          <w:p w14:paraId="7B4A5B83" w14:textId="415F3239"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30%</w:t>
            </w:r>
          </w:p>
        </w:tc>
        <w:tc>
          <w:tcPr>
            <w:tcW w:w="900" w:type="dxa"/>
            <w:vAlign w:val="center"/>
          </w:tcPr>
          <w:p w14:paraId="6EA59CA2" w14:textId="7C16973C"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60%</w:t>
            </w:r>
          </w:p>
        </w:tc>
        <w:tc>
          <w:tcPr>
            <w:tcW w:w="900" w:type="dxa"/>
            <w:vAlign w:val="center"/>
          </w:tcPr>
          <w:p w14:paraId="6276F05B" w14:textId="77777777"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5</w:t>
            </w:r>
            <w:r w:rsidR="00591396" w:rsidRPr="0061613B">
              <w:rPr>
                <w:rFonts w:ascii="Times New Roman" w:eastAsia="Calibri" w:hAnsi="Times New Roman" w:cs="Times New Roman"/>
              </w:rPr>
              <w:t>%</w:t>
            </w:r>
          </w:p>
        </w:tc>
        <w:tc>
          <w:tcPr>
            <w:tcW w:w="990" w:type="dxa"/>
            <w:vAlign w:val="center"/>
          </w:tcPr>
          <w:p w14:paraId="07EFB67E"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 милиона</w:t>
            </w:r>
          </w:p>
        </w:tc>
      </w:tr>
      <w:tr w:rsidR="00591396" w:rsidRPr="0061613B" w14:paraId="588DB6B2" w14:textId="77777777" w:rsidTr="003F6000">
        <w:trPr>
          <w:trHeight w:hRule="exact" w:val="712"/>
          <w:jc w:val="center"/>
        </w:trPr>
        <w:tc>
          <w:tcPr>
            <w:tcW w:w="3843" w:type="dxa"/>
            <w:shd w:val="clear" w:color="auto" w:fill="E2EFD9" w:themeFill="accent6" w:themeFillTint="33"/>
            <w:vAlign w:val="center"/>
          </w:tcPr>
          <w:p w14:paraId="24780D77"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rPr>
              <w:t>% заети лица на възраст 15—74 години</w:t>
            </w:r>
          </w:p>
        </w:tc>
        <w:tc>
          <w:tcPr>
            <w:tcW w:w="810" w:type="dxa"/>
            <w:vAlign w:val="center"/>
          </w:tcPr>
          <w:p w14:paraId="2CA9660C"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2020</w:t>
            </w:r>
          </w:p>
        </w:tc>
        <w:tc>
          <w:tcPr>
            <w:tcW w:w="990" w:type="dxa"/>
            <w:vAlign w:val="center"/>
          </w:tcPr>
          <w:p w14:paraId="79BCAFB3"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720" w:type="dxa"/>
            <w:vAlign w:val="center"/>
          </w:tcPr>
          <w:p w14:paraId="56AD61F5"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2022</w:t>
            </w:r>
          </w:p>
        </w:tc>
        <w:tc>
          <w:tcPr>
            <w:tcW w:w="810" w:type="dxa"/>
            <w:vAlign w:val="center"/>
          </w:tcPr>
          <w:p w14:paraId="5493DEA0"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2023</w:t>
            </w:r>
          </w:p>
        </w:tc>
        <w:tc>
          <w:tcPr>
            <w:tcW w:w="900" w:type="dxa"/>
            <w:vAlign w:val="center"/>
          </w:tcPr>
          <w:p w14:paraId="47D08C2C"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2024</w:t>
            </w:r>
          </w:p>
        </w:tc>
        <w:tc>
          <w:tcPr>
            <w:tcW w:w="900" w:type="dxa"/>
            <w:vAlign w:val="center"/>
          </w:tcPr>
          <w:p w14:paraId="269E4AFA"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2024</w:t>
            </w:r>
          </w:p>
        </w:tc>
        <w:tc>
          <w:tcPr>
            <w:tcW w:w="990" w:type="dxa"/>
            <w:vAlign w:val="center"/>
          </w:tcPr>
          <w:p w14:paraId="21AF2E3E" w14:textId="77777777" w:rsidR="00591396" w:rsidRPr="0061613B" w:rsidRDefault="004079CF"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 10</w:t>
            </w:r>
            <w:r w:rsidR="00591396" w:rsidRPr="0061613B">
              <w:rPr>
                <w:rFonts w:ascii="Times New Roman" w:eastAsia="Calibri" w:hAnsi="Times New Roman" w:cs="Times New Roman"/>
              </w:rPr>
              <w:t>%</w:t>
            </w:r>
          </w:p>
        </w:tc>
      </w:tr>
      <w:tr w:rsidR="00591396" w:rsidRPr="0061613B" w14:paraId="1F0FAF0D" w14:textId="77777777" w:rsidTr="003F6000">
        <w:trPr>
          <w:trHeight w:val="683"/>
          <w:jc w:val="center"/>
        </w:trPr>
        <w:tc>
          <w:tcPr>
            <w:tcW w:w="3843" w:type="dxa"/>
            <w:shd w:val="clear" w:color="auto" w:fill="E2EFD9" w:themeFill="accent6" w:themeFillTint="33"/>
            <w:vAlign w:val="center"/>
          </w:tcPr>
          <w:p w14:paraId="4FA6B104" w14:textId="77777777" w:rsidR="00591396" w:rsidRPr="0061613B" w:rsidRDefault="00591396" w:rsidP="003B412E">
            <w:pPr>
              <w:widowControl w:val="0"/>
              <w:spacing w:after="120" w:line="240" w:lineRule="auto"/>
              <w:ind w:right="-2"/>
              <w:jc w:val="both"/>
              <w:rPr>
                <w:rFonts w:ascii="Times New Roman" w:eastAsia="Calibri" w:hAnsi="Times New Roman" w:cs="Times New Roman"/>
              </w:rPr>
            </w:pPr>
            <w:r w:rsidRPr="0061613B">
              <w:rPr>
                <w:rFonts w:ascii="Times New Roman" w:eastAsia="Calibri" w:hAnsi="Times New Roman" w:cs="Times New Roman"/>
                <w:b/>
              </w:rPr>
              <w:t>1б2 висшисти в областта на ИКТ</w:t>
            </w:r>
          </w:p>
          <w:p w14:paraId="48E1C4F0" w14:textId="77777777" w:rsidR="00591396" w:rsidRPr="0061613B" w:rsidRDefault="00591396" w:rsidP="003B412E">
            <w:pPr>
              <w:widowControl w:val="0"/>
              <w:spacing w:after="120" w:line="240" w:lineRule="auto"/>
              <w:ind w:left="255" w:right="-2"/>
              <w:jc w:val="both"/>
              <w:rPr>
                <w:rFonts w:ascii="Times New Roman" w:eastAsia="Calibri" w:hAnsi="Times New Roman" w:cs="Times New Roman"/>
              </w:rPr>
            </w:pPr>
            <w:r w:rsidRPr="0061613B">
              <w:rPr>
                <w:rFonts w:ascii="Times New Roman" w:eastAsia="Calibri" w:hAnsi="Times New Roman" w:cs="Times New Roman"/>
              </w:rPr>
              <w:t>% завършили висше образование</w:t>
            </w:r>
          </w:p>
        </w:tc>
        <w:tc>
          <w:tcPr>
            <w:tcW w:w="810" w:type="dxa"/>
            <w:vAlign w:val="center"/>
          </w:tcPr>
          <w:p w14:paraId="184D06E7" w14:textId="09B4D388"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0</w:t>
            </w:r>
            <w:r w:rsidR="00591396" w:rsidRPr="0061613B">
              <w:rPr>
                <w:rFonts w:ascii="Times New Roman" w:eastAsia="Calibri" w:hAnsi="Times New Roman" w:cs="Times New Roman"/>
              </w:rPr>
              <w:t>%</w:t>
            </w:r>
          </w:p>
          <w:p w14:paraId="5E0E8BFB"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2019</w:t>
            </w:r>
          </w:p>
        </w:tc>
        <w:tc>
          <w:tcPr>
            <w:tcW w:w="990" w:type="dxa"/>
            <w:vAlign w:val="center"/>
          </w:tcPr>
          <w:p w14:paraId="6F1D01A2" w14:textId="7923D042"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6</w:t>
            </w:r>
            <w:r w:rsidR="00591396" w:rsidRPr="0061613B">
              <w:rPr>
                <w:rFonts w:ascii="Times New Roman" w:eastAsia="Calibri" w:hAnsi="Times New Roman" w:cs="Times New Roman"/>
              </w:rPr>
              <w:t>%</w:t>
            </w:r>
          </w:p>
          <w:p w14:paraId="46D4A1CE"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2020</w:t>
            </w:r>
          </w:p>
        </w:tc>
        <w:tc>
          <w:tcPr>
            <w:tcW w:w="720" w:type="dxa"/>
            <w:vAlign w:val="center"/>
          </w:tcPr>
          <w:p w14:paraId="665042B6" w14:textId="6DF97B98"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9</w:t>
            </w:r>
            <w:r w:rsidR="00591396" w:rsidRPr="0061613B">
              <w:rPr>
                <w:rFonts w:ascii="Times New Roman" w:eastAsia="Calibri" w:hAnsi="Times New Roman" w:cs="Times New Roman"/>
              </w:rPr>
              <w:t>%</w:t>
            </w:r>
          </w:p>
          <w:p w14:paraId="301C2905"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2021</w:t>
            </w:r>
          </w:p>
        </w:tc>
        <w:tc>
          <w:tcPr>
            <w:tcW w:w="810" w:type="dxa"/>
            <w:vAlign w:val="center"/>
          </w:tcPr>
          <w:p w14:paraId="435E63AE" w14:textId="17076DBB"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591396" w:rsidRPr="0061613B">
              <w:rPr>
                <w:rFonts w:ascii="Times New Roman" w:eastAsia="Calibri" w:hAnsi="Times New Roman" w:cs="Times New Roman"/>
              </w:rPr>
              <w:t>80%</w:t>
            </w:r>
          </w:p>
          <w:p w14:paraId="1722F343"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2022</w:t>
            </w:r>
          </w:p>
        </w:tc>
        <w:tc>
          <w:tcPr>
            <w:tcW w:w="900" w:type="dxa"/>
            <w:vAlign w:val="center"/>
          </w:tcPr>
          <w:p w14:paraId="32DB1E24"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p>
        </w:tc>
        <w:tc>
          <w:tcPr>
            <w:tcW w:w="900" w:type="dxa"/>
            <w:vAlign w:val="center"/>
          </w:tcPr>
          <w:p w14:paraId="1B202BE3" w14:textId="13096DFC" w:rsidR="00591396" w:rsidRPr="0061613B" w:rsidRDefault="00AD2914"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4</w:t>
            </w:r>
            <w:r w:rsidR="003D5C93" w:rsidRPr="0061613B">
              <w:rPr>
                <w:rFonts w:ascii="Times New Roman" w:eastAsia="Calibri" w:hAnsi="Times New Roman" w:cs="Times New Roman"/>
              </w:rPr>
              <w:t>,</w:t>
            </w:r>
            <w:r w:rsidR="004079CF" w:rsidRPr="0061613B">
              <w:rPr>
                <w:rFonts w:ascii="Times New Roman" w:eastAsia="Calibri" w:hAnsi="Times New Roman" w:cs="Times New Roman"/>
              </w:rPr>
              <w:t>5</w:t>
            </w:r>
            <w:r w:rsidR="00591396" w:rsidRPr="0061613B">
              <w:rPr>
                <w:rFonts w:ascii="Times New Roman" w:eastAsia="Calibri" w:hAnsi="Times New Roman" w:cs="Times New Roman"/>
              </w:rPr>
              <w:t>%</w:t>
            </w:r>
          </w:p>
          <w:p w14:paraId="3C407104" w14:textId="77777777" w:rsidR="00591396" w:rsidRPr="0061613B" w:rsidRDefault="00591396" w:rsidP="009103DE">
            <w:pPr>
              <w:widowControl w:val="0"/>
              <w:spacing w:after="120" w:line="240" w:lineRule="auto"/>
              <w:ind w:right="-2"/>
              <w:jc w:val="center"/>
              <w:rPr>
                <w:rFonts w:ascii="Times New Roman" w:eastAsia="Calibri" w:hAnsi="Times New Roman" w:cs="Times New Roman"/>
              </w:rPr>
            </w:pPr>
            <w:r w:rsidRPr="0061613B">
              <w:rPr>
                <w:rFonts w:ascii="Times New Roman" w:eastAsia="Calibri" w:hAnsi="Times New Roman" w:cs="Times New Roman"/>
              </w:rPr>
              <w:t>2022</w:t>
            </w:r>
          </w:p>
        </w:tc>
        <w:tc>
          <w:tcPr>
            <w:tcW w:w="990" w:type="dxa"/>
            <w:vAlign w:val="center"/>
          </w:tcPr>
          <w:p w14:paraId="0F3C8038" w14:textId="77777777" w:rsidR="00591396" w:rsidRPr="0061613B" w:rsidRDefault="00591396" w:rsidP="009103DE">
            <w:pPr>
              <w:widowControl w:val="0"/>
              <w:spacing w:after="120" w:line="240" w:lineRule="auto"/>
              <w:ind w:right="-2"/>
              <w:jc w:val="center"/>
              <w:rPr>
                <w:rFonts w:ascii="Times New Roman" w:eastAsia="Times New Roman" w:hAnsi="Times New Roman" w:cs="Times New Roman"/>
              </w:rPr>
            </w:pPr>
          </w:p>
        </w:tc>
      </w:tr>
    </w:tbl>
    <w:p w14:paraId="251B04DD" w14:textId="1C78FB0D" w:rsidR="00591396" w:rsidRPr="006D7474" w:rsidRDefault="00591396" w:rsidP="006D7474">
      <w:pPr>
        <w:ind w:left="993" w:hanging="993"/>
        <w:jc w:val="both"/>
        <w:rPr>
          <w:rFonts w:ascii="Times New Roman" w:hAnsi="Times New Roman" w:cs="Times New Roman"/>
          <w:color w:val="44546A" w:themeColor="text2"/>
          <w:sz w:val="20"/>
          <w:szCs w:val="20"/>
        </w:rPr>
      </w:pPr>
      <w:r w:rsidRPr="006D7474">
        <w:rPr>
          <w:rFonts w:ascii="Times New Roman" w:hAnsi="Times New Roman" w:cs="Times New Roman"/>
          <w:color w:val="44546A" w:themeColor="text2"/>
          <w:sz w:val="20"/>
          <w:szCs w:val="20"/>
        </w:rPr>
        <w:t>Източник:</w:t>
      </w:r>
      <w:r w:rsidR="00661041" w:rsidRPr="006D7474">
        <w:rPr>
          <w:rFonts w:ascii="Times New Roman" w:hAnsi="Times New Roman" w:cs="Times New Roman"/>
          <w:color w:val="44546A" w:themeColor="text2"/>
          <w:sz w:val="20"/>
          <w:szCs w:val="20"/>
        </w:rPr>
        <w:tab/>
      </w:r>
      <w:r w:rsidRPr="006D7474">
        <w:rPr>
          <w:rFonts w:ascii="Times New Roman" w:hAnsi="Times New Roman" w:cs="Times New Roman"/>
          <w:color w:val="44546A" w:themeColor="text2"/>
          <w:sz w:val="20"/>
          <w:szCs w:val="20"/>
        </w:rPr>
        <w:t xml:space="preserve">Доклад за България </w:t>
      </w:r>
      <w:r w:rsidR="00C446B7" w:rsidRPr="006D7474">
        <w:rPr>
          <w:rFonts w:ascii="Times New Roman" w:hAnsi="Times New Roman" w:cs="Times New Roman"/>
          <w:color w:val="44546A" w:themeColor="text2"/>
          <w:sz w:val="20"/>
          <w:szCs w:val="20"/>
        </w:rPr>
        <w:t xml:space="preserve">за </w:t>
      </w:r>
      <w:r w:rsidR="00AA6111" w:rsidRPr="006D7474">
        <w:rPr>
          <w:rFonts w:ascii="Times New Roman" w:hAnsi="Times New Roman" w:cs="Times New Roman"/>
          <w:color w:val="44546A" w:themeColor="text2"/>
          <w:sz w:val="20"/>
          <w:szCs w:val="20"/>
        </w:rPr>
        <w:t xml:space="preserve">състоянието на </w:t>
      </w:r>
      <w:r w:rsidRPr="006D7474">
        <w:rPr>
          <w:rFonts w:ascii="Times New Roman" w:hAnsi="Times New Roman" w:cs="Times New Roman"/>
          <w:color w:val="44546A" w:themeColor="text2"/>
          <w:sz w:val="20"/>
          <w:szCs w:val="20"/>
        </w:rPr>
        <w:t xml:space="preserve">цифровото десетилетие </w:t>
      </w:r>
      <w:r w:rsidR="00AA6111" w:rsidRPr="006D7474">
        <w:rPr>
          <w:rFonts w:ascii="Times New Roman" w:hAnsi="Times New Roman" w:cs="Times New Roman"/>
          <w:color w:val="44546A" w:themeColor="text2"/>
          <w:sz w:val="20"/>
          <w:szCs w:val="20"/>
        </w:rPr>
        <w:t>през</w:t>
      </w:r>
      <w:r w:rsidRPr="006D7474">
        <w:rPr>
          <w:rFonts w:ascii="Times New Roman" w:hAnsi="Times New Roman" w:cs="Times New Roman"/>
          <w:color w:val="44546A" w:themeColor="text2"/>
          <w:sz w:val="20"/>
          <w:szCs w:val="20"/>
        </w:rPr>
        <w:t xml:space="preserve"> 2025 г.</w:t>
      </w:r>
      <w:r w:rsidRPr="006D7474">
        <w:rPr>
          <w:color w:val="44546A" w:themeColor="text2"/>
        </w:rPr>
        <w:footnoteReference w:id="29"/>
      </w:r>
      <w:r w:rsidRPr="006D7474">
        <w:rPr>
          <w:rFonts w:ascii="Times New Roman" w:hAnsi="Times New Roman" w:cs="Times New Roman"/>
          <w:color w:val="44546A" w:themeColor="text2"/>
          <w:sz w:val="20"/>
          <w:szCs w:val="20"/>
        </w:rPr>
        <w:t xml:space="preserve"> </w:t>
      </w:r>
    </w:p>
    <w:p w14:paraId="18966190" w14:textId="005EED8C" w:rsidR="00591396"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По отношение на лицата, притежаващи основни и над основните цифрови умения</w:t>
      </w:r>
      <w:r w:rsidR="00FF773D" w:rsidRPr="00765780">
        <w:rPr>
          <w:rFonts w:ascii="Times New Roman" w:hAnsi="Times New Roman" w:cs="Times New Roman"/>
          <w:sz w:val="24"/>
          <w:szCs w:val="24"/>
        </w:rPr>
        <w:t xml:space="preserve"> </w:t>
      </w:r>
      <w:r w:rsidRPr="00496500">
        <w:rPr>
          <w:rFonts w:ascii="Times New Roman" w:hAnsi="Times New Roman" w:cs="Times New Roman"/>
          <w:sz w:val="24"/>
          <w:szCs w:val="24"/>
        </w:rPr>
        <w:t xml:space="preserve"> данните сочат, че особено ниски са стойностите по отношение на лица с основно и по-ниско образование и сред по-възрастното население - фактор, вероятно обвързан с причината „липса на необходимост от интернет”). </w:t>
      </w:r>
    </w:p>
    <w:p w14:paraId="54CBCF47" w14:textId="753C504E" w:rsidR="00B32F1D" w:rsidRPr="006D7474" w:rsidRDefault="009F35F8" w:rsidP="006D7474">
      <w:pPr>
        <w:pStyle w:val="Caption"/>
        <w:spacing w:before="120" w:line="278" w:lineRule="auto"/>
        <w:rPr>
          <w:rFonts w:cs="Times New Roman"/>
          <w:sz w:val="20"/>
          <w:szCs w:val="20"/>
        </w:rPr>
      </w:pPr>
      <w:bookmarkStart w:id="13" w:name="_Toc209079344"/>
      <w:r>
        <w:t xml:space="preserve">Таблица </w:t>
      </w:r>
      <w:r>
        <w:fldChar w:fldCharType="begin"/>
      </w:r>
      <w:r>
        <w:instrText xml:space="preserve"> SEQ Таблица \* ARABIC </w:instrText>
      </w:r>
      <w:r>
        <w:fldChar w:fldCharType="separate"/>
      </w:r>
      <w:r>
        <w:rPr>
          <w:noProof/>
        </w:rPr>
        <w:t>6</w:t>
      </w:r>
      <w:r>
        <w:fldChar w:fldCharType="end"/>
      </w:r>
      <w:r>
        <w:t xml:space="preserve"> </w:t>
      </w:r>
      <w:r w:rsidR="00B32F1D" w:rsidRPr="00496500">
        <w:rPr>
          <w:rFonts w:cs="Times New Roman"/>
          <w:sz w:val="20"/>
          <w:szCs w:val="20"/>
        </w:rPr>
        <w:t>Лица, притежаващи основни и над основни цифрови умения, разделени по пол, образование и възраст</w:t>
      </w:r>
      <w:bookmarkEnd w:id="13"/>
    </w:p>
    <w:tbl>
      <w:tblPr>
        <w:tblStyle w:val="TableGrid"/>
        <w:tblW w:w="9360" w:type="dxa"/>
        <w:jc w:val="cente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Layout w:type="fixed"/>
        <w:tblLook w:val="06A0" w:firstRow="1" w:lastRow="0" w:firstColumn="1" w:lastColumn="0" w:noHBand="1" w:noVBand="1"/>
      </w:tblPr>
      <w:tblGrid>
        <w:gridCol w:w="5040"/>
        <w:gridCol w:w="2160"/>
        <w:gridCol w:w="2160"/>
      </w:tblGrid>
      <w:tr w:rsidR="00575860" w:rsidRPr="0061613B" w14:paraId="40DABF6A" w14:textId="77777777" w:rsidTr="006D7474">
        <w:trPr>
          <w:trHeight w:val="300"/>
          <w:jc w:val="center"/>
        </w:trPr>
        <w:tc>
          <w:tcPr>
            <w:tcW w:w="9360" w:type="dxa"/>
            <w:gridSpan w:val="3"/>
            <w:shd w:val="clear" w:color="auto" w:fill="FFF2CC" w:themeFill="accent4" w:themeFillTint="33"/>
            <w:vAlign w:val="center"/>
          </w:tcPr>
          <w:p w14:paraId="5C298B88" w14:textId="77777777" w:rsidR="00591396" w:rsidRPr="0061613B" w:rsidRDefault="00591396" w:rsidP="00575860">
            <w:pPr>
              <w:spacing w:after="120"/>
              <w:ind w:left="-180" w:right="-2" w:firstLine="630"/>
              <w:jc w:val="center"/>
              <w:rPr>
                <w:rFonts w:ascii="Times New Roman" w:hAnsi="Times New Roman" w:cs="Times New Roman"/>
                <w:b/>
                <w:bCs/>
              </w:rPr>
            </w:pPr>
            <w:r w:rsidRPr="0061613B">
              <w:rPr>
                <w:rFonts w:ascii="Times New Roman" w:hAnsi="Times New Roman" w:cs="Times New Roman"/>
                <w:b/>
                <w:bCs/>
              </w:rPr>
              <w:t>Лица, притежаващи основни и над основните цифрови умения</w:t>
            </w:r>
            <w:r w:rsidRPr="0061613B">
              <w:rPr>
                <w:rStyle w:val="FootnoteReference"/>
                <w:rFonts w:ascii="Times New Roman" w:hAnsi="Times New Roman" w:cs="Times New Roman"/>
                <w:b/>
                <w:bCs/>
              </w:rPr>
              <w:footnoteReference w:id="30"/>
            </w:r>
          </w:p>
        </w:tc>
      </w:tr>
      <w:tr w:rsidR="00575860" w:rsidRPr="0061613B" w14:paraId="2C8FC198" w14:textId="77777777" w:rsidTr="006D7474">
        <w:trPr>
          <w:trHeight w:val="300"/>
          <w:jc w:val="center"/>
        </w:trPr>
        <w:tc>
          <w:tcPr>
            <w:tcW w:w="5040" w:type="dxa"/>
            <w:vAlign w:val="center"/>
          </w:tcPr>
          <w:p w14:paraId="22EE2BA3" w14:textId="77777777" w:rsidR="00591396" w:rsidRPr="0061613B" w:rsidRDefault="00591396" w:rsidP="003B412E">
            <w:pPr>
              <w:spacing w:after="120"/>
              <w:ind w:left="-180" w:right="-2" w:firstLine="630"/>
              <w:jc w:val="both"/>
              <w:rPr>
                <w:rFonts w:ascii="Times New Roman" w:hAnsi="Times New Roman" w:cs="Times New Roman"/>
              </w:rPr>
            </w:pPr>
          </w:p>
        </w:tc>
        <w:tc>
          <w:tcPr>
            <w:tcW w:w="2160" w:type="dxa"/>
            <w:vAlign w:val="center"/>
          </w:tcPr>
          <w:p w14:paraId="260CD5CC"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b/>
                <w:bCs/>
              </w:rPr>
              <w:t>2021</w:t>
            </w:r>
          </w:p>
        </w:tc>
        <w:tc>
          <w:tcPr>
            <w:tcW w:w="2160" w:type="dxa"/>
            <w:vAlign w:val="center"/>
          </w:tcPr>
          <w:p w14:paraId="5572B4D2" w14:textId="77777777" w:rsidR="00591396" w:rsidRPr="0061613B" w:rsidRDefault="00591396" w:rsidP="003B412E">
            <w:pPr>
              <w:spacing w:after="120"/>
              <w:ind w:left="-180" w:right="-2" w:firstLine="630"/>
              <w:jc w:val="both"/>
              <w:rPr>
                <w:rFonts w:ascii="Times New Roman" w:hAnsi="Times New Roman" w:cs="Times New Roman"/>
                <w:b/>
                <w:bCs/>
              </w:rPr>
            </w:pPr>
            <w:r w:rsidRPr="0061613B">
              <w:rPr>
                <w:rFonts w:ascii="Times New Roman" w:hAnsi="Times New Roman" w:cs="Times New Roman"/>
                <w:b/>
                <w:bCs/>
              </w:rPr>
              <w:t>2023</w:t>
            </w:r>
          </w:p>
        </w:tc>
      </w:tr>
      <w:tr w:rsidR="00575860" w:rsidRPr="0061613B" w14:paraId="36AFFE19" w14:textId="77777777" w:rsidTr="006D7474">
        <w:trPr>
          <w:trHeight w:val="300"/>
          <w:jc w:val="center"/>
        </w:trPr>
        <w:tc>
          <w:tcPr>
            <w:tcW w:w="5040" w:type="dxa"/>
            <w:shd w:val="clear" w:color="auto" w:fill="E2EFD9" w:themeFill="accent6" w:themeFillTint="33"/>
            <w:vAlign w:val="center"/>
          </w:tcPr>
          <w:p w14:paraId="2202ADE0"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Общо</w:t>
            </w:r>
          </w:p>
        </w:tc>
        <w:tc>
          <w:tcPr>
            <w:tcW w:w="2160" w:type="dxa"/>
            <w:vAlign w:val="center"/>
          </w:tcPr>
          <w:p w14:paraId="5BD5330E" w14:textId="25E1BAFF"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31</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c>
          <w:tcPr>
            <w:tcW w:w="2160" w:type="dxa"/>
            <w:vAlign w:val="center"/>
          </w:tcPr>
          <w:p w14:paraId="1D148145" w14:textId="5FCF8973" w:rsidR="00591396" w:rsidRPr="0061613B" w:rsidRDefault="00591396" w:rsidP="004079CF">
            <w:pPr>
              <w:spacing w:after="120"/>
              <w:ind w:left="-180" w:right="-2" w:firstLine="630"/>
              <w:jc w:val="both"/>
              <w:rPr>
                <w:rFonts w:ascii="Times New Roman" w:hAnsi="Times New Roman" w:cs="Times New Roman"/>
              </w:rPr>
            </w:pPr>
            <w:r w:rsidRPr="0061613B">
              <w:rPr>
                <w:rFonts w:ascii="Times New Roman" w:hAnsi="Times New Roman" w:cs="Times New Roman"/>
              </w:rPr>
              <w:t>35</w:t>
            </w:r>
            <w:r w:rsidR="003D5C93" w:rsidRPr="0061613B">
              <w:rPr>
                <w:rFonts w:ascii="Times New Roman" w:hAnsi="Times New Roman" w:cs="Times New Roman"/>
              </w:rPr>
              <w:t>,</w:t>
            </w:r>
            <w:r w:rsidRPr="0061613B">
              <w:rPr>
                <w:rFonts w:ascii="Times New Roman" w:hAnsi="Times New Roman" w:cs="Times New Roman"/>
              </w:rPr>
              <w:t>5%</w:t>
            </w:r>
          </w:p>
        </w:tc>
      </w:tr>
      <w:tr w:rsidR="00575860" w:rsidRPr="0061613B" w14:paraId="4462791A" w14:textId="77777777" w:rsidTr="006D7474">
        <w:trPr>
          <w:trHeight w:val="300"/>
          <w:jc w:val="center"/>
        </w:trPr>
        <w:tc>
          <w:tcPr>
            <w:tcW w:w="9360" w:type="dxa"/>
            <w:gridSpan w:val="3"/>
            <w:vAlign w:val="center"/>
          </w:tcPr>
          <w:p w14:paraId="18B3CA3E" w14:textId="77777777" w:rsidR="00591396" w:rsidRPr="0061613B" w:rsidRDefault="00591396" w:rsidP="003B412E">
            <w:pPr>
              <w:spacing w:after="120"/>
              <w:ind w:left="-180" w:right="-2" w:firstLine="630"/>
              <w:jc w:val="both"/>
              <w:rPr>
                <w:rFonts w:ascii="Times New Roman" w:hAnsi="Times New Roman" w:cs="Times New Roman"/>
                <w:b/>
                <w:bCs/>
              </w:rPr>
            </w:pPr>
            <w:r w:rsidRPr="0061613B">
              <w:rPr>
                <w:rFonts w:ascii="Times New Roman" w:hAnsi="Times New Roman" w:cs="Times New Roman"/>
                <w:b/>
                <w:bCs/>
              </w:rPr>
              <w:t>По пол</w:t>
            </w:r>
          </w:p>
        </w:tc>
      </w:tr>
      <w:tr w:rsidR="00575860" w:rsidRPr="0061613B" w14:paraId="35BE8350" w14:textId="77777777" w:rsidTr="006D7474">
        <w:trPr>
          <w:trHeight w:val="300"/>
          <w:jc w:val="center"/>
        </w:trPr>
        <w:tc>
          <w:tcPr>
            <w:tcW w:w="5040" w:type="dxa"/>
            <w:shd w:val="clear" w:color="auto" w:fill="E2EFD9" w:themeFill="accent6" w:themeFillTint="33"/>
            <w:vAlign w:val="center"/>
          </w:tcPr>
          <w:p w14:paraId="10CCA65A"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Мъже</w:t>
            </w:r>
          </w:p>
        </w:tc>
        <w:tc>
          <w:tcPr>
            <w:tcW w:w="2160" w:type="dxa"/>
            <w:vAlign w:val="center"/>
          </w:tcPr>
          <w:p w14:paraId="16167E40" w14:textId="37D8DF30" w:rsidR="00591396" w:rsidRPr="0061613B" w:rsidRDefault="00591396" w:rsidP="004079CF">
            <w:pPr>
              <w:spacing w:after="120"/>
              <w:ind w:left="-180" w:right="-2" w:firstLine="630"/>
              <w:jc w:val="both"/>
              <w:rPr>
                <w:rFonts w:ascii="Times New Roman" w:hAnsi="Times New Roman" w:cs="Times New Roman"/>
              </w:rPr>
            </w:pPr>
            <w:r w:rsidRPr="0061613B">
              <w:rPr>
                <w:rFonts w:ascii="Times New Roman" w:hAnsi="Times New Roman" w:cs="Times New Roman"/>
              </w:rPr>
              <w:t>31</w:t>
            </w:r>
            <w:r w:rsidR="003D5C93" w:rsidRPr="0061613B">
              <w:rPr>
                <w:rFonts w:ascii="Times New Roman" w:hAnsi="Times New Roman" w:cs="Times New Roman"/>
              </w:rPr>
              <w:t>,</w:t>
            </w:r>
            <w:r w:rsidRPr="0061613B">
              <w:rPr>
                <w:rFonts w:ascii="Times New Roman" w:hAnsi="Times New Roman" w:cs="Times New Roman"/>
              </w:rPr>
              <w:t>1%</w:t>
            </w:r>
          </w:p>
        </w:tc>
        <w:tc>
          <w:tcPr>
            <w:tcW w:w="2160" w:type="dxa"/>
            <w:vAlign w:val="center"/>
          </w:tcPr>
          <w:p w14:paraId="77F60F86" w14:textId="15F7092F"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3</w:t>
            </w:r>
            <w:r w:rsidR="004079CF" w:rsidRPr="0061613B">
              <w:rPr>
                <w:rFonts w:ascii="Times New Roman" w:hAnsi="Times New Roman" w:cs="Times New Roman"/>
              </w:rPr>
              <w:t>4</w:t>
            </w:r>
            <w:r w:rsidR="003D5C93" w:rsidRPr="0061613B">
              <w:rPr>
                <w:rFonts w:ascii="Times New Roman" w:hAnsi="Times New Roman" w:cs="Times New Roman"/>
              </w:rPr>
              <w:t>,</w:t>
            </w:r>
            <w:r w:rsidR="004079CF" w:rsidRPr="0061613B">
              <w:rPr>
                <w:rFonts w:ascii="Times New Roman" w:hAnsi="Times New Roman" w:cs="Times New Roman"/>
              </w:rPr>
              <w:t>8</w:t>
            </w:r>
            <w:r w:rsidRPr="0061613B">
              <w:rPr>
                <w:rFonts w:ascii="Times New Roman" w:hAnsi="Times New Roman" w:cs="Times New Roman"/>
              </w:rPr>
              <w:t>%</w:t>
            </w:r>
          </w:p>
        </w:tc>
      </w:tr>
      <w:tr w:rsidR="00575860" w:rsidRPr="0061613B" w14:paraId="39127B1A" w14:textId="77777777" w:rsidTr="006D7474">
        <w:trPr>
          <w:trHeight w:val="300"/>
          <w:jc w:val="center"/>
        </w:trPr>
        <w:tc>
          <w:tcPr>
            <w:tcW w:w="5040" w:type="dxa"/>
            <w:shd w:val="clear" w:color="auto" w:fill="E2EFD9" w:themeFill="accent6" w:themeFillTint="33"/>
            <w:vAlign w:val="center"/>
          </w:tcPr>
          <w:p w14:paraId="68C062CF"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Жени</w:t>
            </w:r>
          </w:p>
        </w:tc>
        <w:tc>
          <w:tcPr>
            <w:tcW w:w="2160" w:type="dxa"/>
            <w:vAlign w:val="center"/>
          </w:tcPr>
          <w:p w14:paraId="379B9BBB" w14:textId="41281442"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31</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c>
          <w:tcPr>
            <w:tcW w:w="2160" w:type="dxa"/>
            <w:vAlign w:val="center"/>
          </w:tcPr>
          <w:p w14:paraId="67B22A6D" w14:textId="399E0D0E"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36</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r>
      <w:tr w:rsidR="00575860" w:rsidRPr="0061613B" w14:paraId="271AA9B5" w14:textId="77777777" w:rsidTr="006D7474">
        <w:trPr>
          <w:trHeight w:val="300"/>
          <w:jc w:val="center"/>
        </w:trPr>
        <w:tc>
          <w:tcPr>
            <w:tcW w:w="9360" w:type="dxa"/>
            <w:gridSpan w:val="3"/>
            <w:vAlign w:val="center"/>
          </w:tcPr>
          <w:p w14:paraId="150976AE" w14:textId="77777777" w:rsidR="00591396" w:rsidRPr="0061613B" w:rsidRDefault="00591396" w:rsidP="003B412E">
            <w:pPr>
              <w:spacing w:after="120"/>
              <w:ind w:left="-180" w:right="-2" w:firstLine="630"/>
              <w:jc w:val="both"/>
              <w:rPr>
                <w:rFonts w:ascii="Times New Roman" w:hAnsi="Times New Roman" w:cs="Times New Roman"/>
                <w:b/>
                <w:bCs/>
              </w:rPr>
            </w:pPr>
            <w:r w:rsidRPr="0061613B">
              <w:rPr>
                <w:rFonts w:ascii="Times New Roman" w:hAnsi="Times New Roman" w:cs="Times New Roman"/>
                <w:b/>
                <w:bCs/>
              </w:rPr>
              <w:t>По образование</w:t>
            </w:r>
          </w:p>
        </w:tc>
      </w:tr>
      <w:tr w:rsidR="00575860" w:rsidRPr="0061613B" w14:paraId="6F6FF01B" w14:textId="77777777" w:rsidTr="006D7474">
        <w:trPr>
          <w:trHeight w:val="300"/>
          <w:jc w:val="center"/>
        </w:trPr>
        <w:tc>
          <w:tcPr>
            <w:tcW w:w="5040" w:type="dxa"/>
            <w:shd w:val="clear" w:color="auto" w:fill="E2EFD9" w:themeFill="accent6" w:themeFillTint="33"/>
            <w:vAlign w:val="center"/>
          </w:tcPr>
          <w:p w14:paraId="44ED5CF2"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Основно и по-ниско</w:t>
            </w:r>
          </w:p>
        </w:tc>
        <w:tc>
          <w:tcPr>
            <w:tcW w:w="2160" w:type="dxa"/>
            <w:vAlign w:val="center"/>
          </w:tcPr>
          <w:p w14:paraId="611381BC" w14:textId="7F67AD32"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10</w:t>
            </w:r>
            <w:r w:rsidR="003D5C93" w:rsidRPr="0061613B">
              <w:rPr>
                <w:rFonts w:ascii="Times New Roman" w:hAnsi="Times New Roman" w:cs="Times New Roman"/>
              </w:rPr>
              <w:t>,</w:t>
            </w:r>
            <w:r w:rsidRPr="0061613B">
              <w:rPr>
                <w:rFonts w:ascii="Times New Roman" w:hAnsi="Times New Roman" w:cs="Times New Roman"/>
              </w:rPr>
              <w:t>3</w:t>
            </w:r>
            <w:r w:rsidR="00591396" w:rsidRPr="0061613B">
              <w:rPr>
                <w:rFonts w:ascii="Times New Roman" w:hAnsi="Times New Roman" w:cs="Times New Roman"/>
              </w:rPr>
              <w:t>%</w:t>
            </w:r>
          </w:p>
        </w:tc>
        <w:tc>
          <w:tcPr>
            <w:tcW w:w="2160" w:type="dxa"/>
            <w:vAlign w:val="center"/>
          </w:tcPr>
          <w:p w14:paraId="4464F09F" w14:textId="476C5292"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14</w:t>
            </w:r>
            <w:r w:rsidR="003D5C93" w:rsidRPr="0061613B">
              <w:rPr>
                <w:rFonts w:ascii="Times New Roman" w:hAnsi="Times New Roman" w:cs="Times New Roman"/>
              </w:rPr>
              <w:t>,</w:t>
            </w:r>
            <w:r w:rsidRPr="0061613B">
              <w:rPr>
                <w:rFonts w:ascii="Times New Roman" w:hAnsi="Times New Roman" w:cs="Times New Roman"/>
              </w:rPr>
              <w:t>6</w:t>
            </w:r>
            <w:r w:rsidR="00591396" w:rsidRPr="0061613B">
              <w:rPr>
                <w:rFonts w:ascii="Times New Roman" w:hAnsi="Times New Roman" w:cs="Times New Roman"/>
              </w:rPr>
              <w:t>%</w:t>
            </w:r>
          </w:p>
        </w:tc>
      </w:tr>
      <w:tr w:rsidR="00575860" w:rsidRPr="0061613B" w14:paraId="60876575" w14:textId="77777777" w:rsidTr="006D7474">
        <w:trPr>
          <w:trHeight w:val="300"/>
          <w:jc w:val="center"/>
        </w:trPr>
        <w:tc>
          <w:tcPr>
            <w:tcW w:w="5040" w:type="dxa"/>
            <w:shd w:val="clear" w:color="auto" w:fill="E2EFD9" w:themeFill="accent6" w:themeFillTint="33"/>
            <w:vAlign w:val="center"/>
          </w:tcPr>
          <w:p w14:paraId="345B2EAD"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Средно</w:t>
            </w:r>
          </w:p>
        </w:tc>
        <w:tc>
          <w:tcPr>
            <w:tcW w:w="2160" w:type="dxa"/>
            <w:vAlign w:val="center"/>
          </w:tcPr>
          <w:p w14:paraId="291A67DC" w14:textId="21A88B2D"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27</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c>
          <w:tcPr>
            <w:tcW w:w="2160" w:type="dxa"/>
            <w:vAlign w:val="center"/>
          </w:tcPr>
          <w:p w14:paraId="750F218F" w14:textId="59EFF28C"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28</w:t>
            </w:r>
            <w:r w:rsidR="003D5C93" w:rsidRPr="0061613B">
              <w:rPr>
                <w:rFonts w:ascii="Times New Roman" w:hAnsi="Times New Roman" w:cs="Times New Roman"/>
              </w:rPr>
              <w:t>,</w:t>
            </w:r>
            <w:r w:rsidRPr="0061613B">
              <w:rPr>
                <w:rFonts w:ascii="Times New Roman" w:hAnsi="Times New Roman" w:cs="Times New Roman"/>
              </w:rPr>
              <w:t>9</w:t>
            </w:r>
            <w:r w:rsidR="00591396" w:rsidRPr="0061613B">
              <w:rPr>
                <w:rFonts w:ascii="Times New Roman" w:hAnsi="Times New Roman" w:cs="Times New Roman"/>
              </w:rPr>
              <w:t>%</w:t>
            </w:r>
          </w:p>
        </w:tc>
      </w:tr>
      <w:tr w:rsidR="00575860" w:rsidRPr="0061613B" w14:paraId="16EBDAB3" w14:textId="77777777" w:rsidTr="006D7474">
        <w:trPr>
          <w:trHeight w:val="300"/>
          <w:jc w:val="center"/>
        </w:trPr>
        <w:tc>
          <w:tcPr>
            <w:tcW w:w="5040" w:type="dxa"/>
            <w:shd w:val="clear" w:color="auto" w:fill="E2EFD9" w:themeFill="accent6" w:themeFillTint="33"/>
            <w:vAlign w:val="center"/>
          </w:tcPr>
          <w:p w14:paraId="454C12BE"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Висше</w:t>
            </w:r>
          </w:p>
        </w:tc>
        <w:tc>
          <w:tcPr>
            <w:tcW w:w="2160" w:type="dxa"/>
            <w:vAlign w:val="center"/>
          </w:tcPr>
          <w:p w14:paraId="1277E9AE" w14:textId="6538BD59"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63</w:t>
            </w:r>
            <w:r w:rsidR="003D5C93" w:rsidRPr="0061613B">
              <w:rPr>
                <w:rFonts w:ascii="Times New Roman" w:hAnsi="Times New Roman" w:cs="Times New Roman"/>
              </w:rPr>
              <w:t>,</w:t>
            </w:r>
            <w:r w:rsidRPr="0061613B">
              <w:rPr>
                <w:rFonts w:ascii="Times New Roman" w:hAnsi="Times New Roman" w:cs="Times New Roman"/>
              </w:rPr>
              <w:t>1</w:t>
            </w:r>
            <w:r w:rsidR="00591396" w:rsidRPr="0061613B">
              <w:rPr>
                <w:rFonts w:ascii="Times New Roman" w:hAnsi="Times New Roman" w:cs="Times New Roman"/>
              </w:rPr>
              <w:t>%</w:t>
            </w:r>
          </w:p>
        </w:tc>
        <w:tc>
          <w:tcPr>
            <w:tcW w:w="2160" w:type="dxa"/>
            <w:vAlign w:val="center"/>
          </w:tcPr>
          <w:p w14:paraId="1D4C65D8" w14:textId="4CC4ED07"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65</w:t>
            </w:r>
            <w:r w:rsidR="003D5C93" w:rsidRPr="0061613B">
              <w:rPr>
                <w:rFonts w:ascii="Times New Roman" w:hAnsi="Times New Roman" w:cs="Times New Roman"/>
              </w:rPr>
              <w:t>,</w:t>
            </w:r>
            <w:r w:rsidRPr="0061613B">
              <w:rPr>
                <w:rFonts w:ascii="Times New Roman" w:hAnsi="Times New Roman" w:cs="Times New Roman"/>
              </w:rPr>
              <w:t>3</w:t>
            </w:r>
            <w:r w:rsidR="00591396" w:rsidRPr="0061613B">
              <w:rPr>
                <w:rFonts w:ascii="Times New Roman" w:hAnsi="Times New Roman" w:cs="Times New Roman"/>
              </w:rPr>
              <w:t>%</w:t>
            </w:r>
          </w:p>
        </w:tc>
      </w:tr>
      <w:tr w:rsidR="00575860" w:rsidRPr="0061613B" w14:paraId="1D9C6639" w14:textId="77777777" w:rsidTr="006D7474">
        <w:trPr>
          <w:trHeight w:val="300"/>
          <w:jc w:val="center"/>
        </w:trPr>
        <w:tc>
          <w:tcPr>
            <w:tcW w:w="9360" w:type="dxa"/>
            <w:gridSpan w:val="3"/>
            <w:vAlign w:val="center"/>
          </w:tcPr>
          <w:p w14:paraId="7131C696" w14:textId="77777777" w:rsidR="00591396" w:rsidRPr="0061613B" w:rsidRDefault="00591396" w:rsidP="003B412E">
            <w:pPr>
              <w:spacing w:after="120"/>
              <w:ind w:left="-180" w:right="-2" w:firstLine="630"/>
              <w:jc w:val="both"/>
              <w:rPr>
                <w:rFonts w:ascii="Times New Roman" w:hAnsi="Times New Roman" w:cs="Times New Roman"/>
                <w:b/>
                <w:bCs/>
              </w:rPr>
            </w:pPr>
            <w:r w:rsidRPr="0061613B">
              <w:rPr>
                <w:rFonts w:ascii="Times New Roman" w:hAnsi="Times New Roman" w:cs="Times New Roman"/>
                <w:b/>
                <w:bCs/>
              </w:rPr>
              <w:t>По възраст</w:t>
            </w:r>
          </w:p>
        </w:tc>
      </w:tr>
      <w:tr w:rsidR="00575860" w:rsidRPr="0061613B" w14:paraId="06424353" w14:textId="77777777" w:rsidTr="006D7474">
        <w:trPr>
          <w:trHeight w:val="300"/>
          <w:jc w:val="center"/>
        </w:trPr>
        <w:tc>
          <w:tcPr>
            <w:tcW w:w="5040" w:type="dxa"/>
            <w:shd w:val="clear" w:color="auto" w:fill="E2EFD9" w:themeFill="accent6" w:themeFillTint="33"/>
            <w:vAlign w:val="center"/>
          </w:tcPr>
          <w:p w14:paraId="140A6AC2"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16-24 години</w:t>
            </w:r>
          </w:p>
        </w:tc>
        <w:tc>
          <w:tcPr>
            <w:tcW w:w="2160" w:type="dxa"/>
            <w:vAlign w:val="center"/>
          </w:tcPr>
          <w:p w14:paraId="6EAE43FB" w14:textId="39C5FC63"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51</w:t>
            </w:r>
            <w:r w:rsidR="003D5C93" w:rsidRPr="0061613B">
              <w:rPr>
                <w:rFonts w:ascii="Times New Roman" w:hAnsi="Times New Roman" w:cs="Times New Roman"/>
              </w:rPr>
              <w:t>,</w:t>
            </w:r>
            <w:r w:rsidRPr="0061613B">
              <w:rPr>
                <w:rFonts w:ascii="Times New Roman" w:hAnsi="Times New Roman" w:cs="Times New Roman"/>
              </w:rPr>
              <w:t>0</w:t>
            </w:r>
            <w:r w:rsidR="00591396" w:rsidRPr="0061613B">
              <w:rPr>
                <w:rFonts w:ascii="Times New Roman" w:hAnsi="Times New Roman" w:cs="Times New Roman"/>
              </w:rPr>
              <w:t>%</w:t>
            </w:r>
          </w:p>
        </w:tc>
        <w:tc>
          <w:tcPr>
            <w:tcW w:w="2160" w:type="dxa"/>
            <w:vAlign w:val="center"/>
          </w:tcPr>
          <w:p w14:paraId="2E72D42B" w14:textId="7B702971"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53</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r>
      <w:tr w:rsidR="00575860" w:rsidRPr="0061613B" w14:paraId="72675E42" w14:textId="77777777" w:rsidTr="006D7474">
        <w:trPr>
          <w:trHeight w:val="300"/>
          <w:jc w:val="center"/>
        </w:trPr>
        <w:tc>
          <w:tcPr>
            <w:tcW w:w="5040" w:type="dxa"/>
            <w:shd w:val="clear" w:color="auto" w:fill="E2EFD9" w:themeFill="accent6" w:themeFillTint="33"/>
            <w:vAlign w:val="center"/>
          </w:tcPr>
          <w:p w14:paraId="371D887E"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25-34 години</w:t>
            </w:r>
          </w:p>
        </w:tc>
        <w:tc>
          <w:tcPr>
            <w:tcW w:w="2160" w:type="dxa"/>
            <w:vAlign w:val="center"/>
          </w:tcPr>
          <w:p w14:paraId="030A0C3D" w14:textId="18F2DF32"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42</w:t>
            </w:r>
            <w:r w:rsidR="003D5C93" w:rsidRPr="0061613B">
              <w:rPr>
                <w:rFonts w:ascii="Times New Roman" w:hAnsi="Times New Roman" w:cs="Times New Roman"/>
              </w:rPr>
              <w:t>,</w:t>
            </w:r>
            <w:r w:rsidRPr="0061613B">
              <w:rPr>
                <w:rFonts w:ascii="Times New Roman" w:hAnsi="Times New Roman" w:cs="Times New Roman"/>
              </w:rPr>
              <w:t>7</w:t>
            </w:r>
            <w:r w:rsidR="00591396" w:rsidRPr="0061613B">
              <w:rPr>
                <w:rFonts w:ascii="Times New Roman" w:hAnsi="Times New Roman" w:cs="Times New Roman"/>
              </w:rPr>
              <w:t>%</w:t>
            </w:r>
          </w:p>
        </w:tc>
        <w:tc>
          <w:tcPr>
            <w:tcW w:w="2160" w:type="dxa"/>
            <w:vAlign w:val="center"/>
          </w:tcPr>
          <w:p w14:paraId="3384380F" w14:textId="3869407B"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49</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r>
      <w:tr w:rsidR="00575860" w:rsidRPr="0061613B" w14:paraId="32D19188" w14:textId="77777777" w:rsidTr="006D7474">
        <w:trPr>
          <w:trHeight w:val="300"/>
          <w:jc w:val="center"/>
        </w:trPr>
        <w:tc>
          <w:tcPr>
            <w:tcW w:w="5040" w:type="dxa"/>
            <w:shd w:val="clear" w:color="auto" w:fill="E2EFD9" w:themeFill="accent6" w:themeFillTint="33"/>
            <w:vAlign w:val="center"/>
          </w:tcPr>
          <w:p w14:paraId="0297ED69"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35-44 години</w:t>
            </w:r>
          </w:p>
        </w:tc>
        <w:tc>
          <w:tcPr>
            <w:tcW w:w="2160" w:type="dxa"/>
            <w:vAlign w:val="center"/>
          </w:tcPr>
          <w:p w14:paraId="197B8A1F" w14:textId="38DB74D1"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41</w:t>
            </w:r>
            <w:r w:rsidR="003D5C93" w:rsidRPr="0061613B">
              <w:rPr>
                <w:rFonts w:ascii="Times New Roman" w:hAnsi="Times New Roman" w:cs="Times New Roman"/>
              </w:rPr>
              <w:t>,</w:t>
            </w:r>
            <w:r w:rsidRPr="0061613B">
              <w:rPr>
                <w:rFonts w:ascii="Times New Roman" w:hAnsi="Times New Roman" w:cs="Times New Roman"/>
              </w:rPr>
              <w:t>4</w:t>
            </w:r>
            <w:r w:rsidR="00591396" w:rsidRPr="0061613B">
              <w:rPr>
                <w:rFonts w:ascii="Times New Roman" w:hAnsi="Times New Roman" w:cs="Times New Roman"/>
              </w:rPr>
              <w:t>%</w:t>
            </w:r>
          </w:p>
        </w:tc>
        <w:tc>
          <w:tcPr>
            <w:tcW w:w="2160" w:type="dxa"/>
            <w:vAlign w:val="center"/>
          </w:tcPr>
          <w:p w14:paraId="336E8ADA" w14:textId="561D505D"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48</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r>
      <w:tr w:rsidR="00575860" w:rsidRPr="0061613B" w14:paraId="4700D925" w14:textId="77777777" w:rsidTr="006D7474">
        <w:trPr>
          <w:trHeight w:val="300"/>
          <w:jc w:val="center"/>
        </w:trPr>
        <w:tc>
          <w:tcPr>
            <w:tcW w:w="5040" w:type="dxa"/>
            <w:shd w:val="clear" w:color="auto" w:fill="E2EFD9" w:themeFill="accent6" w:themeFillTint="33"/>
            <w:vAlign w:val="center"/>
          </w:tcPr>
          <w:p w14:paraId="2CC8DB0F"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45-54 години</w:t>
            </w:r>
          </w:p>
        </w:tc>
        <w:tc>
          <w:tcPr>
            <w:tcW w:w="2160" w:type="dxa"/>
            <w:vAlign w:val="center"/>
          </w:tcPr>
          <w:p w14:paraId="3088A152" w14:textId="3DA0E2D7"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33</w:t>
            </w:r>
            <w:r w:rsidR="003D5C93" w:rsidRPr="0061613B">
              <w:rPr>
                <w:rFonts w:ascii="Times New Roman" w:hAnsi="Times New Roman" w:cs="Times New Roman"/>
              </w:rPr>
              <w:t>,</w:t>
            </w:r>
            <w:r w:rsidRPr="0061613B">
              <w:rPr>
                <w:rFonts w:ascii="Times New Roman" w:hAnsi="Times New Roman" w:cs="Times New Roman"/>
              </w:rPr>
              <w:t>7</w:t>
            </w:r>
            <w:r w:rsidR="00591396" w:rsidRPr="0061613B">
              <w:rPr>
                <w:rFonts w:ascii="Times New Roman" w:hAnsi="Times New Roman" w:cs="Times New Roman"/>
              </w:rPr>
              <w:t>%</w:t>
            </w:r>
          </w:p>
        </w:tc>
        <w:tc>
          <w:tcPr>
            <w:tcW w:w="2160" w:type="dxa"/>
            <w:vAlign w:val="center"/>
          </w:tcPr>
          <w:p w14:paraId="04A19C96" w14:textId="602B30E3"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42</w:t>
            </w:r>
            <w:r w:rsidR="003D5C93" w:rsidRPr="0061613B">
              <w:rPr>
                <w:rFonts w:ascii="Times New Roman" w:hAnsi="Times New Roman" w:cs="Times New Roman"/>
              </w:rPr>
              <w:t>,</w:t>
            </w:r>
            <w:r w:rsidRPr="0061613B">
              <w:rPr>
                <w:rFonts w:ascii="Times New Roman" w:hAnsi="Times New Roman" w:cs="Times New Roman"/>
              </w:rPr>
              <w:t>2</w:t>
            </w:r>
            <w:r w:rsidR="00591396" w:rsidRPr="0061613B">
              <w:rPr>
                <w:rFonts w:ascii="Times New Roman" w:hAnsi="Times New Roman" w:cs="Times New Roman"/>
              </w:rPr>
              <w:t>%</w:t>
            </w:r>
          </w:p>
        </w:tc>
      </w:tr>
      <w:tr w:rsidR="00575860" w:rsidRPr="0061613B" w14:paraId="21CFC92F" w14:textId="77777777" w:rsidTr="006D7474">
        <w:trPr>
          <w:trHeight w:val="300"/>
          <w:jc w:val="center"/>
        </w:trPr>
        <w:tc>
          <w:tcPr>
            <w:tcW w:w="5040" w:type="dxa"/>
            <w:shd w:val="clear" w:color="auto" w:fill="E2EFD9" w:themeFill="accent6" w:themeFillTint="33"/>
            <w:vAlign w:val="center"/>
          </w:tcPr>
          <w:p w14:paraId="06973231"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55-64 години</w:t>
            </w:r>
          </w:p>
        </w:tc>
        <w:tc>
          <w:tcPr>
            <w:tcW w:w="2160" w:type="dxa"/>
            <w:vAlign w:val="center"/>
          </w:tcPr>
          <w:p w14:paraId="716D3BCB" w14:textId="73FF6C0C"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18</w:t>
            </w:r>
            <w:r w:rsidR="003D5C93" w:rsidRPr="0061613B">
              <w:rPr>
                <w:rFonts w:ascii="Times New Roman" w:hAnsi="Times New Roman" w:cs="Times New Roman"/>
              </w:rPr>
              <w:t>,</w:t>
            </w:r>
            <w:r w:rsidRPr="0061613B">
              <w:rPr>
                <w:rFonts w:ascii="Times New Roman" w:hAnsi="Times New Roman" w:cs="Times New Roman"/>
              </w:rPr>
              <w:t>9</w:t>
            </w:r>
            <w:r w:rsidR="00591396" w:rsidRPr="0061613B">
              <w:rPr>
                <w:rFonts w:ascii="Times New Roman" w:hAnsi="Times New Roman" w:cs="Times New Roman"/>
              </w:rPr>
              <w:t>%</w:t>
            </w:r>
          </w:p>
        </w:tc>
        <w:tc>
          <w:tcPr>
            <w:tcW w:w="2160" w:type="dxa"/>
            <w:vAlign w:val="center"/>
          </w:tcPr>
          <w:p w14:paraId="069BCB38" w14:textId="28E104AB" w:rsidR="00591396" w:rsidRPr="0061613B" w:rsidRDefault="00591396" w:rsidP="004079CF">
            <w:pPr>
              <w:spacing w:after="120"/>
              <w:ind w:left="-180" w:right="-2" w:firstLine="630"/>
              <w:jc w:val="both"/>
              <w:rPr>
                <w:rFonts w:ascii="Times New Roman" w:hAnsi="Times New Roman" w:cs="Times New Roman"/>
              </w:rPr>
            </w:pPr>
            <w:r w:rsidRPr="0061613B">
              <w:rPr>
                <w:rFonts w:ascii="Times New Roman" w:hAnsi="Times New Roman" w:cs="Times New Roman"/>
              </w:rPr>
              <w:t>23</w:t>
            </w:r>
            <w:r w:rsidR="003D5C93" w:rsidRPr="0061613B">
              <w:rPr>
                <w:rFonts w:ascii="Times New Roman" w:hAnsi="Times New Roman" w:cs="Times New Roman"/>
              </w:rPr>
              <w:t>,</w:t>
            </w:r>
            <w:r w:rsidRPr="0061613B">
              <w:rPr>
                <w:rFonts w:ascii="Times New Roman" w:hAnsi="Times New Roman" w:cs="Times New Roman"/>
              </w:rPr>
              <w:t>1%</w:t>
            </w:r>
          </w:p>
        </w:tc>
      </w:tr>
      <w:tr w:rsidR="00575860" w:rsidRPr="0061613B" w14:paraId="175810FD" w14:textId="77777777" w:rsidTr="006D7474">
        <w:trPr>
          <w:trHeight w:val="300"/>
          <w:jc w:val="center"/>
        </w:trPr>
        <w:tc>
          <w:tcPr>
            <w:tcW w:w="5040" w:type="dxa"/>
            <w:shd w:val="clear" w:color="auto" w:fill="E2EFD9" w:themeFill="accent6" w:themeFillTint="33"/>
            <w:vAlign w:val="center"/>
          </w:tcPr>
          <w:p w14:paraId="3B65DF80" w14:textId="77777777" w:rsidR="00591396" w:rsidRPr="0061613B" w:rsidRDefault="00591396" w:rsidP="003B412E">
            <w:pPr>
              <w:spacing w:after="120"/>
              <w:ind w:left="-180" w:right="-2" w:firstLine="630"/>
              <w:jc w:val="both"/>
              <w:rPr>
                <w:rFonts w:ascii="Times New Roman" w:hAnsi="Times New Roman" w:cs="Times New Roman"/>
              </w:rPr>
            </w:pPr>
            <w:r w:rsidRPr="0061613B">
              <w:rPr>
                <w:rFonts w:ascii="Times New Roman" w:hAnsi="Times New Roman" w:cs="Times New Roman"/>
              </w:rPr>
              <w:t>65-74 години</w:t>
            </w:r>
          </w:p>
        </w:tc>
        <w:tc>
          <w:tcPr>
            <w:tcW w:w="2160" w:type="dxa"/>
            <w:vAlign w:val="center"/>
          </w:tcPr>
          <w:p w14:paraId="4E3BF9A8" w14:textId="5B7CD4C8" w:rsidR="00591396" w:rsidRPr="0061613B" w:rsidRDefault="004079CF" w:rsidP="003B412E">
            <w:pPr>
              <w:spacing w:after="120"/>
              <w:ind w:left="-180" w:right="-2" w:firstLine="630"/>
              <w:jc w:val="both"/>
              <w:rPr>
                <w:rFonts w:ascii="Times New Roman" w:hAnsi="Times New Roman" w:cs="Times New Roman"/>
              </w:rPr>
            </w:pPr>
            <w:r w:rsidRPr="0061613B">
              <w:rPr>
                <w:rFonts w:ascii="Times New Roman" w:hAnsi="Times New Roman" w:cs="Times New Roman"/>
              </w:rPr>
              <w:t>6</w:t>
            </w:r>
            <w:r w:rsidR="003D5C93" w:rsidRPr="0061613B">
              <w:rPr>
                <w:rFonts w:ascii="Times New Roman" w:hAnsi="Times New Roman" w:cs="Times New Roman"/>
              </w:rPr>
              <w:t>,</w:t>
            </w:r>
            <w:r w:rsidRPr="0061613B">
              <w:rPr>
                <w:rFonts w:ascii="Times New Roman" w:hAnsi="Times New Roman" w:cs="Times New Roman"/>
              </w:rPr>
              <w:t>1</w:t>
            </w:r>
            <w:r w:rsidR="00591396" w:rsidRPr="0061613B">
              <w:rPr>
                <w:rFonts w:ascii="Times New Roman" w:hAnsi="Times New Roman" w:cs="Times New Roman"/>
              </w:rPr>
              <w:t>%</w:t>
            </w:r>
          </w:p>
        </w:tc>
        <w:tc>
          <w:tcPr>
            <w:tcW w:w="2160" w:type="dxa"/>
            <w:vAlign w:val="center"/>
          </w:tcPr>
          <w:p w14:paraId="6DE578CC" w14:textId="5EFBF37E" w:rsidR="00591396" w:rsidRPr="0061613B" w:rsidRDefault="00591396" w:rsidP="004079CF">
            <w:pPr>
              <w:spacing w:after="120"/>
              <w:ind w:left="-180" w:right="-2" w:firstLine="630"/>
              <w:jc w:val="both"/>
              <w:rPr>
                <w:rFonts w:ascii="Times New Roman" w:hAnsi="Times New Roman" w:cs="Times New Roman"/>
              </w:rPr>
            </w:pPr>
            <w:r w:rsidRPr="0061613B">
              <w:rPr>
                <w:rFonts w:ascii="Times New Roman" w:hAnsi="Times New Roman" w:cs="Times New Roman"/>
              </w:rPr>
              <w:t>7</w:t>
            </w:r>
            <w:r w:rsidR="003D5C93" w:rsidRPr="0061613B">
              <w:rPr>
                <w:rFonts w:ascii="Times New Roman" w:hAnsi="Times New Roman" w:cs="Times New Roman"/>
              </w:rPr>
              <w:t>,</w:t>
            </w:r>
            <w:r w:rsidRPr="0061613B">
              <w:rPr>
                <w:rFonts w:ascii="Times New Roman" w:hAnsi="Times New Roman" w:cs="Times New Roman"/>
              </w:rPr>
              <w:t>3%</w:t>
            </w:r>
          </w:p>
        </w:tc>
      </w:tr>
    </w:tbl>
    <w:p w14:paraId="4A05E683" w14:textId="72448907" w:rsidR="00591396" w:rsidRPr="006D7474" w:rsidRDefault="00591396" w:rsidP="006D7474">
      <w:pPr>
        <w:spacing w:before="60"/>
        <w:ind w:left="992" w:hanging="992"/>
        <w:jc w:val="both"/>
        <w:rPr>
          <w:rFonts w:ascii="Times New Roman" w:hAnsi="Times New Roman" w:cs="Times New Roman"/>
          <w:color w:val="44546A" w:themeColor="text2"/>
          <w:sz w:val="20"/>
          <w:szCs w:val="20"/>
          <w:vertAlign w:val="superscript"/>
        </w:rPr>
      </w:pPr>
      <w:r w:rsidRPr="006D7474">
        <w:rPr>
          <w:rFonts w:ascii="Times New Roman" w:hAnsi="Times New Roman" w:cs="Times New Roman"/>
          <w:color w:val="44546A" w:themeColor="text2"/>
          <w:sz w:val="20"/>
          <w:szCs w:val="20"/>
        </w:rPr>
        <w:t>Източник:</w:t>
      </w:r>
      <w:r w:rsidR="00B32F1D" w:rsidRPr="006D7474">
        <w:rPr>
          <w:rFonts w:ascii="Times New Roman" w:hAnsi="Times New Roman" w:cs="Times New Roman"/>
          <w:color w:val="44546A" w:themeColor="text2"/>
          <w:sz w:val="20"/>
          <w:szCs w:val="20"/>
        </w:rPr>
        <w:tab/>
      </w:r>
      <w:r w:rsidRPr="006D7474">
        <w:rPr>
          <w:rFonts w:ascii="Times New Roman" w:hAnsi="Times New Roman" w:cs="Times New Roman"/>
          <w:color w:val="44546A" w:themeColor="text2"/>
          <w:sz w:val="20"/>
          <w:szCs w:val="20"/>
        </w:rPr>
        <w:t>НСИ</w:t>
      </w:r>
      <w:r w:rsidRPr="006D7474">
        <w:rPr>
          <w:color w:val="44546A" w:themeColor="text2"/>
          <w:vertAlign w:val="superscript"/>
        </w:rPr>
        <w:footnoteReference w:id="31"/>
      </w:r>
    </w:p>
    <w:p w14:paraId="5F691484" w14:textId="77777777" w:rsidR="00591396" w:rsidRPr="00496500" w:rsidRDefault="00591396" w:rsidP="003B412E">
      <w:pPr>
        <w:spacing w:after="120" w:line="240" w:lineRule="auto"/>
        <w:ind w:right="-2" w:firstLine="720"/>
        <w:jc w:val="both"/>
        <w:rPr>
          <w:rFonts w:ascii="Times New Roman" w:hAnsi="Times New Roman" w:cs="Times New Roman"/>
          <w:b/>
          <w:sz w:val="24"/>
          <w:szCs w:val="24"/>
        </w:rPr>
      </w:pPr>
      <w:r w:rsidRPr="00496500">
        <w:rPr>
          <w:rFonts w:ascii="Times New Roman" w:hAnsi="Times New Roman" w:cs="Times New Roman"/>
          <w:b/>
          <w:sz w:val="24"/>
          <w:szCs w:val="24"/>
        </w:rPr>
        <w:t>Цифрови умения в организациите</w:t>
      </w:r>
    </w:p>
    <w:p w14:paraId="5D44FF7E" w14:textId="1DC71BBE"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Ограничените цифрови умения на заетите също са пречка за цифрова трансформация на България. </w:t>
      </w:r>
      <w:r w:rsidRPr="00496500">
        <w:rPr>
          <w:rFonts w:ascii="Times New Roman" w:hAnsi="Times New Roman" w:cs="Times New Roman"/>
          <w:b/>
          <w:sz w:val="24"/>
          <w:szCs w:val="24"/>
        </w:rPr>
        <w:t xml:space="preserve">Към 2022 г. по-малко от половината заети хора са имали основни цифрови умения. Трябва да се отбележи, че по-малко от една трета от българските организации </w:t>
      </w:r>
      <w:r w:rsidRPr="00496500">
        <w:rPr>
          <w:rFonts w:ascii="Times New Roman" w:hAnsi="Times New Roman" w:cs="Times New Roman"/>
          <w:b/>
          <w:sz w:val="24"/>
          <w:szCs w:val="24"/>
        </w:rPr>
        <w:lastRenderedPageBreak/>
        <w:t>ползват ИКТ услуги, извършвани от собствени служители. Сред европейските лидери този показател надхвърля 40%</w:t>
      </w:r>
      <w:r w:rsidRPr="00496500">
        <w:rPr>
          <w:rFonts w:ascii="Times New Roman" w:hAnsi="Times New Roman" w:cs="Times New Roman"/>
          <w:b/>
          <w:sz w:val="24"/>
          <w:szCs w:val="24"/>
          <w:vertAlign w:val="superscript"/>
        </w:rPr>
        <w:footnoteReference w:id="32"/>
      </w:r>
      <w:r w:rsidRPr="00496500">
        <w:rPr>
          <w:rFonts w:ascii="Times New Roman" w:hAnsi="Times New Roman" w:cs="Times New Roman"/>
          <w:b/>
          <w:sz w:val="24"/>
          <w:szCs w:val="24"/>
        </w:rPr>
        <w:t>. Търсенето на ИКТ специалисти също изглежда ниско. През 2024 г. само 17,81% от предприятията са наели или са се опитали да наемат специалисти по ИКТ в сравнение с Ирландия с над 30% и Черна гора с 32,55%</w:t>
      </w:r>
      <w:r w:rsidRPr="006D7474">
        <w:rPr>
          <w:rFonts w:ascii="Times New Roman" w:hAnsi="Times New Roman" w:cs="Times New Roman"/>
          <w:sz w:val="24"/>
          <w:szCs w:val="24"/>
          <w:vertAlign w:val="superscript"/>
        </w:rPr>
        <w:footnoteReference w:id="33"/>
      </w:r>
      <w:r w:rsidRPr="00496500">
        <w:rPr>
          <w:rFonts w:ascii="Times New Roman" w:hAnsi="Times New Roman" w:cs="Times New Roman"/>
          <w:b/>
          <w:sz w:val="24"/>
          <w:szCs w:val="24"/>
        </w:rPr>
        <w:t>.</w:t>
      </w:r>
      <w:r w:rsidRPr="00496500">
        <w:rPr>
          <w:rFonts w:ascii="Times New Roman" w:hAnsi="Times New Roman" w:cs="Times New Roman"/>
          <w:sz w:val="24"/>
          <w:szCs w:val="24"/>
        </w:rPr>
        <w:t xml:space="preserve"> Част от работодателите полагат усилия да инвестират достатъчно ресурси в повишаване на цифровите умения на служителите.</w:t>
      </w:r>
    </w:p>
    <w:p w14:paraId="3B0A620F" w14:textId="77777777"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В ключовите икономически сектори на България липсват служители с основни цифрови умения, което създава затруднения за цифровизацията на индустриите и националното икономическо развитие. Например сектори като селското стопанство и производството имат само 3</w:t>
      </w:r>
      <w:r w:rsidR="004079CF" w:rsidRPr="00496500">
        <w:rPr>
          <w:rFonts w:ascii="Times New Roman" w:hAnsi="Times New Roman" w:cs="Times New Roman"/>
          <w:sz w:val="24"/>
          <w:szCs w:val="24"/>
        </w:rPr>
        <w:t>0</w:t>
      </w:r>
      <w:r w:rsidRPr="00496500">
        <w:rPr>
          <w:rFonts w:ascii="Times New Roman" w:hAnsi="Times New Roman" w:cs="Times New Roman"/>
          <w:sz w:val="24"/>
          <w:szCs w:val="24"/>
        </w:rPr>
        <w:t xml:space="preserve">% от служителите с основни цифрови умения; в минния </w:t>
      </w:r>
      <w:r w:rsidR="004079CF" w:rsidRPr="00496500">
        <w:rPr>
          <w:rFonts w:ascii="Times New Roman" w:hAnsi="Times New Roman" w:cs="Times New Roman"/>
          <w:sz w:val="24"/>
          <w:szCs w:val="24"/>
        </w:rPr>
        <w:t>сектор тази цифра достига до 40</w:t>
      </w:r>
      <w:r w:rsidRPr="00496500">
        <w:rPr>
          <w:rFonts w:ascii="Times New Roman" w:hAnsi="Times New Roman" w:cs="Times New Roman"/>
          <w:sz w:val="24"/>
          <w:szCs w:val="24"/>
        </w:rPr>
        <w:t>%. Секторите, в които се наблюдава висок относителен дял на притежаващите цифрови умения са в сферата на услугите (недвижими имоти, финанси) и ИКТ, в които служителите при</w:t>
      </w:r>
      <w:r w:rsidR="004079CF" w:rsidRPr="00496500">
        <w:rPr>
          <w:rFonts w:ascii="Times New Roman" w:hAnsi="Times New Roman" w:cs="Times New Roman"/>
          <w:sz w:val="24"/>
          <w:szCs w:val="24"/>
        </w:rPr>
        <w:t>тежават цифрови умения до 80-90</w:t>
      </w:r>
      <w:r w:rsidRPr="00496500">
        <w:rPr>
          <w:rFonts w:ascii="Times New Roman" w:hAnsi="Times New Roman" w:cs="Times New Roman"/>
          <w:sz w:val="24"/>
          <w:szCs w:val="24"/>
        </w:rPr>
        <w:t>% от общата численост на персонала</w:t>
      </w:r>
      <w:r w:rsidR="003D0D2C" w:rsidRPr="00496500">
        <w:rPr>
          <w:rFonts w:ascii="Times New Roman" w:hAnsi="Times New Roman" w:cs="Times New Roman"/>
          <w:sz w:val="24"/>
          <w:szCs w:val="24"/>
        </w:rPr>
        <w:t>.</w:t>
      </w:r>
    </w:p>
    <w:p w14:paraId="1860B8C3" w14:textId="5BF6993B"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Българските организации, предоставящи ИКТ обучения на своя персонал са малка част, в сравнение с развитите европейски </w:t>
      </w:r>
      <w:r w:rsidR="004079CF" w:rsidRPr="00496500">
        <w:rPr>
          <w:rFonts w:ascii="Times New Roman" w:hAnsi="Times New Roman" w:cs="Times New Roman"/>
          <w:sz w:val="24"/>
          <w:szCs w:val="24"/>
        </w:rPr>
        <w:t xml:space="preserve">държави. Според Евростат само </w:t>
      </w:r>
      <w:r w:rsidR="007C212A" w:rsidRPr="00496500">
        <w:rPr>
          <w:rFonts w:ascii="Times New Roman" w:hAnsi="Times New Roman" w:cs="Times New Roman"/>
          <w:sz w:val="24"/>
          <w:szCs w:val="24"/>
        </w:rPr>
        <w:t>9</w:t>
      </w:r>
      <w:r w:rsidR="00D033DC">
        <w:rPr>
          <w:rFonts w:ascii="Times New Roman" w:hAnsi="Times New Roman" w:cs="Times New Roman"/>
          <w:sz w:val="24"/>
          <w:szCs w:val="24"/>
        </w:rPr>
        <w:t>,</w:t>
      </w:r>
      <w:r w:rsidR="007C212A" w:rsidRPr="00496500">
        <w:rPr>
          <w:rFonts w:ascii="Times New Roman" w:hAnsi="Times New Roman" w:cs="Times New Roman"/>
          <w:sz w:val="24"/>
          <w:szCs w:val="24"/>
        </w:rPr>
        <w:t>11</w:t>
      </w:r>
      <w:r w:rsidRPr="00496500">
        <w:rPr>
          <w:rFonts w:ascii="Times New Roman" w:hAnsi="Times New Roman" w:cs="Times New Roman"/>
          <w:sz w:val="24"/>
          <w:szCs w:val="24"/>
        </w:rPr>
        <w:t xml:space="preserve">% от предприятията са предоставили обучение за развитие или надграждане на ИКТ уменията на своя персонал през 2024 г., което е със </w:t>
      </w:r>
      <w:r w:rsidR="007C212A" w:rsidRPr="00496500">
        <w:rPr>
          <w:rFonts w:ascii="Times New Roman" w:hAnsi="Times New Roman" w:cs="Times New Roman"/>
          <w:sz w:val="24"/>
          <w:szCs w:val="24"/>
        </w:rPr>
        <w:t xml:space="preserve">13 </w:t>
      </w:r>
      <w:r w:rsidRPr="00496500">
        <w:rPr>
          <w:rFonts w:ascii="Times New Roman" w:hAnsi="Times New Roman" w:cs="Times New Roman"/>
          <w:sz w:val="24"/>
          <w:szCs w:val="24"/>
        </w:rPr>
        <w:t>процентни пункта под средното за ЕС. За сравнение, в Словения тази цифра е 5 пъти по-голяма, а във Финландия е 7 пъти по-голяма</w:t>
      </w:r>
      <w:r w:rsidRPr="00496500">
        <w:rPr>
          <w:rFonts w:ascii="Times New Roman" w:hAnsi="Times New Roman" w:cs="Times New Roman"/>
          <w:sz w:val="24"/>
          <w:szCs w:val="24"/>
          <w:vertAlign w:val="superscript"/>
        </w:rPr>
        <w:footnoteReference w:id="34"/>
      </w:r>
      <w:r w:rsidRPr="00496500">
        <w:rPr>
          <w:rFonts w:ascii="Times New Roman" w:hAnsi="Times New Roman" w:cs="Times New Roman"/>
          <w:sz w:val="24"/>
          <w:szCs w:val="24"/>
        </w:rPr>
        <w:t xml:space="preserve">. </w:t>
      </w:r>
      <w:r w:rsidRPr="00496500">
        <w:rPr>
          <w:rFonts w:ascii="Times New Roman" w:hAnsi="Times New Roman" w:cs="Times New Roman"/>
          <w:b/>
          <w:sz w:val="24"/>
          <w:szCs w:val="24"/>
        </w:rPr>
        <w:t>Наблюдава се недостъчен брой на проведени обучения и повишаване на квалификацията в организации, работещи в ключови сектори на икономиката. В преработващата промишленост предприятията, провеждащи обучени</w:t>
      </w:r>
      <w:r w:rsidR="004079CF" w:rsidRPr="00496500">
        <w:rPr>
          <w:rFonts w:ascii="Times New Roman" w:hAnsi="Times New Roman" w:cs="Times New Roman"/>
          <w:b/>
          <w:sz w:val="24"/>
          <w:szCs w:val="24"/>
        </w:rPr>
        <w:t xml:space="preserve">е, са </w:t>
      </w:r>
      <w:r w:rsidR="007C212A" w:rsidRPr="00496500">
        <w:rPr>
          <w:rFonts w:ascii="Times New Roman" w:hAnsi="Times New Roman" w:cs="Times New Roman"/>
          <w:b/>
          <w:sz w:val="24"/>
          <w:szCs w:val="24"/>
        </w:rPr>
        <w:t>5.82</w:t>
      </w:r>
      <w:r w:rsidR="004079CF" w:rsidRPr="00496500">
        <w:rPr>
          <w:rFonts w:ascii="Times New Roman" w:hAnsi="Times New Roman" w:cs="Times New Roman"/>
          <w:b/>
          <w:sz w:val="24"/>
          <w:szCs w:val="24"/>
        </w:rPr>
        <w:t xml:space="preserve"> %, в транспорта – </w:t>
      </w:r>
      <w:r w:rsidR="007C212A" w:rsidRPr="00496500">
        <w:rPr>
          <w:rFonts w:ascii="Times New Roman" w:hAnsi="Times New Roman" w:cs="Times New Roman"/>
          <w:b/>
          <w:sz w:val="24"/>
          <w:szCs w:val="24"/>
        </w:rPr>
        <w:t>4</w:t>
      </w:r>
      <w:r w:rsidR="00D033DC">
        <w:rPr>
          <w:rFonts w:ascii="Times New Roman" w:hAnsi="Times New Roman" w:cs="Times New Roman"/>
          <w:b/>
          <w:sz w:val="24"/>
          <w:szCs w:val="24"/>
        </w:rPr>
        <w:t>,</w:t>
      </w:r>
      <w:r w:rsidR="007C212A" w:rsidRPr="00496500">
        <w:rPr>
          <w:rFonts w:ascii="Times New Roman" w:hAnsi="Times New Roman" w:cs="Times New Roman"/>
          <w:b/>
          <w:sz w:val="24"/>
          <w:szCs w:val="24"/>
        </w:rPr>
        <w:t>64</w:t>
      </w:r>
      <w:r w:rsidR="004079CF" w:rsidRPr="00496500">
        <w:rPr>
          <w:rFonts w:ascii="Times New Roman" w:hAnsi="Times New Roman" w:cs="Times New Roman"/>
          <w:b/>
          <w:sz w:val="24"/>
          <w:szCs w:val="24"/>
        </w:rPr>
        <w:t>%, в строителството – 2</w:t>
      </w:r>
      <w:r w:rsidR="00D033DC">
        <w:rPr>
          <w:rFonts w:ascii="Times New Roman" w:hAnsi="Times New Roman" w:cs="Times New Roman"/>
          <w:b/>
          <w:sz w:val="24"/>
          <w:szCs w:val="24"/>
        </w:rPr>
        <w:t>,</w:t>
      </w:r>
      <w:r w:rsidR="007C212A" w:rsidRPr="00496500">
        <w:rPr>
          <w:rFonts w:ascii="Times New Roman" w:hAnsi="Times New Roman" w:cs="Times New Roman"/>
          <w:b/>
          <w:sz w:val="24"/>
          <w:szCs w:val="24"/>
        </w:rPr>
        <w:t>09</w:t>
      </w:r>
      <w:r w:rsidRPr="00496500">
        <w:rPr>
          <w:rFonts w:ascii="Times New Roman" w:hAnsi="Times New Roman" w:cs="Times New Roman"/>
          <w:b/>
          <w:sz w:val="24"/>
          <w:szCs w:val="24"/>
        </w:rPr>
        <w:t>%</w:t>
      </w:r>
      <w:r w:rsidRPr="00496500">
        <w:rPr>
          <w:rFonts w:ascii="Times New Roman" w:hAnsi="Times New Roman" w:cs="Times New Roman"/>
          <w:sz w:val="24"/>
          <w:szCs w:val="24"/>
          <w:vertAlign w:val="superscript"/>
        </w:rPr>
        <w:footnoteReference w:id="35"/>
      </w:r>
      <w:r w:rsidRPr="00496500">
        <w:rPr>
          <w:rFonts w:ascii="Times New Roman" w:hAnsi="Times New Roman" w:cs="Times New Roman"/>
          <w:sz w:val="24"/>
          <w:szCs w:val="24"/>
        </w:rPr>
        <w:t xml:space="preserve">. </w:t>
      </w:r>
    </w:p>
    <w:p w14:paraId="519CC61D" w14:textId="77777777"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Като цяло на българския трудов пазар, през 2024 г. общият брой на работещите, притежаващи ИКТ образование е 47,2 хиляди</w:t>
      </w:r>
      <w:r w:rsidRPr="00496500">
        <w:rPr>
          <w:rFonts w:ascii="Times New Roman" w:hAnsi="Times New Roman" w:cs="Times New Roman"/>
          <w:sz w:val="24"/>
          <w:szCs w:val="24"/>
          <w:vertAlign w:val="superscript"/>
        </w:rPr>
        <w:t xml:space="preserve"> </w:t>
      </w:r>
      <w:r w:rsidRPr="00496500">
        <w:rPr>
          <w:rFonts w:ascii="Times New Roman" w:hAnsi="Times New Roman" w:cs="Times New Roman"/>
          <w:sz w:val="24"/>
          <w:szCs w:val="24"/>
          <w:vertAlign w:val="superscript"/>
        </w:rPr>
        <w:footnoteReference w:id="36"/>
      </w:r>
      <w:r w:rsidRPr="00496500">
        <w:rPr>
          <w:rFonts w:ascii="Times New Roman" w:hAnsi="Times New Roman" w:cs="Times New Roman"/>
          <w:sz w:val="24"/>
          <w:szCs w:val="24"/>
        </w:rPr>
        <w:t>.</w:t>
      </w:r>
    </w:p>
    <w:p w14:paraId="066925FF" w14:textId="77777777"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В </w:t>
      </w:r>
      <w:hyperlink r:id="rId41" w:history="1">
        <w:r w:rsidRPr="00496500">
          <w:rPr>
            <w:rFonts w:ascii="Times New Roman" w:hAnsi="Times New Roman" w:cs="Times New Roman"/>
            <w:color w:val="0563C1" w:themeColor="hyperlink"/>
            <w:sz w:val="24"/>
            <w:szCs w:val="24"/>
            <w:u w:val="single"/>
          </w:rPr>
          <w:t>изданието за 2023 г.</w:t>
        </w:r>
      </w:hyperlink>
      <w:r w:rsidRPr="00496500">
        <w:rPr>
          <w:rFonts w:ascii="Times New Roman" w:hAnsi="Times New Roman" w:cs="Times New Roman"/>
          <w:sz w:val="24"/>
          <w:szCs w:val="24"/>
          <w:vertAlign w:val="superscript"/>
        </w:rPr>
        <w:footnoteReference w:id="37"/>
      </w:r>
      <w:r w:rsidRPr="00496500">
        <w:rPr>
          <w:rFonts w:ascii="Times New Roman" w:hAnsi="Times New Roman" w:cs="Times New Roman"/>
          <w:sz w:val="24"/>
          <w:szCs w:val="24"/>
        </w:rPr>
        <w:t xml:space="preserve"> на Глобалния индекс на конкурентоспособността на талантите (GTCI)</w:t>
      </w:r>
      <w:r w:rsidRPr="00496500">
        <w:rPr>
          <w:rFonts w:ascii="Times New Roman" w:hAnsi="Times New Roman" w:cs="Times New Roman"/>
          <w:sz w:val="24"/>
          <w:szCs w:val="24"/>
          <w:vertAlign w:val="superscript"/>
        </w:rPr>
        <w:footnoteReference w:id="38"/>
      </w:r>
      <w:r w:rsidRPr="00496500">
        <w:rPr>
          <w:rFonts w:ascii="Times New Roman" w:hAnsi="Times New Roman" w:cs="Times New Roman"/>
          <w:sz w:val="24"/>
          <w:szCs w:val="24"/>
        </w:rPr>
        <w:t>, се посочва, че България значително изостава в привличането на таланти и създаването и задържането на квалифицирани специалисти. От друга страна, България показва сравнително добри резултати по отношение на образованата работна сила (17-то място с над 55% от работната сила със средно образование), броя на изследователите (34-то място) и специалистите (36- то място). Образованието не е осъвременено и не задоволява възникващите пазарни нужди на цифровата ера. Що се отнася до съответствието на уменията (5-то място с над 70% от работниците, чието образование съответства на тяхната професия) и професионалното записване (17-то място с 32%) България е сред световните лидери.</w:t>
      </w:r>
    </w:p>
    <w:p w14:paraId="0AE36ADA" w14:textId="77777777"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В пътната карта на България, изготвена в изпълнение на Програма „Цифрово десетилетие“ до 2030 г. са включени общо 19 мерки за повишаване на цифровите умения на гражданите на обща стойност 651 345 960 евро.</w:t>
      </w:r>
    </w:p>
    <w:p w14:paraId="5186DE0C" w14:textId="77777777" w:rsidR="00591396" w:rsidRPr="00496500" w:rsidRDefault="00591396" w:rsidP="003B412E">
      <w:pPr>
        <w:spacing w:after="120" w:line="240" w:lineRule="auto"/>
        <w:ind w:right="-2" w:firstLine="720"/>
        <w:jc w:val="both"/>
        <w:rPr>
          <w:rFonts w:ascii="Times New Roman" w:hAnsi="Times New Roman" w:cs="Times New Roman"/>
          <w:b/>
          <w:sz w:val="24"/>
          <w:szCs w:val="24"/>
          <w:vertAlign w:val="superscript"/>
        </w:rPr>
      </w:pPr>
      <w:r w:rsidRPr="00496500">
        <w:rPr>
          <w:rFonts w:ascii="Times New Roman" w:hAnsi="Times New Roman" w:cs="Times New Roman"/>
          <w:b/>
          <w:sz w:val="24"/>
          <w:szCs w:val="24"/>
        </w:rPr>
        <w:lastRenderedPageBreak/>
        <w:t>Цифрово разделение между различните социални групи</w:t>
      </w:r>
      <w:r w:rsidRPr="00496500">
        <w:rPr>
          <w:rFonts w:ascii="Times New Roman" w:hAnsi="Times New Roman" w:cs="Times New Roman"/>
          <w:sz w:val="24"/>
          <w:szCs w:val="24"/>
          <w:vertAlign w:val="superscript"/>
        </w:rPr>
        <w:footnoteReference w:id="39"/>
      </w:r>
    </w:p>
    <w:p w14:paraId="3E015CAF" w14:textId="1E614DB1" w:rsidR="00591396" w:rsidRPr="00496500" w:rsidRDefault="00591396" w:rsidP="003B412E">
      <w:pPr>
        <w:spacing w:after="120" w:line="240" w:lineRule="auto"/>
        <w:ind w:right="-2" w:firstLine="720"/>
        <w:jc w:val="both"/>
        <w:rPr>
          <w:rFonts w:ascii="Times New Roman" w:eastAsia="Times New Roman" w:hAnsi="Times New Roman" w:cs="Times New Roman"/>
          <w:sz w:val="24"/>
          <w:szCs w:val="24"/>
        </w:rPr>
      </w:pPr>
      <w:r w:rsidRPr="00496500">
        <w:rPr>
          <w:rFonts w:ascii="Times New Roman" w:eastAsia="Times New Roman" w:hAnsi="Times New Roman" w:cs="Times New Roman"/>
          <w:sz w:val="24"/>
          <w:szCs w:val="24"/>
        </w:rPr>
        <w:t xml:space="preserve">През 2024 г. </w:t>
      </w:r>
      <w:r w:rsidR="004079CF" w:rsidRPr="00496500">
        <w:rPr>
          <w:rFonts w:ascii="Times New Roman" w:eastAsia="Times New Roman" w:hAnsi="Times New Roman" w:cs="Times New Roman"/>
          <w:sz w:val="24"/>
          <w:szCs w:val="24"/>
        </w:rPr>
        <w:t>92</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 xml:space="preserve">1% от домакинствата в България имат </w:t>
      </w:r>
      <w:r w:rsidRPr="00496500">
        <w:rPr>
          <w:rFonts w:ascii="Times New Roman" w:eastAsia="Times New Roman" w:hAnsi="Times New Roman" w:cs="Times New Roman"/>
          <w:b/>
          <w:bCs/>
          <w:sz w:val="24"/>
          <w:szCs w:val="24"/>
        </w:rPr>
        <w:t>достъп до интернет</w:t>
      </w:r>
      <w:r w:rsidRPr="00496500">
        <w:rPr>
          <w:rFonts w:ascii="Times New Roman" w:eastAsia="Times New Roman" w:hAnsi="Times New Roman" w:cs="Times New Roman"/>
          <w:sz w:val="24"/>
          <w:szCs w:val="24"/>
        </w:rPr>
        <w:t xml:space="preserve"> в домовете си. Запазва се тенденцията за ежегодно нарастване на домакинствата с достъп до глобалната мрежа, като в сравнение с миналата година относителният им дял се е увеличил с 3,6 процентни пункта. Това показват резултатите от проведеното през 2024 г. изследване на НСИ за използването на </w:t>
      </w:r>
      <w:r w:rsidR="00FE710E" w:rsidRPr="00496500">
        <w:rPr>
          <w:rFonts w:ascii="Times New Roman" w:eastAsia="Times New Roman" w:hAnsi="Times New Roman" w:cs="Times New Roman"/>
          <w:sz w:val="24"/>
          <w:szCs w:val="24"/>
        </w:rPr>
        <w:t xml:space="preserve">информационни и </w:t>
      </w:r>
      <w:r w:rsidRPr="00496500">
        <w:rPr>
          <w:rFonts w:ascii="Times New Roman" w:eastAsia="Times New Roman" w:hAnsi="Times New Roman" w:cs="Times New Roman"/>
          <w:sz w:val="24"/>
          <w:szCs w:val="24"/>
        </w:rPr>
        <w:t>комуникационни технологии (ИКТ) в домакинствата</w:t>
      </w:r>
      <w:r w:rsidR="00FE710E" w:rsidRPr="00496500">
        <w:rPr>
          <w:rFonts w:ascii="Times New Roman" w:eastAsia="Times New Roman" w:hAnsi="Times New Roman" w:cs="Times New Roman"/>
          <w:sz w:val="24"/>
          <w:szCs w:val="24"/>
        </w:rPr>
        <w:t xml:space="preserve"> и от лицата</w:t>
      </w:r>
      <w:r w:rsidRPr="00496500">
        <w:rPr>
          <w:rFonts w:ascii="Times New Roman" w:eastAsia="Times New Roman" w:hAnsi="Times New Roman" w:cs="Times New Roman"/>
          <w:sz w:val="24"/>
          <w:szCs w:val="24"/>
        </w:rPr>
        <w:t>.</w:t>
      </w:r>
    </w:p>
    <w:p w14:paraId="554D75BF" w14:textId="728B5B02" w:rsidR="00591396" w:rsidRDefault="00591396" w:rsidP="003B412E">
      <w:pPr>
        <w:spacing w:after="120" w:line="240" w:lineRule="auto"/>
        <w:ind w:right="-2" w:firstLine="720"/>
        <w:jc w:val="both"/>
        <w:rPr>
          <w:rFonts w:ascii="Times New Roman" w:eastAsia="Times New Roman" w:hAnsi="Times New Roman" w:cs="Times New Roman"/>
          <w:sz w:val="24"/>
          <w:szCs w:val="24"/>
        </w:rPr>
      </w:pPr>
      <w:r w:rsidRPr="00496500">
        <w:rPr>
          <w:rFonts w:ascii="Times New Roman" w:eastAsia="Times New Roman" w:hAnsi="Times New Roman" w:cs="Times New Roman"/>
          <w:sz w:val="24"/>
          <w:szCs w:val="24"/>
        </w:rPr>
        <w:t xml:space="preserve">Проучването показва, че 94,7% от домакинствата в градовете, разполагат с интернет връзка, а при живеещите </w:t>
      </w:r>
      <w:r w:rsidR="004079CF" w:rsidRPr="00496500">
        <w:rPr>
          <w:rFonts w:ascii="Times New Roman" w:eastAsia="Times New Roman" w:hAnsi="Times New Roman" w:cs="Times New Roman"/>
          <w:sz w:val="24"/>
          <w:szCs w:val="24"/>
        </w:rPr>
        <w:t>в селата относителният дял е 84</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3%, като за десетгодишен период разделението по местоживеене нама</w:t>
      </w:r>
      <w:r w:rsidR="004079CF" w:rsidRPr="00496500">
        <w:rPr>
          <w:rFonts w:ascii="Times New Roman" w:eastAsia="Times New Roman" w:hAnsi="Times New Roman" w:cs="Times New Roman"/>
          <w:sz w:val="24"/>
          <w:szCs w:val="24"/>
        </w:rPr>
        <w:t>лява значително - от 29,6 на 10</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4 процентни пункта.</w:t>
      </w:r>
    </w:p>
    <w:p w14:paraId="09E1AA9D" w14:textId="5F2348A9" w:rsidR="00B32F1D" w:rsidRPr="006D7474" w:rsidRDefault="000526EA" w:rsidP="006D7474">
      <w:pPr>
        <w:pStyle w:val="Caption"/>
        <w:spacing w:before="120" w:line="278" w:lineRule="auto"/>
        <w:rPr>
          <w:rFonts w:cs="Times New Roman"/>
          <w:sz w:val="20"/>
          <w:szCs w:val="20"/>
        </w:rPr>
      </w:pPr>
      <w:bookmarkStart w:id="14" w:name="_Toc209079372"/>
      <w:r w:rsidRPr="006D7474">
        <w:rPr>
          <w:rFonts w:cs="Times New Roman"/>
          <w:sz w:val="20"/>
          <w:szCs w:val="20"/>
        </w:rPr>
        <w:t xml:space="preserve">Графика </w:t>
      </w:r>
      <w:r w:rsidRPr="006D7474">
        <w:rPr>
          <w:rFonts w:cs="Times New Roman"/>
          <w:sz w:val="20"/>
          <w:szCs w:val="20"/>
        </w:rPr>
        <w:fldChar w:fldCharType="begin"/>
      </w:r>
      <w:r w:rsidRPr="006D7474">
        <w:rPr>
          <w:rFonts w:cs="Times New Roman"/>
          <w:sz w:val="20"/>
          <w:szCs w:val="20"/>
        </w:rPr>
        <w:instrText xml:space="preserve"> SEQ Графика \* ARABIC </w:instrText>
      </w:r>
      <w:r w:rsidRPr="006D7474">
        <w:rPr>
          <w:rFonts w:cs="Times New Roman"/>
          <w:sz w:val="20"/>
          <w:szCs w:val="20"/>
        </w:rPr>
        <w:fldChar w:fldCharType="separate"/>
      </w:r>
      <w:r w:rsidRPr="006D7474">
        <w:rPr>
          <w:rFonts w:cs="Times New Roman"/>
          <w:sz w:val="20"/>
          <w:szCs w:val="20"/>
        </w:rPr>
        <w:t>1</w:t>
      </w:r>
      <w:r w:rsidRPr="006D7474">
        <w:rPr>
          <w:rFonts w:cs="Times New Roman"/>
          <w:sz w:val="20"/>
          <w:szCs w:val="20"/>
        </w:rPr>
        <w:fldChar w:fldCharType="end"/>
      </w:r>
      <w:r w:rsidR="00B32F1D" w:rsidRPr="006D7474">
        <w:rPr>
          <w:rFonts w:cs="Times New Roman"/>
          <w:sz w:val="20"/>
          <w:szCs w:val="20"/>
        </w:rPr>
        <w:t xml:space="preserve"> Относителен дял на домакинствата с достъп до интернет по местоживеене</w:t>
      </w:r>
      <w:bookmarkEnd w:id="14"/>
    </w:p>
    <w:p w14:paraId="17AB07DE" w14:textId="77777777" w:rsidR="00575860" w:rsidRPr="00496500" w:rsidRDefault="00591396" w:rsidP="003B412E">
      <w:pPr>
        <w:spacing w:after="120" w:line="240" w:lineRule="auto"/>
        <w:ind w:right="-2"/>
        <w:rPr>
          <w:rFonts w:ascii="Times New Roman" w:eastAsia="Times New Roman" w:hAnsi="Times New Roman" w:cs="Times New Roman"/>
          <w:i/>
          <w:sz w:val="24"/>
          <w:szCs w:val="24"/>
        </w:rPr>
      </w:pPr>
      <w:r w:rsidRPr="00850643">
        <w:rPr>
          <w:rFonts w:ascii="Times New Roman" w:eastAsia="Times New Roman" w:hAnsi="Times New Roman" w:cs="Times New Roman"/>
          <w:noProof/>
          <w:sz w:val="24"/>
          <w:szCs w:val="24"/>
          <w:lang w:val="en-US"/>
        </w:rPr>
        <w:drawing>
          <wp:inline distT="0" distB="0" distL="0" distR="0" wp14:anchorId="6C0AC19F" wp14:editId="1DC02615">
            <wp:extent cx="5562600" cy="3559933"/>
            <wp:effectExtent l="0" t="0" r="0" b="2540"/>
            <wp:docPr id="1" name="Picture 1" descr="Източник: НС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точник: НСИ"/>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33600" cy="3605372"/>
                    </a:xfrm>
                    <a:prstGeom prst="rect">
                      <a:avLst/>
                    </a:prstGeom>
                    <a:noFill/>
                    <a:ln>
                      <a:noFill/>
                    </a:ln>
                  </pic:spPr>
                </pic:pic>
              </a:graphicData>
            </a:graphic>
          </wp:inline>
        </w:drawing>
      </w:r>
    </w:p>
    <w:p w14:paraId="5F251E83" w14:textId="60508B14" w:rsidR="00591396" w:rsidRPr="002F618B" w:rsidRDefault="00591396" w:rsidP="006D7474">
      <w:pPr>
        <w:ind w:left="993" w:hanging="993"/>
        <w:jc w:val="both"/>
        <w:rPr>
          <w:rFonts w:cs="Times New Roman"/>
          <w:sz w:val="20"/>
          <w:szCs w:val="20"/>
        </w:rPr>
      </w:pPr>
      <w:r w:rsidRPr="006D7474">
        <w:rPr>
          <w:rFonts w:ascii="Times New Roman" w:hAnsi="Times New Roman" w:cs="Times New Roman"/>
          <w:color w:val="44546A" w:themeColor="text2"/>
          <w:sz w:val="20"/>
          <w:szCs w:val="20"/>
        </w:rPr>
        <w:t>Източник:</w:t>
      </w:r>
      <w:r w:rsidR="00B32F1D" w:rsidRPr="006D7474">
        <w:rPr>
          <w:rFonts w:ascii="Times New Roman" w:hAnsi="Times New Roman" w:cs="Times New Roman"/>
          <w:color w:val="44546A" w:themeColor="text2"/>
          <w:sz w:val="20"/>
          <w:szCs w:val="20"/>
        </w:rPr>
        <w:tab/>
      </w:r>
      <w:r w:rsidRPr="006D7474">
        <w:rPr>
          <w:rFonts w:ascii="Times New Roman" w:hAnsi="Times New Roman" w:cs="Times New Roman"/>
          <w:color w:val="44546A" w:themeColor="text2"/>
          <w:sz w:val="20"/>
          <w:szCs w:val="20"/>
        </w:rPr>
        <w:t xml:space="preserve">НСИ </w:t>
      </w:r>
    </w:p>
    <w:p w14:paraId="2E1073A3" w14:textId="3CCBA1DE" w:rsidR="00591396" w:rsidRPr="00496500" w:rsidRDefault="00591396" w:rsidP="003B412E">
      <w:pPr>
        <w:spacing w:after="120" w:line="240" w:lineRule="auto"/>
        <w:ind w:right="-2" w:firstLine="720"/>
        <w:jc w:val="both"/>
        <w:rPr>
          <w:rFonts w:ascii="Times New Roman" w:eastAsia="Times New Roman" w:hAnsi="Times New Roman" w:cs="Times New Roman"/>
          <w:sz w:val="24"/>
          <w:szCs w:val="24"/>
        </w:rPr>
      </w:pPr>
      <w:r w:rsidRPr="00496500">
        <w:rPr>
          <w:rFonts w:ascii="Times New Roman" w:eastAsia="Times New Roman" w:hAnsi="Times New Roman" w:cs="Times New Roman"/>
          <w:sz w:val="24"/>
          <w:szCs w:val="24"/>
        </w:rPr>
        <w:t>Югозападният район e с най-висок относителен дял на домакин</w:t>
      </w:r>
      <w:r w:rsidR="001B347C" w:rsidRPr="00496500">
        <w:rPr>
          <w:rFonts w:ascii="Times New Roman" w:eastAsia="Times New Roman" w:hAnsi="Times New Roman" w:cs="Times New Roman"/>
          <w:sz w:val="24"/>
          <w:szCs w:val="24"/>
        </w:rPr>
        <w:t>ства с достъп до интернет (95</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5%), а с най-</w:t>
      </w:r>
      <w:r w:rsidR="001B347C" w:rsidRPr="00496500">
        <w:rPr>
          <w:rFonts w:ascii="Times New Roman" w:eastAsia="Times New Roman" w:hAnsi="Times New Roman" w:cs="Times New Roman"/>
          <w:sz w:val="24"/>
          <w:szCs w:val="24"/>
        </w:rPr>
        <w:t>нисък е Югоизточният район – 88</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6%. Домакинствата с деца използват по-ак</w:t>
      </w:r>
      <w:r w:rsidR="001B347C" w:rsidRPr="00496500">
        <w:rPr>
          <w:rFonts w:ascii="Times New Roman" w:eastAsia="Times New Roman" w:hAnsi="Times New Roman" w:cs="Times New Roman"/>
          <w:sz w:val="24"/>
          <w:szCs w:val="24"/>
        </w:rPr>
        <w:t>тивно глобалната мрежа, като 98</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4% от тях</w:t>
      </w:r>
      <w:r w:rsidR="001B347C" w:rsidRPr="00496500">
        <w:rPr>
          <w:rFonts w:ascii="Times New Roman" w:eastAsia="Times New Roman" w:hAnsi="Times New Roman" w:cs="Times New Roman"/>
          <w:sz w:val="24"/>
          <w:szCs w:val="24"/>
        </w:rPr>
        <w:t xml:space="preserve"> имат интернет връзка спрямо 89</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9% за домакинствата без деца.</w:t>
      </w:r>
    </w:p>
    <w:p w14:paraId="48310B35" w14:textId="70DB1078" w:rsidR="00591396" w:rsidRPr="00496500" w:rsidRDefault="00591396" w:rsidP="003B412E">
      <w:pPr>
        <w:spacing w:after="120" w:line="240" w:lineRule="auto"/>
        <w:ind w:right="-2" w:firstLine="720"/>
        <w:jc w:val="both"/>
        <w:rPr>
          <w:rFonts w:ascii="Times New Roman" w:eastAsia="Times New Roman" w:hAnsi="Times New Roman" w:cs="Times New Roman"/>
          <w:sz w:val="24"/>
          <w:szCs w:val="24"/>
        </w:rPr>
      </w:pPr>
      <w:r w:rsidRPr="00496500">
        <w:rPr>
          <w:rFonts w:ascii="Times New Roman" w:eastAsia="Times New Roman" w:hAnsi="Times New Roman" w:cs="Times New Roman"/>
          <w:sz w:val="24"/>
          <w:szCs w:val="24"/>
        </w:rPr>
        <w:t>Основната причина, поради която домакинствата нямат достъп до интернет в домовете си, е липса на</w:t>
      </w:r>
      <w:r w:rsidR="001B347C" w:rsidRPr="00496500">
        <w:rPr>
          <w:rFonts w:ascii="Times New Roman" w:eastAsia="Times New Roman" w:hAnsi="Times New Roman" w:cs="Times New Roman"/>
          <w:sz w:val="24"/>
          <w:szCs w:val="24"/>
        </w:rPr>
        <w:t xml:space="preserve"> умения за работа с интернет (3</w:t>
      </w:r>
      <w:r w:rsidR="004C5E94">
        <w:rPr>
          <w:rFonts w:ascii="Times New Roman" w:eastAsia="Times New Roman" w:hAnsi="Times New Roman" w:cs="Times New Roman"/>
          <w:sz w:val="24"/>
          <w:szCs w:val="24"/>
        </w:rPr>
        <w:t>,</w:t>
      </w:r>
      <w:r w:rsidR="001B347C" w:rsidRPr="00496500">
        <w:rPr>
          <w:rFonts w:ascii="Times New Roman" w:eastAsia="Times New Roman" w:hAnsi="Times New Roman" w:cs="Times New Roman"/>
          <w:sz w:val="24"/>
          <w:szCs w:val="24"/>
        </w:rPr>
        <w:t>6%), а 3</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5% посочват, че нямат необходимост (интернет не е п</w:t>
      </w:r>
      <w:r w:rsidR="001B347C" w:rsidRPr="00496500">
        <w:rPr>
          <w:rFonts w:ascii="Times New Roman" w:eastAsia="Times New Roman" w:hAnsi="Times New Roman" w:cs="Times New Roman"/>
          <w:sz w:val="24"/>
          <w:szCs w:val="24"/>
        </w:rPr>
        <w:t>олезен, интересен и т.н.). За 1</w:t>
      </w:r>
      <w:r w:rsidR="004C5E94">
        <w:rPr>
          <w:rFonts w:ascii="Times New Roman" w:eastAsia="Times New Roman" w:hAnsi="Times New Roman" w:cs="Times New Roman"/>
          <w:sz w:val="24"/>
          <w:szCs w:val="24"/>
        </w:rPr>
        <w:t>,</w:t>
      </w:r>
      <w:r w:rsidRPr="00496500">
        <w:rPr>
          <w:rFonts w:ascii="Times New Roman" w:eastAsia="Times New Roman" w:hAnsi="Times New Roman" w:cs="Times New Roman"/>
          <w:sz w:val="24"/>
          <w:szCs w:val="24"/>
        </w:rPr>
        <w:t>2% от домакинствата разходите за достъп (оборудване, абонамент и др.) са твърде високи.</w:t>
      </w:r>
    </w:p>
    <w:p w14:paraId="1C87C5AD" w14:textId="77777777"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lastRenderedPageBreak/>
        <w:t>Съпоставително спрямо изследваните причини за липса на покритие и наличие на алтернатива за достъп на друго място, данните сочат, че бариерите пред достъпа са най-вече от демографски и финансов характер, а не поради липса на осигуряване на необходимите условия и инфраструктура. Аргумент в подкрепа на твърдението, че някои от причините са от демографско естество е и долу-предложената статистика по отношение на лицата, притежаващи основни и над основните цифрови умения. Данните сочат, че особено ниски са стойностите по отношение на лица с основно и по-ниско образование и сред по-възрастното население - фактор, вероятно обвързан с посочената причина „липса на необходимост от интернет”.</w:t>
      </w:r>
    </w:p>
    <w:p w14:paraId="1FB73406" w14:textId="77777777" w:rsidR="00591396" w:rsidRPr="00496500" w:rsidRDefault="00591396" w:rsidP="003B412E">
      <w:pPr>
        <w:pStyle w:val="Default"/>
        <w:spacing w:after="120"/>
        <w:ind w:left="720" w:right="-2"/>
        <w:jc w:val="both"/>
        <w:rPr>
          <w:b/>
          <w:color w:val="auto"/>
          <w:lang w:val="bg-BG"/>
        </w:rPr>
      </w:pPr>
      <w:r w:rsidRPr="00496500">
        <w:rPr>
          <w:b/>
          <w:color w:val="auto"/>
          <w:lang w:val="bg-BG"/>
        </w:rPr>
        <w:t xml:space="preserve">ИКТ специалисти </w:t>
      </w:r>
    </w:p>
    <w:p w14:paraId="52538A2B" w14:textId="524AF32D" w:rsidR="00591396" w:rsidRPr="00496500" w:rsidRDefault="001B347C" w:rsidP="003B412E">
      <w:pPr>
        <w:spacing w:after="120" w:line="240" w:lineRule="auto"/>
        <w:ind w:right="-2" w:firstLine="720"/>
        <w:jc w:val="both"/>
        <w:rPr>
          <w:rFonts w:ascii="Times New Roman" w:eastAsia="Gill Sans" w:hAnsi="Times New Roman" w:cs="Times New Roman"/>
          <w:sz w:val="24"/>
          <w:szCs w:val="24"/>
        </w:rPr>
      </w:pPr>
      <w:r w:rsidRPr="00496500">
        <w:rPr>
          <w:rFonts w:ascii="Times New Roman" w:eastAsia="Gill Sans" w:hAnsi="Times New Roman" w:cs="Times New Roman"/>
          <w:sz w:val="24"/>
          <w:szCs w:val="24"/>
        </w:rPr>
        <w:t>Със своите приблизително 95</w:t>
      </w:r>
      <w:r w:rsidR="004C5E94">
        <w:rPr>
          <w:rFonts w:ascii="Times New Roman" w:eastAsia="Gill Sans" w:hAnsi="Times New Roman" w:cs="Times New Roman"/>
          <w:sz w:val="24"/>
          <w:szCs w:val="24"/>
        </w:rPr>
        <w:t>,</w:t>
      </w:r>
      <w:r w:rsidR="00591396" w:rsidRPr="00496500">
        <w:rPr>
          <w:rFonts w:ascii="Times New Roman" w:eastAsia="Gill Sans" w:hAnsi="Times New Roman" w:cs="Times New Roman"/>
          <w:sz w:val="24"/>
          <w:szCs w:val="24"/>
        </w:rPr>
        <w:t>4 хиляди ИКТ специалисти България се нарежда на 17-то място сред 36 европейски държави</w:t>
      </w:r>
      <w:r w:rsidR="00591396" w:rsidRPr="00496500">
        <w:rPr>
          <w:rStyle w:val="FootnoteReference"/>
          <w:rFonts w:ascii="Times New Roman" w:eastAsia="Gill Sans" w:hAnsi="Times New Roman" w:cs="Times New Roman"/>
          <w:sz w:val="24"/>
          <w:szCs w:val="24"/>
        </w:rPr>
        <w:footnoteReference w:id="40"/>
      </w:r>
      <w:r w:rsidR="00591396" w:rsidRPr="00496500">
        <w:rPr>
          <w:rFonts w:ascii="Times New Roman" w:eastAsia="Gill Sans" w:hAnsi="Times New Roman" w:cs="Times New Roman"/>
          <w:sz w:val="24"/>
          <w:szCs w:val="24"/>
        </w:rPr>
        <w:t>. През 2024 г. България е на трето място в ЕС по отношение на дела на жените спе</w:t>
      </w:r>
      <w:r w:rsidRPr="00496500">
        <w:rPr>
          <w:rFonts w:ascii="Times New Roman" w:eastAsia="Gill Sans" w:hAnsi="Times New Roman" w:cs="Times New Roman"/>
          <w:sz w:val="24"/>
          <w:szCs w:val="24"/>
        </w:rPr>
        <w:t>циалисти в областта на ИКТ — 27%, при средно 19</w:t>
      </w:r>
      <w:r w:rsidR="004C5E94">
        <w:rPr>
          <w:rFonts w:ascii="Times New Roman" w:eastAsia="Gill Sans" w:hAnsi="Times New Roman" w:cs="Times New Roman"/>
          <w:sz w:val="24"/>
          <w:szCs w:val="24"/>
        </w:rPr>
        <w:t>,</w:t>
      </w:r>
      <w:r w:rsidR="00591396" w:rsidRPr="00496500">
        <w:rPr>
          <w:rFonts w:ascii="Times New Roman" w:eastAsia="Gill Sans" w:hAnsi="Times New Roman" w:cs="Times New Roman"/>
          <w:sz w:val="24"/>
          <w:szCs w:val="24"/>
        </w:rPr>
        <w:t>5% за ЕС</w:t>
      </w:r>
      <w:r w:rsidR="00591396" w:rsidRPr="00496500">
        <w:rPr>
          <w:rStyle w:val="FootnoteReference"/>
          <w:rFonts w:ascii="Times New Roman" w:eastAsia="Gill Sans" w:hAnsi="Times New Roman" w:cs="Times New Roman"/>
          <w:sz w:val="24"/>
          <w:szCs w:val="24"/>
        </w:rPr>
        <w:footnoteReference w:id="41"/>
      </w:r>
      <w:r w:rsidR="00591396" w:rsidRPr="00496500">
        <w:rPr>
          <w:rFonts w:ascii="Times New Roman" w:eastAsia="Gill Sans" w:hAnsi="Times New Roman" w:cs="Times New Roman"/>
          <w:sz w:val="24"/>
          <w:szCs w:val="24"/>
        </w:rPr>
        <w:t xml:space="preserve">. </w:t>
      </w:r>
    </w:p>
    <w:p w14:paraId="69E8721A" w14:textId="1C51FFF6" w:rsidR="00591396" w:rsidRPr="00496500" w:rsidRDefault="00591396" w:rsidP="003B412E">
      <w:pPr>
        <w:spacing w:after="120" w:line="240" w:lineRule="auto"/>
        <w:ind w:right="-2" w:firstLine="720"/>
        <w:jc w:val="both"/>
        <w:rPr>
          <w:rFonts w:ascii="Times New Roman" w:hAnsi="Times New Roman" w:cs="Times New Roman"/>
          <w:sz w:val="24"/>
          <w:szCs w:val="24"/>
        </w:rPr>
      </w:pPr>
      <w:r w:rsidRPr="00496500">
        <w:rPr>
          <w:rFonts w:ascii="Times New Roman" w:hAnsi="Times New Roman" w:cs="Times New Roman"/>
          <w:sz w:val="24"/>
          <w:szCs w:val="24"/>
        </w:rPr>
        <w:t>От за</w:t>
      </w:r>
      <w:r w:rsidR="001B347C" w:rsidRPr="00496500">
        <w:rPr>
          <w:rFonts w:ascii="Times New Roman" w:hAnsi="Times New Roman" w:cs="Times New Roman"/>
          <w:sz w:val="24"/>
          <w:szCs w:val="24"/>
        </w:rPr>
        <w:t>вършилите висше образование 4</w:t>
      </w:r>
      <w:r w:rsidR="004C5E94">
        <w:rPr>
          <w:rFonts w:ascii="Times New Roman" w:hAnsi="Times New Roman" w:cs="Times New Roman"/>
          <w:sz w:val="24"/>
          <w:szCs w:val="24"/>
        </w:rPr>
        <w:t>,</w:t>
      </w:r>
      <w:r w:rsidR="001B347C" w:rsidRPr="00496500">
        <w:rPr>
          <w:rFonts w:ascii="Times New Roman" w:hAnsi="Times New Roman" w:cs="Times New Roman"/>
          <w:sz w:val="24"/>
          <w:szCs w:val="24"/>
        </w:rPr>
        <w:t>9</w:t>
      </w:r>
      <w:r w:rsidRPr="00496500">
        <w:rPr>
          <w:rFonts w:ascii="Times New Roman" w:hAnsi="Times New Roman" w:cs="Times New Roman"/>
          <w:sz w:val="24"/>
          <w:szCs w:val="24"/>
        </w:rPr>
        <w:t xml:space="preserve">% участват в програми в областта на ИКТ, което е над средното за ЕС. Съществуват повече от 30 частни софтуерни академии и лицензирани обучителни центрове, които предлагат краткосрочни до средносрочни образователни програми и над 20 гимназии, които включват в учебните си съдържания програми по ИКТ, комбинирани с часове по английски език. България има дългогодишен опит в областта на аутсорсинга на бизнес процеси, класирайки се на 26-то място от 60 в </w:t>
      </w:r>
      <w:r w:rsidRPr="00496500">
        <w:rPr>
          <w:rFonts w:ascii="Times New Roman" w:hAnsi="Times New Roman" w:cs="Times New Roman"/>
          <w:color w:val="0563C1" w:themeColor="hyperlink"/>
          <w:sz w:val="24"/>
          <w:szCs w:val="24"/>
          <w:u w:val="single"/>
        </w:rPr>
        <w:t>AT Kearney Global Services Location Index 202</w:t>
      </w:r>
      <w:r w:rsidRPr="00496500">
        <w:rPr>
          <w:rFonts w:ascii="Times New Roman" w:hAnsi="Times New Roman" w:cs="Times New Roman"/>
          <w:sz w:val="24"/>
          <w:szCs w:val="24"/>
        </w:rPr>
        <w:t>3</w:t>
      </w:r>
      <w:r w:rsidRPr="00496500">
        <w:rPr>
          <w:rStyle w:val="FootnoteReference"/>
          <w:rFonts w:ascii="Times New Roman" w:hAnsi="Times New Roman" w:cs="Times New Roman"/>
          <w:sz w:val="24"/>
          <w:szCs w:val="24"/>
        </w:rPr>
        <w:footnoteReference w:id="42"/>
      </w:r>
      <w:r w:rsidRPr="00496500">
        <w:rPr>
          <w:rFonts w:ascii="Times New Roman" w:hAnsi="Times New Roman" w:cs="Times New Roman"/>
          <w:sz w:val="24"/>
          <w:szCs w:val="24"/>
        </w:rPr>
        <w:t xml:space="preserve">. Българските ИТ специалисти са специализирани предимно в разработката на софтуер с опит в PHP, Python, Java. В доклада за глобалните умения на Coursera 2025, България е класирана на 44-то място от 109 държави, а по новия </w:t>
      </w:r>
      <w:r w:rsidRPr="00496500">
        <w:rPr>
          <w:rStyle w:val="rynqvb"/>
          <w:rFonts w:ascii="Times New Roman" w:hAnsi="Times New Roman" w:cs="Times New Roman"/>
          <w:sz w:val="24"/>
          <w:szCs w:val="24"/>
        </w:rPr>
        <w:t>Индекс на зрялост на изкуствения интелект</w:t>
      </w:r>
      <w:r w:rsidRPr="00496500">
        <w:rPr>
          <w:rStyle w:val="FootnoteReference"/>
          <w:rFonts w:ascii="Times New Roman" w:hAnsi="Times New Roman" w:cs="Times New Roman"/>
          <w:sz w:val="24"/>
          <w:szCs w:val="24"/>
        </w:rPr>
        <w:footnoteReference w:id="43"/>
      </w:r>
      <w:r w:rsidRPr="00496500">
        <w:rPr>
          <w:rFonts w:ascii="Times New Roman" w:hAnsi="Times New Roman" w:cs="Times New Roman"/>
          <w:sz w:val="24"/>
          <w:szCs w:val="24"/>
        </w:rPr>
        <w:t xml:space="preserve"> - на 42 място. </w:t>
      </w:r>
    </w:p>
    <w:p w14:paraId="156E5186" w14:textId="5FEA835A" w:rsidR="00591396" w:rsidRPr="00496500" w:rsidRDefault="00591396" w:rsidP="003B412E">
      <w:pPr>
        <w:spacing w:after="120" w:line="240" w:lineRule="auto"/>
        <w:ind w:right="-2" w:firstLine="720"/>
        <w:jc w:val="both"/>
        <w:rPr>
          <w:rFonts w:ascii="Times New Roman" w:eastAsia="Gill Sans" w:hAnsi="Times New Roman" w:cs="Times New Roman"/>
          <w:sz w:val="24"/>
          <w:szCs w:val="24"/>
        </w:rPr>
      </w:pPr>
      <w:r w:rsidRPr="00496500">
        <w:rPr>
          <w:rFonts w:ascii="Times New Roman" w:eastAsia="Gill Sans" w:hAnsi="Times New Roman" w:cs="Times New Roman"/>
          <w:sz w:val="24"/>
          <w:szCs w:val="24"/>
        </w:rPr>
        <w:t>Въпреки това, по данни от Евростат за 2022 г. за България, процентът на специалисти</w:t>
      </w:r>
      <w:r w:rsidR="001B347C" w:rsidRPr="00496500">
        <w:rPr>
          <w:rFonts w:ascii="Times New Roman" w:eastAsia="Gill Sans" w:hAnsi="Times New Roman" w:cs="Times New Roman"/>
          <w:sz w:val="24"/>
          <w:szCs w:val="24"/>
        </w:rPr>
        <w:t>те по ИКТ от общата заетост е 3</w:t>
      </w:r>
      <w:r w:rsidR="004C5E94">
        <w:rPr>
          <w:rFonts w:ascii="Times New Roman" w:eastAsia="Gill Sans" w:hAnsi="Times New Roman" w:cs="Times New Roman"/>
          <w:sz w:val="24"/>
          <w:szCs w:val="24"/>
        </w:rPr>
        <w:t>,</w:t>
      </w:r>
      <w:r w:rsidRPr="00496500">
        <w:rPr>
          <w:rFonts w:ascii="Times New Roman" w:eastAsia="Gill Sans" w:hAnsi="Times New Roman" w:cs="Times New Roman"/>
          <w:sz w:val="24"/>
          <w:szCs w:val="24"/>
        </w:rPr>
        <w:t xml:space="preserve">75%, предимно в </w:t>
      </w:r>
      <w:r w:rsidR="001B347C" w:rsidRPr="00496500">
        <w:rPr>
          <w:rFonts w:ascii="Times New Roman" w:eastAsia="Gill Sans" w:hAnsi="Times New Roman" w:cs="Times New Roman"/>
          <w:sz w:val="24"/>
          <w:szCs w:val="24"/>
        </w:rPr>
        <w:t>София, и е над средното за ЕС 3</w:t>
      </w:r>
      <w:r w:rsidR="004C5E94">
        <w:rPr>
          <w:rFonts w:ascii="Times New Roman" w:eastAsia="Gill Sans" w:hAnsi="Times New Roman" w:cs="Times New Roman"/>
          <w:sz w:val="24"/>
          <w:szCs w:val="24"/>
        </w:rPr>
        <w:t>,</w:t>
      </w:r>
      <w:r w:rsidRPr="00496500">
        <w:rPr>
          <w:rFonts w:ascii="Times New Roman" w:eastAsia="Gill Sans" w:hAnsi="Times New Roman" w:cs="Times New Roman"/>
          <w:sz w:val="24"/>
          <w:szCs w:val="24"/>
        </w:rPr>
        <w:t>32%)</w:t>
      </w:r>
      <w:r w:rsidRPr="00496500">
        <w:rPr>
          <w:rStyle w:val="FootnoteReference"/>
          <w:rFonts w:ascii="Times New Roman" w:eastAsia="Gill Sans" w:hAnsi="Times New Roman" w:cs="Times New Roman"/>
          <w:sz w:val="24"/>
          <w:szCs w:val="24"/>
        </w:rPr>
        <w:footnoteReference w:id="44"/>
      </w:r>
      <w:r w:rsidRPr="00496500">
        <w:rPr>
          <w:rFonts w:ascii="Times New Roman" w:eastAsia="Gill Sans" w:hAnsi="Times New Roman" w:cs="Times New Roman"/>
          <w:sz w:val="24"/>
          <w:szCs w:val="24"/>
        </w:rPr>
        <w:t xml:space="preserve">. </w:t>
      </w:r>
    </w:p>
    <w:p w14:paraId="443A41BE" w14:textId="77777777" w:rsidR="00591396" w:rsidRPr="00496500" w:rsidRDefault="00591396" w:rsidP="004547D8">
      <w:pPr>
        <w:spacing w:after="24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В същото време академичните институции имат необходимост от допълнителен финансов ресурс за поддържане и надграждане на цифрови съоръжения за обучение. Поддържането на център за данни и осигуряването на необходимата сигурност и непрекъснатост на процесите изисква ресурси, които често не се покриват от бюджета на академичните среди. </w:t>
      </w:r>
      <w:r w:rsidRPr="00496500">
        <w:rPr>
          <w:rFonts w:ascii="Times New Roman" w:hAnsi="Times New Roman" w:cs="Times New Roman"/>
          <w:b/>
          <w:sz w:val="24"/>
          <w:szCs w:val="24"/>
        </w:rPr>
        <w:t>Налице са организационни затруднения, изразяващи се в силния традиционализъм на част от преподавателския състав, в установените методики на преподаване и обща липса на цифрово обучени учители, поради което са заложени мерки и дейности за тяхното преодоляване</w:t>
      </w:r>
      <w:r w:rsidRPr="00496500">
        <w:rPr>
          <w:rFonts w:ascii="Times New Roman" w:hAnsi="Times New Roman" w:cs="Times New Roman"/>
          <w:sz w:val="24"/>
          <w:szCs w:val="24"/>
        </w:rPr>
        <w:t xml:space="preserve">. </w:t>
      </w:r>
    </w:p>
    <w:p w14:paraId="09F8FB7B" w14:textId="77777777" w:rsidR="00591396" w:rsidRPr="00496500" w:rsidRDefault="00591396" w:rsidP="004547D8">
      <w:pPr>
        <w:pStyle w:val="Default"/>
        <w:spacing w:before="120" w:after="120"/>
        <w:ind w:left="720"/>
        <w:jc w:val="both"/>
        <w:rPr>
          <w:b/>
          <w:color w:val="auto"/>
          <w:lang w:val="bg-BG"/>
        </w:rPr>
      </w:pPr>
      <w:r w:rsidRPr="00496500">
        <w:rPr>
          <w:b/>
          <w:color w:val="auto"/>
          <w:lang w:val="bg-BG"/>
        </w:rPr>
        <w:t>Цифровите технологии и упражняването на правата на гр</w:t>
      </w:r>
      <w:r w:rsidR="004F45FA" w:rsidRPr="00496500">
        <w:rPr>
          <w:b/>
          <w:color w:val="auto"/>
          <w:lang w:val="bg-BG"/>
        </w:rPr>
        <w:t>ажданите в демократичния процес</w:t>
      </w:r>
    </w:p>
    <w:p w14:paraId="2FD44EEA" w14:textId="77777777" w:rsidR="00591396" w:rsidRPr="00496500" w:rsidRDefault="00591396" w:rsidP="00254ECF">
      <w:pPr>
        <w:pStyle w:val="Default"/>
        <w:numPr>
          <w:ilvl w:val="0"/>
          <w:numId w:val="26"/>
        </w:numPr>
        <w:tabs>
          <w:tab w:val="left" w:pos="993"/>
        </w:tabs>
        <w:spacing w:after="120"/>
        <w:ind w:left="0" w:right="-2" w:firstLine="709"/>
        <w:jc w:val="both"/>
        <w:rPr>
          <w:i/>
          <w:color w:val="auto"/>
          <w:lang w:val="bg-BG"/>
        </w:rPr>
      </w:pPr>
      <w:r w:rsidRPr="00496500">
        <w:rPr>
          <w:i/>
          <w:color w:val="auto"/>
          <w:lang w:val="bg-BG"/>
        </w:rPr>
        <w:t>пряка демокрация - референдуми, граждански инициативи</w:t>
      </w:r>
    </w:p>
    <w:p w14:paraId="7EE42771" w14:textId="77777777" w:rsidR="00591396" w:rsidRPr="00496500" w:rsidRDefault="00591396" w:rsidP="00254ECF">
      <w:pPr>
        <w:pStyle w:val="Default"/>
        <w:numPr>
          <w:ilvl w:val="0"/>
          <w:numId w:val="26"/>
        </w:numPr>
        <w:tabs>
          <w:tab w:val="left" w:pos="993"/>
        </w:tabs>
        <w:spacing w:after="120"/>
        <w:ind w:left="0" w:right="-2" w:firstLine="709"/>
        <w:jc w:val="both"/>
        <w:rPr>
          <w:i/>
          <w:color w:val="auto"/>
          <w:lang w:val="bg-BG"/>
        </w:rPr>
      </w:pPr>
      <w:r w:rsidRPr="00496500">
        <w:rPr>
          <w:i/>
          <w:color w:val="auto"/>
          <w:lang w:val="bg-BG"/>
        </w:rPr>
        <w:lastRenderedPageBreak/>
        <w:t>демокрация на участието - обществени консултации и обсъждания на важни въпроси с гражданите</w:t>
      </w:r>
    </w:p>
    <w:p w14:paraId="11CA2259" w14:textId="0E7BEDD8"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По отношение на свободата на изразяване, условията за нейното ограничение и отговорността на доставчиците на онлайн услуги ключови се явяват както актовете на международното право, по които Република България е страна, така и актовете от правото на Европейския съюз. Конституционната и националната уредба са приведени в пълно съответствие с международно утвърдените стандарти по отношение на допустимите ограничения на свободата на изразяване, като тяхното спазване бе </w:t>
      </w:r>
      <w:r w:rsidR="004C5E94">
        <w:rPr>
          <w:rFonts w:ascii="Times New Roman" w:hAnsi="Times New Roman" w:cs="Times New Roman"/>
          <w:sz w:val="24"/>
          <w:szCs w:val="24"/>
        </w:rPr>
        <w:t>„</w:t>
      </w:r>
      <w:r w:rsidRPr="00496500">
        <w:rPr>
          <w:rFonts w:ascii="Times New Roman" w:hAnsi="Times New Roman" w:cs="Times New Roman"/>
          <w:sz w:val="24"/>
          <w:szCs w:val="24"/>
        </w:rPr>
        <w:t>тествано</w:t>
      </w:r>
      <w:r w:rsidR="004C5E94">
        <w:rPr>
          <w:rFonts w:ascii="Times New Roman" w:hAnsi="Times New Roman" w:cs="Times New Roman"/>
          <w:sz w:val="24"/>
          <w:szCs w:val="24"/>
        </w:rPr>
        <w:t>“</w:t>
      </w:r>
      <w:r w:rsidRPr="00496500">
        <w:rPr>
          <w:rFonts w:ascii="Times New Roman" w:hAnsi="Times New Roman" w:cs="Times New Roman"/>
          <w:sz w:val="24"/>
          <w:szCs w:val="24"/>
        </w:rPr>
        <w:t xml:space="preserve"> на практика по време на пандемията от COVID-19, когато Конституционният съд на страната утвърди разбирането за крайност и ограниченост във времето и обхвата на мерките за ограничаване на отделни права и свободи на гражданите с оглед опазване на обществения здравен интерес. По отношение отговорността на доставчиците на онлайн услуги, пък, особено явно става при разписването на отделните показатели, че уредбата търпи широкообхватна хармонизация на ниво Европейски съюз. Новите правила, въведени с Акта за цифровите услуги, целят постигане на по-голяма прозрачност и разпределят по-голяма тежест върху онлайн платформите за гарантиране на правата на потребителите.</w:t>
      </w:r>
    </w:p>
    <w:p w14:paraId="12947365" w14:textId="77777777"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eastAsiaTheme="majorEastAsia" w:hAnsi="Times New Roman" w:cs="Times New Roman"/>
          <w:sz w:val="24"/>
          <w:szCs w:val="24"/>
        </w:rPr>
        <w:t>По отношение на п</w:t>
      </w:r>
      <w:r w:rsidRPr="00496500">
        <w:rPr>
          <w:rFonts w:ascii="Times New Roman" w:hAnsi="Times New Roman" w:cs="Times New Roman"/>
          <w:sz w:val="24"/>
          <w:szCs w:val="24"/>
        </w:rPr>
        <w:t xml:space="preserve">равото на достъп до </w:t>
      </w:r>
      <w:r w:rsidRPr="00496500">
        <w:rPr>
          <w:rFonts w:ascii="Times New Roman" w:hAnsi="Times New Roman" w:cs="Times New Roman"/>
          <w:b/>
          <w:sz w:val="24"/>
          <w:szCs w:val="24"/>
        </w:rPr>
        <w:t>информация се открояват в негативен план оценките за влошената медийна среда в България</w:t>
      </w:r>
      <w:r w:rsidRPr="00496500">
        <w:rPr>
          <w:rFonts w:ascii="Times New Roman" w:hAnsi="Times New Roman" w:cs="Times New Roman"/>
          <w:sz w:val="24"/>
          <w:szCs w:val="24"/>
        </w:rPr>
        <w:t xml:space="preserve">. Макар и правната рамка да съдържа гаранции за свободата на достъпа до информация и свободата на медиите и индивидуалните журналисти, изследванията сочат за липса на прозрачност в собствеността и особено високи рискове от политическо влияние. Страната ни е на едно от последните места в Европейския съюз, а и в Европа като цяло, по отношение на свобода и независимост на медиите, като </w:t>
      </w:r>
      <w:r w:rsidRPr="00496500">
        <w:rPr>
          <w:rFonts w:ascii="Times New Roman" w:hAnsi="Times New Roman" w:cs="Times New Roman"/>
          <w:b/>
          <w:sz w:val="24"/>
          <w:szCs w:val="24"/>
        </w:rPr>
        <w:t>особено внимание е обърнато от Европейската комисия и на разпространението на т.нар. SLAPP дела, целящи оказване на натиск и сплашване над журналисти</w:t>
      </w:r>
      <w:r w:rsidRPr="00496500">
        <w:rPr>
          <w:rFonts w:ascii="Times New Roman" w:hAnsi="Times New Roman" w:cs="Times New Roman"/>
          <w:sz w:val="24"/>
          <w:szCs w:val="24"/>
        </w:rPr>
        <w:t>.</w:t>
      </w:r>
      <w:r w:rsidRPr="00496500">
        <w:rPr>
          <w:rStyle w:val="FootnoteReference"/>
          <w:rFonts w:ascii="Times New Roman" w:hAnsi="Times New Roman" w:cs="Times New Roman"/>
          <w:sz w:val="24"/>
          <w:szCs w:val="24"/>
        </w:rPr>
        <w:footnoteReference w:id="45"/>
      </w:r>
    </w:p>
    <w:p w14:paraId="641BB2F8" w14:textId="77777777" w:rsidR="00591396" w:rsidRPr="00496500" w:rsidRDefault="00591396" w:rsidP="00F62F3E">
      <w:pPr>
        <w:spacing w:after="120" w:line="240" w:lineRule="auto"/>
        <w:ind w:right="-2" w:firstLine="709"/>
        <w:jc w:val="both"/>
        <w:rPr>
          <w:rFonts w:ascii="Times New Roman" w:hAnsi="Times New Roman" w:cs="Times New Roman"/>
          <w:color w:val="002060"/>
          <w:sz w:val="24"/>
          <w:szCs w:val="24"/>
        </w:rPr>
      </w:pPr>
      <w:r w:rsidRPr="00496500">
        <w:rPr>
          <w:rFonts w:ascii="Times New Roman" w:hAnsi="Times New Roman" w:cs="Times New Roman"/>
          <w:sz w:val="24"/>
          <w:szCs w:val="24"/>
        </w:rPr>
        <w:t xml:space="preserve">По отношение на свободата на сдружаване и участието в обществени дейности отново може да се посочи, че съществуващите разпоредби следва да създават условия за прозрачност и овластяване на гражданите да участват посредством предоставените им механизми в държавното управление. </w:t>
      </w:r>
    </w:p>
    <w:p w14:paraId="46AB10D2" w14:textId="77777777"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На следващо място, прозрачното управление изисква гражданите и юридическите лица да участват в нормотворческия процес, като предоставят своите предложения и становища преди приемането на нормативни или общи административни актове. В тази връзка Законът за нормативните актове дефинира Портала за обществени консултации като „централна, публична уеб-базирана информационна система, която осигурява публикуването на проекти на нормативни актове за обществени консултации, изготвени от орган на изпълнителната власт или от орган на местно самоуправление”</w:t>
      </w:r>
      <w:r w:rsidRPr="00496500">
        <w:rPr>
          <w:rStyle w:val="FootnoteReference"/>
          <w:rFonts w:ascii="Times New Roman" w:hAnsi="Times New Roman" w:cs="Times New Roman"/>
          <w:sz w:val="24"/>
          <w:szCs w:val="24"/>
        </w:rPr>
        <w:footnoteReference w:id="46"/>
      </w:r>
      <w:r w:rsidRPr="00496500">
        <w:rPr>
          <w:rFonts w:ascii="Times New Roman" w:hAnsi="Times New Roman" w:cs="Times New Roman"/>
          <w:sz w:val="24"/>
          <w:szCs w:val="24"/>
        </w:rPr>
        <w:t xml:space="preserve">. Проектите на нормативни актове, които са част от правото на законодателна инициатива на народните представители, се публикуват на уебстраницата на Народното събрание на уеб-адрес </w:t>
      </w:r>
      <w:hyperlink r:id="rId43">
        <w:r w:rsidRPr="00496500">
          <w:rPr>
            <w:rStyle w:val="Hyperlink"/>
            <w:rFonts w:ascii="Times New Roman" w:hAnsi="Times New Roman" w:cs="Times New Roman"/>
            <w:sz w:val="24"/>
            <w:szCs w:val="24"/>
          </w:rPr>
          <w:t>https://parliament.bg/</w:t>
        </w:r>
      </w:hyperlink>
      <w:r w:rsidRPr="00496500">
        <w:rPr>
          <w:rFonts w:ascii="Times New Roman" w:hAnsi="Times New Roman" w:cs="Times New Roman"/>
          <w:sz w:val="24"/>
          <w:szCs w:val="24"/>
        </w:rPr>
        <w:t>, както и всички останали проекти на актове на парламента.</w:t>
      </w:r>
    </w:p>
    <w:p w14:paraId="2BB11072" w14:textId="77777777" w:rsidR="00591396" w:rsidRPr="00496500" w:rsidRDefault="00591396" w:rsidP="003B412E">
      <w:pPr>
        <w:pStyle w:val="Default"/>
        <w:spacing w:after="120"/>
        <w:ind w:left="720" w:right="-2"/>
        <w:jc w:val="both"/>
        <w:rPr>
          <w:b/>
          <w:color w:val="auto"/>
          <w:lang w:val="bg-BG"/>
        </w:rPr>
      </w:pPr>
      <w:r w:rsidRPr="00496500">
        <w:rPr>
          <w:b/>
          <w:color w:val="auto"/>
          <w:lang w:val="bg-BG"/>
        </w:rPr>
        <w:t xml:space="preserve">Обща наличност и сигурност на интернет </w:t>
      </w:r>
    </w:p>
    <w:p w14:paraId="42D0BC2E" w14:textId="77777777"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България се е присъединила към 6 от 8-те препоръки на ОИСР, свързани с управлението на цифровия сектор, една от които е „Препоръката на Съвета относно принципите за създаване на интернет политика”. </w:t>
      </w:r>
      <w:r w:rsidRPr="00496500">
        <w:rPr>
          <w:rFonts w:ascii="Times New Roman" w:eastAsia="Times New Roman" w:hAnsi="Times New Roman" w:cs="Times New Roman"/>
          <w:bCs/>
          <w:sz w:val="24"/>
          <w:szCs w:val="24"/>
          <w:lang w:eastAsia="bg-BG"/>
        </w:rPr>
        <w:t xml:space="preserve">В страната се изпълняват задължения по </w:t>
      </w:r>
      <w:r w:rsidRPr="00496500">
        <w:rPr>
          <w:rFonts w:ascii="Times New Roman" w:hAnsi="Times New Roman" w:cs="Times New Roman"/>
          <w:sz w:val="24"/>
          <w:szCs w:val="24"/>
        </w:rPr>
        <w:t xml:space="preserve">регламенти и </w:t>
      </w:r>
      <w:r w:rsidRPr="00496500">
        <w:rPr>
          <w:rFonts w:ascii="Times New Roman" w:eastAsia="Times New Roman" w:hAnsi="Times New Roman" w:cs="Times New Roman"/>
          <w:bCs/>
          <w:sz w:val="24"/>
          <w:szCs w:val="24"/>
          <w:lang w:eastAsia="bg-BG"/>
        </w:rPr>
        <w:t>са</w:t>
      </w:r>
      <w:r w:rsidRPr="00496500">
        <w:rPr>
          <w:rStyle w:val="Strong"/>
          <w:rFonts w:ascii="Times New Roman" w:eastAsiaTheme="majorEastAsia" w:hAnsi="Times New Roman" w:cs="Times New Roman"/>
          <w:sz w:val="24"/>
          <w:szCs w:val="24"/>
        </w:rPr>
        <w:t xml:space="preserve"> в</w:t>
      </w:r>
      <w:r w:rsidRPr="00496500">
        <w:rPr>
          <w:rFonts w:ascii="Times New Roman" w:hAnsi="Times New Roman" w:cs="Times New Roman"/>
          <w:sz w:val="24"/>
          <w:szCs w:val="24"/>
        </w:rPr>
        <w:t xml:space="preserve">ъведени директиви на ЕС, които обхващат електронната търговия, цифровия подпис, киберсигурността, защитата на данните и потребителските права. Това създава основа за стабилно правно регулиране в тези области. </w:t>
      </w:r>
      <w:r w:rsidRPr="00496500">
        <w:rPr>
          <w:rFonts w:ascii="Times New Roman" w:eastAsia="Times New Roman" w:hAnsi="Times New Roman" w:cs="Times New Roman"/>
          <w:sz w:val="24"/>
          <w:szCs w:val="24"/>
          <w:lang w:eastAsia="bg-BG"/>
        </w:rPr>
        <w:t>З</w:t>
      </w:r>
      <w:r w:rsidRPr="00496500">
        <w:rPr>
          <w:rFonts w:ascii="Times New Roman" w:hAnsi="Times New Roman" w:cs="Times New Roman"/>
          <w:sz w:val="24"/>
          <w:szCs w:val="24"/>
        </w:rPr>
        <w:t xml:space="preserve">акони като Законът за електронната търговия, Законът за електронния документ и електронните удостоверителни </w:t>
      </w:r>
      <w:r w:rsidRPr="00496500">
        <w:rPr>
          <w:rFonts w:ascii="Times New Roman" w:hAnsi="Times New Roman" w:cs="Times New Roman"/>
          <w:sz w:val="24"/>
          <w:szCs w:val="24"/>
        </w:rPr>
        <w:lastRenderedPageBreak/>
        <w:t xml:space="preserve">услуги и Законът за киберсигурността предоставят конкретни правни рамки и механизми за регулиране на съответните сфери. Въпреки тези закони и директиви обаче съществуват все още предизвикателства пред ефективното им прилагане и защита срещу киберзаплахи. </w:t>
      </w:r>
      <w:r w:rsidRPr="00496500">
        <w:rPr>
          <w:rStyle w:val="Strong"/>
          <w:rFonts w:ascii="Times New Roman" w:eastAsiaTheme="majorEastAsia" w:hAnsi="Times New Roman" w:cs="Times New Roman"/>
          <w:sz w:val="24"/>
          <w:szCs w:val="24"/>
        </w:rPr>
        <w:t xml:space="preserve">Липсата на официален механизъм за активно сътрудничество между правителството и заинтересованите страни по отношение на национални интернет политики води до недостатъчно участие и интеграция на множеството заинтересовани страни </w:t>
      </w:r>
      <w:r w:rsidRPr="00496500">
        <w:rPr>
          <w:rStyle w:val="Strong"/>
          <w:rFonts w:ascii="Times New Roman" w:hAnsi="Times New Roman" w:cs="Times New Roman"/>
          <w:sz w:val="24"/>
          <w:szCs w:val="24"/>
        </w:rPr>
        <w:t>в процеса на вземане на решения. Л</w:t>
      </w:r>
      <w:r w:rsidRPr="00496500">
        <w:rPr>
          <w:rStyle w:val="Strong"/>
          <w:rFonts w:ascii="Times New Roman" w:eastAsiaTheme="majorEastAsia" w:hAnsi="Times New Roman" w:cs="Times New Roman"/>
          <w:sz w:val="24"/>
          <w:szCs w:val="24"/>
        </w:rPr>
        <w:t xml:space="preserve">ипсват и данни за активното участие на неправителствени заинтересовани страни, както и статистики за тяхното участие, </w:t>
      </w:r>
      <w:r w:rsidRPr="00496500">
        <w:rPr>
          <w:rStyle w:val="Strong"/>
          <w:rFonts w:ascii="Times New Roman" w:eastAsiaTheme="majorEastAsia" w:hAnsi="Times New Roman" w:cs="Times New Roman"/>
          <w:b w:val="0"/>
          <w:sz w:val="24"/>
          <w:szCs w:val="24"/>
        </w:rPr>
        <w:t>дезагреги</w:t>
      </w:r>
      <w:r w:rsidRPr="00496500">
        <w:rPr>
          <w:rFonts w:ascii="Times New Roman" w:hAnsi="Times New Roman" w:cs="Times New Roman"/>
          <w:sz w:val="24"/>
          <w:szCs w:val="24"/>
        </w:rPr>
        <w:t>рани по пол и групи заинтересовани страни. В България няма установен национален форум за управление на интернет (IGF) или друг форум на много заинтересовани страни, което ограничава структурираното участие и диалог между различните заинтересовани групи по въпросите на политиката за  управлението на интернет и различни свързани с това отделни аспекти. Като алтернативни формати за обединяване на множество заинтересовани страни по въпросите, свързани с управлението на интернет, могат да се посочат редица форуми, организирани от частния сектор. Такива са например ежегодният форум Digitalk</w:t>
      </w:r>
      <w:r w:rsidRPr="00496500">
        <w:rPr>
          <w:rStyle w:val="FootnoteReference"/>
          <w:rFonts w:ascii="Times New Roman" w:hAnsi="Times New Roman" w:cs="Times New Roman"/>
          <w:sz w:val="24"/>
          <w:szCs w:val="24"/>
        </w:rPr>
        <w:footnoteReference w:id="47"/>
      </w:r>
      <w:r w:rsidRPr="00496500">
        <w:rPr>
          <w:rFonts w:ascii="Times New Roman" w:hAnsi="Times New Roman" w:cs="Times New Roman"/>
          <w:sz w:val="24"/>
          <w:szCs w:val="24"/>
        </w:rPr>
        <w:t>, Webit</w:t>
      </w:r>
      <w:r w:rsidRPr="00496500">
        <w:rPr>
          <w:rStyle w:val="FootnoteReference"/>
          <w:rFonts w:ascii="Times New Roman" w:hAnsi="Times New Roman" w:cs="Times New Roman"/>
          <w:sz w:val="24"/>
          <w:szCs w:val="24"/>
        </w:rPr>
        <w:footnoteReference w:id="48"/>
      </w:r>
      <w:r w:rsidRPr="00496500">
        <w:rPr>
          <w:rFonts w:ascii="Times New Roman" w:hAnsi="Times New Roman" w:cs="Times New Roman"/>
          <w:sz w:val="24"/>
          <w:szCs w:val="24"/>
        </w:rPr>
        <w:t>, CyberSecurity forum</w:t>
      </w:r>
      <w:r w:rsidRPr="00496500">
        <w:rPr>
          <w:rStyle w:val="FootnoteReference"/>
          <w:rFonts w:ascii="Times New Roman" w:hAnsi="Times New Roman" w:cs="Times New Roman"/>
          <w:sz w:val="24"/>
          <w:szCs w:val="24"/>
        </w:rPr>
        <w:footnoteReference w:id="49"/>
      </w:r>
      <w:r w:rsidRPr="00496500">
        <w:rPr>
          <w:rFonts w:ascii="Times New Roman" w:hAnsi="Times New Roman" w:cs="Times New Roman"/>
          <w:sz w:val="24"/>
          <w:szCs w:val="24"/>
        </w:rPr>
        <w:t>, както и т.нар. „Домейн форум”</w:t>
      </w:r>
      <w:r w:rsidRPr="00496500">
        <w:rPr>
          <w:rStyle w:val="FootnoteReference"/>
          <w:rFonts w:ascii="Times New Roman" w:hAnsi="Times New Roman" w:cs="Times New Roman"/>
          <w:sz w:val="24"/>
          <w:szCs w:val="24"/>
        </w:rPr>
        <w:footnoteReference w:id="50"/>
      </w:r>
      <w:r w:rsidRPr="00496500">
        <w:rPr>
          <w:rFonts w:ascii="Times New Roman" w:hAnsi="Times New Roman" w:cs="Times New Roman"/>
          <w:sz w:val="24"/>
          <w:szCs w:val="24"/>
        </w:rPr>
        <w:t xml:space="preserve">, провеждан преди години от оторизираната организация за регистрация на национален домейн „.бг”/„.bg”. </w:t>
      </w:r>
    </w:p>
    <w:p w14:paraId="5CD01796" w14:textId="77777777"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Съгласно данните, достъпни на уебстраницата на Форума за управление на Интернет (IGF),</w:t>
      </w:r>
      <w:r w:rsidRPr="00496500">
        <w:rPr>
          <w:rStyle w:val="FootnoteReference"/>
          <w:rFonts w:ascii="Times New Roman" w:hAnsi="Times New Roman" w:cs="Times New Roman"/>
          <w:sz w:val="24"/>
          <w:szCs w:val="24"/>
        </w:rPr>
        <w:footnoteReference w:id="51"/>
      </w:r>
      <w:r w:rsidRPr="00496500">
        <w:rPr>
          <w:rFonts w:ascii="Times New Roman" w:hAnsi="Times New Roman" w:cs="Times New Roman"/>
          <w:sz w:val="24"/>
          <w:szCs w:val="24"/>
        </w:rPr>
        <w:t xml:space="preserve"> България участва в регионални инициативи като SEEDIG - форум, учреден през 2015 г. за осъществяване на диалога между заинтересованите групи в Югоизточна Европа. Участия има и в EuroDIG, учреден през 2008 г. с оглед обезпечаване на подхода на множеството заинтересовани страни при разработването на европейски интернет политики. Не са налични данни и разбивки по статистически показатели за участието на България в тях.</w:t>
      </w:r>
    </w:p>
    <w:p w14:paraId="3625BE65" w14:textId="77777777"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В края на ноември 2022 г. България е одобрена за член на Съвета на МСД, като във визитката на страната</w:t>
      </w:r>
      <w:r w:rsidRPr="00496500">
        <w:rPr>
          <w:rStyle w:val="FootnoteReference"/>
          <w:rFonts w:ascii="Times New Roman" w:hAnsi="Times New Roman" w:cs="Times New Roman"/>
          <w:sz w:val="24"/>
          <w:szCs w:val="24"/>
        </w:rPr>
        <w:footnoteReference w:id="52"/>
      </w:r>
      <w:r w:rsidRPr="00496500">
        <w:rPr>
          <w:rFonts w:ascii="Times New Roman" w:hAnsi="Times New Roman" w:cs="Times New Roman"/>
          <w:sz w:val="24"/>
          <w:szCs w:val="24"/>
        </w:rPr>
        <w:t xml:space="preserve"> се посочва, че от 1999 г. насам неправителственият сектор винаги е съставлявал част от официалните български делегации на повечето основни събития и формати, организирани в рамките на МСД, давайки добър пример за публично-частно партньорство.</w:t>
      </w:r>
    </w:p>
    <w:p w14:paraId="6105E78E" w14:textId="4360417F"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България е член на Правителствения консултативен комитет на ICANN, чрез един представител от </w:t>
      </w:r>
      <w:r w:rsidR="00E97DD6">
        <w:rPr>
          <w:rFonts w:ascii="Times New Roman" w:hAnsi="Times New Roman" w:cs="Times New Roman"/>
          <w:sz w:val="24"/>
          <w:szCs w:val="24"/>
        </w:rPr>
        <w:t>МЕУ</w:t>
      </w:r>
      <w:r w:rsidRPr="00496500">
        <w:rPr>
          <w:rFonts w:ascii="Times New Roman" w:hAnsi="Times New Roman" w:cs="Times New Roman"/>
          <w:sz w:val="24"/>
          <w:szCs w:val="24"/>
        </w:rPr>
        <w:t xml:space="preserve"> и един, излъчен от Министерството на транспорта и съобщенията. През 2014 г е подписан Меморандум (Споразумение) за сътрудничество между българското Министерство на транспорта, информационните технологии и съобщенията и ICANN, който има за цел насърчаването на участието на множество заинтересовани страни в управлението на интернет на национално, регионално и глобално ниво и обезпечаването на киберсигурност (чл. 1)</w:t>
      </w:r>
      <w:r w:rsidRPr="00496500">
        <w:rPr>
          <w:rStyle w:val="FootnoteReference"/>
          <w:rFonts w:ascii="Times New Roman" w:hAnsi="Times New Roman" w:cs="Times New Roman"/>
          <w:sz w:val="24"/>
          <w:szCs w:val="24"/>
        </w:rPr>
        <w:footnoteReference w:id="53"/>
      </w:r>
      <w:r w:rsidR="00F948B8">
        <w:rPr>
          <w:rFonts w:ascii="Times New Roman" w:hAnsi="Times New Roman" w:cs="Times New Roman"/>
          <w:sz w:val="24"/>
          <w:szCs w:val="24"/>
        </w:rPr>
        <w:t>.</w:t>
      </w:r>
    </w:p>
    <w:p w14:paraId="3A911BA3" w14:textId="77777777" w:rsidR="00591396" w:rsidRPr="00496500" w:rsidRDefault="0059139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Предвид факта, че още от края на 90-те години България е възприела виждането, че управлението на интернет трябва да бъде глобално и с участието на множество заинтересовани страни, не са приемани нормативни регулации в тази сфера, няма правни актове или специфични секторни стратегии, които да са налагали съгласуването им по реда за провеждане на обществени консултации. Всички актове, свързани с интернет аспекти като електронна търговия, киберсигурност, защита на данните и защита на потребителите, са съгласувани по общия нормативен ред за провеждане на обществени консултации. </w:t>
      </w:r>
    </w:p>
    <w:p w14:paraId="6BDE0904" w14:textId="77777777" w:rsidR="00591396" w:rsidRPr="00496500" w:rsidRDefault="00591396" w:rsidP="00F62F3E">
      <w:pPr>
        <w:spacing w:after="240" w:line="240" w:lineRule="auto"/>
        <w:ind w:firstLine="709"/>
        <w:jc w:val="both"/>
        <w:rPr>
          <w:rFonts w:ascii="Times New Roman" w:hAnsi="Times New Roman" w:cs="Times New Roman"/>
          <w:sz w:val="24"/>
          <w:szCs w:val="24"/>
        </w:rPr>
      </w:pPr>
      <w:r w:rsidRPr="00496500">
        <w:rPr>
          <w:rFonts w:ascii="Times New Roman" w:hAnsi="Times New Roman" w:cs="Times New Roman"/>
          <w:sz w:val="24"/>
          <w:szCs w:val="24"/>
        </w:rPr>
        <w:lastRenderedPageBreak/>
        <w:t>Необходими са целенасочени усилия на правителството за търсене на становището на заинтересованите групи, така че политиките на национално ниво да бъдат приемани въз основа на подхода на участие на множество заинтересовани страни.</w:t>
      </w:r>
    </w:p>
    <w:p w14:paraId="400CBF43" w14:textId="77777777" w:rsidR="00EF1CC6" w:rsidRPr="00496500" w:rsidRDefault="00EF1CC6" w:rsidP="00A02E7B">
      <w:pPr>
        <w:pStyle w:val="ListParagraph"/>
        <w:numPr>
          <w:ilvl w:val="1"/>
          <w:numId w:val="10"/>
        </w:numPr>
        <w:spacing w:before="120" w:after="120" w:line="240" w:lineRule="auto"/>
        <w:ind w:left="567" w:hanging="567"/>
        <w:contextualSpacing w:val="0"/>
        <w:outlineLvl w:val="1"/>
        <w:rPr>
          <w:rFonts w:ascii="Times New Roman" w:hAnsi="Times New Roman" w:cs="Times New Roman"/>
          <w:b/>
          <w:sz w:val="24"/>
          <w:szCs w:val="24"/>
        </w:rPr>
      </w:pPr>
      <w:bookmarkStart w:id="15" w:name="_Toc209084890"/>
      <w:r w:rsidRPr="00496500">
        <w:rPr>
          <w:rFonts w:ascii="Times New Roman" w:hAnsi="Times New Roman" w:cs="Times New Roman"/>
          <w:b/>
          <w:sz w:val="24"/>
          <w:szCs w:val="24"/>
        </w:rPr>
        <w:t>Киберсигурност</w:t>
      </w:r>
      <w:bookmarkEnd w:id="15"/>
      <w:r w:rsidRPr="00496500">
        <w:rPr>
          <w:rFonts w:ascii="Times New Roman" w:hAnsi="Times New Roman" w:cs="Times New Roman"/>
          <w:b/>
          <w:sz w:val="24"/>
          <w:szCs w:val="24"/>
        </w:rPr>
        <w:t xml:space="preserve"> </w:t>
      </w:r>
    </w:p>
    <w:p w14:paraId="44123AE4"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Сигурността в </w:t>
      </w:r>
      <w:r w:rsidR="00370A43" w:rsidRPr="00496500">
        <w:rPr>
          <w:rFonts w:ascii="Times New Roman" w:hAnsi="Times New Roman" w:cs="Times New Roman"/>
          <w:sz w:val="24"/>
          <w:szCs w:val="24"/>
        </w:rPr>
        <w:t>цифрово</w:t>
      </w:r>
      <w:r w:rsidRPr="00496500">
        <w:rPr>
          <w:rFonts w:ascii="Times New Roman" w:hAnsi="Times New Roman" w:cs="Times New Roman"/>
          <w:sz w:val="24"/>
          <w:szCs w:val="24"/>
        </w:rPr>
        <w:t>то пространство е сред основните фактори за гарантиране на националната сигурност. България работи за осигуряване на отворено, безопасно и надеждно киберпространство с цел укрепване на доверието у потребителите и организациите при използването и споделянето на данни.</w:t>
      </w:r>
    </w:p>
    <w:p w14:paraId="0A6A1699"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Наблюдаваните съществени промени през последните години в киберкартината на заплахите и рисковете за киберсигурността в национален и общоевропейски план налагат предприемането на съществени мерки за надграждане на националната екосистема за киберсигурност на България и интегрирането й с тези на европейско и световно ниво. </w:t>
      </w:r>
    </w:p>
    <w:p w14:paraId="22F18FED"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Данните от Националния екип за реагиране при инциденти с компютърната сигурност (НЕРИКС) потвърждават усложняване на киберобстановката, което се изразява в обща тенденция през годините за увеличаване на броя на сигналите за инциденти, въпреки че спрямо 2023 г. за 2024 г. са регистрирани с малко над 30% по-малко сигнали. Естеството на инцидентите се разширява, като най-често инцидентите са свързани с опити за проникване, събиране на информация, измами (phishing) и зловреден код. </w:t>
      </w:r>
    </w:p>
    <w:p w14:paraId="282B2E3F"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Законът за киберсигурност (ЗКС) въвежда цялостна рамка за управление на киберрисковете, задължения и отговорности в организациите, управлението и контрола на киберсигурността. Законът дефинира мерки за постигане на високо общо ниво на мрежова и информационна сигурност (МИС) и полага основите за изграждане на националната екосистема за киберсигурност. Министерство на електронното управление провежда държавната политика в областта на мрежовата и информационната сигурност - в прилагането на политиките, насочени към развитие на капацитета на администрациите и в указването на методическа подкрепа за въвеждане на минималните изисквания за мрежова и информационна сигурност.</w:t>
      </w:r>
    </w:p>
    <w:p w14:paraId="1B99F4BD"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През 2024 год. е проведена оценка на мрежовата и информационна сигурност в държавните администрации, която показва напредък в сравнение с предишни години:</w:t>
      </w:r>
    </w:p>
    <w:p w14:paraId="7C4EC5EE" w14:textId="5EBD90A8" w:rsidR="00092474" w:rsidRPr="00496500" w:rsidRDefault="00367DC9" w:rsidP="00A81300">
      <w:pPr>
        <w:pStyle w:val="ListParagraph"/>
        <w:numPr>
          <w:ilvl w:val="0"/>
          <w:numId w:val="48"/>
        </w:numPr>
        <w:tabs>
          <w:tab w:val="left" w:pos="993"/>
        </w:tabs>
        <w:spacing w:after="120" w:line="240" w:lineRule="auto"/>
        <w:ind w:left="0" w:firstLine="709"/>
        <w:contextualSpacing w:val="0"/>
        <w:jc w:val="both"/>
        <w:rPr>
          <w:rFonts w:ascii="Times New Roman" w:hAnsi="Times New Roman" w:cs="Times New Roman"/>
          <w:sz w:val="24"/>
          <w:szCs w:val="24"/>
        </w:rPr>
      </w:pPr>
      <w:r w:rsidRPr="00496500">
        <w:rPr>
          <w:rFonts w:ascii="Times New Roman" w:hAnsi="Times New Roman" w:cs="Times New Roman"/>
          <w:sz w:val="24"/>
          <w:szCs w:val="24"/>
        </w:rPr>
        <w:t>89</w:t>
      </w:r>
      <w:r w:rsidR="0042055A">
        <w:rPr>
          <w:rFonts w:ascii="Times New Roman" w:hAnsi="Times New Roman" w:cs="Times New Roman"/>
          <w:sz w:val="24"/>
          <w:szCs w:val="24"/>
        </w:rPr>
        <w:t>,</w:t>
      </w:r>
      <w:r w:rsidR="00092474" w:rsidRPr="00496500">
        <w:rPr>
          <w:rFonts w:ascii="Times New Roman" w:hAnsi="Times New Roman" w:cs="Times New Roman"/>
          <w:sz w:val="24"/>
          <w:szCs w:val="24"/>
        </w:rPr>
        <w:t xml:space="preserve">6% от администрациите са утвърдили политика за информационна сигурност, която определя основните принципи към изграждане на устойчиви механизми за защита; </w:t>
      </w:r>
    </w:p>
    <w:p w14:paraId="750C4267" w14:textId="29636FF9" w:rsidR="00092474" w:rsidRPr="00496500" w:rsidRDefault="00367DC9"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t>87</w:t>
      </w:r>
      <w:r w:rsidR="0042055A">
        <w:rPr>
          <w:rStyle w:val="Strong"/>
          <w:lang w:val="bg-BG"/>
        </w:rPr>
        <w:t>,</w:t>
      </w:r>
      <w:r w:rsidR="00092474" w:rsidRPr="00496500">
        <w:rPr>
          <w:rStyle w:val="Strong"/>
          <w:lang w:val="bg-BG"/>
        </w:rPr>
        <w:t>8%</w:t>
      </w:r>
      <w:r w:rsidR="00092474" w:rsidRPr="00496500">
        <w:rPr>
          <w:lang w:val="bg-BG"/>
        </w:rPr>
        <w:t xml:space="preserve"> прилагат </w:t>
      </w:r>
      <w:r w:rsidR="00092474" w:rsidRPr="00496500">
        <w:rPr>
          <w:rStyle w:val="Strong"/>
          <w:lang w:val="bg-BG"/>
        </w:rPr>
        <w:t>вътрешни правила за контрол на достъпа</w:t>
      </w:r>
      <w:r w:rsidR="00092474" w:rsidRPr="00496500">
        <w:rPr>
          <w:lang w:val="bg-BG"/>
        </w:rPr>
        <w:t xml:space="preserve"> – важна мярка за предотвратяване на неоторизиран достъп до чувствителни ИКТ ресурси и информация;</w:t>
      </w:r>
    </w:p>
    <w:p w14:paraId="725C6EDD" w14:textId="66CB6F5B" w:rsidR="00092474" w:rsidRPr="00496500" w:rsidRDefault="00367DC9"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t>85</w:t>
      </w:r>
      <w:r w:rsidR="0042055A">
        <w:rPr>
          <w:rStyle w:val="Strong"/>
          <w:lang w:val="bg-BG"/>
        </w:rPr>
        <w:t>,</w:t>
      </w:r>
      <w:r w:rsidR="00092474" w:rsidRPr="00496500">
        <w:rPr>
          <w:rStyle w:val="Strong"/>
          <w:lang w:val="bg-BG"/>
        </w:rPr>
        <w:t>6%</w:t>
      </w:r>
      <w:r w:rsidR="00092474" w:rsidRPr="00496500">
        <w:rPr>
          <w:lang w:val="bg-BG"/>
        </w:rPr>
        <w:t xml:space="preserve"> поддържат </w:t>
      </w:r>
      <w:r w:rsidR="00092474" w:rsidRPr="00496500">
        <w:rPr>
          <w:rStyle w:val="Strong"/>
          <w:lang w:val="bg-BG"/>
        </w:rPr>
        <w:t>актуализирани инфраструктурни схеми и опис на активите</w:t>
      </w:r>
      <w:r w:rsidR="00092474" w:rsidRPr="00496500">
        <w:rPr>
          <w:lang w:val="bg-BG"/>
        </w:rPr>
        <w:t>, което е ключово за ефективно управление на риска и реакция при инциденти;</w:t>
      </w:r>
    </w:p>
    <w:p w14:paraId="5F160174" w14:textId="257BF656" w:rsidR="00092474" w:rsidRPr="00496500" w:rsidRDefault="00367DC9"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t>68</w:t>
      </w:r>
      <w:r w:rsidR="0042055A">
        <w:rPr>
          <w:rStyle w:val="Strong"/>
          <w:lang w:val="bg-BG"/>
        </w:rPr>
        <w:t>,</w:t>
      </w:r>
      <w:r w:rsidR="00092474" w:rsidRPr="00496500">
        <w:rPr>
          <w:rStyle w:val="Strong"/>
          <w:lang w:val="bg-BG"/>
        </w:rPr>
        <w:t>7%</w:t>
      </w:r>
      <w:r w:rsidR="00092474" w:rsidRPr="00496500">
        <w:rPr>
          <w:lang w:val="bg-BG"/>
        </w:rPr>
        <w:t xml:space="preserve"> от администрациите включват </w:t>
      </w:r>
      <w:r w:rsidR="00092474" w:rsidRPr="00496500">
        <w:rPr>
          <w:rStyle w:val="Strong"/>
          <w:lang w:val="bg-BG"/>
        </w:rPr>
        <w:t>клаузи в договорите си, свързани с реакция при инциденти и срокове за възстановяване на услугите</w:t>
      </w:r>
      <w:r w:rsidR="00092474" w:rsidRPr="00496500">
        <w:rPr>
          <w:lang w:val="bg-BG"/>
        </w:rPr>
        <w:t>, което показва нарастваща осъзнатост относно необходимостта от правна защита и ангажираност от страна на доставчиците;</w:t>
      </w:r>
    </w:p>
    <w:p w14:paraId="6A42B201" w14:textId="77777777" w:rsidR="00092474" w:rsidRPr="00496500" w:rsidRDefault="00092474"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t>95%</w:t>
      </w:r>
      <w:r w:rsidRPr="00496500">
        <w:rPr>
          <w:lang w:val="bg-BG"/>
        </w:rPr>
        <w:t xml:space="preserve"> редовно актуализират </w:t>
      </w:r>
      <w:r w:rsidRPr="00496500">
        <w:rPr>
          <w:rStyle w:val="Strong"/>
          <w:lang w:val="bg-BG"/>
        </w:rPr>
        <w:t>операционните системи, софтуера и фърмуера</w:t>
      </w:r>
      <w:r w:rsidRPr="00496500">
        <w:rPr>
          <w:lang w:val="bg-BG"/>
        </w:rPr>
        <w:t>, което е от съществено значение за предотвратяване на киберинциденти;</w:t>
      </w:r>
    </w:p>
    <w:p w14:paraId="1BB3BBAA" w14:textId="1FA619E2" w:rsidR="00092474" w:rsidRPr="00496500" w:rsidRDefault="00367DC9"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t>43</w:t>
      </w:r>
      <w:r w:rsidR="0042055A">
        <w:rPr>
          <w:rStyle w:val="Strong"/>
          <w:lang w:val="bg-BG"/>
        </w:rPr>
        <w:t>,</w:t>
      </w:r>
      <w:r w:rsidR="00092474" w:rsidRPr="00496500">
        <w:rPr>
          <w:rStyle w:val="Strong"/>
          <w:lang w:val="bg-BG"/>
        </w:rPr>
        <w:t>3%</w:t>
      </w:r>
      <w:r w:rsidR="00092474" w:rsidRPr="00496500">
        <w:rPr>
          <w:lang w:val="bg-BG"/>
        </w:rPr>
        <w:t xml:space="preserve"> са </w:t>
      </w:r>
      <w:r w:rsidR="00092474" w:rsidRPr="00496500">
        <w:rPr>
          <w:rStyle w:val="Strong"/>
          <w:lang w:val="bg-BG"/>
        </w:rPr>
        <w:t>провеждали реални тестове на плановете си за реакция при инциденти</w:t>
      </w:r>
      <w:r w:rsidR="00092474" w:rsidRPr="00496500">
        <w:rPr>
          <w:lang w:val="bg-BG"/>
        </w:rPr>
        <w:t xml:space="preserve"> – стъпка, която разграничава формалната подготовка от реалната оперативна способност;</w:t>
      </w:r>
    </w:p>
    <w:p w14:paraId="5933206E" w14:textId="423BC85F" w:rsidR="00092474" w:rsidRPr="00496500" w:rsidRDefault="00367DC9"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lastRenderedPageBreak/>
        <w:t>39</w:t>
      </w:r>
      <w:r w:rsidR="0042055A">
        <w:rPr>
          <w:rStyle w:val="Strong"/>
          <w:lang w:val="bg-BG"/>
        </w:rPr>
        <w:t>,</w:t>
      </w:r>
      <w:r w:rsidR="00092474" w:rsidRPr="00496500">
        <w:rPr>
          <w:rStyle w:val="Strong"/>
          <w:lang w:val="bg-BG"/>
        </w:rPr>
        <w:t>2%</w:t>
      </w:r>
      <w:r w:rsidR="00092474" w:rsidRPr="00496500">
        <w:rPr>
          <w:lang w:val="bg-BG"/>
        </w:rPr>
        <w:t xml:space="preserve"> са изготвили </w:t>
      </w:r>
      <w:r w:rsidR="00092474" w:rsidRPr="00496500">
        <w:rPr>
          <w:rStyle w:val="Strong"/>
          <w:lang w:val="bg-BG"/>
        </w:rPr>
        <w:t>комуникационни планове за действия при сериозен киберинцидент или криза</w:t>
      </w:r>
      <w:r w:rsidR="00092474" w:rsidRPr="00496500">
        <w:rPr>
          <w:lang w:val="bg-BG"/>
        </w:rPr>
        <w:t>, което е критично за поддържане на доверието на гражданите и координация с партньорски организации;</w:t>
      </w:r>
    </w:p>
    <w:p w14:paraId="196FF43B" w14:textId="0A82B31D" w:rsidR="00092474" w:rsidRPr="00496500" w:rsidRDefault="00367DC9" w:rsidP="00A81300">
      <w:pPr>
        <w:pStyle w:val="NormalWeb"/>
        <w:numPr>
          <w:ilvl w:val="0"/>
          <w:numId w:val="48"/>
        </w:numPr>
        <w:tabs>
          <w:tab w:val="left" w:pos="993"/>
        </w:tabs>
        <w:spacing w:before="0" w:beforeAutospacing="0" w:after="120" w:afterAutospacing="0"/>
        <w:ind w:left="0" w:firstLine="709"/>
        <w:jc w:val="both"/>
        <w:rPr>
          <w:lang w:val="bg-BG"/>
        </w:rPr>
      </w:pPr>
      <w:r w:rsidRPr="00496500">
        <w:rPr>
          <w:rStyle w:val="Strong"/>
          <w:lang w:val="bg-BG"/>
        </w:rPr>
        <w:t>78</w:t>
      </w:r>
      <w:r w:rsidR="0042055A">
        <w:rPr>
          <w:rStyle w:val="Strong"/>
          <w:lang w:val="bg-BG"/>
        </w:rPr>
        <w:t>,</w:t>
      </w:r>
      <w:r w:rsidR="00092474" w:rsidRPr="00496500">
        <w:rPr>
          <w:rStyle w:val="Strong"/>
          <w:lang w:val="bg-BG"/>
        </w:rPr>
        <w:t>1%</w:t>
      </w:r>
      <w:r w:rsidR="00092474" w:rsidRPr="00496500">
        <w:rPr>
          <w:lang w:val="bg-BG"/>
        </w:rPr>
        <w:t xml:space="preserve"> прилагат </w:t>
      </w:r>
      <w:r w:rsidR="00092474" w:rsidRPr="00496500">
        <w:rPr>
          <w:rStyle w:val="Strong"/>
          <w:lang w:val="bg-BG"/>
        </w:rPr>
        <w:t>политики и процедури за архивиране и възстановяване на данни</w:t>
      </w:r>
      <w:r w:rsidR="00092474" w:rsidRPr="00496500">
        <w:rPr>
          <w:lang w:val="bg-BG"/>
        </w:rPr>
        <w:t>, което гарантира устойчивост и непрекъсваемост на основните функции при загуба на информация;</w:t>
      </w:r>
    </w:p>
    <w:p w14:paraId="76F92DDB" w14:textId="531E27C4" w:rsidR="00092474" w:rsidRPr="00496500" w:rsidRDefault="00367DC9" w:rsidP="00A81300">
      <w:pPr>
        <w:pStyle w:val="NormalWeb"/>
        <w:numPr>
          <w:ilvl w:val="0"/>
          <w:numId w:val="48"/>
        </w:numPr>
        <w:tabs>
          <w:tab w:val="left" w:pos="993"/>
        </w:tabs>
        <w:snapToGrid w:val="0"/>
        <w:spacing w:before="0" w:beforeAutospacing="0" w:after="120" w:afterAutospacing="0"/>
        <w:ind w:left="0" w:firstLine="709"/>
        <w:jc w:val="both"/>
        <w:rPr>
          <w:lang w:val="bg-BG"/>
        </w:rPr>
      </w:pPr>
      <w:r w:rsidRPr="00496500">
        <w:rPr>
          <w:rStyle w:val="Strong"/>
          <w:lang w:val="bg-BG"/>
        </w:rPr>
        <w:t>4</w:t>
      </w:r>
      <w:r w:rsidR="0042055A">
        <w:rPr>
          <w:rStyle w:val="Strong"/>
          <w:lang w:val="bg-BG"/>
        </w:rPr>
        <w:t>,</w:t>
      </w:r>
      <w:r w:rsidR="00092474" w:rsidRPr="00496500">
        <w:rPr>
          <w:rStyle w:val="Strong"/>
          <w:lang w:val="bg-BG"/>
        </w:rPr>
        <w:t>7%</w:t>
      </w:r>
      <w:r w:rsidR="00092474" w:rsidRPr="00496500">
        <w:rPr>
          <w:lang w:val="bg-BG"/>
        </w:rPr>
        <w:t xml:space="preserve"> от институциите разполагат със </w:t>
      </w:r>
      <w:r w:rsidR="00092474" w:rsidRPr="00496500">
        <w:rPr>
          <w:rStyle w:val="Strong"/>
          <w:lang w:val="bg-BG"/>
        </w:rPr>
        <w:t>системи за мониторинг на събития и управление на информация за сигурността (SIEM)</w:t>
      </w:r>
      <w:r w:rsidR="00092474" w:rsidRPr="00496500">
        <w:rPr>
          <w:lang w:val="bg-BG"/>
        </w:rPr>
        <w:t xml:space="preserve"> – инструмент, който позволява проактивно откриване и анализ на заплахи в реално време. </w:t>
      </w:r>
    </w:p>
    <w:p w14:paraId="50613420"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Тези данни показват, че макар административните органи да изграждат основни елементи на защита, остава критична необходимост от цялостен и интегриран подход към управлението на инциденти и проактивното откриване на заплахи.</w:t>
      </w:r>
    </w:p>
    <w:p w14:paraId="3C199C59"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България поставя като стратегически приоритет изграждането на киберсигурна среда чрез подход, включващ цялото общество – държавни органи, частен сектор, научни организации и граждани.</w:t>
      </w:r>
    </w:p>
    <w:p w14:paraId="3D8FCB50" w14:textId="46E867F0"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Първите стъпки в реализирането на тези приоритети вече са предприети. Със ЗКС се създават национални компетентни органи по мрежова и информационна сигурност (НКО), в рамките на които се създават секторни екипи за реагиране при инциденти с компютърната сигурност</w:t>
      </w:r>
      <w:r w:rsidRPr="00496500" w:rsidDel="00A916A8">
        <w:rPr>
          <w:rFonts w:ascii="Times New Roman" w:hAnsi="Times New Roman" w:cs="Times New Roman"/>
          <w:sz w:val="24"/>
          <w:szCs w:val="24"/>
        </w:rPr>
        <w:t xml:space="preserve"> </w:t>
      </w:r>
      <w:r w:rsidRPr="00496500">
        <w:rPr>
          <w:rFonts w:ascii="Times New Roman" w:hAnsi="Times New Roman" w:cs="Times New Roman"/>
          <w:sz w:val="24"/>
          <w:szCs w:val="24"/>
        </w:rPr>
        <w:t xml:space="preserve">към тях (СЕРИКС) за следните сектори: енергетика; транспорт и доставчици на цифрови услуги; банково дело; инфраструктура на финансовия пазар; здравеопазване; доставка и снабдяване с питейна вода. </w:t>
      </w:r>
      <w:r w:rsidR="002161B6" w:rsidRPr="00496500">
        <w:rPr>
          <w:rFonts w:ascii="Times New Roman" w:hAnsi="Times New Roman" w:cs="Times New Roman"/>
          <w:sz w:val="24"/>
          <w:szCs w:val="24"/>
        </w:rPr>
        <w:t xml:space="preserve">Към </w:t>
      </w:r>
      <w:r w:rsidR="00E97DD6">
        <w:rPr>
          <w:rFonts w:ascii="Times New Roman" w:hAnsi="Times New Roman" w:cs="Times New Roman"/>
          <w:sz w:val="24"/>
          <w:szCs w:val="24"/>
        </w:rPr>
        <w:t>МЕУ</w:t>
      </w:r>
      <w:r w:rsidR="002161B6" w:rsidRPr="00496500">
        <w:rPr>
          <w:rFonts w:ascii="Times New Roman" w:hAnsi="Times New Roman" w:cs="Times New Roman"/>
          <w:sz w:val="24"/>
          <w:szCs w:val="24"/>
        </w:rPr>
        <w:t xml:space="preserve"> се създава Национален екип за реагиране при инциденти с компютърната сигурност, който отговаря на изискванията на чл. 18, ал. 2 от ЗКС и секторен </w:t>
      </w:r>
      <w:r w:rsidRPr="00496500">
        <w:rPr>
          <w:rFonts w:ascii="Times New Roman" w:hAnsi="Times New Roman" w:cs="Times New Roman"/>
          <w:sz w:val="24"/>
          <w:szCs w:val="24"/>
        </w:rPr>
        <w:t xml:space="preserve"> ЕРИКС за всички административни органи, както и за доставчици на обществени услуги, които не са определени за оператори на основни услуги. </w:t>
      </w:r>
      <w:r w:rsidR="002161B6" w:rsidRPr="00496500">
        <w:rPr>
          <w:rFonts w:ascii="Times New Roman" w:hAnsi="Times New Roman" w:cs="Times New Roman"/>
          <w:sz w:val="24"/>
          <w:szCs w:val="24"/>
        </w:rPr>
        <w:t>Към МЕУ се създава и националното звено за контакт, което координира въпросите, свързани с мрежовата и информационната сигурност, и въпросите, свързани с трансграничното сътрудничество със съответните органи в други държави - членки на Европейския съюз</w:t>
      </w:r>
    </w:p>
    <w:p w14:paraId="507792C1" w14:textId="77777777" w:rsidR="00092474" w:rsidRPr="00496500" w:rsidRDefault="002161B6"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С реализиране на проект с подкрепата на Механизма за свързване на Европа в края на 2021 г., </w:t>
      </w:r>
      <w:r w:rsidR="00092474" w:rsidRPr="00496500">
        <w:rPr>
          <w:rFonts w:ascii="Times New Roman" w:hAnsi="Times New Roman" w:cs="Times New Roman"/>
          <w:sz w:val="24"/>
          <w:szCs w:val="24"/>
        </w:rPr>
        <w:t>Националния</w:t>
      </w:r>
      <w:r w:rsidRPr="00496500">
        <w:rPr>
          <w:rFonts w:ascii="Times New Roman" w:hAnsi="Times New Roman" w:cs="Times New Roman"/>
          <w:sz w:val="24"/>
          <w:szCs w:val="24"/>
        </w:rPr>
        <w:t>т</w:t>
      </w:r>
      <w:r w:rsidR="00092474" w:rsidRPr="00496500">
        <w:rPr>
          <w:rFonts w:ascii="Times New Roman" w:hAnsi="Times New Roman" w:cs="Times New Roman"/>
          <w:sz w:val="24"/>
          <w:szCs w:val="24"/>
        </w:rPr>
        <w:t xml:space="preserve"> ЕРИКС повишава капацитета си </w:t>
      </w:r>
      <w:r w:rsidRPr="00496500">
        <w:rPr>
          <w:rFonts w:ascii="Times New Roman" w:hAnsi="Times New Roman" w:cs="Times New Roman"/>
          <w:sz w:val="24"/>
          <w:szCs w:val="24"/>
        </w:rPr>
        <w:t>чрез</w:t>
      </w:r>
      <w:r w:rsidR="00092474" w:rsidRPr="00496500">
        <w:rPr>
          <w:rFonts w:ascii="Times New Roman" w:hAnsi="Times New Roman" w:cs="Times New Roman"/>
          <w:sz w:val="24"/>
          <w:szCs w:val="24"/>
        </w:rPr>
        <w:t>:</w:t>
      </w:r>
    </w:p>
    <w:p w14:paraId="1645D606" w14:textId="77777777" w:rsidR="00092474" w:rsidRPr="00496500" w:rsidRDefault="00092474" w:rsidP="00A81300">
      <w:pPr>
        <w:pStyle w:val="NormalWeb"/>
        <w:numPr>
          <w:ilvl w:val="0"/>
          <w:numId w:val="48"/>
        </w:numPr>
        <w:tabs>
          <w:tab w:val="left" w:pos="1134"/>
        </w:tabs>
        <w:spacing w:before="0" w:beforeAutospacing="0" w:after="120" w:afterAutospacing="0"/>
        <w:ind w:left="0" w:firstLine="709"/>
        <w:jc w:val="both"/>
        <w:rPr>
          <w:rStyle w:val="Strong"/>
          <w:b w:val="0"/>
          <w:lang w:val="bg-BG"/>
        </w:rPr>
      </w:pPr>
      <w:r w:rsidRPr="00496500">
        <w:rPr>
          <w:rStyle w:val="Strong"/>
          <w:b w:val="0"/>
          <w:lang w:val="bg-BG"/>
        </w:rPr>
        <w:t>оборудване на Център за национални и международни упражнения по киберсигурност;</w:t>
      </w:r>
    </w:p>
    <w:p w14:paraId="10306AD7" w14:textId="6D884DF9" w:rsidR="00092474" w:rsidRPr="00496500" w:rsidRDefault="00092474" w:rsidP="00A81300">
      <w:pPr>
        <w:pStyle w:val="NormalWeb"/>
        <w:numPr>
          <w:ilvl w:val="0"/>
          <w:numId w:val="48"/>
        </w:numPr>
        <w:tabs>
          <w:tab w:val="left" w:pos="1134"/>
        </w:tabs>
        <w:spacing w:before="0" w:beforeAutospacing="0" w:after="120" w:afterAutospacing="0"/>
        <w:ind w:left="0" w:firstLine="709"/>
        <w:jc w:val="both"/>
        <w:rPr>
          <w:rStyle w:val="Strong"/>
          <w:b w:val="0"/>
          <w:lang w:val="bg-BG"/>
        </w:rPr>
      </w:pPr>
      <w:r w:rsidRPr="00496500">
        <w:rPr>
          <w:rStyle w:val="Strong"/>
          <w:b w:val="0"/>
          <w:lang w:val="bg-BG"/>
        </w:rPr>
        <w:t xml:space="preserve">оборудване на </w:t>
      </w:r>
      <w:r w:rsidR="002161B6" w:rsidRPr="00496500">
        <w:rPr>
          <w:rStyle w:val="Strong"/>
          <w:b w:val="0"/>
          <w:lang w:val="bg-BG"/>
        </w:rPr>
        <w:t xml:space="preserve">две лаборатории </w:t>
      </w:r>
      <w:r w:rsidRPr="00496500">
        <w:rPr>
          <w:rStyle w:val="Strong"/>
          <w:b w:val="0"/>
          <w:lang w:val="bg-BG"/>
        </w:rPr>
        <w:t>за анализ на зловредни софтуери</w:t>
      </w:r>
      <w:r w:rsidR="002161B6" w:rsidRPr="00496500">
        <w:rPr>
          <w:rStyle w:val="Strong"/>
          <w:b w:val="0"/>
          <w:lang w:val="bg-BG"/>
        </w:rPr>
        <w:t xml:space="preserve"> и </w:t>
      </w:r>
      <w:r w:rsidR="002161B6" w:rsidRPr="00765780">
        <w:rPr>
          <w:rStyle w:val="Strong"/>
          <w:rFonts w:eastAsiaTheme="majorEastAsia"/>
          <w:b w:val="0"/>
          <w:lang w:val="bg-BG"/>
        </w:rPr>
        <w:t>forensic анализ</w:t>
      </w:r>
      <w:r w:rsidRPr="00496500">
        <w:rPr>
          <w:rStyle w:val="Strong"/>
          <w:b w:val="0"/>
          <w:lang w:val="bg-BG"/>
        </w:rPr>
        <w:t>;</w:t>
      </w:r>
    </w:p>
    <w:p w14:paraId="2C7F7899" w14:textId="77777777" w:rsidR="00092474" w:rsidRPr="00496500" w:rsidRDefault="00092474" w:rsidP="00A81300">
      <w:pPr>
        <w:pStyle w:val="NormalWeb"/>
        <w:numPr>
          <w:ilvl w:val="0"/>
          <w:numId w:val="48"/>
        </w:numPr>
        <w:tabs>
          <w:tab w:val="left" w:pos="1134"/>
        </w:tabs>
        <w:spacing w:before="0" w:beforeAutospacing="0" w:after="120" w:afterAutospacing="0"/>
        <w:ind w:left="0" w:firstLine="709"/>
        <w:jc w:val="both"/>
        <w:rPr>
          <w:rStyle w:val="Strong"/>
          <w:b w:val="0"/>
          <w:lang w:val="bg-BG"/>
        </w:rPr>
      </w:pPr>
      <w:r w:rsidRPr="00496500">
        <w:rPr>
          <w:rStyle w:val="Strong"/>
          <w:b w:val="0"/>
          <w:lang w:val="bg-BG"/>
        </w:rPr>
        <w:t>изграждане на Национална мрежа от СЕРИКС за споделяне на информация за рискове, заплахи и уязвимости, свързани с киберсигурността;</w:t>
      </w:r>
    </w:p>
    <w:p w14:paraId="31424BCB" w14:textId="77777777" w:rsidR="00092474" w:rsidRPr="00496500" w:rsidRDefault="00092474" w:rsidP="00A81300">
      <w:pPr>
        <w:pStyle w:val="NormalWeb"/>
        <w:numPr>
          <w:ilvl w:val="0"/>
          <w:numId w:val="48"/>
        </w:numPr>
        <w:tabs>
          <w:tab w:val="left" w:pos="1134"/>
        </w:tabs>
        <w:spacing w:before="0" w:beforeAutospacing="0" w:after="120" w:afterAutospacing="0"/>
        <w:ind w:left="0" w:firstLine="709"/>
        <w:jc w:val="both"/>
        <w:rPr>
          <w:rStyle w:val="Strong"/>
          <w:b w:val="0"/>
          <w:lang w:val="bg-BG"/>
        </w:rPr>
      </w:pPr>
      <w:r w:rsidRPr="00496500">
        <w:rPr>
          <w:rStyle w:val="Strong"/>
          <w:b w:val="0"/>
          <w:lang w:val="bg-BG"/>
        </w:rPr>
        <w:t>присъединяване към основната платформа за услуги на мрежата на европейските екипи за реагиране при инциденти в компютърната сигурност (MeliCERTes Core Services Platform) за международно сътрудничество в областта на киберсигурността;</w:t>
      </w:r>
    </w:p>
    <w:p w14:paraId="576265CA" w14:textId="77777777" w:rsidR="00092474" w:rsidRPr="00496500" w:rsidRDefault="00092474" w:rsidP="00A81300">
      <w:pPr>
        <w:pStyle w:val="NormalWeb"/>
        <w:numPr>
          <w:ilvl w:val="0"/>
          <w:numId w:val="48"/>
        </w:numPr>
        <w:tabs>
          <w:tab w:val="left" w:pos="1134"/>
        </w:tabs>
        <w:spacing w:before="0" w:beforeAutospacing="0" w:after="120" w:afterAutospacing="0"/>
        <w:ind w:left="0" w:firstLine="709"/>
        <w:jc w:val="both"/>
        <w:rPr>
          <w:rStyle w:val="Strong"/>
          <w:b w:val="0"/>
          <w:lang w:val="bg-BG"/>
        </w:rPr>
      </w:pPr>
      <w:r w:rsidRPr="00496500">
        <w:rPr>
          <w:rStyle w:val="Strong"/>
          <w:b w:val="0"/>
          <w:lang w:val="bg-BG"/>
        </w:rPr>
        <w:t>разработване на система за наблюдение и съхранение на материали, свързани с мрежовата и информационна сигурност.</w:t>
      </w:r>
    </w:p>
    <w:p w14:paraId="74E7D550"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Доизграждането и интегрирането на НЕРИКС в европейската екосистема и на националното ниво на киберсигурност продължава. НЕРИКС участва активно в учения, насочени към изграждане на капацитет за прилагането на стандартни оперативни процедури при реакция на киберинциденти и повишаване на нивото на мрежовата и информационна сигурност, които се органиизрат както на национално, така и на европейско ниво от Агенцията на Европейския съюз за киберсигурност (ENISA).</w:t>
      </w:r>
    </w:p>
    <w:p w14:paraId="7CEF6395"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lastRenderedPageBreak/>
        <w:t>Продължава и изпълнението на проект „Национален координационен център - България“ по Програма „Цифрова Европа“ (Digital Europe Programme). Основната цел на проекта е да подпомага изграждането на знания и иновационни дейности в областта на киберсигурността чрез обединяване на заинтересовани страни – промишленост, академични среди, малки и средни предприятия (МСП) и обществени организации. Тази инициатива цели и формирането на българската екосистема за киберсигурност. Една от основните цели на НКЦ е участието и взаимодействието с „Мрежата от национални координационни центрове (NCCs Network)“, както и изграждането на българска киберобщност.</w:t>
      </w:r>
    </w:p>
    <w:p w14:paraId="06CC3F59"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Развитието на екосистемата за киберсигурност в страната включва мерки за развитие на оперативния капацитет и интеграция с националните органи. В тази връзка се полагат усилия за създаване на активна и ангажирана екосистема за киберсигурност с партньори от публичния и частния сектор, както и от академичните среди. За целта са стартирали, но и трябва да продължат следните процесите:</w:t>
      </w:r>
    </w:p>
    <w:p w14:paraId="64A6E251" w14:textId="77777777" w:rsidR="00092474" w:rsidRPr="00496500" w:rsidRDefault="00092474" w:rsidP="00A81300">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 xml:space="preserve">определяне на изискванията за членство в общността; </w:t>
      </w:r>
    </w:p>
    <w:p w14:paraId="714524F9" w14:textId="77777777" w:rsidR="00092474" w:rsidRPr="00496500" w:rsidRDefault="00092474" w:rsidP="00A81300">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заявяване на членство по електронен път през интернет страницата на националния координационен център;</w:t>
      </w:r>
    </w:p>
    <w:p w14:paraId="04A865B6" w14:textId="77777777" w:rsidR="00092474" w:rsidRPr="00496500" w:rsidRDefault="00092474" w:rsidP="00A81300">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създаване на процедура и критерии за оценка на постъпили за</w:t>
      </w:r>
      <w:r w:rsidR="00593FA8" w:rsidRPr="00496500">
        <w:rPr>
          <w:rFonts w:ascii="Times New Roman" w:hAnsi="Times New Roman" w:cs="Times New Roman"/>
          <w:sz w:val="24"/>
          <w:szCs w:val="24"/>
          <w:lang w:eastAsia="bg-BG" w:bidi="bg-BG"/>
        </w:rPr>
        <w:t>явления за членство в общността;</w:t>
      </w:r>
    </w:p>
    <w:p w14:paraId="4B52B755" w14:textId="77777777" w:rsidR="00092474" w:rsidRPr="00496500" w:rsidRDefault="00092474" w:rsidP="00A81300">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организиране и провеждане на широка комуникационна кампания за информиране на заинтересованите лица относно възможностите и преди</w:t>
      </w:r>
      <w:r w:rsidR="00593FA8" w:rsidRPr="00496500">
        <w:rPr>
          <w:rFonts w:ascii="Times New Roman" w:hAnsi="Times New Roman" w:cs="Times New Roman"/>
          <w:sz w:val="24"/>
          <w:szCs w:val="24"/>
          <w:lang w:eastAsia="bg-BG" w:bidi="bg-BG"/>
        </w:rPr>
        <w:t>мствата за членство в общността;</w:t>
      </w:r>
    </w:p>
    <w:p w14:paraId="3F5004E8" w14:textId="77777777" w:rsidR="00092474" w:rsidRPr="00496500" w:rsidRDefault="00092474" w:rsidP="00A81300">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изграждане на контактна точка между националната киберобщност и международните организации в сферата на киберсигурността.</w:t>
      </w:r>
    </w:p>
    <w:p w14:paraId="7BD907A1"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 xml:space="preserve">С цел повишаване капацитета на организациите в областта на киберсигурността, през 2025 год. е обявена процедура за финансова подкрепа на трети страни. Целта на процедурата e предоставяне на финансова подкрепа, която да позволи на малки и средни предприятия да въведат съвременни решения и мерки за намаляване на рисковете за киберсигурността им и за гарантиране на устойчивостта на икономиката на Република България.   </w:t>
      </w:r>
    </w:p>
    <w:p w14:paraId="5006930A"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Процедурата се финансира частично от програмата „Цифрова Европа“</w:t>
      </w:r>
      <w:r w:rsidR="00A81300" w:rsidRPr="00496500">
        <w:rPr>
          <w:rFonts w:ascii="Times New Roman" w:hAnsi="Times New Roman" w:cs="Times New Roman"/>
          <w:sz w:val="24"/>
          <w:szCs w:val="24"/>
        </w:rPr>
        <w:t xml:space="preserve"> (50</w:t>
      </w:r>
      <w:r w:rsidRPr="00496500">
        <w:rPr>
          <w:rFonts w:ascii="Times New Roman" w:hAnsi="Times New Roman" w:cs="Times New Roman"/>
          <w:sz w:val="24"/>
          <w:szCs w:val="24"/>
        </w:rPr>
        <w:t>%) и частично -</w:t>
      </w:r>
      <w:r w:rsidR="00A81300" w:rsidRPr="00496500">
        <w:rPr>
          <w:rFonts w:ascii="Times New Roman" w:hAnsi="Times New Roman" w:cs="Times New Roman"/>
          <w:sz w:val="24"/>
          <w:szCs w:val="24"/>
        </w:rPr>
        <w:t xml:space="preserve"> чрез бюджет на МЕУ (50</w:t>
      </w:r>
      <w:r w:rsidRPr="00496500">
        <w:rPr>
          <w:rFonts w:ascii="Times New Roman" w:hAnsi="Times New Roman" w:cs="Times New Roman"/>
          <w:sz w:val="24"/>
          <w:szCs w:val="24"/>
        </w:rPr>
        <w:t>%). Общият размер на средствата по процедурата чрез подбор на проектни предложения за финансова подкрепа за подобряване на киберсигурността в малките и средни предприятия в Република България е</w:t>
      </w:r>
      <w:r w:rsidR="00A81300" w:rsidRPr="00496500">
        <w:rPr>
          <w:rFonts w:ascii="Times New Roman" w:hAnsi="Times New Roman" w:cs="Times New Roman"/>
          <w:sz w:val="24"/>
          <w:szCs w:val="24"/>
        </w:rPr>
        <w:t xml:space="preserve"> 4 000 000 лв.</w:t>
      </w:r>
    </w:p>
    <w:p w14:paraId="2743C1AC"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От изпълнението на проектите по Процедурата за МСП се очаква подобряване на устойчивостта срещу кибератаки, допринасяне за повишаване на осведомеността относно рисковете и на знанията за процесите в областта на киберсигурността.</w:t>
      </w:r>
    </w:p>
    <w:p w14:paraId="6D69B18F"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Министерството на електронното управление е бенефициент на безвъзмездна финансова помощ за изпълнението на проект „Прилагане на Директивата за МИС в сектора за производство, преработка и дистрибуция на храни в Румъния и България – INFORB“, въз основа на Споразумение за финансиране: 101128047 — INFORB — DIGITAL-ECCC-2022-CYBER-03. Проектът е съфинансиран от Европейската комисия чрез Европейския център и мрежа за компетенции в областта на киберсигурността (ECCC) по покана DIGITAL-ECCC-2022-CYBER-03 (Киберсигурност и доверие), тип дейност: DIGITAL JU SME Support Actions.</w:t>
      </w:r>
    </w:p>
    <w:p w14:paraId="0ACD9F22"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lastRenderedPageBreak/>
        <w:t>Проектът има за цел да засили регулаторните, надзорните и контролните функции на националния орган, отговорен за сигурност на мрежи и информационни системи и за прилагането на Директива (ЕС) 2016/1148 и Директива (ЕС) 2022/2555.</w:t>
      </w:r>
    </w:p>
    <w:p w14:paraId="0D5E8949"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INFORB подпомага икономическите субекти при идентифицирането и класифицирането им като съществени и важни субекти в критично важен сектор, за оценка и гарантиране на киберсигурността им, включително веригата на доставки, специално за сектор „производство, преработка и дистрибуция на хранителни продукти“ (по-нататък наричан хранителен сектор), нов сектор, създаден с Директива (ЕС) 2022/2555 на Европейския парламент и на Съвета от месец декември 2022 г. относно мерките за високо общо ниво на киберсигурност в Съюза (Директива МИС 2).</w:t>
      </w:r>
    </w:p>
    <w:p w14:paraId="7EC57641"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Субектите в хранително-вкусовия сектор, както и веригата на доставки, се нуждаят от насоки за прилагане на програми за осведоменост и обучение относно киберсигурността. Проектът предвижда да бъдат определени необходимите обучения по киберсигурност, свързани с различни роли и отговорности в хранителния сектор, както и да се подобри трансграничното сътрудничество между румънските и българските национални органи със специфични роли и отговорности в областта на киберсигурността.</w:t>
      </w:r>
    </w:p>
    <w:p w14:paraId="7856996A"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По една от дейностите на проекта се разработва платформа за информация и сътрудничество, а именно „Национална и трансгранична платформа за сътрудничество МИС</w:t>
      </w:r>
      <w:r w:rsidR="00A81300" w:rsidRPr="00496500">
        <w:rPr>
          <w:rFonts w:ascii="Times New Roman" w:hAnsi="Times New Roman" w:cs="Times New Roman"/>
          <w:sz w:val="24"/>
          <w:szCs w:val="24"/>
        </w:rPr>
        <w:t>–</w:t>
      </w:r>
      <w:r w:rsidRPr="00496500">
        <w:rPr>
          <w:rFonts w:ascii="Times New Roman" w:hAnsi="Times New Roman" w:cs="Times New Roman"/>
          <w:sz w:val="24"/>
          <w:szCs w:val="24"/>
        </w:rPr>
        <w:t>Румъния и България [CORB]“, която ще гарантира:</w:t>
      </w:r>
    </w:p>
    <w:p w14:paraId="2D4876D0" w14:textId="77777777" w:rsidR="00092474" w:rsidRPr="00496500" w:rsidRDefault="00CD41B4" w:rsidP="00F62F3E">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п</w:t>
      </w:r>
      <w:r w:rsidR="00092474" w:rsidRPr="00496500">
        <w:rPr>
          <w:rFonts w:ascii="Times New Roman" w:hAnsi="Times New Roman" w:cs="Times New Roman"/>
          <w:sz w:val="24"/>
          <w:szCs w:val="24"/>
          <w:lang w:eastAsia="bg-BG" w:bidi="bg-BG"/>
        </w:rPr>
        <w:t>одпомагане при идентифицирането и класифицирането на субекти в хранителния сектор;</w:t>
      </w:r>
    </w:p>
    <w:p w14:paraId="5002D46A" w14:textId="77777777" w:rsidR="00092474" w:rsidRPr="00496500" w:rsidRDefault="00CD41B4" w:rsidP="00F62F3E">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о</w:t>
      </w:r>
      <w:r w:rsidR="00092474" w:rsidRPr="00496500">
        <w:rPr>
          <w:rFonts w:ascii="Times New Roman" w:hAnsi="Times New Roman" w:cs="Times New Roman"/>
          <w:sz w:val="24"/>
          <w:szCs w:val="24"/>
          <w:lang w:eastAsia="bg-BG" w:bidi="bg-BG"/>
        </w:rPr>
        <w:t>бмен на информация в реално време между съществени и важни субекти и националните компетентни органи в България относно прилагането на Директивата МИС 2;</w:t>
      </w:r>
    </w:p>
    <w:p w14:paraId="179BD1F5" w14:textId="77777777" w:rsidR="00092474" w:rsidRPr="00496500" w:rsidRDefault="00CD41B4" w:rsidP="00F62F3E">
      <w:pPr>
        <w:pStyle w:val="ListParagraph"/>
        <w:numPr>
          <w:ilvl w:val="0"/>
          <w:numId w:val="49"/>
        </w:numPr>
        <w:snapToGrid w:val="0"/>
        <w:spacing w:after="120" w:line="240" w:lineRule="auto"/>
        <w:ind w:left="993" w:hanging="284"/>
        <w:contextualSpacing w:val="0"/>
        <w:jc w:val="both"/>
        <w:rPr>
          <w:rFonts w:ascii="Times New Roman" w:hAnsi="Times New Roman" w:cs="Times New Roman"/>
          <w:sz w:val="24"/>
          <w:szCs w:val="24"/>
          <w:lang w:eastAsia="bg-BG" w:bidi="bg-BG"/>
        </w:rPr>
      </w:pPr>
      <w:r w:rsidRPr="00496500">
        <w:rPr>
          <w:rFonts w:ascii="Times New Roman" w:hAnsi="Times New Roman" w:cs="Times New Roman"/>
          <w:sz w:val="24"/>
          <w:szCs w:val="24"/>
          <w:lang w:eastAsia="bg-BG" w:bidi="bg-BG"/>
        </w:rPr>
        <w:t>т</w:t>
      </w:r>
      <w:r w:rsidR="00092474" w:rsidRPr="00496500">
        <w:rPr>
          <w:rFonts w:ascii="Times New Roman" w:hAnsi="Times New Roman" w:cs="Times New Roman"/>
          <w:sz w:val="24"/>
          <w:szCs w:val="24"/>
          <w:lang w:eastAsia="bg-BG" w:bidi="bg-BG"/>
        </w:rPr>
        <w:t>рансграничен обмен на информация между националните компетентни органи на Румъния и България.</w:t>
      </w:r>
    </w:p>
    <w:p w14:paraId="4FD2699D" w14:textId="77777777" w:rsidR="00092474" w:rsidRPr="00496500" w:rsidRDefault="00092474" w:rsidP="00F62F3E">
      <w:pPr>
        <w:spacing w:after="120" w:line="240" w:lineRule="auto"/>
        <w:ind w:right="-2" w:firstLine="709"/>
        <w:jc w:val="both"/>
        <w:rPr>
          <w:rFonts w:ascii="Times New Roman" w:hAnsi="Times New Roman" w:cs="Times New Roman"/>
          <w:sz w:val="24"/>
          <w:szCs w:val="24"/>
        </w:rPr>
      </w:pPr>
      <w:r w:rsidRPr="00496500">
        <w:rPr>
          <w:rFonts w:ascii="Times New Roman" w:hAnsi="Times New Roman" w:cs="Times New Roman"/>
          <w:sz w:val="24"/>
          <w:szCs w:val="24"/>
        </w:rPr>
        <w:t>През 2024 г. Европейската комисия прие регламента за прилагане схемата на ЕС за сертифициране на киберсигурността по общи критерии (EUCC). Базирана на доброволни принципи, новата схема на EUCC позволява на доставчиците на ИКТ, които желаят да покажат доказателство за сигурност, да преминат през общоприет процес на оценка в ЕС, за да сертифицират ИКТ продукти като технологични компоненти (чипове, смарт карти), хардуер и софтуер. Схемата се основава на доказана с времето рамка за оценка на SOG-IS Common Criteria, която вече се използва в 17 държави-членки на ЕС, но не и от България.</w:t>
      </w:r>
    </w:p>
    <w:p w14:paraId="562A7C0F" w14:textId="77777777" w:rsidR="00092474" w:rsidRPr="00496500" w:rsidRDefault="00092474" w:rsidP="00F62F3E">
      <w:pPr>
        <w:spacing w:after="120" w:line="240" w:lineRule="auto"/>
        <w:ind w:firstLine="709"/>
        <w:jc w:val="both"/>
        <w:rPr>
          <w:rFonts w:ascii="Times New Roman" w:hAnsi="Times New Roman" w:cs="Times New Roman"/>
          <w:sz w:val="24"/>
          <w:szCs w:val="24"/>
        </w:rPr>
      </w:pPr>
      <w:r w:rsidRPr="00496500">
        <w:rPr>
          <w:rFonts w:ascii="Times New Roman" w:hAnsi="Times New Roman" w:cs="Times New Roman"/>
          <w:sz w:val="24"/>
          <w:szCs w:val="24"/>
        </w:rPr>
        <w:t>Киберпространството открива значителни възможности за развитие, но води и до нарастваща цифрова зависимост на основните обществени дейности и функции. Злонамерени атаки или неумишлени действия могат да предизвикат сериозни смущения в работата на важни системи и да нарушат нормалното функциониране на държавата за неопределено време. Заплахите и рисковете в киберсредата е трудно да се определят еднозначно, защото е сложно да се установят източниците на въздействие, целите и мотивите, а също така поради бързото ескалиране на атаките, непредвидимото им развитие и динамичния характер на съвременните информационни и комуникационни процеси. Идентифицирането, защитата и ограничаването на тези заплахи не се извършват по традиционен начин и изискват нов модел на взаимодействие между всички участници в киберпространството, както и достатъчен капацитет и ресурси за ефективно управление.</w:t>
      </w:r>
    </w:p>
    <w:p w14:paraId="36E624FD" w14:textId="77777777" w:rsidR="00092474" w:rsidRPr="00496500" w:rsidRDefault="00092474" w:rsidP="00FD382A">
      <w:pPr>
        <w:pStyle w:val="ListParagraph"/>
        <w:spacing w:after="0" w:line="240" w:lineRule="auto"/>
        <w:ind w:left="567"/>
        <w:contextualSpacing w:val="0"/>
        <w:rPr>
          <w:rFonts w:ascii="Times New Roman" w:hAnsi="Times New Roman" w:cs="Times New Roman"/>
          <w:b/>
          <w:sz w:val="24"/>
          <w:szCs w:val="24"/>
        </w:rPr>
      </w:pPr>
    </w:p>
    <w:p w14:paraId="3625DA13" w14:textId="77777777" w:rsidR="006A217F" w:rsidRPr="00496500" w:rsidRDefault="00EF1CC6" w:rsidP="005B6F72">
      <w:pPr>
        <w:pStyle w:val="ListParagraph"/>
        <w:numPr>
          <w:ilvl w:val="1"/>
          <w:numId w:val="10"/>
        </w:numPr>
        <w:spacing w:after="120" w:line="240" w:lineRule="auto"/>
        <w:ind w:left="567" w:hanging="567"/>
        <w:contextualSpacing w:val="0"/>
        <w:jc w:val="both"/>
        <w:outlineLvl w:val="1"/>
        <w:rPr>
          <w:rFonts w:ascii="Times New Roman" w:hAnsi="Times New Roman" w:cs="Times New Roman"/>
          <w:b/>
          <w:sz w:val="24"/>
          <w:szCs w:val="24"/>
        </w:rPr>
      </w:pPr>
      <w:bookmarkStart w:id="16" w:name="_Toc209084891"/>
      <w:r w:rsidRPr="00496500">
        <w:rPr>
          <w:rFonts w:ascii="Times New Roman" w:hAnsi="Times New Roman" w:cs="Times New Roman"/>
          <w:b/>
          <w:sz w:val="24"/>
          <w:szCs w:val="24"/>
        </w:rPr>
        <w:t>Споделяне и повторна употреба на данни</w:t>
      </w:r>
      <w:bookmarkEnd w:id="16"/>
      <w:r w:rsidRPr="00496500">
        <w:rPr>
          <w:rFonts w:ascii="Times New Roman" w:hAnsi="Times New Roman" w:cs="Times New Roman"/>
          <w:b/>
          <w:sz w:val="24"/>
          <w:szCs w:val="24"/>
        </w:rPr>
        <w:t xml:space="preserve"> </w:t>
      </w:r>
    </w:p>
    <w:p w14:paraId="652BCE69" w14:textId="77777777" w:rsidR="00A16986" w:rsidRPr="00496500" w:rsidRDefault="00A16986"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Данните генерирани от публичния сектор, следва да бъдат на разположение за общото благо. Тези данни са произведени с публични средства и поради това от тях следва </w:t>
      </w:r>
      <w:r w:rsidRPr="00496500">
        <w:rPr>
          <w:rFonts w:ascii="Times New Roman" w:eastAsia="Calibri" w:hAnsi="Times New Roman" w:cs="Times New Roman"/>
          <w:kern w:val="2"/>
          <w:sz w:val="24"/>
          <w:szCs w:val="24"/>
        </w:rPr>
        <w:lastRenderedPageBreak/>
        <w:t xml:space="preserve">да се ползва обществото, като се гарантира, включително чрез преференциален достъп, че </w:t>
      </w:r>
      <w:r w:rsidR="00D06C19" w:rsidRPr="00496500">
        <w:rPr>
          <w:rFonts w:ascii="Times New Roman" w:eastAsia="Calibri" w:hAnsi="Times New Roman" w:cs="Times New Roman"/>
          <w:kern w:val="2"/>
          <w:sz w:val="24"/>
          <w:szCs w:val="24"/>
        </w:rPr>
        <w:t>те</w:t>
      </w:r>
      <w:r w:rsidRPr="00496500">
        <w:rPr>
          <w:rFonts w:ascii="Times New Roman" w:eastAsia="Calibri" w:hAnsi="Times New Roman" w:cs="Times New Roman"/>
          <w:kern w:val="2"/>
          <w:sz w:val="24"/>
          <w:szCs w:val="24"/>
        </w:rPr>
        <w:t xml:space="preserve"> се използват от изследователи, други публични институции, малки и средни предприятия (МСП) или новосъздадени предприятия. Данните от частния сектор също могат да дадат значителен принос за общественото благо. </w:t>
      </w:r>
    </w:p>
    <w:p w14:paraId="5C9A853C" w14:textId="77777777" w:rsidR="00A16986" w:rsidRPr="00496500" w:rsidRDefault="00A16986"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Понастоящем няма достатъчно налични данни за новаторско повторно използване, включително за разработването на изкуствен интелект. </w:t>
      </w:r>
    </w:p>
    <w:p w14:paraId="2EF628A3" w14:textId="77777777" w:rsidR="007C28C0" w:rsidRPr="00496500" w:rsidRDefault="00A16986" w:rsidP="003B412E">
      <w:pPr>
        <w:spacing w:after="120" w:line="240" w:lineRule="auto"/>
        <w:ind w:firstLine="720"/>
        <w:jc w:val="both"/>
        <w:rPr>
          <w:rFonts w:ascii="Times New Roman" w:eastAsiaTheme="minorEastAsia" w:hAnsi="Times New Roman" w:cs="Times New Roman"/>
          <w:sz w:val="24"/>
          <w:szCs w:val="24"/>
        </w:rPr>
      </w:pPr>
      <w:r w:rsidRPr="00496500">
        <w:rPr>
          <w:rFonts w:ascii="Times New Roman" w:eastAsiaTheme="minorEastAsia" w:hAnsi="Times New Roman" w:cs="Times New Roman"/>
          <w:sz w:val="24"/>
          <w:szCs w:val="24"/>
        </w:rPr>
        <w:t xml:space="preserve">Разбирането на данните като стратегически актив изисква този актив да се натрупва и управлява добре. За да остане страната конкурентоспособна в глобална икономика, доминирана от информационните услуги и данните, е необходимо натрупването на достатъчно данни, които да осигурят научни изследвания и иновации, икономически растеж, ефективност на управлението и всички други потенциални ползи. България трябва да намери начини да бъде ефективна и амбициозна в изграждането на своите информационни активи както в публичния, така и в частния сектор. В момента, макар общото количество или растежът на генерираните данни както в частния, така и в публичния сектор да не се измерват директно, редица заместващи индикатори показват, че има огромни възможности за подобрение. </w:t>
      </w:r>
    </w:p>
    <w:p w14:paraId="3481C6E3" w14:textId="55A9BAD3" w:rsidR="00A16986" w:rsidRPr="00496500" w:rsidRDefault="00A16986" w:rsidP="003B412E">
      <w:pPr>
        <w:spacing w:after="120" w:line="240" w:lineRule="auto"/>
        <w:ind w:firstLine="720"/>
        <w:jc w:val="both"/>
        <w:rPr>
          <w:rFonts w:ascii="Times New Roman" w:eastAsiaTheme="minorEastAsia" w:hAnsi="Times New Roman" w:cs="Times New Roman"/>
          <w:sz w:val="24"/>
          <w:szCs w:val="24"/>
        </w:rPr>
      </w:pPr>
      <w:r w:rsidRPr="00496500">
        <w:rPr>
          <w:rFonts w:ascii="Times New Roman" w:eastAsiaTheme="minorEastAsia" w:hAnsi="Times New Roman" w:cs="Times New Roman"/>
          <w:sz w:val="24"/>
          <w:szCs w:val="24"/>
        </w:rPr>
        <w:t xml:space="preserve">Докладът за </w:t>
      </w:r>
      <w:r w:rsidR="00536F25" w:rsidRPr="00496500">
        <w:rPr>
          <w:rFonts w:ascii="Times New Roman" w:eastAsiaTheme="minorEastAsia" w:hAnsi="Times New Roman" w:cs="Times New Roman"/>
          <w:sz w:val="24"/>
          <w:szCs w:val="24"/>
        </w:rPr>
        <w:t xml:space="preserve">цифровото </w:t>
      </w:r>
      <w:r w:rsidRPr="00496500">
        <w:rPr>
          <w:rFonts w:ascii="Times New Roman" w:eastAsiaTheme="minorEastAsia" w:hAnsi="Times New Roman" w:cs="Times New Roman"/>
          <w:sz w:val="24"/>
          <w:szCs w:val="24"/>
        </w:rPr>
        <w:t>десети</w:t>
      </w:r>
      <w:r w:rsidR="004079CF" w:rsidRPr="00496500">
        <w:rPr>
          <w:rFonts w:ascii="Times New Roman" w:eastAsiaTheme="minorEastAsia" w:hAnsi="Times New Roman" w:cs="Times New Roman"/>
          <w:sz w:val="24"/>
          <w:szCs w:val="24"/>
        </w:rPr>
        <w:t>летие за 2024 г. посочва, че 21</w:t>
      </w:r>
      <w:r w:rsidR="00DE3D40">
        <w:rPr>
          <w:rFonts w:ascii="Times New Roman" w:eastAsiaTheme="minorEastAsia" w:hAnsi="Times New Roman" w:cs="Times New Roman"/>
          <w:sz w:val="24"/>
          <w:szCs w:val="24"/>
        </w:rPr>
        <w:t>,</w:t>
      </w:r>
      <w:r w:rsidRPr="00496500">
        <w:rPr>
          <w:rFonts w:ascii="Times New Roman" w:eastAsiaTheme="minorEastAsia" w:hAnsi="Times New Roman" w:cs="Times New Roman"/>
          <w:sz w:val="24"/>
          <w:szCs w:val="24"/>
        </w:rPr>
        <w:t xml:space="preserve">9% от предприятията използват анализи на данни, което </w:t>
      </w:r>
      <w:r w:rsidR="004079CF" w:rsidRPr="00496500">
        <w:rPr>
          <w:rFonts w:ascii="Times New Roman" w:eastAsiaTheme="minorEastAsia" w:hAnsi="Times New Roman" w:cs="Times New Roman"/>
          <w:sz w:val="24"/>
          <w:szCs w:val="24"/>
        </w:rPr>
        <w:t>е под средното за ЕС ниво от 33</w:t>
      </w:r>
      <w:r w:rsidR="00DE3D40">
        <w:rPr>
          <w:rFonts w:ascii="Times New Roman" w:eastAsiaTheme="minorEastAsia" w:hAnsi="Times New Roman" w:cs="Times New Roman"/>
          <w:sz w:val="24"/>
          <w:szCs w:val="24"/>
        </w:rPr>
        <w:t>,</w:t>
      </w:r>
      <w:r w:rsidRPr="00496500">
        <w:rPr>
          <w:rFonts w:ascii="Times New Roman" w:eastAsiaTheme="minorEastAsia" w:hAnsi="Times New Roman" w:cs="Times New Roman"/>
          <w:sz w:val="24"/>
          <w:szCs w:val="24"/>
        </w:rPr>
        <w:t>2%. Индексът за зрялост на отворените данни за 2024 г. показва общ резултат от 61%, доста под средното за ЕС ниво от 83%, което поставя България в категорията „Начинаещи“. Въпреки, че зрелостта на отворените данни не е пряка мярка за наличността или количеството на данните и се влияе от многото променливи в индекса, тя все още е полезен индикатор за измерване на обществения достъп до данни от публичния сектор, а заключенията ѝ се потвърждават от опита на граждански групи, бизнес и активисти в областта на отворените данни. Наличието на данни или липсата им се измерва и чрез очевидната липса на достатъчно доказателства за мониторинг на показателите в много действащи стратегически документи в българския публичен сектор. Всъщност, предоставянето на данни за измерване на резултатите, изпълнението и постигането на стратегическите цели е основен приоритет за подхода на „интелигентно управление“ за ефективна публична администрация.</w:t>
      </w:r>
    </w:p>
    <w:p w14:paraId="71B7CBDA" w14:textId="77777777" w:rsidR="00A16986" w:rsidRPr="00496500" w:rsidRDefault="00A16986" w:rsidP="003B412E">
      <w:pPr>
        <w:spacing w:after="120" w:line="240" w:lineRule="auto"/>
        <w:ind w:firstLine="720"/>
        <w:jc w:val="both"/>
        <w:rPr>
          <w:rFonts w:ascii="Times New Roman" w:eastAsiaTheme="minorEastAsia" w:hAnsi="Times New Roman" w:cs="Times New Roman"/>
          <w:sz w:val="24"/>
          <w:szCs w:val="24"/>
        </w:rPr>
      </w:pPr>
      <w:r w:rsidRPr="00496500">
        <w:rPr>
          <w:rFonts w:ascii="Times New Roman" w:eastAsiaTheme="minorEastAsia" w:hAnsi="Times New Roman" w:cs="Times New Roman"/>
          <w:sz w:val="24"/>
          <w:szCs w:val="24"/>
        </w:rPr>
        <w:t xml:space="preserve">Когато в публичния сектор има налични данни, в значителен брой случаи те не са незабавно достъпни. Концепцията за </w:t>
      </w:r>
      <w:r w:rsidR="007C28C0" w:rsidRPr="00496500">
        <w:rPr>
          <w:rFonts w:ascii="Times New Roman" w:eastAsiaTheme="minorEastAsia" w:hAnsi="Times New Roman" w:cs="Times New Roman"/>
          <w:sz w:val="24"/>
          <w:szCs w:val="24"/>
        </w:rPr>
        <w:t xml:space="preserve">регистрова </w:t>
      </w:r>
      <w:r w:rsidRPr="00496500">
        <w:rPr>
          <w:rFonts w:ascii="Times New Roman" w:eastAsiaTheme="minorEastAsia" w:hAnsi="Times New Roman" w:cs="Times New Roman"/>
          <w:sz w:val="24"/>
          <w:szCs w:val="24"/>
        </w:rPr>
        <w:t xml:space="preserve">реформа посочва броя на данните от регистрите, които все още не се обслужват от информационни системи и API, Пътната карта на цифровото десетилетие, както и действащата стратегия за </w:t>
      </w:r>
      <w:r w:rsidR="007C28C0" w:rsidRPr="00496500">
        <w:rPr>
          <w:rFonts w:ascii="Times New Roman" w:eastAsiaTheme="minorEastAsia" w:hAnsi="Times New Roman" w:cs="Times New Roman"/>
          <w:sz w:val="24"/>
          <w:szCs w:val="24"/>
        </w:rPr>
        <w:t xml:space="preserve">развитие на </w:t>
      </w:r>
      <w:r w:rsidRPr="00496500">
        <w:rPr>
          <w:rFonts w:ascii="Times New Roman" w:eastAsiaTheme="minorEastAsia" w:hAnsi="Times New Roman" w:cs="Times New Roman"/>
          <w:sz w:val="24"/>
          <w:szCs w:val="24"/>
        </w:rPr>
        <w:t>електронно</w:t>
      </w:r>
      <w:r w:rsidR="007C28C0" w:rsidRPr="00496500">
        <w:rPr>
          <w:rFonts w:ascii="Times New Roman" w:eastAsiaTheme="minorEastAsia" w:hAnsi="Times New Roman" w:cs="Times New Roman"/>
          <w:sz w:val="24"/>
          <w:szCs w:val="24"/>
        </w:rPr>
        <w:t>то</w:t>
      </w:r>
      <w:r w:rsidRPr="00496500">
        <w:rPr>
          <w:rFonts w:ascii="Times New Roman" w:eastAsiaTheme="minorEastAsia" w:hAnsi="Times New Roman" w:cs="Times New Roman"/>
          <w:sz w:val="24"/>
          <w:szCs w:val="24"/>
        </w:rPr>
        <w:t xml:space="preserve"> управление определя</w:t>
      </w:r>
      <w:r w:rsidR="007C28C0" w:rsidRPr="00496500">
        <w:rPr>
          <w:rFonts w:ascii="Times New Roman" w:eastAsiaTheme="minorEastAsia" w:hAnsi="Times New Roman" w:cs="Times New Roman"/>
          <w:sz w:val="24"/>
          <w:szCs w:val="24"/>
        </w:rPr>
        <w:t>т</w:t>
      </w:r>
      <w:r w:rsidRPr="00496500">
        <w:rPr>
          <w:rFonts w:ascii="Times New Roman" w:eastAsiaTheme="minorEastAsia" w:hAnsi="Times New Roman" w:cs="Times New Roman"/>
          <w:sz w:val="24"/>
          <w:szCs w:val="24"/>
        </w:rPr>
        <w:t xml:space="preserve"> подобряването на оперативната съвместимост и следователно достъпа до данни и автоматизирания обмен на данни като важен приоритет. Въпреки че системата RegiX предоставя вътрешноправителствен достъп до някои от регистрите, нейният обхват е ограничен, процесът на достъп до данните е тромав, тъй като няма автоматизирани трансформации на данни и анонимизиране по заявка</w:t>
      </w:r>
      <w:r w:rsidR="00E06163" w:rsidRPr="00496500">
        <w:rPr>
          <w:rFonts w:ascii="Times New Roman" w:eastAsiaTheme="minorEastAsia" w:hAnsi="Times New Roman" w:cs="Times New Roman"/>
          <w:sz w:val="24"/>
          <w:szCs w:val="24"/>
        </w:rPr>
        <w:t>.</w:t>
      </w:r>
      <w:r w:rsidRPr="00496500">
        <w:rPr>
          <w:rFonts w:ascii="Times New Roman" w:eastAsiaTheme="minorEastAsia" w:hAnsi="Times New Roman" w:cs="Times New Roman"/>
          <w:sz w:val="24"/>
          <w:szCs w:val="24"/>
        </w:rPr>
        <w:t xml:space="preserve"> </w:t>
      </w:r>
      <w:r w:rsidR="00E06163" w:rsidRPr="00496500">
        <w:rPr>
          <w:rFonts w:ascii="Times New Roman" w:eastAsiaTheme="minorEastAsia" w:hAnsi="Times New Roman" w:cs="Times New Roman"/>
          <w:sz w:val="24"/>
          <w:szCs w:val="24"/>
        </w:rPr>
        <w:t xml:space="preserve">Това </w:t>
      </w:r>
      <w:r w:rsidRPr="00496500">
        <w:rPr>
          <w:rFonts w:ascii="Times New Roman" w:eastAsiaTheme="minorEastAsia" w:hAnsi="Times New Roman" w:cs="Times New Roman"/>
          <w:sz w:val="24"/>
          <w:szCs w:val="24"/>
        </w:rPr>
        <w:t xml:space="preserve">подлага заявките за данни на одобрение от страна на органите за защита на личните данни и противоречиви тълкувания на правната рамка. Добавянето на нови регистри или дори нови заявки към същите регистри изисква финансови и времеви ресурси, които не са незабавно достъпни. Достъпът, базиран на API, липсва в много от информационни системи, които обработват данни, въпреки разпоредбите на съществуващата регулация. Много данни, които би трябвало да бъдат отворени съгласно Закона за достъп до обществена информация, остават непубликувани и недостъпни. Докладът на Световната банка от 2023 г. относно оценката на цифровата трансформация (DTA) също така посочва, че „ефективният обмен на публични данни между публичните институции често се сблъсква с пречки и това възпрепятства разработването и внедряването на иновативни решения и услуги, които биха могли да бъдат от полза както за публичния, така и за частния сектор“. Липсва всеобхватна стратегия за събиране на данните в регистрите. Такива данни, например изображения от </w:t>
      </w:r>
      <w:r w:rsidRPr="00496500">
        <w:rPr>
          <w:rFonts w:ascii="Times New Roman" w:eastAsiaTheme="minorEastAsia" w:hAnsi="Times New Roman" w:cs="Times New Roman"/>
          <w:sz w:val="24"/>
          <w:szCs w:val="24"/>
        </w:rPr>
        <w:lastRenderedPageBreak/>
        <w:t>камери, геопространствени данни за физически обекти, данни, свързани със здравето, административни данни като програмни приложения и други, често се натрупват въз основа на вътрешна политика и по некоординиран начин, което предотвратява приоритизирането на пропуските във връзка със стратегическата политика на национално ниво. Това също така възпрепятства използването на тези данни за създаване на бизнес стойност или научноизследователска и развойна дейност. Сигурните инфраструктури за данни също са въпрос, който предстои. Централизирането на ресурсите от данни обаче е все още дълъг път, тъй като много регистри се поддържат в рамките на институционалния инфраструктурен капацитет с различни нива на възможности за сигурност, скорости на пренос на данни и възможности за обработка. Правителството все още няма стратегия за Интернет на нещата (IoT), нито в инфраструктурен, нито в правен смисъл, което става още по-важно по отношение на разпоредбите на Закона за данните за суверенитета на личните данни. За да се даде възможност за широкообхватни интелигентни решения по безопасен начин, са необходими много по-съгласувани усилия за осигуряване на достатъчно сензори и системи за генериране на данни, за да може да се премине към функционални цифрови близнаци по области, които след това могат значително да подобрят разработването на политики, мониторинга и създаването на бизнес стойност.</w:t>
      </w:r>
    </w:p>
    <w:p w14:paraId="33145EC9" w14:textId="77777777" w:rsidR="00A16986" w:rsidRPr="00496500" w:rsidRDefault="00A16986" w:rsidP="003B412E">
      <w:pPr>
        <w:spacing w:after="120" w:line="240" w:lineRule="auto"/>
        <w:ind w:firstLine="720"/>
        <w:jc w:val="both"/>
        <w:rPr>
          <w:rFonts w:ascii="Times New Roman" w:eastAsiaTheme="minorEastAsia" w:hAnsi="Times New Roman" w:cs="Times New Roman"/>
          <w:sz w:val="24"/>
          <w:szCs w:val="24"/>
        </w:rPr>
      </w:pPr>
      <w:r w:rsidRPr="00496500">
        <w:rPr>
          <w:rFonts w:ascii="Times New Roman" w:eastAsiaTheme="minorEastAsia" w:hAnsi="Times New Roman" w:cs="Times New Roman"/>
          <w:sz w:val="24"/>
          <w:szCs w:val="24"/>
        </w:rPr>
        <w:t>Всички тези наблюдения са още по-изразени, когато се оценяват на поднационално ниво, т.е. на регионално и общинско ниво. Често статистическите данни, предоставяни от НСИ, са единственият надежден и достъпен източник на данни на общинско ниво, с няколко забележителни изключения.</w:t>
      </w:r>
    </w:p>
    <w:p w14:paraId="2F8510C6" w14:textId="77777777" w:rsidR="00A16986" w:rsidRPr="00496500" w:rsidRDefault="00A16986" w:rsidP="003B412E">
      <w:pPr>
        <w:spacing w:after="120" w:line="240" w:lineRule="auto"/>
        <w:ind w:firstLine="720"/>
        <w:jc w:val="both"/>
        <w:rPr>
          <w:rFonts w:ascii="Times New Roman" w:eastAsiaTheme="minorEastAsia" w:hAnsi="Times New Roman" w:cs="Times New Roman"/>
          <w:sz w:val="24"/>
          <w:szCs w:val="24"/>
        </w:rPr>
      </w:pPr>
      <w:r w:rsidRPr="00496500">
        <w:rPr>
          <w:rFonts w:ascii="Times New Roman" w:eastAsiaTheme="minorEastAsia" w:hAnsi="Times New Roman" w:cs="Times New Roman"/>
          <w:sz w:val="24"/>
          <w:szCs w:val="24"/>
        </w:rPr>
        <w:t>България също така започна разработването на национални пространства за данни, както е определено в Европейската стратегия за данните – усилие, което е в начален етап и трябва да бъде продължено стратегически с дългосрочна визия. Правната, организационната и техническата рамка, която позволява на бизнеса, изследователите, гражданите и публичните институции да имат сигурен достъп и да обменят данни по политически начин и със средства за осигуряване на суверенитет и възнаграждение, е от решаващо значение, за да се гарантира, че от данните може да се генерира стойност.</w:t>
      </w:r>
    </w:p>
    <w:p w14:paraId="1EE147E9" w14:textId="77777777" w:rsidR="00210A8E" w:rsidRPr="00496500" w:rsidRDefault="00210A8E" w:rsidP="003B412E">
      <w:pPr>
        <w:spacing w:after="120" w:line="240" w:lineRule="auto"/>
        <w:ind w:firstLine="720"/>
        <w:jc w:val="both"/>
        <w:rPr>
          <w:rFonts w:ascii="Times New Roman" w:eastAsiaTheme="minorEastAsia" w:hAnsi="Times New Roman" w:cs="Times New Roman"/>
          <w:sz w:val="24"/>
          <w:szCs w:val="24"/>
        </w:rPr>
      </w:pPr>
    </w:p>
    <w:p w14:paraId="4390702A" w14:textId="77777777" w:rsidR="00386143" w:rsidRPr="00496500" w:rsidRDefault="003332BB" w:rsidP="003B412E">
      <w:pPr>
        <w:pStyle w:val="ListParagraph"/>
        <w:numPr>
          <w:ilvl w:val="0"/>
          <w:numId w:val="10"/>
        </w:numPr>
        <w:spacing w:after="120" w:line="240" w:lineRule="auto"/>
        <w:contextualSpacing w:val="0"/>
        <w:outlineLvl w:val="0"/>
        <w:rPr>
          <w:rFonts w:ascii="Times New Roman" w:hAnsi="Times New Roman" w:cs="Times New Roman"/>
          <w:b/>
          <w:color w:val="2E74B5" w:themeColor="accent1" w:themeShade="BF"/>
          <w:sz w:val="28"/>
          <w:szCs w:val="28"/>
        </w:rPr>
      </w:pPr>
      <w:bookmarkStart w:id="17" w:name="_Toc209084892"/>
      <w:r w:rsidRPr="00496500">
        <w:rPr>
          <w:rFonts w:ascii="Times New Roman" w:hAnsi="Times New Roman" w:cs="Times New Roman"/>
          <w:b/>
          <w:color w:val="2E74B5" w:themeColor="accent1" w:themeShade="BF"/>
          <w:sz w:val="28"/>
          <w:szCs w:val="28"/>
        </w:rPr>
        <w:t>Причините, които предизвикват проблемите</w:t>
      </w:r>
      <w:bookmarkEnd w:id="17"/>
    </w:p>
    <w:p w14:paraId="172BCFC8" w14:textId="6B71125B" w:rsidR="003C2388" w:rsidRPr="00496500" w:rsidRDefault="003C2388"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 xml:space="preserve">Въз основа на научените уроци от реализацията на електронното управление в България в периода до 2013 г., постепенно подходът в политиката започва да </w:t>
      </w:r>
      <w:r w:rsidRPr="00497157">
        <w:rPr>
          <w:rFonts w:ascii="Times New Roman" w:hAnsi="Times New Roman" w:cs="Times New Roman"/>
          <w:sz w:val="24"/>
          <w:szCs w:val="24"/>
        </w:rPr>
        <w:t xml:space="preserve">се ориентира към потребителя, а след 2016 г. радикално се променя и моделът на провеждането </w:t>
      </w:r>
      <w:r w:rsidR="00DE3D40" w:rsidRPr="006D7474">
        <w:rPr>
          <w:rFonts w:ascii="Times New Roman" w:hAnsi="Times New Roman" w:cs="Times New Roman"/>
          <w:sz w:val="24"/>
          <w:szCs w:val="24"/>
        </w:rPr>
        <w:t>ù</w:t>
      </w:r>
      <w:r w:rsidRPr="00497157">
        <w:rPr>
          <w:rFonts w:ascii="Times New Roman" w:hAnsi="Times New Roman" w:cs="Times New Roman"/>
          <w:sz w:val="24"/>
          <w:szCs w:val="24"/>
        </w:rPr>
        <w:t xml:space="preserve"> –</w:t>
      </w:r>
      <w:r w:rsidRPr="00496500">
        <w:rPr>
          <w:rFonts w:ascii="Times New Roman" w:hAnsi="Times New Roman" w:cs="Times New Roman"/>
          <w:sz w:val="24"/>
          <w:szCs w:val="24"/>
        </w:rPr>
        <w:t xml:space="preserve"> от децентрализиран към централизиран, с оглед постигане на висока степен на ефективност, координация и контрол. Преминава се към разработването на системи, които могат да улеснят електронния обмен на данни и информация между различните публични органи и усилията са насочени към преодоляване на фрагментацията и липса на оперативна съвместимост между ресурсите за електронно управление. Въпреки продължаващите усилия в тази насока, все още са налице ограничения (нормативни, технологични, финансови) във възможностите за централизирано изграждане, интеграция и поддържане на информационните ресурси, особено информационните системи и регистрите в публичния сектор. </w:t>
      </w:r>
    </w:p>
    <w:p w14:paraId="06CEDAF1" w14:textId="77777777" w:rsidR="003C2388" w:rsidRPr="00496500" w:rsidRDefault="003C2388"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Използване на информация от публичния сектор от страна на бизнеса, научната общност и неправителствения сектор е налице, но със съществени ограничения. Често липсват набори от данни с висока стойност при едни и същи условия, като това е в ущърб на използването и повторното им използване от страна на заинтересовани страни. В същото време, например чувствителни данни (напр. здравни данни) в публичните бази данни често не се предоставят за изследователски цели, поради липса на законово основание и отсъствието на капацитет или механизми, които да позволяват определени изследователски </w:t>
      </w:r>
      <w:r w:rsidRPr="00496500">
        <w:rPr>
          <w:rFonts w:ascii="Times New Roman" w:eastAsia="Calibri" w:hAnsi="Times New Roman" w:cs="Times New Roman"/>
          <w:kern w:val="2"/>
          <w:sz w:val="24"/>
          <w:szCs w:val="24"/>
        </w:rPr>
        <w:lastRenderedPageBreak/>
        <w:t>дейности да бъдат извършени по начин, съответстващ на правилата за защита на личните данни. Липсват конкретни законодателни и подзаконови актове, които да регламентират цялостната рамка за управление на данните на национално ниво, както и да установят институционални механизми за координация. Тези пропуски възпрепятстват ефективното споделяне, повторно използване и управление на данните като стратегически актив, което е ключово за изграждането на работеща цифрова икономика.</w:t>
      </w:r>
    </w:p>
    <w:p w14:paraId="48B1F444" w14:textId="77777777" w:rsidR="003C2388" w:rsidRPr="00496500" w:rsidRDefault="002F5303" w:rsidP="006E661C">
      <w:pPr>
        <w:pStyle w:val="ListParagraph"/>
        <w:spacing w:after="120" w:line="240" w:lineRule="auto"/>
        <w:ind w:left="0" w:firstLine="720"/>
        <w:contextualSpacing w:val="0"/>
        <w:jc w:val="both"/>
        <w:rPr>
          <w:rFonts w:ascii="Times New Roman" w:eastAsia="Calibri" w:hAnsi="Times New Roman" w:cs="Times New Roman"/>
          <w:kern w:val="2"/>
          <w:sz w:val="24"/>
          <w:szCs w:val="24"/>
        </w:rPr>
      </w:pPr>
      <w:r w:rsidRPr="00496500">
        <w:rPr>
          <w:rFonts w:ascii="Times New Roman" w:hAnsi="Times New Roman" w:cs="Times New Roman"/>
          <w:sz w:val="24"/>
          <w:szCs w:val="24"/>
        </w:rPr>
        <w:t xml:space="preserve">Страната има добре развита инфраструктура за свързаност и засилва ролята си в критичните технологии, но продължава да е изправена пред сериозни предизвикателства, свързани с цифровото приобщаване и устойчивостта на цифровата инфраструктура. Отчитат се </w:t>
      </w:r>
      <w:r w:rsidRPr="00496500">
        <w:rPr>
          <w:rFonts w:ascii="Times New Roman" w:eastAsia="Calibri" w:hAnsi="Times New Roman" w:cs="Times New Roman"/>
          <w:kern w:val="2"/>
          <w:sz w:val="24"/>
          <w:szCs w:val="24"/>
        </w:rPr>
        <w:t>н</w:t>
      </w:r>
      <w:r w:rsidR="003C2388" w:rsidRPr="00496500">
        <w:rPr>
          <w:rFonts w:ascii="Times New Roman" w:eastAsia="Calibri" w:hAnsi="Times New Roman" w:cs="Times New Roman"/>
          <w:kern w:val="2"/>
          <w:sz w:val="24"/>
          <w:szCs w:val="24"/>
        </w:rPr>
        <w:t xml:space="preserve">иски </w:t>
      </w:r>
      <w:r w:rsidR="00AA68D1" w:rsidRPr="00496500">
        <w:rPr>
          <w:rFonts w:ascii="Times New Roman" w:eastAsia="Calibri" w:hAnsi="Times New Roman" w:cs="Times New Roman"/>
          <w:kern w:val="2"/>
          <w:sz w:val="24"/>
          <w:szCs w:val="24"/>
        </w:rPr>
        <w:t>цифрови</w:t>
      </w:r>
      <w:r w:rsidR="003C2388" w:rsidRPr="00496500">
        <w:rPr>
          <w:rFonts w:ascii="Times New Roman" w:eastAsia="Calibri" w:hAnsi="Times New Roman" w:cs="Times New Roman"/>
          <w:kern w:val="2"/>
          <w:sz w:val="24"/>
          <w:szCs w:val="24"/>
        </w:rPr>
        <w:t xml:space="preserve"> умения</w:t>
      </w:r>
      <w:r w:rsidRPr="00496500">
        <w:rPr>
          <w:rFonts w:ascii="Times New Roman" w:eastAsia="Calibri" w:hAnsi="Times New Roman" w:cs="Times New Roman"/>
          <w:kern w:val="2"/>
          <w:sz w:val="24"/>
          <w:szCs w:val="24"/>
        </w:rPr>
        <w:t xml:space="preserve"> сред населението</w:t>
      </w:r>
      <w:r w:rsidR="003C2388" w:rsidRPr="00496500">
        <w:rPr>
          <w:rFonts w:ascii="Times New Roman" w:eastAsia="Calibri" w:hAnsi="Times New Roman" w:cs="Times New Roman"/>
          <w:kern w:val="2"/>
          <w:sz w:val="24"/>
          <w:szCs w:val="24"/>
        </w:rPr>
        <w:t xml:space="preserve"> и </w:t>
      </w:r>
      <w:r w:rsidRPr="00496500">
        <w:rPr>
          <w:rFonts w:ascii="Times New Roman" w:eastAsia="Calibri" w:hAnsi="Times New Roman" w:cs="Times New Roman"/>
          <w:kern w:val="2"/>
          <w:sz w:val="24"/>
          <w:szCs w:val="24"/>
        </w:rPr>
        <w:t xml:space="preserve">ограничени желания </w:t>
      </w:r>
      <w:r w:rsidR="003C2388" w:rsidRPr="00496500">
        <w:rPr>
          <w:rFonts w:ascii="Times New Roman" w:eastAsia="Calibri" w:hAnsi="Times New Roman" w:cs="Times New Roman"/>
          <w:kern w:val="2"/>
          <w:sz w:val="24"/>
          <w:szCs w:val="24"/>
        </w:rPr>
        <w:t xml:space="preserve">за приемане на </w:t>
      </w:r>
      <w:r w:rsidRPr="00496500">
        <w:rPr>
          <w:rFonts w:ascii="Times New Roman" w:eastAsia="Calibri" w:hAnsi="Times New Roman" w:cs="Times New Roman"/>
          <w:kern w:val="2"/>
          <w:sz w:val="24"/>
          <w:szCs w:val="24"/>
        </w:rPr>
        <w:t xml:space="preserve">новите </w:t>
      </w:r>
      <w:r w:rsidR="003C2388" w:rsidRPr="00496500">
        <w:rPr>
          <w:rFonts w:ascii="Times New Roman" w:eastAsia="Calibri" w:hAnsi="Times New Roman" w:cs="Times New Roman"/>
          <w:kern w:val="2"/>
          <w:sz w:val="24"/>
          <w:szCs w:val="24"/>
        </w:rPr>
        <w:t>технологии</w:t>
      </w:r>
      <w:r w:rsidRPr="00496500">
        <w:rPr>
          <w:rFonts w:ascii="Times New Roman" w:eastAsia="Calibri" w:hAnsi="Times New Roman" w:cs="Times New Roman"/>
          <w:kern w:val="2"/>
          <w:sz w:val="24"/>
          <w:szCs w:val="24"/>
        </w:rPr>
        <w:t xml:space="preserve"> от страна на администрацията. С</w:t>
      </w:r>
      <w:r w:rsidR="003C2388" w:rsidRPr="00496500">
        <w:rPr>
          <w:rFonts w:ascii="Times New Roman" w:eastAsia="Calibri" w:hAnsi="Times New Roman" w:cs="Times New Roman"/>
          <w:kern w:val="2"/>
          <w:sz w:val="24"/>
          <w:szCs w:val="24"/>
        </w:rPr>
        <w:t>ериозна</w:t>
      </w:r>
      <w:r w:rsidRPr="00496500">
        <w:rPr>
          <w:rFonts w:ascii="Times New Roman" w:eastAsia="Calibri" w:hAnsi="Times New Roman" w:cs="Times New Roman"/>
          <w:kern w:val="2"/>
          <w:sz w:val="24"/>
          <w:szCs w:val="24"/>
        </w:rPr>
        <w:t xml:space="preserve"> е</w:t>
      </w:r>
      <w:r w:rsidR="003C2388" w:rsidRPr="00496500">
        <w:rPr>
          <w:rFonts w:ascii="Times New Roman" w:eastAsia="Calibri" w:hAnsi="Times New Roman" w:cs="Times New Roman"/>
          <w:kern w:val="2"/>
          <w:sz w:val="24"/>
          <w:szCs w:val="24"/>
        </w:rPr>
        <w:t xml:space="preserve"> липса</w:t>
      </w:r>
      <w:r w:rsidRPr="00496500">
        <w:rPr>
          <w:rFonts w:ascii="Times New Roman" w:eastAsia="Calibri" w:hAnsi="Times New Roman" w:cs="Times New Roman"/>
          <w:kern w:val="2"/>
          <w:sz w:val="24"/>
          <w:szCs w:val="24"/>
        </w:rPr>
        <w:t>та</w:t>
      </w:r>
      <w:r w:rsidR="003C2388" w:rsidRPr="00496500">
        <w:rPr>
          <w:rFonts w:ascii="Times New Roman" w:eastAsia="Calibri" w:hAnsi="Times New Roman" w:cs="Times New Roman"/>
          <w:kern w:val="2"/>
          <w:sz w:val="24"/>
          <w:szCs w:val="24"/>
        </w:rPr>
        <w:t xml:space="preserve"> на умения за управление на данни в администрацията, често съпроводена със съпротива срещу въвеждането на нови </w:t>
      </w:r>
      <w:r w:rsidR="00AA68D1" w:rsidRPr="00496500">
        <w:rPr>
          <w:rFonts w:ascii="Times New Roman" w:eastAsia="Calibri" w:hAnsi="Times New Roman" w:cs="Times New Roman"/>
          <w:kern w:val="2"/>
          <w:sz w:val="24"/>
          <w:szCs w:val="24"/>
        </w:rPr>
        <w:t>цифрови</w:t>
      </w:r>
      <w:r w:rsidR="003C2388" w:rsidRPr="00496500">
        <w:rPr>
          <w:rFonts w:ascii="Times New Roman" w:eastAsia="Calibri" w:hAnsi="Times New Roman" w:cs="Times New Roman"/>
          <w:kern w:val="2"/>
          <w:sz w:val="24"/>
          <w:szCs w:val="24"/>
        </w:rPr>
        <w:t xml:space="preserve"> инструменти и методологии. Това нежелание за промяна е съчетано с общ недостиг на квалифицирани кадри с адекватни </w:t>
      </w:r>
      <w:r w:rsidR="00AA68D1" w:rsidRPr="00496500">
        <w:rPr>
          <w:rFonts w:ascii="Times New Roman" w:eastAsia="Calibri" w:hAnsi="Times New Roman" w:cs="Times New Roman"/>
          <w:kern w:val="2"/>
          <w:sz w:val="24"/>
          <w:szCs w:val="24"/>
        </w:rPr>
        <w:t>цифрови</w:t>
      </w:r>
      <w:r w:rsidR="003C2388" w:rsidRPr="00496500">
        <w:rPr>
          <w:rFonts w:ascii="Times New Roman" w:eastAsia="Calibri" w:hAnsi="Times New Roman" w:cs="Times New Roman"/>
          <w:kern w:val="2"/>
          <w:sz w:val="24"/>
          <w:szCs w:val="24"/>
        </w:rPr>
        <w:t xml:space="preserve"> умения не само в публичния сектор, но и като цяло в стопанския живот на страната. Недостатъчните инвестиции в обучение и изграждане на капацитет</w:t>
      </w:r>
      <w:r w:rsidRPr="00496500">
        <w:rPr>
          <w:rFonts w:ascii="Times New Roman" w:eastAsia="Calibri" w:hAnsi="Times New Roman" w:cs="Times New Roman"/>
          <w:kern w:val="2"/>
          <w:sz w:val="24"/>
          <w:szCs w:val="24"/>
        </w:rPr>
        <w:t>, включително базисен цифров капацитет</w:t>
      </w:r>
      <w:r w:rsidR="003C2388" w:rsidRPr="00496500">
        <w:rPr>
          <w:rFonts w:ascii="Times New Roman" w:eastAsia="Calibri" w:hAnsi="Times New Roman" w:cs="Times New Roman"/>
          <w:kern w:val="2"/>
          <w:sz w:val="24"/>
          <w:szCs w:val="24"/>
        </w:rPr>
        <w:t>, както и ограничените финансови и човешки ресурси, допълнително пречат на възприемането на технологиите и ефективното използване на данните като стратегически актив.</w:t>
      </w:r>
    </w:p>
    <w:p w14:paraId="6DF4AEB1" w14:textId="77777777" w:rsidR="000D7A26" w:rsidRPr="00496500" w:rsidRDefault="000D7A26" w:rsidP="003B412E">
      <w:pPr>
        <w:spacing w:after="120" w:line="240" w:lineRule="auto"/>
        <w:ind w:right="-2" w:firstLine="600"/>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Социално-икономическите фактори, които обуславят ниското ниво на показателя „цифрови </w:t>
      </w:r>
      <w:r w:rsidRPr="00496500">
        <w:rPr>
          <w:rFonts w:ascii="Times New Roman" w:eastAsia="Gill Sans" w:hAnsi="Times New Roman" w:cs="Times New Roman"/>
          <w:kern w:val="2"/>
          <w:sz w:val="24"/>
          <w:szCs w:val="24"/>
        </w:rPr>
        <w:t>умения</w:t>
      </w:r>
      <w:r w:rsidRPr="00496500">
        <w:rPr>
          <w:rFonts w:ascii="Times New Roman" w:hAnsi="Times New Roman" w:cs="Times New Roman"/>
          <w:kern w:val="2"/>
          <w:sz w:val="24"/>
          <w:szCs w:val="24"/>
        </w:rPr>
        <w:t>“ в България, са комплексни и взаимосвързани. Те засягат различни аспекти на обществото – от образованието и заетостта, през регионалното развитие, до културните нагласи и достъпа до технологии. По-долу е представен задълбочен анализ на основните фактори:</w:t>
      </w:r>
    </w:p>
    <w:p w14:paraId="5EDE9BE8" w14:textId="77777777" w:rsidR="000D7A26" w:rsidRPr="00496500" w:rsidRDefault="000D7A26" w:rsidP="00450028">
      <w:pPr>
        <w:pStyle w:val="ListParagraph"/>
        <w:numPr>
          <w:ilvl w:val="0"/>
          <w:numId w:val="41"/>
        </w:numPr>
        <w:spacing w:after="120" w:line="240" w:lineRule="auto"/>
        <w:ind w:left="1276" w:right="-2" w:hanging="567"/>
        <w:contextualSpacing w:val="0"/>
        <w:jc w:val="both"/>
        <w:rPr>
          <w:rFonts w:ascii="Times New Roman" w:hAnsi="Times New Roman" w:cs="Times New Roman"/>
          <w:b/>
          <w:bCs/>
          <w:kern w:val="2"/>
          <w:sz w:val="24"/>
          <w:szCs w:val="24"/>
        </w:rPr>
      </w:pPr>
      <w:r w:rsidRPr="00496500">
        <w:rPr>
          <w:rFonts w:ascii="Times New Roman" w:hAnsi="Times New Roman" w:cs="Times New Roman"/>
          <w:b/>
          <w:bCs/>
          <w:kern w:val="2"/>
          <w:sz w:val="24"/>
          <w:szCs w:val="24"/>
        </w:rPr>
        <w:t>Образователна структура на населението</w:t>
      </w:r>
    </w:p>
    <w:p w14:paraId="1D100ACB" w14:textId="77777777" w:rsidR="000D7A26" w:rsidRPr="00496500" w:rsidRDefault="000D7A26" w:rsidP="00450028">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Ниско образователно равнище сред част от населението</w:t>
      </w:r>
    </w:p>
    <w:p w14:paraId="0B7ADCB9" w14:textId="77777777" w:rsidR="000D7A26" w:rsidRPr="00496500" w:rsidRDefault="000D7A26" w:rsidP="003B412E">
      <w:pPr>
        <w:spacing w:after="120" w:line="240" w:lineRule="auto"/>
        <w:ind w:right="-2" w:firstLine="709"/>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Значителен дял от населението над 25 години в България има средно или по-ниско образование. </w:t>
      </w:r>
      <w:r w:rsidRPr="00496500">
        <w:rPr>
          <w:rFonts w:ascii="Times New Roman" w:eastAsia="Gill Sans" w:hAnsi="Times New Roman" w:cs="Times New Roman"/>
          <w:kern w:val="2"/>
          <w:sz w:val="24"/>
          <w:szCs w:val="24"/>
        </w:rPr>
        <w:t>Липсата</w:t>
      </w:r>
      <w:r w:rsidRPr="00496500">
        <w:rPr>
          <w:rFonts w:ascii="Times New Roman" w:hAnsi="Times New Roman" w:cs="Times New Roman"/>
          <w:kern w:val="2"/>
          <w:sz w:val="24"/>
          <w:szCs w:val="24"/>
        </w:rPr>
        <w:t xml:space="preserve"> на достатъчно задълбочена обща и цифрова грамотност ограничава възможността за овладяване на цифрови умения. В някои региони се наблюдават високи нива на функционална неграмотност, което допълнително затруднява възприемането и прилагането на цифрови технологии.</w:t>
      </w:r>
    </w:p>
    <w:p w14:paraId="037269EC" w14:textId="77777777" w:rsidR="000D7A26" w:rsidRPr="00496500" w:rsidRDefault="000D7A26" w:rsidP="00450028">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Недостатъчно интегриране на ИКТ в образователния процес</w:t>
      </w:r>
    </w:p>
    <w:p w14:paraId="57562580" w14:textId="77777777" w:rsidR="000D7A26" w:rsidRPr="00496500" w:rsidRDefault="000D7A26" w:rsidP="003B412E">
      <w:pPr>
        <w:spacing w:after="120" w:line="240" w:lineRule="auto"/>
        <w:ind w:right="-2" w:firstLine="709"/>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Макар през последните години да има напредък в цифровизацията на училищното образование, все </w:t>
      </w:r>
      <w:r w:rsidRPr="00496500">
        <w:rPr>
          <w:rFonts w:ascii="Times New Roman" w:eastAsia="Gill Sans" w:hAnsi="Times New Roman" w:cs="Times New Roman"/>
          <w:kern w:val="2"/>
          <w:sz w:val="24"/>
          <w:szCs w:val="24"/>
        </w:rPr>
        <w:t>още</w:t>
      </w:r>
      <w:r w:rsidRPr="00496500">
        <w:rPr>
          <w:rFonts w:ascii="Times New Roman" w:hAnsi="Times New Roman" w:cs="Times New Roman"/>
          <w:kern w:val="2"/>
          <w:sz w:val="24"/>
          <w:szCs w:val="24"/>
        </w:rPr>
        <w:t xml:space="preserve"> в много учебни заведения липсват съвременни технически средства и добре подготвени преподаватели. Извън София и големите градове цифровото обучение е с неравномерно качество.</w:t>
      </w:r>
    </w:p>
    <w:p w14:paraId="1EE98422" w14:textId="77777777" w:rsidR="000D7A26" w:rsidRPr="00496500" w:rsidRDefault="000D7A26" w:rsidP="0046304F">
      <w:pPr>
        <w:pStyle w:val="ListParagraph"/>
        <w:numPr>
          <w:ilvl w:val="0"/>
          <w:numId w:val="41"/>
        </w:numPr>
        <w:spacing w:after="120" w:line="240" w:lineRule="auto"/>
        <w:ind w:left="1276" w:right="-2" w:hanging="567"/>
        <w:contextualSpacing w:val="0"/>
        <w:jc w:val="both"/>
        <w:rPr>
          <w:rFonts w:ascii="Times New Roman" w:hAnsi="Times New Roman" w:cs="Times New Roman"/>
          <w:b/>
          <w:bCs/>
          <w:kern w:val="2"/>
          <w:sz w:val="24"/>
          <w:szCs w:val="24"/>
        </w:rPr>
      </w:pPr>
      <w:r w:rsidRPr="00496500">
        <w:rPr>
          <w:rFonts w:ascii="Times New Roman" w:hAnsi="Times New Roman" w:cs="Times New Roman"/>
          <w:b/>
          <w:bCs/>
          <w:kern w:val="2"/>
          <w:sz w:val="24"/>
          <w:szCs w:val="24"/>
        </w:rPr>
        <w:t>Регионални и териториални диспропорции</w:t>
      </w:r>
    </w:p>
    <w:p w14:paraId="7F7EBDA7"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Силна централизация на цифровите възможности</w:t>
      </w:r>
    </w:p>
    <w:p w14:paraId="3C3E9D70" w14:textId="77777777" w:rsidR="000D7A26" w:rsidRPr="00496500" w:rsidRDefault="000D7A26" w:rsidP="003B412E">
      <w:pPr>
        <w:spacing w:after="120" w:line="240" w:lineRule="auto"/>
        <w:ind w:right="-2" w:firstLine="600"/>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Градовете с висока икономическа активност, като София, Пловдив, Варна и Бургас, предлагат </w:t>
      </w:r>
      <w:r w:rsidRPr="00496500">
        <w:rPr>
          <w:rFonts w:ascii="Times New Roman" w:eastAsia="Gill Sans" w:hAnsi="Times New Roman" w:cs="Times New Roman"/>
          <w:kern w:val="2"/>
          <w:sz w:val="24"/>
          <w:szCs w:val="24"/>
        </w:rPr>
        <w:t>значително</w:t>
      </w:r>
      <w:r w:rsidRPr="00496500">
        <w:rPr>
          <w:rFonts w:ascii="Times New Roman" w:hAnsi="Times New Roman" w:cs="Times New Roman"/>
          <w:kern w:val="2"/>
          <w:sz w:val="24"/>
          <w:szCs w:val="24"/>
        </w:rPr>
        <w:t xml:space="preserve"> повече възможности за достъп до технологии, курсове по ИКТ, работни места в ИТ сектора и добри интернет услуги. В отдалечените и слабо населени райони, особено в Северозападна България, инфраструктурата е ограничена, а възможностите за обучение и квалификация – сведени до минимум.</w:t>
      </w:r>
    </w:p>
    <w:p w14:paraId="492AAF93" w14:textId="77777777" w:rsidR="000D7A26" w:rsidRPr="00496500" w:rsidRDefault="000D7A26" w:rsidP="00395CFA">
      <w:pPr>
        <w:pStyle w:val="ListParagraph"/>
        <w:numPr>
          <w:ilvl w:val="0"/>
          <w:numId w:val="41"/>
        </w:numPr>
        <w:spacing w:after="120" w:line="240" w:lineRule="auto"/>
        <w:ind w:left="1276" w:right="-2" w:hanging="567"/>
        <w:contextualSpacing w:val="0"/>
        <w:jc w:val="both"/>
        <w:rPr>
          <w:rFonts w:ascii="Times New Roman" w:hAnsi="Times New Roman" w:cs="Times New Roman"/>
          <w:b/>
          <w:bCs/>
          <w:kern w:val="2"/>
          <w:sz w:val="24"/>
          <w:szCs w:val="24"/>
        </w:rPr>
      </w:pPr>
      <w:r w:rsidRPr="00496500">
        <w:rPr>
          <w:rFonts w:ascii="Times New Roman" w:hAnsi="Times New Roman" w:cs="Times New Roman"/>
          <w:b/>
          <w:bCs/>
          <w:kern w:val="2"/>
          <w:sz w:val="24"/>
          <w:szCs w:val="24"/>
        </w:rPr>
        <w:t>Икономически бариери</w:t>
      </w:r>
    </w:p>
    <w:p w14:paraId="059E64BC"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Доходно неравенство и бедност</w:t>
      </w:r>
    </w:p>
    <w:p w14:paraId="288B3AF8" w14:textId="77777777" w:rsidR="000D7A26" w:rsidRPr="00496500" w:rsidRDefault="000D7A26" w:rsidP="003B412E">
      <w:pPr>
        <w:spacing w:after="120" w:line="240" w:lineRule="auto"/>
        <w:ind w:right="-2" w:firstLine="600"/>
        <w:jc w:val="both"/>
        <w:rPr>
          <w:rFonts w:ascii="Times New Roman" w:hAnsi="Times New Roman" w:cs="Times New Roman"/>
          <w:kern w:val="2"/>
          <w:sz w:val="24"/>
          <w:szCs w:val="24"/>
        </w:rPr>
      </w:pPr>
      <w:r w:rsidRPr="00496500">
        <w:rPr>
          <w:rFonts w:ascii="Times New Roman" w:hAnsi="Times New Roman" w:cs="Times New Roman"/>
          <w:kern w:val="2"/>
          <w:sz w:val="24"/>
          <w:szCs w:val="24"/>
        </w:rPr>
        <w:lastRenderedPageBreak/>
        <w:t xml:space="preserve">Значителна част от българските домакинства живеят под или около прага на бедността и липсата на </w:t>
      </w:r>
      <w:r w:rsidRPr="00496500">
        <w:rPr>
          <w:rFonts w:ascii="Times New Roman" w:eastAsia="Gill Sans" w:hAnsi="Times New Roman" w:cs="Times New Roman"/>
          <w:kern w:val="2"/>
          <w:sz w:val="24"/>
          <w:szCs w:val="24"/>
        </w:rPr>
        <w:t>финансови</w:t>
      </w:r>
      <w:r w:rsidRPr="00496500">
        <w:rPr>
          <w:rFonts w:ascii="Times New Roman" w:hAnsi="Times New Roman" w:cs="Times New Roman"/>
          <w:kern w:val="2"/>
          <w:sz w:val="24"/>
          <w:szCs w:val="24"/>
        </w:rPr>
        <w:t xml:space="preserve"> средства за обучение по ИКТ е ключов ограничаващ фактор при възрастните. Ограниченият доход означава невъзможност да се закупят устройства (компютри, таблети) и да се плаща за интернет услуги или </w:t>
      </w:r>
      <w:r w:rsidR="00370A43" w:rsidRPr="00496500">
        <w:rPr>
          <w:rFonts w:ascii="Times New Roman" w:hAnsi="Times New Roman" w:cs="Times New Roman"/>
          <w:kern w:val="2"/>
          <w:sz w:val="24"/>
          <w:szCs w:val="24"/>
        </w:rPr>
        <w:t>цифрово</w:t>
      </w:r>
      <w:r w:rsidRPr="00496500">
        <w:rPr>
          <w:rFonts w:ascii="Times New Roman" w:hAnsi="Times New Roman" w:cs="Times New Roman"/>
          <w:kern w:val="2"/>
          <w:sz w:val="24"/>
          <w:szCs w:val="24"/>
        </w:rPr>
        <w:t xml:space="preserve"> обучение.</w:t>
      </w:r>
    </w:p>
    <w:p w14:paraId="0061F831" w14:textId="77777777" w:rsidR="000D7A26" w:rsidRPr="00496500" w:rsidRDefault="000D7A26" w:rsidP="00395CFA">
      <w:pPr>
        <w:pStyle w:val="ListParagraph"/>
        <w:numPr>
          <w:ilvl w:val="0"/>
          <w:numId w:val="41"/>
        </w:numPr>
        <w:spacing w:after="120" w:line="240" w:lineRule="auto"/>
        <w:ind w:left="1276" w:right="-2" w:hanging="567"/>
        <w:contextualSpacing w:val="0"/>
        <w:jc w:val="both"/>
        <w:rPr>
          <w:rFonts w:ascii="Times New Roman" w:hAnsi="Times New Roman" w:cs="Times New Roman"/>
          <w:b/>
          <w:bCs/>
          <w:kern w:val="2"/>
          <w:sz w:val="24"/>
          <w:szCs w:val="24"/>
        </w:rPr>
      </w:pPr>
      <w:r w:rsidRPr="00496500">
        <w:rPr>
          <w:rFonts w:ascii="Times New Roman" w:hAnsi="Times New Roman" w:cs="Times New Roman"/>
          <w:b/>
          <w:bCs/>
          <w:kern w:val="2"/>
          <w:sz w:val="24"/>
          <w:szCs w:val="24"/>
        </w:rPr>
        <w:t>Трудов пазар и професионални умения</w:t>
      </w:r>
    </w:p>
    <w:p w14:paraId="497B16D7"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Недостатъчна цифрова трансформация на икономиката</w:t>
      </w:r>
    </w:p>
    <w:p w14:paraId="122801F0" w14:textId="77777777" w:rsidR="000D7A26" w:rsidRPr="00496500" w:rsidRDefault="000D7A26" w:rsidP="003B412E">
      <w:pPr>
        <w:spacing w:after="120" w:line="240" w:lineRule="auto"/>
        <w:ind w:right="-2" w:firstLine="600"/>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В много сектори (особено производствени, услуги и селско стопанство) цифровите технологии не са </w:t>
      </w:r>
      <w:r w:rsidRPr="00496500">
        <w:rPr>
          <w:rFonts w:ascii="Times New Roman" w:eastAsia="Gill Sans" w:hAnsi="Times New Roman" w:cs="Times New Roman"/>
          <w:kern w:val="2"/>
          <w:sz w:val="24"/>
          <w:szCs w:val="24"/>
        </w:rPr>
        <w:t>внедрени</w:t>
      </w:r>
      <w:r w:rsidRPr="00496500">
        <w:rPr>
          <w:rFonts w:ascii="Times New Roman" w:hAnsi="Times New Roman" w:cs="Times New Roman"/>
          <w:kern w:val="2"/>
          <w:sz w:val="24"/>
          <w:szCs w:val="24"/>
        </w:rPr>
        <w:t xml:space="preserve"> в широка степен, което намалява стимулите за придобиване на цифрови умения от страна на работната сила. Работодателите рядко предлагат вътрешнофирмено обучение по цифрови компетентности, особено в малките и средни предприятия.</w:t>
      </w:r>
    </w:p>
    <w:p w14:paraId="23DF0F28" w14:textId="77777777" w:rsidR="000D7A26" w:rsidRPr="00496500" w:rsidRDefault="000D7A26" w:rsidP="00395CFA">
      <w:pPr>
        <w:pStyle w:val="ListParagraph"/>
        <w:numPr>
          <w:ilvl w:val="0"/>
          <w:numId w:val="41"/>
        </w:numPr>
        <w:spacing w:after="120" w:line="240" w:lineRule="auto"/>
        <w:ind w:left="1276" w:right="-2" w:hanging="567"/>
        <w:contextualSpacing w:val="0"/>
        <w:jc w:val="both"/>
        <w:rPr>
          <w:rFonts w:ascii="Times New Roman" w:hAnsi="Times New Roman" w:cs="Times New Roman"/>
          <w:b/>
          <w:bCs/>
          <w:kern w:val="2"/>
          <w:sz w:val="24"/>
          <w:szCs w:val="24"/>
        </w:rPr>
      </w:pPr>
      <w:r w:rsidRPr="00496500">
        <w:rPr>
          <w:rFonts w:ascii="Times New Roman" w:hAnsi="Times New Roman" w:cs="Times New Roman"/>
          <w:b/>
          <w:bCs/>
          <w:kern w:val="2"/>
          <w:sz w:val="24"/>
          <w:szCs w:val="24"/>
        </w:rPr>
        <w:t>Културни и демографски фактори</w:t>
      </w:r>
    </w:p>
    <w:p w14:paraId="3F55497F"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Възрастова структура на населението</w:t>
      </w:r>
    </w:p>
    <w:p w14:paraId="45F1706B" w14:textId="77777777" w:rsidR="000D7A26" w:rsidRPr="00496500" w:rsidRDefault="000D7A26" w:rsidP="00765780">
      <w:pPr>
        <w:spacing w:after="120" w:line="240" w:lineRule="auto"/>
        <w:ind w:right="-2" w:firstLine="720"/>
        <w:jc w:val="both"/>
        <w:rPr>
          <w:rFonts w:ascii="Times New Roman" w:hAnsi="Times New Roman" w:cs="Times New Roman"/>
          <w:kern w:val="2"/>
          <w:sz w:val="24"/>
          <w:szCs w:val="24"/>
        </w:rPr>
      </w:pPr>
      <w:r w:rsidRPr="00496500">
        <w:rPr>
          <w:rFonts w:ascii="Times New Roman" w:hAnsi="Times New Roman" w:cs="Times New Roman"/>
          <w:kern w:val="2"/>
          <w:sz w:val="24"/>
          <w:szCs w:val="24"/>
        </w:rPr>
        <w:t>България е сред най-застаряващите държави в ЕС и възрастното население често среща затруднения в усвояването на нови технологии. Липсата на мотивация и психологическа бариера („това не е за мен“) също играят роля.</w:t>
      </w:r>
    </w:p>
    <w:p w14:paraId="5A728632"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 xml:space="preserve">Ниска </w:t>
      </w:r>
      <w:r w:rsidR="00AA68D1" w:rsidRPr="00496500">
        <w:rPr>
          <w:rFonts w:ascii="Times New Roman" w:eastAsiaTheme="minorEastAsia" w:hAnsi="Times New Roman" w:cs="Times New Roman"/>
          <w:bCs/>
          <w:sz w:val="24"/>
          <w:szCs w:val="24"/>
          <w:lang w:eastAsia="ja-JP"/>
        </w:rPr>
        <w:t>цифрова</w:t>
      </w:r>
      <w:r w:rsidRPr="00496500">
        <w:rPr>
          <w:rFonts w:ascii="Times New Roman" w:eastAsiaTheme="minorEastAsia" w:hAnsi="Times New Roman" w:cs="Times New Roman"/>
          <w:bCs/>
          <w:sz w:val="24"/>
          <w:szCs w:val="24"/>
          <w:lang w:eastAsia="ja-JP"/>
        </w:rPr>
        <w:t xml:space="preserve"> култура и слаба мотивация</w:t>
      </w:r>
    </w:p>
    <w:p w14:paraId="76931762" w14:textId="77777777" w:rsidR="000D7A26" w:rsidRPr="00496500" w:rsidRDefault="000D7A26" w:rsidP="003B412E">
      <w:pPr>
        <w:spacing w:after="120" w:line="240" w:lineRule="auto"/>
        <w:ind w:right="-2" w:firstLine="600"/>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Част от населението не осъзнава ползите от цифровите технологии или не ги възприема като нужни за </w:t>
      </w:r>
      <w:r w:rsidRPr="00496500">
        <w:rPr>
          <w:rFonts w:ascii="Times New Roman" w:eastAsia="Gill Sans" w:hAnsi="Times New Roman" w:cs="Times New Roman"/>
          <w:kern w:val="2"/>
          <w:sz w:val="24"/>
          <w:szCs w:val="24"/>
        </w:rPr>
        <w:t>личния</w:t>
      </w:r>
      <w:r w:rsidRPr="00496500">
        <w:rPr>
          <w:rFonts w:ascii="Times New Roman" w:hAnsi="Times New Roman" w:cs="Times New Roman"/>
          <w:kern w:val="2"/>
          <w:sz w:val="24"/>
          <w:szCs w:val="24"/>
        </w:rPr>
        <w:t xml:space="preserve"> си или професионален живот. Една от причините е и недостатъчната кампания за цифрова грамотност на национално ниво.</w:t>
      </w:r>
    </w:p>
    <w:p w14:paraId="03F50809" w14:textId="77777777" w:rsidR="000D7A26" w:rsidRPr="00496500" w:rsidRDefault="000D7A26" w:rsidP="00395CFA">
      <w:pPr>
        <w:pStyle w:val="ListParagraph"/>
        <w:numPr>
          <w:ilvl w:val="0"/>
          <w:numId w:val="41"/>
        </w:numPr>
        <w:spacing w:after="120" w:line="240" w:lineRule="auto"/>
        <w:ind w:left="1276" w:right="-2" w:hanging="567"/>
        <w:contextualSpacing w:val="0"/>
        <w:jc w:val="both"/>
        <w:rPr>
          <w:rFonts w:ascii="Times New Roman" w:hAnsi="Times New Roman" w:cs="Times New Roman"/>
          <w:b/>
          <w:bCs/>
          <w:kern w:val="2"/>
          <w:sz w:val="24"/>
          <w:szCs w:val="24"/>
        </w:rPr>
      </w:pPr>
      <w:r w:rsidRPr="00496500">
        <w:rPr>
          <w:rFonts w:ascii="Times New Roman" w:hAnsi="Times New Roman" w:cs="Times New Roman"/>
          <w:b/>
          <w:bCs/>
          <w:kern w:val="2"/>
          <w:sz w:val="24"/>
          <w:szCs w:val="24"/>
        </w:rPr>
        <w:t>Институционални и политически фактори</w:t>
      </w:r>
    </w:p>
    <w:p w14:paraId="6A41F771"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Ограничена координация на цифрови политики</w:t>
      </w:r>
    </w:p>
    <w:p w14:paraId="7FBE9066" w14:textId="6BDA27DD" w:rsidR="000D7A26" w:rsidRPr="00496500" w:rsidRDefault="000D7A26" w:rsidP="003B412E">
      <w:pPr>
        <w:spacing w:after="120" w:line="240" w:lineRule="auto"/>
        <w:ind w:right="-2"/>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До 2022 г. липсваше ясно институционално лидерство в областта на цифровите умения. Създаването на </w:t>
      </w:r>
      <w:r w:rsidR="00E97DD6">
        <w:rPr>
          <w:rFonts w:ascii="Times New Roman" w:hAnsi="Times New Roman" w:cs="Times New Roman"/>
          <w:kern w:val="2"/>
          <w:sz w:val="24"/>
          <w:szCs w:val="24"/>
        </w:rPr>
        <w:t>МЕУ</w:t>
      </w:r>
      <w:r w:rsidRPr="00496500">
        <w:rPr>
          <w:rFonts w:ascii="Times New Roman" w:hAnsi="Times New Roman" w:cs="Times New Roman"/>
          <w:kern w:val="2"/>
          <w:sz w:val="24"/>
          <w:szCs w:val="24"/>
        </w:rPr>
        <w:t xml:space="preserve"> представлява стъпка към преодоляване на този дефицит. Програмите за цифрови умения често са разпокъсани, слабо координирани и недостатъчно таргетирани спрямо уязвимите групи.</w:t>
      </w:r>
    </w:p>
    <w:p w14:paraId="4CB69DE7" w14:textId="77777777" w:rsidR="000D7A26" w:rsidRPr="00496500" w:rsidRDefault="000D7A26" w:rsidP="0028579F">
      <w:pPr>
        <w:numPr>
          <w:ilvl w:val="0"/>
          <w:numId w:val="39"/>
        </w:numPr>
        <w:tabs>
          <w:tab w:val="clear" w:pos="720"/>
          <w:tab w:val="num" w:pos="1418"/>
        </w:tabs>
        <w:spacing w:after="120" w:line="240" w:lineRule="auto"/>
        <w:ind w:right="-2" w:firstLine="41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Недостатъчно ефективно използване на европейско финансиране</w:t>
      </w:r>
    </w:p>
    <w:p w14:paraId="14D482B5" w14:textId="2B383E66" w:rsidR="000D7A26" w:rsidRPr="00496500" w:rsidRDefault="000D7A26" w:rsidP="003B412E">
      <w:pPr>
        <w:spacing w:after="120" w:line="240" w:lineRule="auto"/>
        <w:ind w:right="-2" w:firstLine="600"/>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Средствата по програми като „Цифрова Европа“, </w:t>
      </w:r>
      <w:r w:rsidR="009549C9">
        <w:rPr>
          <w:rFonts w:ascii="Times New Roman" w:hAnsi="Times New Roman" w:cs="Times New Roman"/>
          <w:kern w:val="2"/>
          <w:sz w:val="24"/>
          <w:szCs w:val="24"/>
        </w:rPr>
        <w:t>НПВУ</w:t>
      </w:r>
      <w:r w:rsidRPr="00496500">
        <w:rPr>
          <w:rFonts w:ascii="Times New Roman" w:hAnsi="Times New Roman" w:cs="Times New Roman"/>
          <w:kern w:val="2"/>
          <w:sz w:val="24"/>
          <w:szCs w:val="24"/>
        </w:rPr>
        <w:t>, както и „</w:t>
      </w:r>
      <w:r w:rsidRPr="00496500">
        <w:rPr>
          <w:rFonts w:ascii="Times New Roman" w:eastAsia="Gill Sans" w:hAnsi="Times New Roman" w:cs="Times New Roman"/>
          <w:kern w:val="2"/>
          <w:sz w:val="24"/>
          <w:szCs w:val="24"/>
        </w:rPr>
        <w:t>Програма</w:t>
      </w:r>
      <w:r w:rsidRPr="00496500">
        <w:rPr>
          <w:rFonts w:ascii="Times New Roman" w:hAnsi="Times New Roman" w:cs="Times New Roman"/>
          <w:kern w:val="2"/>
          <w:sz w:val="24"/>
          <w:szCs w:val="24"/>
        </w:rPr>
        <w:t xml:space="preserve"> Образование“, понякога се усвояват със закъснение или без ясно измерим ефект върху широк кръг от населението.</w:t>
      </w:r>
    </w:p>
    <w:p w14:paraId="37A720C9" w14:textId="77777777" w:rsidR="000D7A26" w:rsidRPr="00496500" w:rsidRDefault="000D7A26" w:rsidP="003B412E">
      <w:pPr>
        <w:spacing w:after="120" w:line="240" w:lineRule="auto"/>
        <w:ind w:right="-2" w:firstLine="709"/>
        <w:jc w:val="both"/>
        <w:rPr>
          <w:rFonts w:ascii="Times New Roman" w:eastAsia="Gill Sans" w:hAnsi="Times New Roman" w:cs="Times New Roman"/>
          <w:kern w:val="2"/>
          <w:sz w:val="24"/>
          <w:szCs w:val="24"/>
        </w:rPr>
      </w:pPr>
      <w:r w:rsidRPr="00496500">
        <w:rPr>
          <w:rFonts w:ascii="Times New Roman" w:eastAsia="Gill Sans" w:hAnsi="Times New Roman" w:cs="Times New Roman"/>
          <w:kern w:val="2"/>
          <w:sz w:val="24"/>
          <w:szCs w:val="24"/>
        </w:rPr>
        <w:t xml:space="preserve">Цифровата </w:t>
      </w:r>
      <w:r w:rsidRPr="00496500">
        <w:rPr>
          <w:rFonts w:ascii="Times New Roman" w:hAnsi="Times New Roman" w:cs="Times New Roman"/>
          <w:kern w:val="2"/>
          <w:sz w:val="24"/>
          <w:szCs w:val="24"/>
        </w:rPr>
        <w:t>трансформация</w:t>
      </w:r>
      <w:r w:rsidRPr="00496500">
        <w:rPr>
          <w:rFonts w:ascii="Times New Roman" w:eastAsia="Gill Sans" w:hAnsi="Times New Roman" w:cs="Times New Roman"/>
          <w:kern w:val="2"/>
          <w:sz w:val="24"/>
          <w:szCs w:val="24"/>
        </w:rPr>
        <w:t xml:space="preserve">, процесите на застаряване на населението и намаление на работната сила </w:t>
      </w:r>
      <w:r w:rsidRPr="00496500">
        <w:rPr>
          <w:rFonts w:ascii="Times New Roman" w:hAnsi="Times New Roman" w:cs="Times New Roman"/>
          <w:kern w:val="2"/>
          <w:sz w:val="24"/>
          <w:szCs w:val="24"/>
        </w:rPr>
        <w:t>поставят</w:t>
      </w:r>
      <w:r w:rsidRPr="00496500">
        <w:rPr>
          <w:rFonts w:ascii="Times New Roman" w:eastAsia="Gill Sans" w:hAnsi="Times New Roman" w:cs="Times New Roman"/>
          <w:kern w:val="2"/>
          <w:sz w:val="24"/>
          <w:szCs w:val="24"/>
        </w:rPr>
        <w:t xml:space="preserve"> непрекъснато нови предизвикателства пред професионалното развитие и уменията на работната сила. Едно от тези предизвикателства пред пазара на труда е задълбочаващия се недостиг от работна сила, вкл. такава с подходящи умения. </w:t>
      </w:r>
    </w:p>
    <w:p w14:paraId="21A1A05B" w14:textId="77777777" w:rsidR="000D7A26" w:rsidRPr="00496500" w:rsidRDefault="000D7A26" w:rsidP="003B412E">
      <w:pPr>
        <w:spacing w:after="120" w:line="240" w:lineRule="auto"/>
        <w:ind w:right="-2" w:firstLine="709"/>
        <w:jc w:val="both"/>
        <w:rPr>
          <w:rFonts w:ascii="Times New Roman" w:hAnsi="Times New Roman" w:cs="Times New Roman"/>
          <w:kern w:val="2"/>
          <w:sz w:val="24"/>
          <w:szCs w:val="24"/>
        </w:rPr>
      </w:pPr>
      <w:r w:rsidRPr="00496500">
        <w:rPr>
          <w:rFonts w:ascii="Times New Roman" w:hAnsi="Times New Roman" w:cs="Times New Roman"/>
          <w:kern w:val="2"/>
          <w:sz w:val="24"/>
          <w:szCs w:val="24"/>
        </w:rPr>
        <w:t>Едни от фундаменталните проблеми са и ниско заплащане на висококвалифицирани експерти (117-то място) и задържане на „мозъци“ (114-то място), слаба социална мобилност (113-то място), ниско ниво на професионално управление (94-то място) и обща липса на цифрови умения.</w:t>
      </w:r>
      <w:r w:rsidRPr="00496500">
        <w:rPr>
          <w:rFonts w:ascii="Times New Roman" w:hAnsi="Times New Roman" w:cs="Times New Roman"/>
          <w:kern w:val="2"/>
          <w:sz w:val="24"/>
          <w:szCs w:val="24"/>
          <w:vertAlign w:val="superscript"/>
        </w:rPr>
        <w:footnoteReference w:id="54"/>
      </w:r>
    </w:p>
    <w:p w14:paraId="509174A9" w14:textId="77777777" w:rsidR="000D7A26" w:rsidRPr="00496500" w:rsidRDefault="000D7A26" w:rsidP="003B412E">
      <w:pPr>
        <w:spacing w:after="120" w:line="240" w:lineRule="auto"/>
        <w:ind w:right="-2" w:firstLine="709"/>
        <w:jc w:val="both"/>
        <w:rPr>
          <w:rFonts w:ascii="Times New Roman" w:hAnsi="Times New Roman" w:cs="Times New Roman"/>
          <w:kern w:val="2"/>
          <w:sz w:val="24"/>
          <w:szCs w:val="24"/>
        </w:rPr>
      </w:pPr>
      <w:r w:rsidRPr="00496500">
        <w:rPr>
          <w:rFonts w:ascii="Times New Roman" w:hAnsi="Times New Roman" w:cs="Times New Roman"/>
          <w:kern w:val="2"/>
          <w:sz w:val="24"/>
          <w:szCs w:val="24"/>
        </w:rPr>
        <w:t xml:space="preserve">Ако към момента нуждите от цифрови умения присъстват в повечето лични и професионални дейности, </w:t>
      </w:r>
      <w:r w:rsidRPr="00496500">
        <w:rPr>
          <w:rFonts w:ascii="Times New Roman" w:eastAsia="Gill Sans" w:hAnsi="Times New Roman" w:cs="Times New Roman"/>
          <w:kern w:val="2"/>
          <w:sz w:val="24"/>
          <w:szCs w:val="24"/>
        </w:rPr>
        <w:t>проучванията</w:t>
      </w:r>
      <w:r w:rsidRPr="00496500">
        <w:rPr>
          <w:rFonts w:ascii="Times New Roman" w:hAnsi="Times New Roman" w:cs="Times New Roman"/>
          <w:kern w:val="2"/>
          <w:sz w:val="24"/>
          <w:szCs w:val="24"/>
        </w:rPr>
        <w:t xml:space="preserve"> предвиждат непрекъснат ръст на търсенето на цифрови умения за заетост и професионална кариера, поставяйки цифровата грамотност в основата на трансверсалните умения. Още повече аспекти на специализираните области в областта на ИКТ се добавят непрекъснато в полето на цифровите умения за гражданите, </w:t>
      </w:r>
      <w:r w:rsidRPr="00496500">
        <w:rPr>
          <w:rFonts w:ascii="Times New Roman" w:hAnsi="Times New Roman" w:cs="Times New Roman"/>
          <w:kern w:val="2"/>
          <w:sz w:val="24"/>
          <w:szCs w:val="24"/>
        </w:rPr>
        <w:lastRenderedPageBreak/>
        <w:t xml:space="preserve">както показа </w:t>
      </w:r>
      <w:hyperlink r:id="rId44" w:history="1">
        <w:r w:rsidRPr="00496500">
          <w:rPr>
            <w:rFonts w:ascii="Times New Roman" w:hAnsi="Times New Roman" w:cs="Times New Roman"/>
            <w:kern w:val="2"/>
            <w:sz w:val="24"/>
            <w:szCs w:val="24"/>
          </w:rPr>
          <w:t>последната версия 2.2 на DigComp</w:t>
        </w:r>
      </w:hyperlink>
      <w:r w:rsidRPr="00496500">
        <w:rPr>
          <w:rFonts w:ascii="Times New Roman" w:hAnsi="Times New Roman" w:cs="Times New Roman"/>
          <w:kern w:val="2"/>
          <w:sz w:val="24"/>
          <w:szCs w:val="24"/>
        </w:rPr>
        <w:t xml:space="preserve"> с включването на препратки към изкуствения интелект. Въпреки че напредват и полагат усилия за разширяване на цифровизацията и квалификацията в областта на цифровите умения, показателите в Европа все още са далеч от това, което ЕС изисква за проспериращо цифрово бъдеще. Така че цифровата преквалификация и повишаването на квалификацията с ясни стратегии за учене през целия живот ще бъдат водещата тенденция отсега нататък.</w:t>
      </w:r>
    </w:p>
    <w:p w14:paraId="77355AAC" w14:textId="77777777" w:rsidR="00F84500" w:rsidRPr="00496500" w:rsidRDefault="00F84500" w:rsidP="00F84500">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 xml:space="preserve">Въпреки постигнатото в България по отношение на цифровата свързаност, не може да бъде пренебрегнато цифровото разделение между градовете и селата. Причините за това са както липсата на инвестиционен интерес от страна на частните оператори, така и забавянето на изпълнението или неизпълнението на мерките и проектите в публичния сектор. Освен липсата на достатъчно бърза и сигурна цифрова свързаност, на много места не е преодоляна изцяло инерцията за отказ от страна на общинските служители за въвеждане и работа с ИКТ, което е проблем за развитието на публичните електронни услуги, съответно за бизнес климата и цялостното развитие на местното самоуправление. </w:t>
      </w:r>
    </w:p>
    <w:p w14:paraId="54E46C2C" w14:textId="77777777" w:rsidR="00F84500" w:rsidRPr="00496500" w:rsidRDefault="00F84500" w:rsidP="00F84500">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Отделни институции и общини развиват системите си изолирано, което води до ниска оперативна съвместимост, дублиране на инвестиции, затруднен обмен на данни.</w:t>
      </w:r>
    </w:p>
    <w:p w14:paraId="5A16BF35" w14:textId="77777777" w:rsidR="00F84500" w:rsidRPr="00496500" w:rsidRDefault="00F84500" w:rsidP="00F84500">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Също така се отчита ограничена облачна и периферна инфраструктура, съответно ниска степен на внедряване на облачни решения в публичния сектор; недостатъчна инфраструктура за периферни възли, което затруднява прилагането на IoT, ИИ и автономни системи</w:t>
      </w:r>
      <w:r w:rsidR="00E56930" w:rsidRPr="00496500">
        <w:rPr>
          <w:rFonts w:ascii="Times New Roman" w:hAnsi="Times New Roman" w:cs="Times New Roman"/>
          <w:sz w:val="24"/>
          <w:szCs w:val="24"/>
        </w:rPr>
        <w:t>. М</w:t>
      </w:r>
      <w:r w:rsidRPr="00496500">
        <w:rPr>
          <w:rFonts w:ascii="Times New Roman" w:hAnsi="Times New Roman" w:cs="Times New Roman"/>
          <w:sz w:val="24"/>
          <w:szCs w:val="24"/>
        </w:rPr>
        <w:t>ного фирми и администрации продължават да разчитат на остарели локални сървъри и хардуер.</w:t>
      </w:r>
    </w:p>
    <w:p w14:paraId="35B22B52" w14:textId="77777777" w:rsidR="00F84500" w:rsidRPr="00496500" w:rsidRDefault="00F84500" w:rsidP="00F84500">
      <w:pPr>
        <w:spacing w:after="120" w:line="240" w:lineRule="auto"/>
        <w:ind w:right="-2" w:firstLine="708"/>
        <w:jc w:val="both"/>
        <w:rPr>
          <w:rFonts w:ascii="Times New Roman" w:hAnsi="Times New Roman" w:cs="Times New Roman"/>
          <w:sz w:val="24"/>
          <w:szCs w:val="24"/>
        </w:rPr>
      </w:pPr>
      <w:r w:rsidRPr="00496500">
        <w:rPr>
          <w:rFonts w:ascii="Times New Roman" w:hAnsi="Times New Roman" w:cs="Times New Roman"/>
          <w:sz w:val="24"/>
          <w:szCs w:val="24"/>
        </w:rPr>
        <w:t>Недостатъчните и неустойчиви инвестиции водят до разпокъсано и краткосрочно финансиране</w:t>
      </w:r>
      <w:r w:rsidR="00755EA4" w:rsidRPr="00496500">
        <w:rPr>
          <w:rFonts w:ascii="Times New Roman" w:hAnsi="Times New Roman" w:cs="Times New Roman"/>
          <w:sz w:val="24"/>
          <w:szCs w:val="24"/>
        </w:rPr>
        <w:t>. Същевременно е налице</w:t>
      </w:r>
      <w:r w:rsidRPr="00496500">
        <w:rPr>
          <w:rFonts w:ascii="Times New Roman" w:hAnsi="Times New Roman" w:cs="Times New Roman"/>
          <w:sz w:val="24"/>
          <w:szCs w:val="24"/>
        </w:rPr>
        <w:t xml:space="preserve"> силна зависимост от европейски </w:t>
      </w:r>
      <w:r w:rsidR="00755EA4" w:rsidRPr="00496500">
        <w:rPr>
          <w:rFonts w:ascii="Times New Roman" w:hAnsi="Times New Roman" w:cs="Times New Roman"/>
          <w:sz w:val="24"/>
          <w:szCs w:val="24"/>
        </w:rPr>
        <w:t>грантово финансиране, тъй като в слабо населените и отдалечени райони на страната липсва инвестиционен интерес и активност от страна на частния сектор</w:t>
      </w:r>
      <w:r w:rsidRPr="00496500">
        <w:rPr>
          <w:rFonts w:ascii="Times New Roman" w:hAnsi="Times New Roman" w:cs="Times New Roman"/>
          <w:sz w:val="24"/>
          <w:szCs w:val="24"/>
        </w:rPr>
        <w:t>. Характерни са ограничени частни инвестиции в базова цифрова инфраструктура и недостатъчен систематичен публично-частен диалог за дългосрочна цифрова трансформация.</w:t>
      </w:r>
    </w:p>
    <w:p w14:paraId="0F34C52E" w14:textId="77777777" w:rsidR="003C2388" w:rsidRPr="00496500" w:rsidRDefault="003C2388" w:rsidP="003B412E">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Електронна идентификация има ключова роля при здравното обслужване на гражданите, в областта на електронното правосъдие, електронното образование, упражняването на правото на гласуване. Все още не е налична схемата за електронна идентификация, регламентирана в ЗЕИ, и българските граждани не могат да се идентифицират чрез единно средство за електронна идентификация, предоставено от държавата. Това води до:</w:t>
      </w:r>
    </w:p>
    <w:p w14:paraId="767D27C3" w14:textId="77777777" w:rsidR="003C2388" w:rsidRPr="00496500" w:rsidRDefault="00357AF2" w:rsidP="005B75F8">
      <w:pPr>
        <w:numPr>
          <w:ilvl w:val="0"/>
          <w:numId w:val="39"/>
        </w:numPr>
        <w:tabs>
          <w:tab w:val="clear" w:pos="720"/>
          <w:tab w:val="num" w:pos="1418"/>
        </w:tabs>
        <w:spacing w:after="120" w:line="240" w:lineRule="auto"/>
        <w:ind w:left="1418" w:right="-2" w:hanging="28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Л</w:t>
      </w:r>
      <w:r w:rsidR="003C2388" w:rsidRPr="00496500">
        <w:rPr>
          <w:rFonts w:ascii="Times New Roman" w:eastAsiaTheme="minorEastAsia" w:hAnsi="Times New Roman" w:cs="Times New Roman"/>
          <w:bCs/>
          <w:sz w:val="24"/>
          <w:szCs w:val="24"/>
          <w:lang w:eastAsia="ja-JP"/>
        </w:rPr>
        <w:t>ипса на широко разпространен, безплатен, лесен за употреба единен електронен идентификатор;</w:t>
      </w:r>
    </w:p>
    <w:p w14:paraId="3A6B4A91" w14:textId="77777777" w:rsidR="003C2388" w:rsidRPr="00496500" w:rsidRDefault="00357AF2" w:rsidP="005B75F8">
      <w:pPr>
        <w:numPr>
          <w:ilvl w:val="0"/>
          <w:numId w:val="39"/>
        </w:numPr>
        <w:tabs>
          <w:tab w:val="clear" w:pos="720"/>
          <w:tab w:val="num" w:pos="1418"/>
        </w:tabs>
        <w:spacing w:after="120" w:line="240" w:lineRule="auto"/>
        <w:ind w:left="1418" w:right="-2" w:hanging="28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Ф</w:t>
      </w:r>
      <w:r w:rsidR="003C2388" w:rsidRPr="00496500">
        <w:rPr>
          <w:rFonts w:ascii="Times New Roman" w:eastAsiaTheme="minorEastAsia" w:hAnsi="Times New Roman" w:cs="Times New Roman"/>
          <w:bCs/>
          <w:sz w:val="24"/>
          <w:szCs w:val="24"/>
          <w:lang w:eastAsia="ja-JP"/>
        </w:rPr>
        <w:t>рагментирана екосистема от средства за електронна идентификация;</w:t>
      </w:r>
    </w:p>
    <w:p w14:paraId="411877B7" w14:textId="77777777" w:rsidR="003C2388" w:rsidRPr="00496500" w:rsidRDefault="00357AF2" w:rsidP="005B75F8">
      <w:pPr>
        <w:numPr>
          <w:ilvl w:val="0"/>
          <w:numId w:val="39"/>
        </w:numPr>
        <w:tabs>
          <w:tab w:val="clear" w:pos="720"/>
          <w:tab w:val="num" w:pos="1418"/>
        </w:tabs>
        <w:spacing w:after="120" w:line="240" w:lineRule="auto"/>
        <w:ind w:left="1418" w:right="-2" w:hanging="28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Л</w:t>
      </w:r>
      <w:r w:rsidR="003C2388" w:rsidRPr="00496500">
        <w:rPr>
          <w:rFonts w:ascii="Times New Roman" w:eastAsiaTheme="minorEastAsia" w:hAnsi="Times New Roman" w:cs="Times New Roman"/>
          <w:bCs/>
          <w:sz w:val="24"/>
          <w:szCs w:val="24"/>
          <w:lang w:eastAsia="ja-JP"/>
        </w:rPr>
        <w:t>ипса на доверие в онлайн идентичността и ниска използваемост на публични електронни услуги;</w:t>
      </w:r>
    </w:p>
    <w:p w14:paraId="62B5758E" w14:textId="77777777" w:rsidR="003C2388" w:rsidRPr="00496500" w:rsidRDefault="00357AF2" w:rsidP="005B75F8">
      <w:pPr>
        <w:numPr>
          <w:ilvl w:val="0"/>
          <w:numId w:val="39"/>
        </w:numPr>
        <w:tabs>
          <w:tab w:val="clear" w:pos="720"/>
          <w:tab w:val="num" w:pos="1418"/>
        </w:tabs>
        <w:spacing w:after="120" w:line="240" w:lineRule="auto"/>
        <w:ind w:left="1418" w:right="-2" w:hanging="284"/>
        <w:jc w:val="both"/>
        <w:rPr>
          <w:rFonts w:ascii="Times New Roman" w:eastAsiaTheme="minorEastAsia" w:hAnsi="Times New Roman" w:cs="Times New Roman"/>
          <w:bCs/>
          <w:sz w:val="24"/>
          <w:szCs w:val="24"/>
          <w:lang w:eastAsia="ja-JP"/>
        </w:rPr>
      </w:pPr>
      <w:r w:rsidRPr="00496500">
        <w:rPr>
          <w:rFonts w:ascii="Times New Roman" w:eastAsiaTheme="minorEastAsia" w:hAnsi="Times New Roman" w:cs="Times New Roman"/>
          <w:bCs/>
          <w:sz w:val="24"/>
          <w:szCs w:val="24"/>
          <w:lang w:eastAsia="ja-JP"/>
        </w:rPr>
        <w:t>О</w:t>
      </w:r>
      <w:r w:rsidR="003C2388" w:rsidRPr="00496500">
        <w:rPr>
          <w:rFonts w:ascii="Times New Roman" w:eastAsiaTheme="minorEastAsia" w:hAnsi="Times New Roman" w:cs="Times New Roman"/>
          <w:bCs/>
          <w:sz w:val="24"/>
          <w:szCs w:val="24"/>
          <w:lang w:eastAsia="ja-JP"/>
        </w:rPr>
        <w:t>граничено покритие по отношение на услуги, предоставяни от частния сектор – към момента електронната идентификация се използва най-вече в административен контекст.</w:t>
      </w:r>
    </w:p>
    <w:p w14:paraId="666BACC3" w14:textId="77777777" w:rsidR="00AE63AC" w:rsidRPr="00496500" w:rsidRDefault="00AE63AC" w:rsidP="00AE63AC">
      <w:pPr>
        <w:spacing w:before="120"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Динамиката на процесите в областта на киберсигурността води до чести изменения в нормативната рамка на европейско ниво. Това пряко оказва влияние и върху националната нормативна рамка. През 2024 г. е сформирана междуведомствена работна група, която изготвя проект на Закон за изменение и допълнение на Закона за киберсигурност, с цел хармонизиране на националното законодателство в съответствие с изискванията на Директива 2022/2555 (ЕС) от 14 декември 2022 година относно мерки за високо общо ниво на киберсигурност в Съюза. Проектът предвижда разгръщане на секторите, създаване на </w:t>
      </w:r>
      <w:r w:rsidRPr="00496500">
        <w:rPr>
          <w:rFonts w:ascii="Times New Roman" w:eastAsia="Calibri" w:hAnsi="Times New Roman" w:cs="Times New Roman"/>
          <w:kern w:val="2"/>
          <w:sz w:val="24"/>
          <w:szCs w:val="24"/>
        </w:rPr>
        <w:lastRenderedPageBreak/>
        <w:t>нови регулаторни функции, както и правила за управление на риска, свързан с ИКТ. С Решение № 843 от 11.12.2024 г. на Министерския съвет проектът е приет и внесен на 12.12.2024 г. в Народното събрание на Република България.</w:t>
      </w:r>
    </w:p>
    <w:p w14:paraId="4BCFAF6C" w14:textId="77777777" w:rsidR="00AE63AC" w:rsidRPr="00496500" w:rsidRDefault="00AE63AC" w:rsidP="00AE63AC">
      <w:pPr>
        <w:spacing w:before="120"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От опита с инциденти в националното киберпространство и при надлежно съобразяване с най-добрите практики в ЕС и по света, могат да се направят следните заключения относно настоящата ситуация на киберсигурността в България:</w:t>
      </w:r>
    </w:p>
    <w:p w14:paraId="7989A25D" w14:textId="77777777" w:rsidR="00AE63AC" w:rsidRPr="00496500" w:rsidRDefault="00357AF2" w:rsidP="00AE63AC">
      <w:pPr>
        <w:pStyle w:val="ListParagraph"/>
        <w:numPr>
          <w:ilvl w:val="0"/>
          <w:numId w:val="35"/>
        </w:numPr>
        <w:tabs>
          <w:tab w:val="left" w:pos="1134"/>
        </w:tabs>
        <w:spacing w:before="120" w:after="120" w:line="240" w:lineRule="auto"/>
        <w:ind w:left="0" w:firstLine="72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С</w:t>
      </w:r>
      <w:r w:rsidR="00AE63AC" w:rsidRPr="00496500">
        <w:rPr>
          <w:rFonts w:ascii="Times New Roman" w:eastAsia="Calibri" w:hAnsi="Times New Roman" w:cs="Times New Roman"/>
          <w:sz w:val="24"/>
          <w:szCs w:val="24"/>
        </w:rPr>
        <w:t>ъществува дисбаланс между правната среда и административните мерки, от една страна, и техническия капацитет и възможностите на основните играчи в областта на киберсигурността, от друга.  Законът за киберсигурността определя конкретните роли и отговорности на основните институции в сферата на киберсигурността, както и изискванията към операторите на основни услуги и доставчиците на цифрови услуги. Въпреки това, поради липса на финансови ресурси, тези отговорности и изисквания все още не са достигнали едно подходящо ниво на зрялост. Компетентните органи трябва да изградят своя капацитет, за да могат да осигурят високо ниво на сигурност в отговор на нарастващите заплахи;</w:t>
      </w:r>
    </w:p>
    <w:p w14:paraId="3026CBB6" w14:textId="77777777" w:rsidR="00AE63AC" w:rsidRPr="00496500" w:rsidRDefault="00357AF2" w:rsidP="00AE63AC">
      <w:pPr>
        <w:pStyle w:val="ListParagraph"/>
        <w:numPr>
          <w:ilvl w:val="0"/>
          <w:numId w:val="35"/>
        </w:numPr>
        <w:tabs>
          <w:tab w:val="left" w:pos="1134"/>
        </w:tabs>
        <w:spacing w:before="120" w:after="120" w:line="240" w:lineRule="auto"/>
        <w:ind w:left="0" w:firstLine="72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К</w:t>
      </w:r>
      <w:r w:rsidR="00AE63AC" w:rsidRPr="00496500">
        <w:rPr>
          <w:rFonts w:ascii="Times New Roman" w:eastAsia="Calibri" w:hAnsi="Times New Roman" w:cs="Times New Roman"/>
          <w:sz w:val="24"/>
          <w:szCs w:val="24"/>
        </w:rPr>
        <w:t>иберсигурността в публичния сектор, включително водещите институции по киберсигурност, изостава далеч зад частния бизнес по отношение на капацитет и възможности. Предвид водещата роля на държавните институции, отговарящи за киберсигурността, това несъответствие е сериозно пречка и заплаха за частния бизнес и имуществото на гражданите, както и за защитата на националната икономика и обществения живот;</w:t>
      </w:r>
    </w:p>
    <w:p w14:paraId="5B61DDC2" w14:textId="77777777" w:rsidR="00AE63AC" w:rsidRPr="00496500" w:rsidRDefault="00AE63AC" w:rsidP="00AE63AC">
      <w:pPr>
        <w:pStyle w:val="ListParagraph"/>
        <w:numPr>
          <w:ilvl w:val="0"/>
          <w:numId w:val="35"/>
        </w:numPr>
        <w:tabs>
          <w:tab w:val="left" w:pos="1134"/>
        </w:tabs>
        <w:spacing w:before="120" w:after="120" w:line="240" w:lineRule="auto"/>
        <w:ind w:left="0" w:firstLine="720"/>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България може да постигне добър резултат в областта на киберсигурността със своята киберстратегия, управление на киберсигурността, сигурен инженеринг и развитие, осведоменост и обучение, но изостава във важни области на киберсигурността като откриване и реагиране, които включват мониторинг на събития за информационна сигурност, откриване на злонамерени дейности, заплаха и управление на уязвимостта, реакция при инциденти и управление на риска.</w:t>
      </w:r>
    </w:p>
    <w:p w14:paraId="548530BE" w14:textId="77777777" w:rsidR="00AE63AC" w:rsidRPr="00496500" w:rsidRDefault="00AE63AC" w:rsidP="00AE63AC">
      <w:pPr>
        <w:spacing w:before="120"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През 2024 г. Европейската комисия прие регламента за прилагане схемата на ЕС за сертифициране на киберсигурността по общи критерии (EUCC). Базирана на доброволни принципи, новата схема на EUCC позволява на доставчиците на ИКТ, които желаят да покажат доказателство за сигурност, да преминат през общоприет процес на оценка в ЕС, за да сертифицират ИКТ продукти като технологични компоненти (чипове, смарт карти), хардуер и софтуер. Схемата се основава на доказана с времето рамка за оценка на SOG-IS Common Criteria, която вече се използва в 17 държави-членки на ЕС, но не и от България.</w:t>
      </w:r>
    </w:p>
    <w:p w14:paraId="14ABDDFD" w14:textId="77777777" w:rsidR="005A1914" w:rsidRPr="00496500" w:rsidRDefault="005A1914" w:rsidP="00AE63AC">
      <w:pPr>
        <w:spacing w:before="120" w:after="120" w:line="240" w:lineRule="auto"/>
        <w:ind w:firstLine="720"/>
        <w:jc w:val="both"/>
        <w:rPr>
          <w:rFonts w:ascii="Times New Roman" w:eastAsia="Calibri" w:hAnsi="Times New Roman" w:cs="Times New Roman"/>
          <w:kern w:val="2"/>
          <w:sz w:val="24"/>
          <w:szCs w:val="24"/>
        </w:rPr>
      </w:pPr>
    </w:p>
    <w:p w14:paraId="206FFB25" w14:textId="77777777" w:rsidR="00386143" w:rsidRPr="00496500" w:rsidRDefault="006C0743" w:rsidP="00210A8E">
      <w:pPr>
        <w:pStyle w:val="ListParagraph"/>
        <w:numPr>
          <w:ilvl w:val="0"/>
          <w:numId w:val="10"/>
        </w:numPr>
        <w:spacing w:after="120" w:line="240" w:lineRule="auto"/>
        <w:contextualSpacing w:val="0"/>
        <w:jc w:val="both"/>
        <w:outlineLvl w:val="0"/>
        <w:rPr>
          <w:rFonts w:ascii="Times New Roman" w:hAnsi="Times New Roman" w:cs="Times New Roman"/>
          <w:b/>
          <w:color w:val="2E74B5" w:themeColor="accent1" w:themeShade="BF"/>
          <w:sz w:val="28"/>
          <w:szCs w:val="28"/>
        </w:rPr>
      </w:pPr>
      <w:bookmarkStart w:id="18" w:name="_Toc209084893"/>
      <w:r w:rsidRPr="00496500">
        <w:rPr>
          <w:rFonts w:ascii="Times New Roman" w:hAnsi="Times New Roman" w:cs="Times New Roman"/>
          <w:b/>
          <w:color w:val="2E74B5" w:themeColor="accent1" w:themeShade="BF"/>
          <w:sz w:val="28"/>
          <w:szCs w:val="28"/>
        </w:rPr>
        <w:t>Насоки на бъдещото развитие</w:t>
      </w:r>
      <w:r w:rsidR="00F42ED6" w:rsidRPr="00496500">
        <w:rPr>
          <w:rFonts w:ascii="Times New Roman" w:hAnsi="Times New Roman" w:cs="Times New Roman"/>
          <w:b/>
          <w:color w:val="2E74B5" w:themeColor="accent1" w:themeShade="BF"/>
          <w:sz w:val="28"/>
          <w:szCs w:val="28"/>
        </w:rPr>
        <w:t>,</w:t>
      </w:r>
      <w:r w:rsidRPr="00496500">
        <w:rPr>
          <w:rFonts w:ascii="Times New Roman" w:hAnsi="Times New Roman" w:cs="Times New Roman"/>
          <w:b/>
          <w:color w:val="2E74B5" w:themeColor="accent1" w:themeShade="BF"/>
          <w:sz w:val="28"/>
          <w:szCs w:val="28"/>
        </w:rPr>
        <w:t xml:space="preserve"> възможни решения</w:t>
      </w:r>
      <w:r w:rsidR="00F42ED6" w:rsidRPr="00496500">
        <w:rPr>
          <w:rFonts w:ascii="Times New Roman" w:hAnsi="Times New Roman" w:cs="Times New Roman"/>
          <w:b/>
          <w:color w:val="2E74B5" w:themeColor="accent1" w:themeShade="BF"/>
          <w:sz w:val="28"/>
          <w:szCs w:val="28"/>
        </w:rPr>
        <w:t>, ресурси</w:t>
      </w:r>
      <w:r w:rsidR="00917389" w:rsidRPr="00496500">
        <w:rPr>
          <w:rFonts w:ascii="Times New Roman" w:hAnsi="Times New Roman" w:cs="Times New Roman"/>
          <w:b/>
          <w:color w:val="2E74B5" w:themeColor="accent1" w:themeShade="BF"/>
          <w:sz w:val="28"/>
          <w:szCs w:val="28"/>
        </w:rPr>
        <w:t xml:space="preserve"> </w:t>
      </w:r>
      <w:r w:rsidRPr="00496500">
        <w:rPr>
          <w:rFonts w:ascii="Times New Roman" w:hAnsi="Times New Roman" w:cs="Times New Roman"/>
          <w:b/>
          <w:color w:val="2E74B5" w:themeColor="accent1" w:themeShade="BF"/>
          <w:sz w:val="28"/>
          <w:szCs w:val="28"/>
        </w:rPr>
        <w:t xml:space="preserve">– интегрирано развитие на елементите на екосистемата за </w:t>
      </w:r>
      <w:r w:rsidR="00AA68D1" w:rsidRPr="00496500">
        <w:rPr>
          <w:rFonts w:ascii="Times New Roman" w:hAnsi="Times New Roman" w:cs="Times New Roman"/>
          <w:b/>
          <w:color w:val="2E74B5" w:themeColor="accent1" w:themeShade="BF"/>
          <w:sz w:val="28"/>
          <w:szCs w:val="28"/>
        </w:rPr>
        <w:t>цифрова</w:t>
      </w:r>
      <w:r w:rsidRPr="00496500">
        <w:rPr>
          <w:rFonts w:ascii="Times New Roman" w:hAnsi="Times New Roman" w:cs="Times New Roman"/>
          <w:b/>
          <w:color w:val="2E74B5" w:themeColor="accent1" w:themeShade="BF"/>
          <w:sz w:val="28"/>
          <w:szCs w:val="28"/>
        </w:rPr>
        <w:t xml:space="preserve"> трансформация</w:t>
      </w:r>
      <w:bookmarkEnd w:id="18"/>
    </w:p>
    <w:p w14:paraId="030271D1" w14:textId="77777777" w:rsidR="00804E4A" w:rsidRPr="00496500" w:rsidRDefault="00804E4A" w:rsidP="003B412E">
      <w:pPr>
        <w:spacing w:after="120" w:line="240" w:lineRule="auto"/>
        <w:ind w:firstLine="709"/>
        <w:jc w:val="both"/>
        <w:rPr>
          <w:rFonts w:ascii="Times New Roman" w:eastAsia="Calibri" w:hAnsi="Times New Roman" w:cs="Times New Roman"/>
          <w:sz w:val="24"/>
          <w:szCs w:val="24"/>
        </w:rPr>
      </w:pPr>
    </w:p>
    <w:p w14:paraId="0FD51B52" w14:textId="77777777" w:rsidR="00804E4A" w:rsidRPr="00496500" w:rsidRDefault="00804E4A" w:rsidP="00A11793">
      <w:pPr>
        <w:numPr>
          <w:ilvl w:val="0"/>
          <w:numId w:val="13"/>
        </w:numPr>
        <w:spacing w:after="120" w:line="240" w:lineRule="auto"/>
        <w:ind w:left="1080"/>
        <w:rPr>
          <w:rFonts w:ascii="Times New Roman" w:hAnsi="Times New Roman" w:cs="Times New Roman"/>
          <w:b/>
          <w:color w:val="2F5496" w:themeColor="accent5" w:themeShade="BF"/>
          <w:sz w:val="24"/>
          <w:szCs w:val="24"/>
        </w:rPr>
      </w:pPr>
      <w:r w:rsidRPr="00496500">
        <w:rPr>
          <w:rFonts w:ascii="Times New Roman" w:hAnsi="Times New Roman" w:cs="Times New Roman"/>
          <w:b/>
          <w:color w:val="2F5496" w:themeColor="accent5" w:themeShade="BF"/>
          <w:sz w:val="24"/>
          <w:szCs w:val="24"/>
        </w:rPr>
        <w:t>Човешки ресурси</w:t>
      </w:r>
    </w:p>
    <w:p w14:paraId="7D85DBB3" w14:textId="77777777" w:rsidR="00304B93" w:rsidRPr="00496500" w:rsidRDefault="00304B93"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През следващите години основен приоритет на активната политика на пазара на труда ще бъде инвестиране в изграждане и развитие на уменията на бъдещето, повишаване на квалификацията и преквалификация на работна сила в съответствие с новите потребности на пазара на труда, с акцент към развитие на цифровите умения на работната сила.</w:t>
      </w:r>
    </w:p>
    <w:p w14:paraId="134A5ABD" w14:textId="63496657" w:rsidR="00304B93" w:rsidRPr="00496500" w:rsidRDefault="00304B93"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Препоръки</w:t>
      </w:r>
      <w:r w:rsidR="00850643">
        <w:rPr>
          <w:rFonts w:ascii="Times New Roman" w:eastAsia="Calibri" w:hAnsi="Times New Roman" w:cs="Times New Roman"/>
          <w:sz w:val="24"/>
          <w:szCs w:val="24"/>
        </w:rPr>
        <w:t>те</w:t>
      </w:r>
      <w:r w:rsidRPr="00496500">
        <w:rPr>
          <w:rFonts w:ascii="Times New Roman" w:eastAsia="Calibri" w:hAnsi="Times New Roman" w:cs="Times New Roman"/>
          <w:sz w:val="24"/>
          <w:szCs w:val="24"/>
        </w:rPr>
        <w:t xml:space="preserve"> за преодоляване на социално-икономическите фактори, които са причина за ниското ниво на цифровите умения в България </w:t>
      </w:r>
      <w:r w:rsidR="00850643">
        <w:rPr>
          <w:rFonts w:ascii="Times New Roman" w:eastAsia="Calibri" w:hAnsi="Times New Roman" w:cs="Times New Roman"/>
          <w:sz w:val="24"/>
          <w:szCs w:val="24"/>
        </w:rPr>
        <w:t>са</w:t>
      </w:r>
      <w:r w:rsidRPr="00496500">
        <w:rPr>
          <w:rFonts w:ascii="Times New Roman" w:eastAsia="Calibri" w:hAnsi="Times New Roman" w:cs="Times New Roman"/>
          <w:sz w:val="24"/>
          <w:szCs w:val="24"/>
        </w:rPr>
        <w:t xml:space="preserve"> обвързана с релевантни </w:t>
      </w:r>
      <w:r w:rsidRPr="00496500">
        <w:rPr>
          <w:rFonts w:ascii="Times New Roman" w:eastAsia="Calibri" w:hAnsi="Times New Roman" w:cs="Times New Roman"/>
          <w:sz w:val="24"/>
          <w:szCs w:val="24"/>
        </w:rPr>
        <w:lastRenderedPageBreak/>
        <w:t xml:space="preserve">национални и европейски стратегически рамки, включително ЕС „Цифрово десетилетие 2030“, НПВУ, </w:t>
      </w:r>
      <w:r w:rsidR="00750E90">
        <w:rPr>
          <w:rFonts w:ascii="Times New Roman" w:eastAsia="Calibri" w:hAnsi="Times New Roman" w:cs="Times New Roman"/>
          <w:sz w:val="24"/>
          <w:szCs w:val="24"/>
        </w:rPr>
        <w:t xml:space="preserve">НПР </w:t>
      </w:r>
      <w:r w:rsidRPr="00496500">
        <w:rPr>
          <w:rFonts w:ascii="Times New Roman" w:eastAsia="Calibri" w:hAnsi="Times New Roman" w:cs="Times New Roman"/>
          <w:sz w:val="24"/>
          <w:szCs w:val="24"/>
        </w:rPr>
        <w:t>България 2030 и Европейския стълб на социалните права:</w:t>
      </w:r>
    </w:p>
    <w:p w14:paraId="2687D01D" w14:textId="77777777" w:rsidR="002558C4" w:rsidRPr="00496500" w:rsidRDefault="002558C4"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Възможните решения в областта на </w:t>
      </w:r>
      <w:r w:rsidR="00370A43" w:rsidRPr="00496500">
        <w:rPr>
          <w:rFonts w:ascii="Times New Roman" w:eastAsia="Calibri" w:hAnsi="Times New Roman" w:cs="Times New Roman"/>
          <w:sz w:val="24"/>
          <w:szCs w:val="24"/>
        </w:rPr>
        <w:t>цифрово</w:t>
      </w:r>
      <w:r w:rsidRPr="00496500">
        <w:rPr>
          <w:rFonts w:ascii="Times New Roman" w:eastAsia="Calibri" w:hAnsi="Times New Roman" w:cs="Times New Roman"/>
          <w:sz w:val="24"/>
          <w:szCs w:val="24"/>
        </w:rPr>
        <w:t>то развитие на човешкия капитал включват:</w:t>
      </w:r>
    </w:p>
    <w:p w14:paraId="4347BF01" w14:textId="77777777" w:rsidR="00304B93" w:rsidRPr="00496500" w:rsidRDefault="00304B93" w:rsidP="00A11793">
      <w:pPr>
        <w:tabs>
          <w:tab w:val="left" w:pos="1134"/>
        </w:tabs>
        <w:spacing w:before="120" w:after="120" w:line="240" w:lineRule="auto"/>
        <w:jc w:val="both"/>
        <w:rPr>
          <w:rFonts w:ascii="Times New Roman" w:eastAsia="Calibri" w:hAnsi="Times New Roman" w:cs="Times New Roman"/>
          <w:b/>
          <w:sz w:val="24"/>
          <w:szCs w:val="24"/>
        </w:rPr>
      </w:pPr>
      <w:r w:rsidRPr="00496500">
        <w:rPr>
          <w:rFonts w:ascii="Times New Roman" w:eastAsia="Calibri" w:hAnsi="Times New Roman" w:cs="Times New Roman"/>
          <w:b/>
          <w:sz w:val="24"/>
          <w:szCs w:val="24"/>
        </w:rPr>
        <w:t>Образование и развитие на човешкия капитал</w:t>
      </w:r>
    </w:p>
    <w:p w14:paraId="3277545E" w14:textId="77777777" w:rsidR="00304B93" w:rsidRPr="00496500" w:rsidRDefault="002558C4" w:rsidP="002558C4">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интегриране </w:t>
      </w:r>
      <w:r w:rsidR="00304B93" w:rsidRPr="00496500">
        <w:rPr>
          <w:rFonts w:ascii="Times New Roman" w:eastAsia="Calibri" w:hAnsi="Times New Roman" w:cs="Times New Roman"/>
          <w:bCs/>
          <w:sz w:val="24"/>
          <w:szCs w:val="24"/>
        </w:rPr>
        <w:t>на цифрови умения на всички нива на образованието</w:t>
      </w:r>
      <w:r w:rsidR="004F3673" w:rsidRPr="00496500">
        <w:rPr>
          <w:rFonts w:ascii="Times New Roman" w:eastAsia="Calibri" w:hAnsi="Times New Roman" w:cs="Times New Roman"/>
          <w:bCs/>
          <w:sz w:val="24"/>
          <w:szCs w:val="24"/>
        </w:rPr>
        <w:t>;</w:t>
      </w:r>
    </w:p>
    <w:p w14:paraId="26EC6D2C" w14:textId="77777777" w:rsidR="00304B93" w:rsidRPr="00496500" w:rsidRDefault="002558C4" w:rsidP="002558C4">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национална програма за преквалификация и повишаване на </w:t>
      </w:r>
      <w:r w:rsidR="00AA68D1" w:rsidRPr="00496500">
        <w:rPr>
          <w:rFonts w:ascii="Times New Roman" w:eastAsia="Calibri" w:hAnsi="Times New Roman" w:cs="Times New Roman"/>
          <w:bCs/>
          <w:sz w:val="24"/>
          <w:szCs w:val="24"/>
        </w:rPr>
        <w:t>цифрови</w:t>
      </w:r>
      <w:r w:rsidRPr="00496500">
        <w:rPr>
          <w:rFonts w:ascii="Times New Roman" w:eastAsia="Calibri" w:hAnsi="Times New Roman" w:cs="Times New Roman"/>
          <w:bCs/>
          <w:sz w:val="24"/>
          <w:szCs w:val="24"/>
        </w:rPr>
        <w:t>те умения на възрастни;</w:t>
      </w:r>
    </w:p>
    <w:p w14:paraId="5724EE59" w14:textId="77777777" w:rsidR="00304B93" w:rsidRPr="00496500" w:rsidRDefault="002558C4" w:rsidP="002558C4">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пр</w:t>
      </w:r>
      <w:r w:rsidR="00304B93" w:rsidRPr="00496500">
        <w:rPr>
          <w:rFonts w:ascii="Times New Roman" w:eastAsia="Calibri" w:hAnsi="Times New Roman" w:cs="Times New Roman"/>
          <w:bCs/>
          <w:sz w:val="24"/>
          <w:szCs w:val="24"/>
        </w:rPr>
        <w:t>иоритизиране на целенасочените инвестиции в обучението на учители, реформата на учебните програми и развитието на цифрови и зелени умения</w:t>
      </w:r>
      <w:r w:rsidR="004F3673" w:rsidRPr="00496500">
        <w:rPr>
          <w:rFonts w:ascii="Times New Roman" w:eastAsia="Calibri" w:hAnsi="Times New Roman" w:cs="Times New Roman"/>
          <w:bCs/>
          <w:sz w:val="24"/>
          <w:szCs w:val="24"/>
        </w:rPr>
        <w:t>;</w:t>
      </w:r>
    </w:p>
    <w:p w14:paraId="3ED8C378" w14:textId="77777777" w:rsidR="00304B93" w:rsidRPr="00496500" w:rsidRDefault="002558C4" w:rsidP="002558C4">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изготвяне </w:t>
      </w:r>
      <w:r w:rsidR="00304B93" w:rsidRPr="00496500">
        <w:rPr>
          <w:rFonts w:ascii="Times New Roman" w:eastAsia="Calibri" w:hAnsi="Times New Roman" w:cs="Times New Roman"/>
          <w:bCs/>
          <w:sz w:val="24"/>
          <w:szCs w:val="24"/>
        </w:rPr>
        <w:t xml:space="preserve">на задълбочен анализ за цифровата грамотност и цифровите умения при различните категории граждани и оценка на нуждите и необходимостта от целеви обучения, допълнителна квалификация или преквалификация за работа с </w:t>
      </w:r>
      <w:r w:rsidR="00AA68D1" w:rsidRPr="00496500">
        <w:rPr>
          <w:rFonts w:ascii="Times New Roman" w:eastAsia="Calibri" w:hAnsi="Times New Roman" w:cs="Times New Roman"/>
          <w:bCs/>
          <w:sz w:val="24"/>
          <w:szCs w:val="24"/>
        </w:rPr>
        <w:t>цифрови</w:t>
      </w:r>
      <w:r w:rsidR="00304B93" w:rsidRPr="00496500">
        <w:rPr>
          <w:rFonts w:ascii="Times New Roman" w:eastAsia="Calibri" w:hAnsi="Times New Roman" w:cs="Times New Roman"/>
          <w:bCs/>
          <w:sz w:val="24"/>
          <w:szCs w:val="24"/>
        </w:rPr>
        <w:t xml:space="preserve"> технологии и в цифрова среда;</w:t>
      </w:r>
    </w:p>
    <w:p w14:paraId="1CCFA518" w14:textId="77777777" w:rsidR="00304B93" w:rsidRPr="00496500" w:rsidRDefault="002558C4" w:rsidP="002558C4">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осигуряване </w:t>
      </w:r>
      <w:r w:rsidR="00304B93" w:rsidRPr="00496500">
        <w:rPr>
          <w:rFonts w:ascii="Times New Roman" w:eastAsia="Calibri" w:hAnsi="Times New Roman" w:cs="Times New Roman"/>
          <w:bCs/>
          <w:sz w:val="24"/>
          <w:szCs w:val="24"/>
        </w:rPr>
        <w:t xml:space="preserve">на възможността за онлайн участие на всеки гражданин в демократичния живот – задължителните предпоставки за развитие са: в пълнота, съгласувана и устойчива нормативна рамка свързаност и осигурен достъп до сигурна и надеждна мрежа; </w:t>
      </w:r>
      <w:r w:rsidR="00AA68D1" w:rsidRPr="00496500">
        <w:rPr>
          <w:rFonts w:ascii="Times New Roman" w:eastAsia="Calibri" w:hAnsi="Times New Roman" w:cs="Times New Roman"/>
          <w:bCs/>
          <w:sz w:val="24"/>
          <w:szCs w:val="24"/>
        </w:rPr>
        <w:t>цифрова</w:t>
      </w:r>
      <w:r w:rsidR="00304B93" w:rsidRPr="00496500">
        <w:rPr>
          <w:rFonts w:ascii="Times New Roman" w:eastAsia="Calibri" w:hAnsi="Times New Roman" w:cs="Times New Roman"/>
          <w:bCs/>
          <w:sz w:val="24"/>
          <w:szCs w:val="24"/>
        </w:rPr>
        <w:t xml:space="preserve"> грамотност и </w:t>
      </w:r>
      <w:r w:rsidR="00AA68D1" w:rsidRPr="00496500">
        <w:rPr>
          <w:rFonts w:ascii="Times New Roman" w:eastAsia="Calibri" w:hAnsi="Times New Roman" w:cs="Times New Roman"/>
          <w:bCs/>
          <w:sz w:val="24"/>
          <w:szCs w:val="24"/>
        </w:rPr>
        <w:t>цифрови</w:t>
      </w:r>
      <w:r w:rsidR="00304B93" w:rsidRPr="00496500">
        <w:rPr>
          <w:rFonts w:ascii="Times New Roman" w:eastAsia="Calibri" w:hAnsi="Times New Roman" w:cs="Times New Roman"/>
          <w:bCs/>
          <w:sz w:val="24"/>
          <w:szCs w:val="24"/>
        </w:rPr>
        <w:t xml:space="preserve"> умения за работа в цифрова среда и с цифрови услуги; високи стандарти за сигурност и неприкосновеност </w:t>
      </w:r>
      <w:r w:rsidR="004F3673" w:rsidRPr="00496500">
        <w:rPr>
          <w:rFonts w:ascii="Times New Roman" w:eastAsia="Calibri" w:hAnsi="Times New Roman" w:cs="Times New Roman"/>
          <w:bCs/>
          <w:sz w:val="24"/>
          <w:szCs w:val="24"/>
        </w:rPr>
        <w:t>на личните данни и личния живот;</w:t>
      </w:r>
    </w:p>
    <w:p w14:paraId="64FD3CAB" w14:textId="77777777" w:rsidR="00304B93" w:rsidRPr="00496500" w:rsidRDefault="002558C4" w:rsidP="002558C4">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повишаване </w:t>
      </w:r>
      <w:r w:rsidR="00304B93" w:rsidRPr="00496500">
        <w:rPr>
          <w:rFonts w:ascii="Times New Roman" w:eastAsia="Calibri" w:hAnsi="Times New Roman" w:cs="Times New Roman"/>
          <w:bCs/>
          <w:sz w:val="24"/>
          <w:szCs w:val="24"/>
        </w:rPr>
        <w:t>на нивото на цифрова грамотност на населението, особено в слабо</w:t>
      </w:r>
      <w:r w:rsidRPr="00496500">
        <w:rPr>
          <w:rFonts w:ascii="Times New Roman" w:eastAsia="Calibri" w:hAnsi="Times New Roman" w:cs="Times New Roman"/>
          <w:bCs/>
          <w:sz w:val="24"/>
          <w:szCs w:val="24"/>
        </w:rPr>
        <w:t xml:space="preserve"> </w:t>
      </w:r>
      <w:r w:rsidR="00304B93" w:rsidRPr="00496500">
        <w:rPr>
          <w:rFonts w:ascii="Times New Roman" w:eastAsia="Calibri" w:hAnsi="Times New Roman" w:cs="Times New Roman"/>
          <w:bCs/>
          <w:sz w:val="24"/>
          <w:szCs w:val="24"/>
        </w:rPr>
        <w:t>населените места и засилване на ролята на местната администрация чрез обучения, курсове и семинари.</w:t>
      </w:r>
    </w:p>
    <w:p w14:paraId="620D59BD" w14:textId="77777777" w:rsidR="00304B93" w:rsidRPr="00496500" w:rsidRDefault="002558C4" w:rsidP="00A11793">
      <w:pPr>
        <w:tabs>
          <w:tab w:val="left" w:pos="1134"/>
        </w:tabs>
        <w:spacing w:before="120" w:after="120" w:line="240" w:lineRule="auto"/>
        <w:jc w:val="both"/>
        <w:rPr>
          <w:rFonts w:ascii="Times New Roman" w:hAnsi="Times New Roman" w:cs="Times New Roman"/>
          <w:b/>
          <w:sz w:val="24"/>
          <w:szCs w:val="24"/>
        </w:rPr>
      </w:pPr>
      <w:r w:rsidRPr="00496500">
        <w:rPr>
          <w:rFonts w:ascii="Times New Roman" w:eastAsia="Calibri" w:hAnsi="Times New Roman" w:cs="Times New Roman"/>
          <w:b/>
          <w:sz w:val="24"/>
          <w:szCs w:val="24"/>
        </w:rPr>
        <w:t>Цифрово</w:t>
      </w:r>
      <w:r w:rsidRPr="00496500">
        <w:rPr>
          <w:rFonts w:ascii="Times New Roman" w:hAnsi="Times New Roman" w:cs="Times New Roman"/>
          <w:b/>
          <w:sz w:val="24"/>
          <w:szCs w:val="24"/>
        </w:rPr>
        <w:t xml:space="preserve"> </w:t>
      </w:r>
      <w:r w:rsidR="00304B93" w:rsidRPr="00496500">
        <w:rPr>
          <w:rFonts w:ascii="Times New Roman" w:hAnsi="Times New Roman" w:cs="Times New Roman"/>
          <w:b/>
          <w:sz w:val="24"/>
          <w:szCs w:val="24"/>
        </w:rPr>
        <w:t>сближаване и цифрова достъпност</w:t>
      </w:r>
    </w:p>
    <w:p w14:paraId="35389DE6"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целенасочени </w:t>
      </w:r>
      <w:r w:rsidR="00304B93" w:rsidRPr="00496500">
        <w:rPr>
          <w:rFonts w:ascii="Times New Roman" w:eastAsia="Calibri" w:hAnsi="Times New Roman" w:cs="Times New Roman"/>
          <w:bCs/>
          <w:sz w:val="24"/>
          <w:szCs w:val="24"/>
        </w:rPr>
        <w:t>мерки за преодоляване на регионалните различия, вкл. възползване от силните резултати на жените в областта на основните цифрови умения, за да се намалят неравенствата, свързани с образованието, възрастта и географското положение, и да се повиши общото ниво на цифрова компетентност</w:t>
      </w:r>
      <w:r w:rsidR="004F3673" w:rsidRPr="00496500">
        <w:rPr>
          <w:rFonts w:ascii="Times New Roman" w:eastAsia="Calibri" w:hAnsi="Times New Roman" w:cs="Times New Roman"/>
          <w:bCs/>
          <w:sz w:val="24"/>
          <w:szCs w:val="24"/>
        </w:rPr>
        <w:t>;</w:t>
      </w:r>
    </w:p>
    <w:p w14:paraId="580E4C28"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универсален </w:t>
      </w:r>
      <w:r w:rsidR="00304B93" w:rsidRPr="00496500">
        <w:rPr>
          <w:rFonts w:ascii="Times New Roman" w:eastAsia="Calibri" w:hAnsi="Times New Roman" w:cs="Times New Roman"/>
          <w:bCs/>
          <w:sz w:val="24"/>
          <w:szCs w:val="24"/>
        </w:rPr>
        <w:t>достъп до високоскоростен интернет и устройства</w:t>
      </w:r>
      <w:r w:rsidR="004F3673" w:rsidRPr="00496500">
        <w:rPr>
          <w:rFonts w:ascii="Times New Roman" w:eastAsia="Calibri" w:hAnsi="Times New Roman" w:cs="Times New Roman"/>
          <w:bCs/>
          <w:sz w:val="24"/>
          <w:szCs w:val="24"/>
        </w:rPr>
        <w:t>.</w:t>
      </w:r>
    </w:p>
    <w:p w14:paraId="378C7EF0" w14:textId="77777777" w:rsidR="00304B93" w:rsidRPr="00496500" w:rsidRDefault="00304B93" w:rsidP="00A11793">
      <w:pPr>
        <w:tabs>
          <w:tab w:val="left" w:pos="1134"/>
        </w:tabs>
        <w:spacing w:before="120" w:after="120" w:line="240" w:lineRule="auto"/>
        <w:jc w:val="both"/>
        <w:rPr>
          <w:rFonts w:ascii="Times New Roman" w:hAnsi="Times New Roman" w:cs="Times New Roman"/>
          <w:b/>
          <w:sz w:val="24"/>
          <w:szCs w:val="24"/>
        </w:rPr>
      </w:pPr>
      <w:r w:rsidRPr="00496500">
        <w:rPr>
          <w:rFonts w:ascii="Times New Roman" w:eastAsia="Calibri" w:hAnsi="Times New Roman" w:cs="Times New Roman"/>
          <w:b/>
          <w:sz w:val="24"/>
          <w:szCs w:val="24"/>
        </w:rPr>
        <w:t>Трудов</w:t>
      </w:r>
      <w:r w:rsidRPr="00496500">
        <w:rPr>
          <w:rFonts w:ascii="Times New Roman" w:hAnsi="Times New Roman" w:cs="Times New Roman"/>
          <w:b/>
          <w:sz w:val="24"/>
          <w:szCs w:val="24"/>
        </w:rPr>
        <w:t xml:space="preserve"> пазар и бизнес среда</w:t>
      </w:r>
    </w:p>
    <w:p w14:paraId="23EE7FF3"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създаване </w:t>
      </w:r>
      <w:r w:rsidR="00304B93" w:rsidRPr="00496500">
        <w:rPr>
          <w:rFonts w:ascii="Times New Roman" w:eastAsia="Calibri" w:hAnsi="Times New Roman" w:cs="Times New Roman"/>
          <w:bCs/>
          <w:sz w:val="24"/>
          <w:szCs w:val="24"/>
        </w:rPr>
        <w:t xml:space="preserve">на механизми за </w:t>
      </w:r>
      <w:r w:rsidR="00AA68D1" w:rsidRPr="00496500">
        <w:rPr>
          <w:rFonts w:ascii="Times New Roman" w:eastAsia="Calibri" w:hAnsi="Times New Roman" w:cs="Times New Roman"/>
          <w:bCs/>
          <w:sz w:val="24"/>
          <w:szCs w:val="24"/>
        </w:rPr>
        <w:t>цифрова</w:t>
      </w:r>
      <w:r w:rsidR="00304B93" w:rsidRPr="00496500">
        <w:rPr>
          <w:rFonts w:ascii="Times New Roman" w:eastAsia="Calibri" w:hAnsi="Times New Roman" w:cs="Times New Roman"/>
          <w:bCs/>
          <w:sz w:val="24"/>
          <w:szCs w:val="24"/>
        </w:rPr>
        <w:t xml:space="preserve"> адаптация на МСП</w:t>
      </w:r>
      <w:r w:rsidRPr="00496500">
        <w:rPr>
          <w:rFonts w:ascii="Times New Roman" w:eastAsia="Calibri" w:hAnsi="Times New Roman" w:cs="Times New Roman"/>
          <w:bCs/>
          <w:sz w:val="24"/>
          <w:szCs w:val="24"/>
        </w:rPr>
        <w:t>;</w:t>
      </w:r>
    </w:p>
    <w:p w14:paraId="0FAF610D"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въвеждане </w:t>
      </w:r>
      <w:r w:rsidR="00304B93" w:rsidRPr="00496500">
        <w:rPr>
          <w:rFonts w:ascii="Times New Roman" w:eastAsia="Calibri" w:hAnsi="Times New Roman" w:cs="Times New Roman"/>
          <w:bCs/>
          <w:sz w:val="24"/>
          <w:szCs w:val="24"/>
        </w:rPr>
        <w:t xml:space="preserve">на </w:t>
      </w:r>
      <w:r w:rsidR="00AA68D1" w:rsidRPr="00496500">
        <w:rPr>
          <w:rFonts w:ascii="Times New Roman" w:eastAsia="Calibri" w:hAnsi="Times New Roman" w:cs="Times New Roman"/>
          <w:bCs/>
          <w:sz w:val="24"/>
          <w:szCs w:val="24"/>
        </w:rPr>
        <w:t>цифрови</w:t>
      </w:r>
      <w:r w:rsidR="00304B93" w:rsidRPr="00496500">
        <w:rPr>
          <w:rFonts w:ascii="Times New Roman" w:eastAsia="Calibri" w:hAnsi="Times New Roman" w:cs="Times New Roman"/>
          <w:bCs/>
          <w:sz w:val="24"/>
          <w:szCs w:val="24"/>
        </w:rPr>
        <w:t xml:space="preserve"> профили в трудовите борси</w:t>
      </w:r>
      <w:r w:rsidRPr="00496500">
        <w:rPr>
          <w:rFonts w:ascii="Times New Roman" w:eastAsia="Calibri" w:hAnsi="Times New Roman" w:cs="Times New Roman"/>
          <w:bCs/>
          <w:sz w:val="24"/>
          <w:szCs w:val="24"/>
        </w:rPr>
        <w:t>;</w:t>
      </w:r>
    </w:p>
    <w:p w14:paraId="562AE60B"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разработване </w:t>
      </w:r>
      <w:r w:rsidR="00304B93" w:rsidRPr="00496500">
        <w:rPr>
          <w:rFonts w:ascii="Times New Roman" w:eastAsia="Calibri" w:hAnsi="Times New Roman" w:cs="Times New Roman"/>
          <w:bCs/>
          <w:sz w:val="24"/>
          <w:szCs w:val="24"/>
        </w:rPr>
        <w:t>на ясни, целенасочени мерки, които да помогнат на компаниите да наемат ИКТ експерти в по-слабо населените райони</w:t>
      </w:r>
      <w:r w:rsidRPr="00496500">
        <w:rPr>
          <w:rFonts w:ascii="Times New Roman" w:eastAsia="Calibri" w:hAnsi="Times New Roman" w:cs="Times New Roman"/>
          <w:bCs/>
          <w:sz w:val="24"/>
          <w:szCs w:val="24"/>
        </w:rPr>
        <w:t>;</w:t>
      </w:r>
    </w:p>
    <w:p w14:paraId="46C82849"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определяне </w:t>
      </w:r>
      <w:r w:rsidR="00304B93" w:rsidRPr="00496500">
        <w:rPr>
          <w:rFonts w:ascii="Times New Roman" w:eastAsia="Calibri" w:hAnsi="Times New Roman" w:cs="Times New Roman"/>
          <w:bCs/>
          <w:sz w:val="24"/>
          <w:szCs w:val="24"/>
        </w:rPr>
        <w:t>на стратегия, насочена към по-широки фактори като инфраструктура, икономически условия и мобилност на изследователите, и да се определят най-ефективните стратегии за финансиране</w:t>
      </w:r>
      <w:r w:rsidR="004F3673" w:rsidRPr="00496500">
        <w:rPr>
          <w:rFonts w:ascii="Times New Roman" w:eastAsia="Calibri" w:hAnsi="Times New Roman" w:cs="Times New Roman"/>
          <w:bCs/>
          <w:sz w:val="24"/>
          <w:szCs w:val="24"/>
        </w:rPr>
        <w:t>.</w:t>
      </w:r>
    </w:p>
    <w:p w14:paraId="07BE4EC4" w14:textId="77777777" w:rsidR="00304B93" w:rsidRPr="00496500" w:rsidRDefault="00304B93" w:rsidP="00A11793">
      <w:pPr>
        <w:tabs>
          <w:tab w:val="left" w:pos="1134"/>
        </w:tabs>
        <w:spacing w:before="120" w:after="120" w:line="240" w:lineRule="auto"/>
        <w:jc w:val="both"/>
        <w:rPr>
          <w:rFonts w:ascii="Times New Roman" w:hAnsi="Times New Roman" w:cs="Times New Roman"/>
          <w:b/>
          <w:sz w:val="24"/>
          <w:szCs w:val="24"/>
        </w:rPr>
      </w:pPr>
      <w:r w:rsidRPr="00496500">
        <w:rPr>
          <w:rFonts w:ascii="Times New Roman" w:eastAsia="Calibri" w:hAnsi="Times New Roman" w:cs="Times New Roman"/>
          <w:b/>
          <w:sz w:val="24"/>
          <w:szCs w:val="24"/>
        </w:rPr>
        <w:t>Комуникация</w:t>
      </w:r>
      <w:r w:rsidRPr="00496500">
        <w:rPr>
          <w:rFonts w:ascii="Times New Roman" w:hAnsi="Times New Roman" w:cs="Times New Roman"/>
          <w:b/>
          <w:sz w:val="24"/>
          <w:szCs w:val="24"/>
        </w:rPr>
        <w:t>, културна трансформация и институционален капацитет</w:t>
      </w:r>
    </w:p>
    <w:p w14:paraId="2AE06B4E"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национална </w:t>
      </w:r>
      <w:r w:rsidR="00304B93" w:rsidRPr="00496500">
        <w:rPr>
          <w:rFonts w:ascii="Times New Roman" w:eastAsia="Calibri" w:hAnsi="Times New Roman" w:cs="Times New Roman"/>
          <w:bCs/>
          <w:sz w:val="24"/>
          <w:szCs w:val="24"/>
        </w:rPr>
        <w:t xml:space="preserve">комуникационна кампания за </w:t>
      </w:r>
      <w:r w:rsidR="00AA68D1" w:rsidRPr="00496500">
        <w:rPr>
          <w:rFonts w:ascii="Times New Roman" w:eastAsia="Calibri" w:hAnsi="Times New Roman" w:cs="Times New Roman"/>
          <w:bCs/>
          <w:sz w:val="24"/>
          <w:szCs w:val="24"/>
        </w:rPr>
        <w:t>цифрова</w:t>
      </w:r>
      <w:r w:rsidR="00304B93" w:rsidRPr="00496500">
        <w:rPr>
          <w:rFonts w:ascii="Times New Roman" w:eastAsia="Calibri" w:hAnsi="Times New Roman" w:cs="Times New Roman"/>
          <w:bCs/>
          <w:sz w:val="24"/>
          <w:szCs w:val="24"/>
        </w:rPr>
        <w:t xml:space="preserve"> култура</w:t>
      </w:r>
      <w:r w:rsidRPr="00496500">
        <w:rPr>
          <w:rFonts w:ascii="Times New Roman" w:eastAsia="Calibri" w:hAnsi="Times New Roman" w:cs="Times New Roman"/>
          <w:bCs/>
          <w:sz w:val="24"/>
          <w:szCs w:val="24"/>
        </w:rPr>
        <w:t>;</w:t>
      </w:r>
    </w:p>
    <w:p w14:paraId="7E81485A"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централизирана </w:t>
      </w:r>
      <w:r w:rsidR="00304B93" w:rsidRPr="00496500">
        <w:rPr>
          <w:rFonts w:ascii="Times New Roman" w:eastAsia="Calibri" w:hAnsi="Times New Roman" w:cs="Times New Roman"/>
          <w:bCs/>
          <w:sz w:val="24"/>
          <w:szCs w:val="24"/>
        </w:rPr>
        <w:t>координация и мониторинг</w:t>
      </w:r>
      <w:r w:rsidR="004F3673" w:rsidRPr="00496500">
        <w:rPr>
          <w:rFonts w:ascii="Times New Roman" w:eastAsia="Calibri" w:hAnsi="Times New Roman" w:cs="Times New Roman"/>
          <w:bCs/>
          <w:sz w:val="24"/>
          <w:szCs w:val="24"/>
        </w:rPr>
        <w:t>.</w:t>
      </w:r>
    </w:p>
    <w:p w14:paraId="40C1ADAA" w14:textId="77777777" w:rsidR="00304B93" w:rsidRPr="00496500" w:rsidRDefault="00304B93" w:rsidP="003B412E">
      <w:pPr>
        <w:spacing w:after="120" w:line="240" w:lineRule="auto"/>
        <w:ind w:firstLine="709"/>
        <w:jc w:val="both"/>
        <w:rPr>
          <w:rFonts w:ascii="Times New Roman" w:eastAsia="Calibri" w:hAnsi="Times New Roman" w:cs="Times New Roman"/>
          <w:sz w:val="24"/>
          <w:szCs w:val="24"/>
        </w:rPr>
      </w:pPr>
      <w:r w:rsidRPr="00496500">
        <w:rPr>
          <w:rFonts w:ascii="Times New Roman" w:eastAsia="Calibri" w:hAnsi="Times New Roman" w:cs="Times New Roman"/>
          <w:sz w:val="24"/>
          <w:szCs w:val="24"/>
        </w:rPr>
        <w:t xml:space="preserve">Преодоляването на дефицитите в цифровите умения в България изисква </w:t>
      </w:r>
      <w:r w:rsidRPr="00496500">
        <w:rPr>
          <w:rFonts w:ascii="Times New Roman" w:eastAsia="Calibri" w:hAnsi="Times New Roman" w:cs="Times New Roman"/>
          <w:bCs/>
          <w:sz w:val="24"/>
          <w:szCs w:val="24"/>
        </w:rPr>
        <w:t>междуведомствен, дългосрочен и териториално насочен подход</w:t>
      </w:r>
      <w:r w:rsidRPr="00496500">
        <w:rPr>
          <w:rFonts w:ascii="Times New Roman" w:eastAsia="Calibri" w:hAnsi="Times New Roman" w:cs="Times New Roman"/>
          <w:sz w:val="24"/>
          <w:szCs w:val="24"/>
        </w:rPr>
        <w:t>, с фокус върху:</w:t>
      </w:r>
    </w:p>
    <w:p w14:paraId="61302E18"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ранна </w:t>
      </w:r>
      <w:r w:rsidR="00304B93" w:rsidRPr="00496500">
        <w:rPr>
          <w:rFonts w:ascii="Times New Roman" w:eastAsia="Calibri" w:hAnsi="Times New Roman" w:cs="Times New Roman"/>
          <w:bCs/>
          <w:sz w:val="24"/>
          <w:szCs w:val="24"/>
        </w:rPr>
        <w:t>цифрова грамотно</w:t>
      </w:r>
      <w:r w:rsidR="004F3673" w:rsidRPr="00496500">
        <w:rPr>
          <w:rFonts w:ascii="Times New Roman" w:eastAsia="Calibri" w:hAnsi="Times New Roman" w:cs="Times New Roman"/>
          <w:bCs/>
          <w:sz w:val="24"/>
          <w:szCs w:val="24"/>
        </w:rPr>
        <w:t>ст;</w:t>
      </w:r>
    </w:p>
    <w:p w14:paraId="106538AC"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lastRenderedPageBreak/>
        <w:t xml:space="preserve">достъпна </w:t>
      </w:r>
      <w:r w:rsidR="00304B93" w:rsidRPr="00496500">
        <w:rPr>
          <w:rFonts w:ascii="Times New Roman" w:eastAsia="Calibri" w:hAnsi="Times New Roman" w:cs="Times New Roman"/>
          <w:bCs/>
          <w:sz w:val="24"/>
          <w:szCs w:val="24"/>
        </w:rPr>
        <w:t>инфр</w:t>
      </w:r>
      <w:r w:rsidR="004F3673" w:rsidRPr="00496500">
        <w:rPr>
          <w:rFonts w:ascii="Times New Roman" w:eastAsia="Calibri" w:hAnsi="Times New Roman" w:cs="Times New Roman"/>
          <w:bCs/>
          <w:sz w:val="24"/>
          <w:szCs w:val="24"/>
        </w:rPr>
        <w:t>аструктура и обучение за всички;</w:t>
      </w:r>
    </w:p>
    <w:p w14:paraId="163BCBD2"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приобщаващи </w:t>
      </w:r>
      <w:r w:rsidR="004F3673" w:rsidRPr="00496500">
        <w:rPr>
          <w:rFonts w:ascii="Times New Roman" w:eastAsia="Calibri" w:hAnsi="Times New Roman" w:cs="Times New Roman"/>
          <w:bCs/>
          <w:sz w:val="24"/>
          <w:szCs w:val="24"/>
        </w:rPr>
        <w:t>политики към уязвими групи;</w:t>
      </w:r>
    </w:p>
    <w:p w14:paraId="0F06E6A6"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активно </w:t>
      </w:r>
      <w:r w:rsidR="00304B93" w:rsidRPr="00496500">
        <w:rPr>
          <w:rFonts w:ascii="Times New Roman" w:eastAsia="Calibri" w:hAnsi="Times New Roman" w:cs="Times New Roman"/>
          <w:bCs/>
          <w:sz w:val="24"/>
          <w:szCs w:val="24"/>
        </w:rPr>
        <w:t xml:space="preserve">участие </w:t>
      </w:r>
      <w:r w:rsidR="004F3673" w:rsidRPr="00496500">
        <w:rPr>
          <w:rFonts w:ascii="Times New Roman" w:eastAsia="Calibri" w:hAnsi="Times New Roman" w:cs="Times New Roman"/>
          <w:bCs/>
          <w:sz w:val="24"/>
          <w:szCs w:val="24"/>
        </w:rPr>
        <w:t>на бизнеса и гражданския сектор;</w:t>
      </w:r>
    </w:p>
    <w:p w14:paraId="16CB19FE" w14:textId="77777777" w:rsidR="00304B93" w:rsidRPr="00496500" w:rsidRDefault="002558C4" w:rsidP="00A11793">
      <w:pPr>
        <w:pStyle w:val="ListParagraph"/>
        <w:numPr>
          <w:ilvl w:val="0"/>
          <w:numId w:val="38"/>
        </w:numPr>
        <w:spacing w:before="120"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централизирано </w:t>
      </w:r>
      <w:r w:rsidR="00304B93" w:rsidRPr="00496500">
        <w:rPr>
          <w:rFonts w:ascii="Times New Roman" w:eastAsia="Calibri" w:hAnsi="Times New Roman" w:cs="Times New Roman"/>
          <w:bCs/>
          <w:sz w:val="24"/>
          <w:szCs w:val="24"/>
        </w:rPr>
        <w:t>координиране, измерване и коригиране на резултатите.</w:t>
      </w:r>
    </w:p>
    <w:p w14:paraId="08B0D4C8" w14:textId="77777777" w:rsidR="002558C4" w:rsidRPr="00496500" w:rsidRDefault="002558C4" w:rsidP="00A11793">
      <w:pPr>
        <w:spacing w:after="120" w:line="240" w:lineRule="auto"/>
        <w:ind w:firstLine="720"/>
        <w:jc w:val="both"/>
        <w:rPr>
          <w:rFonts w:ascii="Times New Roman" w:hAnsi="Times New Roman" w:cs="Times New Roman"/>
          <w:b/>
          <w:color w:val="2F5496" w:themeColor="accent5" w:themeShade="BF"/>
          <w:sz w:val="24"/>
          <w:szCs w:val="24"/>
        </w:rPr>
      </w:pPr>
    </w:p>
    <w:p w14:paraId="226ADC9C" w14:textId="77777777" w:rsidR="006C0743" w:rsidRPr="00496500" w:rsidRDefault="00CD4211" w:rsidP="003B412E">
      <w:pPr>
        <w:numPr>
          <w:ilvl w:val="0"/>
          <w:numId w:val="13"/>
        </w:numPr>
        <w:spacing w:after="120" w:line="240" w:lineRule="auto"/>
        <w:ind w:left="1080"/>
        <w:rPr>
          <w:rFonts w:ascii="Times New Roman" w:hAnsi="Times New Roman" w:cs="Times New Roman"/>
          <w:b/>
          <w:color w:val="2F5496" w:themeColor="accent5" w:themeShade="BF"/>
          <w:sz w:val="24"/>
          <w:szCs w:val="24"/>
        </w:rPr>
      </w:pPr>
      <w:r w:rsidRPr="00496500">
        <w:rPr>
          <w:rFonts w:ascii="Times New Roman" w:hAnsi="Times New Roman" w:cs="Times New Roman"/>
          <w:b/>
          <w:color w:val="2F5496" w:themeColor="accent5" w:themeShade="BF"/>
          <w:sz w:val="24"/>
          <w:szCs w:val="24"/>
        </w:rPr>
        <w:t>Н</w:t>
      </w:r>
      <w:r w:rsidR="006C0743" w:rsidRPr="00496500">
        <w:rPr>
          <w:rFonts w:ascii="Times New Roman" w:hAnsi="Times New Roman" w:cs="Times New Roman"/>
          <w:b/>
          <w:color w:val="2F5496" w:themeColor="accent5" w:themeShade="BF"/>
          <w:sz w:val="24"/>
          <w:szCs w:val="24"/>
        </w:rPr>
        <w:t>ормативна рамка</w:t>
      </w:r>
    </w:p>
    <w:p w14:paraId="789E03E4"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Развитие на нормативната уредба в областта на оперативната съвместимост, включително оперативна съвместимост на данни, за да се постигнат целите, заложени в Референтната архитектура и Националната рамка за оперативна съвместимост за създаването на координирана и ефективна система за електронно управление, която да улесни комуникацията и взаимодействието между различните административни структури, бизнеса и гражданите, чрез налагане на стандарти, единни модели, градивни блокове при проектирането и изграждането на оперативно съвместими решения „от край до край“, шаблони на споразумения за ниво на обслужване в администрациите, и други. </w:t>
      </w:r>
    </w:p>
    <w:p w14:paraId="61083D02"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В изпълнение на задълженията, произтичащи от Акт за управление на данните (АУД) и Акт за данните (АД) България следва да определи набора от административни и/или нормативни мерки, гарантиращи прилагането на регламентите, допринасящи за създаването и функционирането на единния европейски пазар на данните.</w:t>
      </w:r>
    </w:p>
    <w:p w14:paraId="1419673F"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Като първа стъпка е въвеждането на законови мерки, свързани с прилагането на АД и АУД по отношение на споделянето на данни и посреднически услуги между притежатели на данни и потенциални ползватели на данни и с алтруистичното споделяне на данни.</w:t>
      </w:r>
    </w:p>
    <w:p w14:paraId="2D9A967B"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В ЗИД на ЗДОИ се въвеждат и изисквания за посредници на данни и алтруистично споделяне на данни. Тази регламентация разширяват обхвата на закона с услуги, свързани са данни, генерирани, събирани и обработвани не само в публичния сектор. Въвеждането на глава/раздели за посреднически услуги и алтруизъм по отношение на данните, ще изисква промяна в обхвата и предмета на закона и изменение и допълнение на първа глава от него. </w:t>
      </w:r>
    </w:p>
    <w:p w14:paraId="1E8BC82C"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В съответните раздели следва да се регламентира:</w:t>
      </w:r>
    </w:p>
    <w:p w14:paraId="738B1181" w14:textId="77777777" w:rsidR="006C0743" w:rsidRPr="00496500" w:rsidRDefault="006C0743"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компетентният орган за посреднически услуги (чл.13 от АУД);</w:t>
      </w:r>
    </w:p>
    <w:p w14:paraId="392B73AE" w14:textId="77777777" w:rsidR="006C0743" w:rsidRPr="00496500" w:rsidRDefault="006C0743"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редът и условията за изпращане на уведомления от доставчиците на посреднически услуги до компетентния орган за посреднически услуги, без да се повтарят изискванията на регламента;</w:t>
      </w:r>
    </w:p>
    <w:p w14:paraId="5301B0C1" w14:textId="77777777" w:rsidR="006C0743" w:rsidRPr="00496500" w:rsidRDefault="006C0743"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компетентният орган за регистрация на организации за алтруистично споделяне на данни (чл.</w:t>
      </w:r>
      <w:r w:rsidR="00A048DA" w:rsidRPr="00496500">
        <w:rPr>
          <w:rFonts w:ascii="Times New Roman" w:eastAsia="Calibri" w:hAnsi="Times New Roman" w:cs="Times New Roman"/>
          <w:bCs/>
          <w:sz w:val="24"/>
          <w:szCs w:val="24"/>
        </w:rPr>
        <w:t xml:space="preserve"> </w:t>
      </w:r>
      <w:r w:rsidRPr="00496500">
        <w:rPr>
          <w:rFonts w:ascii="Times New Roman" w:eastAsia="Calibri" w:hAnsi="Times New Roman" w:cs="Times New Roman"/>
          <w:bCs/>
          <w:sz w:val="24"/>
          <w:szCs w:val="24"/>
        </w:rPr>
        <w:t xml:space="preserve">23 от АУД) и водене на публичен национален регистър на признатите организации за алтруистично споделяне на данни. </w:t>
      </w:r>
    </w:p>
    <w:p w14:paraId="02E6AE17"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В Закона за достъп до информация (ЗДОИ) следва да се въведат изисквания за посредници на данни и алтруистично споделяне на данни. Тази регламентация разширяват обхвата на закона с услуги, свързани са данни, генерирани, събирани и обработвани не само в публичния сектор. Въвеждането на глава/раздели за посреднически услуги и алтруизъм по отношение на данните, ще изисква промяна в обхвата и предмета на закона и изменение и допълнение на първа глава от него. </w:t>
      </w:r>
    </w:p>
    <w:p w14:paraId="66B150E4"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В съответните раздели следва да се регламентира:</w:t>
      </w:r>
    </w:p>
    <w:p w14:paraId="3B791EEF" w14:textId="1434331B" w:rsidR="006C0743" w:rsidRPr="00496500" w:rsidRDefault="006C0743"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компетентният орган за посреднически услуги (чл.</w:t>
      </w:r>
      <w:r w:rsidR="00DE3D40">
        <w:rPr>
          <w:rFonts w:ascii="Times New Roman" w:eastAsia="Calibri" w:hAnsi="Times New Roman" w:cs="Times New Roman"/>
          <w:bCs/>
          <w:sz w:val="24"/>
          <w:szCs w:val="24"/>
        </w:rPr>
        <w:t xml:space="preserve"> </w:t>
      </w:r>
      <w:r w:rsidRPr="00496500">
        <w:rPr>
          <w:rFonts w:ascii="Times New Roman" w:eastAsia="Calibri" w:hAnsi="Times New Roman" w:cs="Times New Roman"/>
          <w:bCs/>
          <w:sz w:val="24"/>
          <w:szCs w:val="24"/>
        </w:rPr>
        <w:t>13 от АУД);</w:t>
      </w:r>
    </w:p>
    <w:p w14:paraId="30A49B14" w14:textId="77777777" w:rsidR="006C0743" w:rsidRPr="00496500" w:rsidRDefault="006C0743"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lastRenderedPageBreak/>
        <w:t>редът и условията за изпращане на уведомления от доставчиците на посреднически услуги до компетентния орган за посреднически услуги, без да се повтарят изискванията на регламента;</w:t>
      </w:r>
    </w:p>
    <w:p w14:paraId="35DE2974" w14:textId="0F9DBE66" w:rsidR="006C0743" w:rsidRPr="00496500" w:rsidRDefault="006C0743"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компетентният орган за регистрация на организации за алтруистично споделяне на данни (чл.</w:t>
      </w:r>
      <w:r w:rsidR="00DE3D40">
        <w:rPr>
          <w:rFonts w:ascii="Times New Roman" w:eastAsia="Calibri" w:hAnsi="Times New Roman" w:cs="Times New Roman"/>
          <w:bCs/>
          <w:sz w:val="24"/>
          <w:szCs w:val="24"/>
        </w:rPr>
        <w:t xml:space="preserve"> </w:t>
      </w:r>
      <w:r w:rsidRPr="00496500">
        <w:rPr>
          <w:rFonts w:ascii="Times New Roman" w:eastAsia="Calibri" w:hAnsi="Times New Roman" w:cs="Times New Roman"/>
          <w:bCs/>
          <w:sz w:val="24"/>
          <w:szCs w:val="24"/>
        </w:rPr>
        <w:t>23 от АУД) и водене на публичен национален регистър на признатите организации за алтруистично споделяне на данни.</w:t>
      </w:r>
    </w:p>
    <w:p w14:paraId="26E92328"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Въпросите за осигуряване на оперативна съвместимост на данните или посредническите услуги, се решават от разпоредбите на АУД и в бъдещи делегирани актове на Комисията.</w:t>
      </w:r>
    </w:p>
    <w:p w14:paraId="58F66B1B"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Също така ЗДОИ следва се измени и допълни с нарушенията и санкциите, предвидени в АУД.</w:t>
      </w:r>
    </w:p>
    <w:p w14:paraId="0077BFC8"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АД е с голям принос за доброто функциониране на вътрешния пазар на данни и има отношение към много сектори на правото на ЕС, а именно: защита на личните данни, защита на конкуренцията, защита на потребителите, цифровите пазари и услуги и др. </w:t>
      </w:r>
    </w:p>
    <w:p w14:paraId="0D050E63"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Национална уредба на обхванатите от предмета и обхвата АД или отсъства, или се подчинява на хоризонталните правила за осъществяване на икономическа дейност, за производство и предлагане на стоки и услуги, в т.ч. свързани. Секторно законодателство за данните, произвеждани и/или съхранявани в частния сектор няма. </w:t>
      </w:r>
    </w:p>
    <w:p w14:paraId="16059E52" w14:textId="77777777" w:rsidR="006C0743" w:rsidRPr="00496500" w:rsidRDefault="006C0743" w:rsidP="003B412E">
      <w:pPr>
        <w:spacing w:after="120" w:line="240" w:lineRule="auto"/>
        <w:ind w:firstLine="720"/>
        <w:jc w:val="both"/>
        <w:rPr>
          <w:rFonts w:ascii="Times New Roman" w:hAnsi="Times New Roman" w:cs="Times New Roman"/>
          <w:sz w:val="24"/>
          <w:szCs w:val="24"/>
        </w:rPr>
      </w:pPr>
      <w:r w:rsidRPr="00496500">
        <w:rPr>
          <w:rFonts w:ascii="Times New Roman" w:eastAsia="Calibri" w:hAnsi="Times New Roman" w:cs="Times New Roman"/>
          <w:kern w:val="2"/>
          <w:sz w:val="24"/>
          <w:szCs w:val="24"/>
        </w:rPr>
        <w:t>За да се осигури пълното прилагане на Акта за данните се изисква различна по своя обхват и интензивност намеса на национално ниво в много области, уреждащи предимно отношения (права и задължения) между частни субекти. Във връзка с изискването компетентните органи да гарантират, че нарушенията на задълженията, предвидени в</w:t>
      </w:r>
      <w:r w:rsidRPr="00496500">
        <w:rPr>
          <w:rFonts w:ascii="Times New Roman" w:hAnsi="Times New Roman" w:cs="Times New Roman"/>
          <w:sz w:val="24"/>
          <w:szCs w:val="24"/>
        </w:rPr>
        <w:t xml:space="preserve"> регламента, се санкционират е необходимо да се осигури законова делегация за изпълнението му.</w:t>
      </w:r>
    </w:p>
    <w:p w14:paraId="70977129" w14:textId="77777777" w:rsidR="0026657A" w:rsidRPr="00496500" w:rsidRDefault="0026657A" w:rsidP="0026657A">
      <w:pPr>
        <w:spacing w:after="120" w:line="240" w:lineRule="auto"/>
        <w:ind w:firstLine="720"/>
        <w:jc w:val="both"/>
        <w:rPr>
          <w:rFonts w:ascii="Times New Roman" w:hAnsi="Times New Roman" w:cs="Times New Roman"/>
          <w:sz w:val="24"/>
          <w:szCs w:val="24"/>
        </w:rPr>
      </w:pPr>
      <w:r w:rsidRPr="00496500">
        <w:rPr>
          <w:rFonts w:ascii="Times New Roman" w:hAnsi="Times New Roman" w:cs="Times New Roman"/>
          <w:sz w:val="24"/>
          <w:szCs w:val="24"/>
        </w:rPr>
        <w:t>По отношение на МИС е необходимо да бъде приет изготвеният през 2024 г. Закон за изменение и допълнение на Закона за киберсигурност.</w:t>
      </w:r>
    </w:p>
    <w:p w14:paraId="7CDD3162" w14:textId="77777777" w:rsidR="00F42ED6" w:rsidRPr="00496500" w:rsidRDefault="00F42ED6" w:rsidP="0026657A">
      <w:pPr>
        <w:spacing w:after="120" w:line="240" w:lineRule="auto"/>
        <w:ind w:firstLine="720"/>
        <w:jc w:val="both"/>
        <w:rPr>
          <w:rFonts w:ascii="Times New Roman" w:hAnsi="Times New Roman" w:cs="Times New Roman"/>
          <w:sz w:val="24"/>
          <w:szCs w:val="24"/>
        </w:rPr>
      </w:pPr>
    </w:p>
    <w:p w14:paraId="4CBC6C05" w14:textId="77777777" w:rsidR="006C0743" w:rsidRPr="00496500" w:rsidRDefault="00CD4211" w:rsidP="003B412E">
      <w:pPr>
        <w:numPr>
          <w:ilvl w:val="0"/>
          <w:numId w:val="13"/>
        </w:numPr>
        <w:spacing w:after="120" w:line="240" w:lineRule="auto"/>
        <w:ind w:left="1080"/>
        <w:rPr>
          <w:rFonts w:ascii="Times New Roman" w:hAnsi="Times New Roman" w:cs="Times New Roman"/>
          <w:b/>
          <w:color w:val="2F5496" w:themeColor="accent5" w:themeShade="BF"/>
          <w:sz w:val="24"/>
          <w:szCs w:val="24"/>
        </w:rPr>
      </w:pPr>
      <w:r w:rsidRPr="00496500">
        <w:rPr>
          <w:rFonts w:ascii="Times New Roman" w:hAnsi="Times New Roman" w:cs="Times New Roman"/>
          <w:b/>
          <w:color w:val="2F5496" w:themeColor="accent5" w:themeShade="BF"/>
          <w:sz w:val="24"/>
          <w:szCs w:val="24"/>
        </w:rPr>
        <w:t>Т</w:t>
      </w:r>
      <w:r w:rsidR="006C0743" w:rsidRPr="00496500">
        <w:rPr>
          <w:rFonts w:ascii="Times New Roman" w:hAnsi="Times New Roman" w:cs="Times New Roman"/>
          <w:b/>
          <w:color w:val="2F5496" w:themeColor="accent5" w:themeShade="BF"/>
          <w:sz w:val="24"/>
          <w:szCs w:val="24"/>
        </w:rPr>
        <w:t>ехнологии и инфраструктура</w:t>
      </w:r>
    </w:p>
    <w:p w14:paraId="7388D98D" w14:textId="77777777" w:rsidR="006C0743" w:rsidRPr="00496500" w:rsidRDefault="006C0743" w:rsidP="002558C4">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Изключителната динамика в развитието на ИКТ, институционализирането на политиката за електронно управление, информационни технологии и информационно общество, както и напредъкът по приоритетите и инициативите за цифрова трансформация в международен план, налагат разработването на политика за развитие на информационните ресурси, която да бъде съобразена и с предизвикателствата, очертани от текущото състояние информационните ресурси в публичния сектор. Това предполага да бъде изготвена единна политика по отношение на информационните ресурси в публичния сектор, която да насочва към съответните правила, стандарти и процедури за развитие и управление на информационните ресурси.</w:t>
      </w:r>
      <w:r w:rsidR="002558C4" w:rsidRPr="00496500">
        <w:rPr>
          <w:rFonts w:ascii="Times New Roman" w:eastAsia="Calibri" w:hAnsi="Times New Roman" w:cs="Times New Roman"/>
          <w:kern w:val="2"/>
          <w:sz w:val="24"/>
          <w:szCs w:val="24"/>
        </w:rPr>
        <w:t xml:space="preserve"> Необходимо е и актуализиране на Архитектурата на електронното управление в Република България.</w:t>
      </w:r>
    </w:p>
    <w:p w14:paraId="640ED8FA" w14:textId="77777777" w:rsidR="002558C4" w:rsidRPr="00496500" w:rsidRDefault="002558C4" w:rsidP="007A0F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За да се гарантира непрекъснатото и защитено функциониране на системите за електронно управление и </w:t>
      </w:r>
      <w:r w:rsidR="00AA68D1" w:rsidRPr="00496500">
        <w:rPr>
          <w:rFonts w:ascii="Times New Roman" w:eastAsia="Calibri" w:hAnsi="Times New Roman" w:cs="Times New Roman"/>
          <w:kern w:val="2"/>
          <w:sz w:val="24"/>
          <w:szCs w:val="24"/>
        </w:rPr>
        <w:t>цифрова</w:t>
      </w:r>
      <w:r w:rsidRPr="00496500">
        <w:rPr>
          <w:rFonts w:ascii="Times New Roman" w:eastAsia="Calibri" w:hAnsi="Times New Roman" w:cs="Times New Roman"/>
          <w:kern w:val="2"/>
          <w:sz w:val="24"/>
          <w:szCs w:val="24"/>
        </w:rPr>
        <w:t>та трансформация, административните органи е необходимо при разработването, поддръжката и развитието на информационните си системи да се ръководят от общоприети стандарти за разработка, управление и поддръжка. За осъществяването на тези цели е необходимо и стратегическо планиране, както на дейностите, така и на бюджета, което да гарантира не само разработването, но и последващата поддръжка на тези системи. Необходимо е въвеждане на подход на отчитане на всички разходи, които съпътстват жизнения цикъл на всеки информационен ресурс.</w:t>
      </w:r>
    </w:p>
    <w:p w14:paraId="28A6D83F" w14:textId="77777777" w:rsidR="002558C4" w:rsidRPr="00496500" w:rsidRDefault="002558C4" w:rsidP="007A0F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Възможните решения в областта на технологиите и инфраструктурата включват:</w:t>
      </w:r>
    </w:p>
    <w:p w14:paraId="23C2B22B" w14:textId="77777777" w:rsidR="0095746B"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lastRenderedPageBreak/>
        <w:t xml:space="preserve">ускорено </w:t>
      </w:r>
      <w:r w:rsidR="0095746B" w:rsidRPr="00496500">
        <w:rPr>
          <w:rFonts w:ascii="Times New Roman" w:eastAsia="Calibri" w:hAnsi="Times New Roman" w:cs="Times New Roman"/>
          <w:bCs/>
          <w:sz w:val="24"/>
          <w:szCs w:val="24"/>
        </w:rPr>
        <w:t xml:space="preserve">внедряване на проекти за развитие на широколентовия достъп до интернет на територията на цялата страна; </w:t>
      </w:r>
    </w:p>
    <w:p w14:paraId="7F39E7D2" w14:textId="77777777" w:rsidR="0095746B"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усъвършенстване </w:t>
      </w:r>
      <w:r w:rsidR="0095746B" w:rsidRPr="00496500">
        <w:rPr>
          <w:rFonts w:ascii="Times New Roman" w:eastAsia="Calibri" w:hAnsi="Times New Roman" w:cs="Times New Roman"/>
          <w:bCs/>
          <w:sz w:val="24"/>
          <w:szCs w:val="24"/>
        </w:rPr>
        <w:t>на нормативната уредба и намаляв</w:t>
      </w:r>
      <w:r w:rsidR="004F3673" w:rsidRPr="00496500">
        <w:rPr>
          <w:rFonts w:ascii="Times New Roman" w:eastAsia="Calibri" w:hAnsi="Times New Roman" w:cs="Times New Roman"/>
          <w:bCs/>
          <w:sz w:val="24"/>
          <w:szCs w:val="24"/>
        </w:rPr>
        <w:t>ане на административната тежест;</w:t>
      </w:r>
    </w:p>
    <w:p w14:paraId="6B7F5913" w14:textId="77777777" w:rsidR="006C0743"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по </w:t>
      </w:r>
      <w:r w:rsidR="006C0743" w:rsidRPr="00496500">
        <w:rPr>
          <w:rFonts w:ascii="Times New Roman" w:eastAsia="Calibri" w:hAnsi="Times New Roman" w:cs="Times New Roman"/>
          <w:bCs/>
          <w:sz w:val="24"/>
          <w:szCs w:val="24"/>
        </w:rPr>
        <w:t>отношение на електронната идентификация и автентикация с приемането на eIDAS 2.0 (Регламент (ЕС) 2024/1183) България следва да изгради свой ЕПЦС до края на 2026 г. За целта следва да се:</w:t>
      </w:r>
    </w:p>
    <w:p w14:paraId="0F891C6D" w14:textId="77777777" w:rsidR="006C0743" w:rsidRPr="00496500" w:rsidRDefault="006C0743" w:rsidP="001C0068">
      <w:pPr>
        <w:pStyle w:val="ListParagraph"/>
        <w:numPr>
          <w:ilvl w:val="0"/>
          <w:numId w:val="44"/>
        </w:numPr>
        <w:spacing w:after="120" w:line="240" w:lineRule="auto"/>
        <w:ind w:left="1418" w:hanging="283"/>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актуализира и адаптира приложимото национално законодателство;</w:t>
      </w:r>
    </w:p>
    <w:p w14:paraId="1A143214" w14:textId="77777777" w:rsidR="006C0743" w:rsidRPr="00496500" w:rsidRDefault="006C0743" w:rsidP="001C0068">
      <w:pPr>
        <w:pStyle w:val="ListParagraph"/>
        <w:numPr>
          <w:ilvl w:val="0"/>
          <w:numId w:val="44"/>
        </w:numPr>
        <w:spacing w:after="120" w:line="240" w:lineRule="auto"/>
        <w:ind w:left="1418" w:hanging="283"/>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осигури финансов ресурс за изграждане на ЕПЦС</w:t>
      </w:r>
      <w:r w:rsidR="005B7A79" w:rsidRPr="00496500">
        <w:rPr>
          <w:rFonts w:ascii="Times New Roman" w:eastAsia="Calibri" w:hAnsi="Times New Roman" w:cs="Times New Roman"/>
          <w:bCs/>
          <w:sz w:val="24"/>
          <w:szCs w:val="24"/>
        </w:rPr>
        <w:t>;</w:t>
      </w:r>
      <w:r w:rsidRPr="00496500">
        <w:rPr>
          <w:rFonts w:ascii="Times New Roman" w:eastAsia="Calibri" w:hAnsi="Times New Roman" w:cs="Times New Roman"/>
          <w:bCs/>
          <w:sz w:val="24"/>
          <w:szCs w:val="24"/>
        </w:rPr>
        <w:t xml:space="preserve"> </w:t>
      </w:r>
    </w:p>
    <w:p w14:paraId="13D1F0C0" w14:textId="77777777" w:rsidR="006C0743" w:rsidRPr="00496500" w:rsidRDefault="006C0743" w:rsidP="001C0068">
      <w:pPr>
        <w:pStyle w:val="ListParagraph"/>
        <w:numPr>
          <w:ilvl w:val="0"/>
          <w:numId w:val="44"/>
        </w:numPr>
        <w:spacing w:after="120" w:line="240" w:lineRule="auto"/>
        <w:ind w:left="1418" w:hanging="283"/>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осигури интеграция на ЕПЦС със съществуващата национална инфраструктура</w:t>
      </w:r>
      <w:r w:rsidR="005B7A79" w:rsidRPr="00496500">
        <w:rPr>
          <w:rFonts w:ascii="Times New Roman" w:eastAsia="Calibri" w:hAnsi="Times New Roman" w:cs="Times New Roman"/>
          <w:bCs/>
          <w:sz w:val="24"/>
          <w:szCs w:val="24"/>
        </w:rPr>
        <w:t>;</w:t>
      </w:r>
    </w:p>
    <w:p w14:paraId="780DB42A" w14:textId="77777777" w:rsidR="006C0743" w:rsidRPr="00496500" w:rsidRDefault="006C0743" w:rsidP="001C0068">
      <w:pPr>
        <w:pStyle w:val="ListParagraph"/>
        <w:numPr>
          <w:ilvl w:val="0"/>
          <w:numId w:val="44"/>
        </w:numPr>
        <w:spacing w:after="120" w:line="240" w:lineRule="auto"/>
        <w:ind w:left="1418" w:hanging="283"/>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повиши обществената информираност за предимствата и ползите на ЕПЦС</w:t>
      </w:r>
      <w:r w:rsidR="005B7A79" w:rsidRPr="00496500">
        <w:rPr>
          <w:rFonts w:ascii="Times New Roman" w:eastAsia="Calibri" w:hAnsi="Times New Roman" w:cs="Times New Roman"/>
          <w:bCs/>
          <w:sz w:val="24"/>
          <w:szCs w:val="24"/>
        </w:rPr>
        <w:t>.</w:t>
      </w:r>
    </w:p>
    <w:p w14:paraId="40C594DC" w14:textId="77777777" w:rsidR="005B7A79"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подкрепа </w:t>
      </w:r>
      <w:r w:rsidR="005B7A79" w:rsidRPr="00496500">
        <w:rPr>
          <w:rFonts w:ascii="Times New Roman" w:eastAsia="Calibri" w:hAnsi="Times New Roman" w:cs="Times New Roman"/>
          <w:bCs/>
          <w:sz w:val="24"/>
          <w:szCs w:val="24"/>
        </w:rPr>
        <w:t>за внедряване на ИИ в бизнеса, с фокус върху МСП;</w:t>
      </w:r>
    </w:p>
    <w:p w14:paraId="76ECA172" w14:textId="77777777" w:rsidR="005B7A79"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изграждане </w:t>
      </w:r>
      <w:r w:rsidR="005B7A79" w:rsidRPr="00496500">
        <w:rPr>
          <w:rFonts w:ascii="Times New Roman" w:eastAsia="Calibri" w:hAnsi="Times New Roman" w:cs="Times New Roman"/>
          <w:bCs/>
          <w:sz w:val="24"/>
          <w:szCs w:val="24"/>
        </w:rPr>
        <w:t>на институционална рамка за прилагане на Акта за ИИ;</w:t>
      </w:r>
    </w:p>
    <w:p w14:paraId="6EFA9756" w14:textId="77777777" w:rsidR="005B7A79"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преодоляване </w:t>
      </w:r>
      <w:r w:rsidR="005B7A79" w:rsidRPr="00496500">
        <w:rPr>
          <w:rFonts w:ascii="Times New Roman" w:eastAsia="Calibri" w:hAnsi="Times New Roman" w:cs="Times New Roman"/>
          <w:bCs/>
          <w:sz w:val="24"/>
          <w:szCs w:val="24"/>
        </w:rPr>
        <w:t>на регионалните и социалните неравенства в достъпа до ИИ.</w:t>
      </w:r>
    </w:p>
    <w:p w14:paraId="1E8CA113" w14:textId="77777777" w:rsidR="00F84500" w:rsidRPr="00496500" w:rsidRDefault="00F84500" w:rsidP="00F84500">
      <w:pPr>
        <w:spacing w:after="120" w:line="240" w:lineRule="auto"/>
        <w:ind w:right="-2" w:firstLine="708"/>
        <w:jc w:val="both"/>
        <w:rPr>
          <w:rFonts w:ascii="Times New Roman" w:hAnsi="Times New Roman" w:cs="Times New Roman"/>
          <w:bCs/>
          <w:sz w:val="24"/>
          <w:szCs w:val="24"/>
        </w:rPr>
      </w:pPr>
      <w:r w:rsidRPr="00496500">
        <w:rPr>
          <w:rFonts w:ascii="Times New Roman" w:hAnsi="Times New Roman" w:cs="Times New Roman"/>
          <w:bCs/>
          <w:sz w:val="24"/>
          <w:szCs w:val="24"/>
        </w:rPr>
        <w:t>Като области с потенциал за развитие до 2030 г. могат да се посочат и „Умни градове и села“ – използване на периферни възли за локална обработка на данни от IoT сензори за трафик, въздух, отпадъци и енергийна ефективност;  електронно здравеопазване (eHealth) – периферни възли в болници за бърз анализ на медицински изображения и мониторинг в реално време; енергетика – локално управление на ВЕИ и електромобилни зарядни станции чрез edge технологии; транспорт и логистика – автономни системи за управление на трафик, базирани на периферна обработка.</w:t>
      </w:r>
    </w:p>
    <w:p w14:paraId="140C1FDC" w14:textId="77777777" w:rsidR="00F84500" w:rsidRPr="00496500" w:rsidRDefault="00F84500" w:rsidP="007A0F2E">
      <w:pPr>
        <w:spacing w:after="120" w:line="240" w:lineRule="auto"/>
        <w:ind w:left="720"/>
        <w:jc w:val="both"/>
        <w:rPr>
          <w:rFonts w:ascii="Times New Roman" w:eastAsia="Calibri" w:hAnsi="Times New Roman" w:cs="Times New Roman"/>
          <w:bCs/>
          <w:sz w:val="24"/>
          <w:szCs w:val="24"/>
        </w:rPr>
      </w:pPr>
    </w:p>
    <w:p w14:paraId="302EF91D" w14:textId="77777777" w:rsidR="006C0743" w:rsidRPr="00496500" w:rsidRDefault="004F3673" w:rsidP="003B412E">
      <w:pPr>
        <w:numPr>
          <w:ilvl w:val="0"/>
          <w:numId w:val="13"/>
        </w:numPr>
        <w:spacing w:after="120" w:line="240" w:lineRule="auto"/>
        <w:ind w:left="1080"/>
        <w:rPr>
          <w:rFonts w:ascii="Times New Roman" w:hAnsi="Times New Roman" w:cs="Times New Roman"/>
          <w:b/>
          <w:color w:val="2F5496" w:themeColor="accent5" w:themeShade="BF"/>
          <w:sz w:val="24"/>
          <w:szCs w:val="24"/>
        </w:rPr>
      </w:pPr>
      <w:r w:rsidRPr="00496500">
        <w:rPr>
          <w:rFonts w:ascii="Times New Roman" w:hAnsi="Times New Roman" w:cs="Times New Roman"/>
          <w:b/>
          <w:color w:val="2F5496" w:themeColor="accent5" w:themeShade="BF"/>
          <w:sz w:val="24"/>
          <w:szCs w:val="24"/>
        </w:rPr>
        <w:t>Д</w:t>
      </w:r>
      <w:r w:rsidR="006C0743" w:rsidRPr="00496500">
        <w:rPr>
          <w:rFonts w:ascii="Times New Roman" w:hAnsi="Times New Roman" w:cs="Times New Roman"/>
          <w:b/>
          <w:color w:val="2F5496" w:themeColor="accent5" w:themeShade="BF"/>
          <w:sz w:val="24"/>
          <w:szCs w:val="24"/>
        </w:rPr>
        <w:t xml:space="preserve">анни </w:t>
      </w:r>
    </w:p>
    <w:p w14:paraId="15179E3C"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Икономика, основана на данни, трябва да бъде изградена по такъв начин, че да се дава възможност на предприятията, по-специално на микро-, малките и средните предприятия (МСП) и на новосъздадените предприятия, да просперират. Те трябва да се развиват устойчиво и конкурентоспособно, като се гарантира неутралност на достъпа до данни, преносимост на данни и оперативна съвместимост и се избягва ефекта на зависимост.</w:t>
      </w:r>
    </w:p>
    <w:p w14:paraId="461E2F53"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Необходимо е да се насочат инвестиции в изцяло нови елементи на екосистемата на </w:t>
      </w:r>
      <w:r w:rsidR="00AA68D1" w:rsidRPr="00496500">
        <w:rPr>
          <w:rFonts w:ascii="Times New Roman" w:eastAsia="Calibri" w:hAnsi="Times New Roman" w:cs="Times New Roman"/>
          <w:kern w:val="2"/>
          <w:sz w:val="24"/>
          <w:szCs w:val="24"/>
        </w:rPr>
        <w:t>цифрови</w:t>
      </w:r>
      <w:r w:rsidRPr="00496500">
        <w:rPr>
          <w:rFonts w:ascii="Times New Roman" w:eastAsia="Calibri" w:hAnsi="Times New Roman" w:cs="Times New Roman"/>
          <w:kern w:val="2"/>
          <w:sz w:val="24"/>
          <w:szCs w:val="24"/>
        </w:rPr>
        <w:t>я публичен сектор, свързани с управлението на данните; платформа за интелигентно управление, базирано на данните; инструментариум и технологични средства за работа с данни (лични, нелични, смесени; чувствителни; свързани данни, големи данни, отворени данни, пространствени данни и др.).</w:t>
      </w:r>
    </w:p>
    <w:p w14:paraId="0F0A6097" w14:textId="77777777" w:rsidR="006C0743" w:rsidRPr="00496500" w:rsidRDefault="006C0743" w:rsidP="003B41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 xml:space="preserve">Следвайки политиката на ЕС България трябва също да подобри управленските си структури за обработването на данни и да увеличи масивите си от качествени данни, които са налични за използване и повторно използване. Крайната цел е стъпването на следващото ниво на развитие, а именно </w:t>
      </w:r>
      <w:r w:rsidR="00AA68D1" w:rsidRPr="00496500">
        <w:rPr>
          <w:rFonts w:ascii="Times New Roman" w:eastAsia="Calibri" w:hAnsi="Times New Roman" w:cs="Times New Roman"/>
          <w:kern w:val="2"/>
          <w:sz w:val="24"/>
          <w:szCs w:val="24"/>
        </w:rPr>
        <w:t>цифрова</w:t>
      </w:r>
      <w:r w:rsidRPr="00496500">
        <w:rPr>
          <w:rFonts w:ascii="Times New Roman" w:eastAsia="Calibri" w:hAnsi="Times New Roman" w:cs="Times New Roman"/>
          <w:kern w:val="2"/>
          <w:sz w:val="24"/>
          <w:szCs w:val="24"/>
        </w:rPr>
        <w:t xml:space="preserve">та трансформация на страната, в чиято основа са данните, събирани и създавани в публичния и частния сектор, използването и повторното им използване от всички заинтересовани страни – бизнес, научни организации, граждани, неправителствен сектор, администрация, както и тяхната сигурност. Новият подход изисква преминаване към следващото, по-високо ниво на повторно използване на резултатите от досегашните инициативи по отношение на данните и създаването на нови условия както за </w:t>
      </w:r>
      <w:r w:rsidRPr="00496500">
        <w:rPr>
          <w:rFonts w:ascii="Times New Roman" w:eastAsia="Calibri" w:hAnsi="Times New Roman" w:cs="Times New Roman"/>
          <w:kern w:val="2"/>
          <w:sz w:val="24"/>
          <w:szCs w:val="24"/>
        </w:rPr>
        <w:lastRenderedPageBreak/>
        <w:t>намиране, достъпност, оперативна съвместимост и повторна употреба на данните (FAIR Data), така и за тяхната сигурност и надеждно съхранение във виртуалното пространство.</w:t>
      </w:r>
    </w:p>
    <w:p w14:paraId="1C2847BD" w14:textId="77777777" w:rsidR="00472D96" w:rsidRPr="00496500" w:rsidRDefault="00472D96" w:rsidP="003B412E">
      <w:pPr>
        <w:spacing w:after="120" w:line="240" w:lineRule="auto"/>
        <w:ind w:firstLine="720"/>
        <w:jc w:val="both"/>
        <w:rPr>
          <w:rFonts w:ascii="Times New Roman" w:eastAsia="Calibri" w:hAnsi="Times New Roman" w:cs="Times New Roman"/>
          <w:kern w:val="2"/>
          <w:sz w:val="24"/>
          <w:szCs w:val="24"/>
        </w:rPr>
      </w:pPr>
    </w:p>
    <w:p w14:paraId="5054F10E" w14:textId="77777777" w:rsidR="006C0743" w:rsidRPr="00496500" w:rsidRDefault="004F3673" w:rsidP="003B412E">
      <w:pPr>
        <w:numPr>
          <w:ilvl w:val="0"/>
          <w:numId w:val="13"/>
        </w:numPr>
        <w:spacing w:after="120" w:line="240" w:lineRule="auto"/>
        <w:ind w:left="1080"/>
        <w:rPr>
          <w:rFonts w:ascii="Times New Roman" w:hAnsi="Times New Roman" w:cs="Times New Roman"/>
          <w:b/>
          <w:color w:val="2F5496" w:themeColor="accent5" w:themeShade="BF"/>
          <w:sz w:val="24"/>
          <w:szCs w:val="24"/>
        </w:rPr>
      </w:pPr>
      <w:r w:rsidRPr="00496500">
        <w:rPr>
          <w:rFonts w:ascii="Times New Roman" w:hAnsi="Times New Roman" w:cs="Times New Roman"/>
          <w:b/>
          <w:color w:val="2F5496" w:themeColor="accent5" w:themeShade="BF"/>
          <w:sz w:val="24"/>
          <w:szCs w:val="24"/>
        </w:rPr>
        <w:t>М</w:t>
      </w:r>
      <w:r w:rsidR="006C0743" w:rsidRPr="00496500">
        <w:rPr>
          <w:rFonts w:ascii="Times New Roman" w:hAnsi="Times New Roman" w:cs="Times New Roman"/>
          <w:b/>
          <w:color w:val="2F5496" w:themeColor="accent5" w:themeShade="BF"/>
          <w:sz w:val="24"/>
          <w:szCs w:val="24"/>
        </w:rPr>
        <w:t>режова и информационна сигурност</w:t>
      </w:r>
    </w:p>
    <w:p w14:paraId="65B0864B" w14:textId="77777777" w:rsidR="00C96462" w:rsidRPr="00496500" w:rsidRDefault="00C96462" w:rsidP="007A0F2E">
      <w:pPr>
        <w:spacing w:after="120" w:line="240" w:lineRule="auto"/>
        <w:ind w:left="72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В областта на МИС възможни решения биха били:</w:t>
      </w:r>
    </w:p>
    <w:p w14:paraId="401CCDC7" w14:textId="77777777" w:rsidR="00020EDE" w:rsidRPr="00496500" w:rsidRDefault="00020EDE"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изграждането на Национална система за киберсигурност, базирана на инструментариум и решения за постигане на високо ниво на мрежова и информационна сигурност. Тя трябва да осигури ефективна киберзащита и да подпомага укрепване възможностите на мрежите и системите в държавата за противодействие срещу кибератаки от престъпници, кибертерористи, хактивисти и дори държавно-спонсорирани играчи;</w:t>
      </w:r>
    </w:p>
    <w:p w14:paraId="2C0F1FAA" w14:textId="77777777" w:rsidR="00020EDE" w:rsidRPr="00496500" w:rsidRDefault="00020EDE"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необходимостта от допълнителни мерки за автоматизиране на процеса по мониторинг и реакция на заплахи и нежелани събития, с цел повишаване на цялостната киберсигурност в публичния сектор</w:t>
      </w:r>
      <w:r w:rsidR="00C96462" w:rsidRPr="00496500">
        <w:rPr>
          <w:rFonts w:ascii="Times New Roman" w:eastAsia="Calibri" w:hAnsi="Times New Roman" w:cs="Times New Roman"/>
          <w:bCs/>
          <w:sz w:val="24"/>
          <w:szCs w:val="24"/>
        </w:rPr>
        <w:t>;</w:t>
      </w:r>
    </w:p>
    <w:p w14:paraId="5B3E8476" w14:textId="77777777" w:rsidR="006C0743" w:rsidRPr="00496500" w:rsidRDefault="00C96462" w:rsidP="007A0F2E">
      <w:pPr>
        <w:pStyle w:val="ListParagraph"/>
        <w:numPr>
          <w:ilvl w:val="0"/>
          <w:numId w:val="38"/>
        </w:numPr>
        <w:spacing w:after="120" w:line="240" w:lineRule="auto"/>
        <w:ind w:left="1080"/>
        <w:contextualSpacing w:val="0"/>
        <w:jc w:val="both"/>
        <w:rPr>
          <w:rFonts w:ascii="Times New Roman" w:eastAsia="Calibri" w:hAnsi="Times New Roman" w:cs="Times New Roman"/>
          <w:bCs/>
          <w:sz w:val="24"/>
          <w:szCs w:val="24"/>
        </w:rPr>
      </w:pPr>
      <w:r w:rsidRPr="00496500">
        <w:rPr>
          <w:rFonts w:ascii="Times New Roman" w:eastAsia="Calibri" w:hAnsi="Times New Roman" w:cs="Times New Roman"/>
          <w:bCs/>
          <w:sz w:val="24"/>
          <w:szCs w:val="24"/>
        </w:rPr>
        <w:t xml:space="preserve">доизграждане </w:t>
      </w:r>
      <w:r w:rsidR="00020EDE" w:rsidRPr="00496500">
        <w:rPr>
          <w:rFonts w:ascii="Times New Roman" w:eastAsia="Calibri" w:hAnsi="Times New Roman" w:cs="Times New Roman"/>
          <w:bCs/>
          <w:sz w:val="24"/>
          <w:szCs w:val="24"/>
        </w:rPr>
        <w:t>на Национален координационен център</w:t>
      </w:r>
      <w:r w:rsidRPr="00496500">
        <w:rPr>
          <w:rFonts w:ascii="Times New Roman" w:eastAsia="Calibri" w:hAnsi="Times New Roman" w:cs="Times New Roman"/>
          <w:bCs/>
          <w:sz w:val="24"/>
          <w:szCs w:val="24"/>
        </w:rPr>
        <w:t>,</w:t>
      </w:r>
      <w:r w:rsidR="00020EDE" w:rsidRPr="00496500">
        <w:rPr>
          <w:rFonts w:ascii="Times New Roman" w:eastAsia="Calibri" w:hAnsi="Times New Roman" w:cs="Times New Roman"/>
          <w:bCs/>
          <w:sz w:val="24"/>
          <w:szCs w:val="24"/>
        </w:rPr>
        <w:t xml:space="preserve"> като национален информационен хъб, предоставящ възможности за финансиране, развитие на знания и иновации в областта на киберсигурността. Центърът ще подпомага изграждането на капацитет и ще насърчава сътрудничеството между публичния и частния сектор, както и академичната общност в цяла Европа.</w:t>
      </w:r>
    </w:p>
    <w:p w14:paraId="086C9C8E" w14:textId="77777777" w:rsidR="006D1888" w:rsidRPr="00496500" w:rsidRDefault="006D1888" w:rsidP="007A0F2E">
      <w:pPr>
        <w:spacing w:after="120" w:line="240" w:lineRule="auto"/>
        <w:jc w:val="both"/>
        <w:rPr>
          <w:rFonts w:ascii="Times New Roman" w:eastAsia="Calibri" w:hAnsi="Times New Roman" w:cs="Times New Roman"/>
          <w:b/>
          <w:kern w:val="2"/>
          <w:sz w:val="24"/>
          <w:szCs w:val="24"/>
        </w:rPr>
      </w:pPr>
      <w:r w:rsidRPr="00496500">
        <w:rPr>
          <w:rFonts w:ascii="Times New Roman" w:eastAsia="Calibri" w:hAnsi="Times New Roman" w:cs="Times New Roman"/>
          <w:b/>
          <w:kern w:val="2"/>
          <w:sz w:val="24"/>
          <w:szCs w:val="24"/>
        </w:rPr>
        <w:t>Ресурси</w:t>
      </w:r>
    </w:p>
    <w:p w14:paraId="49BEA676" w14:textId="77777777" w:rsidR="00917389" w:rsidRPr="00496500" w:rsidRDefault="00917389" w:rsidP="007A0F2E">
      <w:pPr>
        <w:spacing w:after="120" w:line="240" w:lineRule="auto"/>
        <w:ind w:firstLine="720"/>
        <w:jc w:val="both"/>
        <w:rPr>
          <w:rFonts w:ascii="Times New Roman" w:eastAsia="Calibri" w:hAnsi="Times New Roman" w:cs="Times New Roman"/>
          <w:kern w:val="2"/>
          <w:sz w:val="24"/>
          <w:szCs w:val="24"/>
        </w:rPr>
      </w:pPr>
      <w:r w:rsidRPr="00496500">
        <w:rPr>
          <w:rFonts w:ascii="Times New Roman" w:eastAsia="Calibri" w:hAnsi="Times New Roman" w:cs="Times New Roman"/>
          <w:kern w:val="2"/>
          <w:sz w:val="24"/>
          <w:szCs w:val="24"/>
        </w:rPr>
        <w:t>Оценката на наличните ресурси се основава единствено на данни и информация</w:t>
      </w:r>
      <w:r w:rsidR="006D1888" w:rsidRPr="00496500">
        <w:rPr>
          <w:rFonts w:ascii="Times New Roman" w:eastAsia="Calibri" w:hAnsi="Times New Roman" w:cs="Times New Roman"/>
          <w:kern w:val="2"/>
          <w:sz w:val="24"/>
          <w:szCs w:val="24"/>
        </w:rPr>
        <w:t xml:space="preserve"> за административните органи, събирана по реда на чл. 7г от ЗЕУ и в рамките на ежегодната бюджетна процедура за контрол по целесъобразност в областта на е-управление и използването на ИКТ. </w:t>
      </w:r>
    </w:p>
    <w:p w14:paraId="3204E385" w14:textId="11E7F2F2" w:rsidR="00917389" w:rsidRPr="00496500" w:rsidRDefault="006D1888" w:rsidP="003679A6">
      <w:pPr>
        <w:spacing w:after="120" w:line="240" w:lineRule="auto"/>
        <w:ind w:firstLine="720"/>
        <w:jc w:val="both"/>
        <w:rPr>
          <w:rFonts w:ascii="Times New Roman" w:eastAsia="Calibri" w:hAnsi="Times New Roman" w:cs="Times New Roman"/>
          <w:bCs/>
          <w:sz w:val="24"/>
          <w:szCs w:val="24"/>
        </w:rPr>
      </w:pPr>
      <w:r w:rsidRPr="00496500">
        <w:rPr>
          <w:rFonts w:ascii="Times New Roman" w:eastAsia="Calibri" w:hAnsi="Times New Roman" w:cs="Times New Roman"/>
          <w:kern w:val="2"/>
          <w:sz w:val="24"/>
          <w:szCs w:val="24"/>
        </w:rPr>
        <w:t>Данните от информационната система за извършване на предварителен, текущ и последващ контрол по целесъобразност, събрани във връзка с подготовката и представянето на проектобюджетите на първостепенните разпоредители с бюджет от централната администрация за 2025 г. и актуализираните им бюджетни прогнози за 2026</w:t>
      </w:r>
      <w:r w:rsidR="00E555B7">
        <w:rPr>
          <w:rFonts w:ascii="Times New Roman" w:eastAsia="Calibri" w:hAnsi="Times New Roman" w:cs="Times New Roman"/>
          <w:kern w:val="2"/>
          <w:sz w:val="24"/>
          <w:szCs w:val="24"/>
        </w:rPr>
        <w:t xml:space="preserve"> </w:t>
      </w:r>
      <w:r w:rsidR="00E555B7">
        <w:rPr>
          <w:rFonts w:ascii="Times New Roman" w:eastAsia="Calibri" w:hAnsi="Times New Roman" w:cs="Times New Roman"/>
          <w:kern w:val="2"/>
          <w:sz w:val="24"/>
          <w:szCs w:val="24"/>
        </w:rPr>
        <w:sym w:font="Symbol" w:char="F02D"/>
      </w:r>
      <w:r w:rsidR="00E555B7">
        <w:rPr>
          <w:rFonts w:ascii="Times New Roman" w:eastAsia="Calibri" w:hAnsi="Times New Roman" w:cs="Times New Roman"/>
          <w:kern w:val="2"/>
          <w:sz w:val="24"/>
          <w:szCs w:val="24"/>
        </w:rPr>
        <w:t xml:space="preserve"> </w:t>
      </w:r>
      <w:r w:rsidRPr="00496500">
        <w:rPr>
          <w:rFonts w:ascii="Times New Roman" w:eastAsia="Calibri" w:hAnsi="Times New Roman" w:cs="Times New Roman"/>
          <w:kern w:val="2"/>
          <w:sz w:val="24"/>
          <w:szCs w:val="24"/>
        </w:rPr>
        <w:t xml:space="preserve">2028 г., са съгласувани по целесъобразност целеви средства за е-управление и ИКТ за 2025 г., в размер на 690 974 729 лв. Изводът е, че административните органи не планират реалистично разходите си за ИКТ и електронно управление, които са в състояние да усвоят, тъй като за настоящата 2025 г. са заложени разходи, които са с 234% по-високи от отчетените като изразходени през предходната година (2024 г.). Според въведените стойности, общата сума за необходимите за обновяване на ИКТ ресурси средства за текущия четиригодишен период, възлиза на 3 782 722 938 лева. </w:t>
      </w:r>
    </w:p>
    <w:p w14:paraId="00993951" w14:textId="77777777" w:rsidR="00280DB2" w:rsidRPr="00496500" w:rsidRDefault="00280DB2" w:rsidP="00210A8E">
      <w:pPr>
        <w:pStyle w:val="ListParagraph"/>
        <w:spacing w:after="120" w:line="240" w:lineRule="auto"/>
        <w:ind w:left="1418"/>
        <w:contextualSpacing w:val="0"/>
        <w:jc w:val="both"/>
        <w:rPr>
          <w:rFonts w:ascii="Times New Roman" w:eastAsia="Calibri" w:hAnsi="Times New Roman" w:cs="Times New Roman"/>
          <w:bCs/>
          <w:sz w:val="24"/>
          <w:szCs w:val="24"/>
        </w:rPr>
      </w:pPr>
    </w:p>
    <w:p w14:paraId="11387D4B" w14:textId="77777777" w:rsidR="00472D96" w:rsidRPr="00496500" w:rsidRDefault="00472D96" w:rsidP="00210A8E">
      <w:pPr>
        <w:pStyle w:val="ListParagraph"/>
        <w:spacing w:after="120" w:line="240" w:lineRule="auto"/>
        <w:ind w:left="1418"/>
        <w:contextualSpacing w:val="0"/>
        <w:jc w:val="both"/>
        <w:rPr>
          <w:rFonts w:ascii="Times New Roman" w:eastAsia="Calibri" w:hAnsi="Times New Roman" w:cs="Times New Roman"/>
          <w:bCs/>
          <w:sz w:val="24"/>
          <w:szCs w:val="24"/>
        </w:rPr>
      </w:pPr>
    </w:p>
    <w:p w14:paraId="3F2B67CF" w14:textId="77777777" w:rsidR="00472D96" w:rsidRPr="00496500" w:rsidRDefault="00472D96" w:rsidP="00210A8E">
      <w:pPr>
        <w:pStyle w:val="ListParagraph"/>
        <w:spacing w:after="120" w:line="240" w:lineRule="auto"/>
        <w:ind w:left="1418"/>
        <w:contextualSpacing w:val="0"/>
        <w:jc w:val="both"/>
        <w:rPr>
          <w:rFonts w:ascii="Times New Roman" w:eastAsia="Calibri" w:hAnsi="Times New Roman" w:cs="Times New Roman"/>
          <w:bCs/>
          <w:sz w:val="24"/>
          <w:szCs w:val="24"/>
        </w:rPr>
      </w:pPr>
    </w:p>
    <w:p w14:paraId="7F3A5310" w14:textId="77777777" w:rsidR="00472D96" w:rsidRPr="00496500" w:rsidRDefault="00472D96" w:rsidP="00210A8E">
      <w:pPr>
        <w:pStyle w:val="ListParagraph"/>
        <w:spacing w:after="120" w:line="240" w:lineRule="auto"/>
        <w:ind w:left="1418"/>
        <w:contextualSpacing w:val="0"/>
        <w:jc w:val="both"/>
        <w:rPr>
          <w:rFonts w:ascii="Times New Roman" w:eastAsia="Calibri" w:hAnsi="Times New Roman" w:cs="Times New Roman"/>
          <w:bCs/>
          <w:sz w:val="24"/>
          <w:szCs w:val="24"/>
        </w:rPr>
        <w:sectPr w:rsidR="00472D96" w:rsidRPr="00496500" w:rsidSect="00003FEC">
          <w:pgSz w:w="11906" w:h="16838" w:code="9"/>
          <w:pgMar w:top="1239" w:right="1022" w:bottom="1138" w:left="1526" w:header="706" w:footer="518" w:gutter="0"/>
          <w:cols w:space="720"/>
          <w:titlePg/>
          <w:docGrid w:linePitch="360"/>
        </w:sectPr>
      </w:pPr>
    </w:p>
    <w:p w14:paraId="7B9193AE" w14:textId="77777777" w:rsidR="00210A8E" w:rsidRPr="00D64D25" w:rsidRDefault="00210A8E" w:rsidP="00210A8E">
      <w:pPr>
        <w:pStyle w:val="ListParagraph"/>
        <w:spacing w:after="120" w:line="240" w:lineRule="auto"/>
        <w:ind w:left="1418"/>
        <w:contextualSpacing w:val="0"/>
        <w:jc w:val="both"/>
        <w:rPr>
          <w:rFonts w:ascii="Times New Roman" w:eastAsia="Calibri" w:hAnsi="Times New Roman" w:cs="Times New Roman"/>
          <w:bCs/>
          <w:sz w:val="24"/>
          <w:szCs w:val="24"/>
        </w:rPr>
      </w:pPr>
    </w:p>
    <w:p w14:paraId="1ADB789E" w14:textId="6C73C5D5" w:rsidR="00280DB2" w:rsidRPr="00496500" w:rsidRDefault="00405291" w:rsidP="00280DB2">
      <w:pPr>
        <w:pStyle w:val="ListParagraph"/>
        <w:numPr>
          <w:ilvl w:val="0"/>
          <w:numId w:val="10"/>
        </w:numPr>
        <w:spacing w:after="120" w:line="240" w:lineRule="auto"/>
        <w:outlineLvl w:val="0"/>
        <w:rPr>
          <w:rFonts w:ascii="Times New Roman" w:hAnsi="Times New Roman" w:cs="Times New Roman"/>
          <w:b/>
          <w:color w:val="2E74B5" w:themeColor="accent1" w:themeShade="BF"/>
          <w:sz w:val="28"/>
          <w:szCs w:val="28"/>
        </w:rPr>
      </w:pPr>
      <w:bookmarkStart w:id="19" w:name="_Toc209084894"/>
      <w:r w:rsidRPr="00405291">
        <w:rPr>
          <w:rFonts w:ascii="Times New Roman" w:hAnsi="Times New Roman" w:cs="Times New Roman"/>
          <w:b/>
          <w:color w:val="2E74B5" w:themeColor="accent1" w:themeShade="BF"/>
          <w:sz w:val="28"/>
          <w:szCs w:val="28"/>
        </w:rPr>
        <w:t xml:space="preserve">Анализ на силните и слабите страни, възможностите и заплахите </w:t>
      </w:r>
      <w:r>
        <w:rPr>
          <w:rFonts w:ascii="Times New Roman" w:hAnsi="Times New Roman" w:cs="Times New Roman"/>
          <w:b/>
          <w:color w:val="2E74B5" w:themeColor="accent1" w:themeShade="BF"/>
          <w:sz w:val="28"/>
          <w:szCs w:val="28"/>
        </w:rPr>
        <w:t>(</w:t>
      </w:r>
      <w:r w:rsidR="00280DB2" w:rsidRPr="00496500">
        <w:rPr>
          <w:rFonts w:ascii="Times New Roman" w:hAnsi="Times New Roman" w:cs="Times New Roman"/>
          <w:b/>
          <w:color w:val="2E74B5" w:themeColor="accent1" w:themeShade="BF"/>
          <w:sz w:val="28"/>
          <w:szCs w:val="28"/>
        </w:rPr>
        <w:t xml:space="preserve">SWOT </w:t>
      </w:r>
      <w:r w:rsidR="001B0FED" w:rsidRPr="00496500">
        <w:rPr>
          <w:rFonts w:ascii="Times New Roman" w:hAnsi="Times New Roman" w:cs="Times New Roman"/>
          <w:b/>
          <w:color w:val="2E74B5" w:themeColor="accent1" w:themeShade="BF"/>
          <w:sz w:val="28"/>
          <w:szCs w:val="28"/>
        </w:rPr>
        <w:t>анализ</w:t>
      </w:r>
      <w:r>
        <w:rPr>
          <w:rFonts w:ascii="Times New Roman" w:hAnsi="Times New Roman" w:cs="Times New Roman"/>
          <w:b/>
          <w:color w:val="2E74B5" w:themeColor="accent1" w:themeShade="BF"/>
          <w:sz w:val="28"/>
          <w:szCs w:val="28"/>
        </w:rPr>
        <w:t>)</w:t>
      </w:r>
      <w:bookmarkEnd w:id="19"/>
    </w:p>
    <w:tbl>
      <w:tblPr>
        <w:tblW w:w="1417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7085"/>
        <w:gridCol w:w="7085"/>
      </w:tblGrid>
      <w:tr w:rsidR="00280DB2" w:rsidRPr="00496500" w14:paraId="509654D8" w14:textId="77777777" w:rsidTr="00917389">
        <w:trPr>
          <w:tblHeader/>
        </w:trPr>
        <w:tc>
          <w:tcPr>
            <w:tcW w:w="7085" w:type="dxa"/>
            <w:shd w:val="clear" w:color="auto" w:fill="FFF2CC" w:themeFill="accent4" w:themeFillTint="33"/>
          </w:tcPr>
          <w:p w14:paraId="70AF095B" w14:textId="77777777" w:rsidR="00280DB2" w:rsidRPr="00496500" w:rsidRDefault="00280DB2" w:rsidP="008F6E04">
            <w:pPr>
              <w:spacing w:before="120" w:after="120" w:line="240" w:lineRule="auto"/>
              <w:jc w:val="center"/>
              <w:rPr>
                <w:rFonts w:ascii="Times New Roman" w:eastAsia="Times New Roman" w:hAnsi="Times New Roman" w:cs="Times New Roman"/>
                <w:b/>
                <w:color w:val="000000" w:themeColor="text1"/>
                <w:sz w:val="24"/>
                <w:szCs w:val="24"/>
                <w:lang w:eastAsia="bg-BG"/>
              </w:rPr>
            </w:pPr>
            <w:r w:rsidRPr="00496500">
              <w:rPr>
                <w:rFonts w:ascii="Times New Roman" w:eastAsia="Times New Roman" w:hAnsi="Times New Roman" w:cs="Times New Roman"/>
                <w:b/>
                <w:color w:val="000000" w:themeColor="text1"/>
                <w:sz w:val="24"/>
                <w:szCs w:val="24"/>
                <w:lang w:eastAsia="bg-BG"/>
              </w:rPr>
              <w:t>Силни страни</w:t>
            </w:r>
          </w:p>
        </w:tc>
        <w:tc>
          <w:tcPr>
            <w:tcW w:w="7085" w:type="dxa"/>
            <w:shd w:val="clear" w:color="auto" w:fill="FFF2CC" w:themeFill="accent4" w:themeFillTint="33"/>
          </w:tcPr>
          <w:p w14:paraId="0606DE99" w14:textId="77777777" w:rsidR="00280DB2" w:rsidRPr="00496500" w:rsidRDefault="00280DB2" w:rsidP="008F6E04">
            <w:pPr>
              <w:spacing w:before="120" w:after="120" w:line="240" w:lineRule="auto"/>
              <w:jc w:val="center"/>
              <w:rPr>
                <w:rFonts w:ascii="Times New Roman" w:eastAsia="Times New Roman" w:hAnsi="Times New Roman" w:cs="Times New Roman"/>
                <w:b/>
                <w:color w:val="000000" w:themeColor="text1"/>
                <w:sz w:val="24"/>
                <w:szCs w:val="24"/>
                <w:lang w:eastAsia="bg-BG"/>
              </w:rPr>
            </w:pPr>
            <w:r w:rsidRPr="00496500">
              <w:rPr>
                <w:rFonts w:ascii="Times New Roman" w:eastAsia="Times New Roman" w:hAnsi="Times New Roman" w:cs="Times New Roman"/>
                <w:b/>
                <w:color w:val="000000" w:themeColor="text1"/>
                <w:sz w:val="24"/>
                <w:szCs w:val="24"/>
                <w:lang w:eastAsia="bg-BG"/>
              </w:rPr>
              <w:t>Слаби страни</w:t>
            </w:r>
          </w:p>
        </w:tc>
      </w:tr>
      <w:tr w:rsidR="00280DB2" w:rsidRPr="00496500" w14:paraId="50FD8FB7" w14:textId="77777777" w:rsidTr="00917389">
        <w:trPr>
          <w:trHeight w:val="1587"/>
        </w:trPr>
        <w:tc>
          <w:tcPr>
            <w:tcW w:w="7085" w:type="dxa"/>
          </w:tcPr>
          <w:p w14:paraId="3241C454" w14:textId="77777777" w:rsidR="00941669" w:rsidRPr="00496500" w:rsidRDefault="00941669" w:rsidP="006E661C">
            <w:pPr>
              <w:shd w:val="clear" w:color="auto" w:fill="FFFFFF"/>
              <w:spacing w:before="120" w:after="120" w:line="240" w:lineRule="auto"/>
              <w:ind w:left="63"/>
              <w:jc w:val="both"/>
              <w:rPr>
                <w:rFonts w:ascii="Times New Roman" w:eastAsia="Times New Roman" w:hAnsi="Times New Roman" w:cs="Times New Roman"/>
                <w:b/>
                <w:bCs/>
                <w:color w:val="000000" w:themeColor="text1"/>
                <w:sz w:val="24"/>
                <w:szCs w:val="24"/>
              </w:rPr>
            </w:pPr>
            <w:r w:rsidRPr="00496500">
              <w:rPr>
                <w:rFonts w:ascii="Times New Roman" w:eastAsia="Times New Roman" w:hAnsi="Times New Roman" w:cs="Times New Roman"/>
                <w:b/>
                <w:bCs/>
                <w:color w:val="2E74B5" w:themeColor="accent1" w:themeShade="BF"/>
                <w:sz w:val="24"/>
                <w:szCs w:val="24"/>
              </w:rPr>
              <w:t>Публичен сектор и публични услуги</w:t>
            </w:r>
          </w:p>
          <w:p w14:paraId="20158689" w14:textId="2764A421" w:rsidR="00280DB2" w:rsidRPr="00496500" w:rsidRDefault="00280DB2" w:rsidP="008F6E04">
            <w:pPr>
              <w:numPr>
                <w:ilvl w:val="0"/>
                <w:numId w:val="46"/>
              </w:numPr>
              <w:shd w:val="clear" w:color="auto" w:fill="FFFFFF"/>
              <w:spacing w:before="120" w:after="120" w:line="240" w:lineRule="auto"/>
              <w:ind w:left="331"/>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създадена институционална рамка за реализация на политиката за е-управление и </w:t>
            </w:r>
            <w:r w:rsidR="00AA68D1" w:rsidRPr="00496500">
              <w:rPr>
                <w:rFonts w:ascii="Times New Roman" w:eastAsia="Times New Roman" w:hAnsi="Times New Roman" w:cs="Times New Roman"/>
                <w:bCs/>
                <w:color w:val="000000" w:themeColor="text1"/>
                <w:sz w:val="24"/>
                <w:szCs w:val="24"/>
              </w:rPr>
              <w:t>цифрова</w:t>
            </w:r>
            <w:r w:rsidRPr="00496500">
              <w:rPr>
                <w:rFonts w:ascii="Times New Roman" w:eastAsia="Times New Roman" w:hAnsi="Times New Roman" w:cs="Times New Roman"/>
                <w:bCs/>
                <w:color w:val="000000" w:themeColor="text1"/>
                <w:sz w:val="24"/>
                <w:szCs w:val="24"/>
              </w:rPr>
              <w:t xml:space="preserve"> трансформация (</w:t>
            </w:r>
            <w:r w:rsidR="00E97DD6">
              <w:rPr>
                <w:rFonts w:ascii="Times New Roman" w:eastAsia="Times New Roman" w:hAnsi="Times New Roman" w:cs="Times New Roman"/>
                <w:bCs/>
                <w:color w:val="000000" w:themeColor="text1"/>
                <w:sz w:val="24"/>
                <w:szCs w:val="24"/>
              </w:rPr>
              <w:t>МЕУ</w:t>
            </w:r>
            <w:r w:rsidRPr="00496500">
              <w:rPr>
                <w:rFonts w:ascii="Times New Roman" w:eastAsia="Times New Roman" w:hAnsi="Times New Roman" w:cs="Times New Roman"/>
                <w:bCs/>
                <w:color w:val="000000" w:themeColor="text1"/>
                <w:sz w:val="24"/>
                <w:szCs w:val="24"/>
              </w:rPr>
              <w:t>, Изпълнителна агенция „Инфраструктура на електронното управление“, Съвет по цифровото десетилетие, Консултативен съвет на ИКТ общността);</w:t>
            </w:r>
          </w:p>
          <w:p w14:paraId="74D6FC33" w14:textId="77777777" w:rsidR="00280DB2" w:rsidRPr="00496500" w:rsidRDefault="00280DB2" w:rsidP="008F6E04">
            <w:pPr>
              <w:numPr>
                <w:ilvl w:val="0"/>
                <w:numId w:val="46"/>
              </w:numPr>
              <w:shd w:val="clear" w:color="auto" w:fill="FFFFFF"/>
              <w:spacing w:before="120" w:after="120" w:line="240" w:lineRule="auto"/>
              <w:ind w:left="331"/>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солидна правна и регулаторна рамка за цифровизация на услугите в публичния и частния сектор, включително основни принципи на е-управление, като еднократност (само веднъж) и прозрачност, са добре интегрирани в правната и политическата рамки на страната. България е най-активна в прилагането на принципа за „гражданинът в центъра на </w:t>
            </w:r>
            <w:r w:rsidR="00AA68D1" w:rsidRPr="00496500">
              <w:rPr>
                <w:rFonts w:ascii="Times New Roman" w:eastAsia="Times New Roman" w:hAnsi="Times New Roman" w:cs="Times New Roman"/>
                <w:bCs/>
                <w:color w:val="000000" w:themeColor="text1"/>
                <w:sz w:val="24"/>
                <w:szCs w:val="24"/>
              </w:rPr>
              <w:t>цифрова</w:t>
            </w:r>
            <w:r w:rsidRPr="00496500">
              <w:rPr>
                <w:rFonts w:ascii="Times New Roman" w:eastAsia="Times New Roman" w:hAnsi="Times New Roman" w:cs="Times New Roman"/>
                <w:bCs/>
                <w:color w:val="000000" w:themeColor="text1"/>
                <w:sz w:val="24"/>
                <w:szCs w:val="24"/>
              </w:rPr>
              <w:t>та трансформация“;</w:t>
            </w:r>
          </w:p>
          <w:p w14:paraId="769626D6" w14:textId="77777777" w:rsidR="00280DB2" w:rsidRPr="00496500" w:rsidRDefault="00280DB2" w:rsidP="008F6E04">
            <w:pPr>
              <w:numPr>
                <w:ilvl w:val="0"/>
                <w:numId w:val="46"/>
              </w:numPr>
              <w:shd w:val="clear" w:color="auto" w:fill="FFFFFF"/>
              <w:spacing w:before="120" w:after="120" w:line="240" w:lineRule="auto"/>
              <w:ind w:left="331"/>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прилагането на Закона за електронното управление и изпълнението на мерките, заложени в националните стратегически документи, показва ангажимента на България са поставили стабилни основи за електронно управление, позволяващи надграждането им с цел реализация и предоставяне на цифрови услуги, постигане на високи нива на оперативна съвместимост и споделянето и повторната употреба на данни;</w:t>
            </w:r>
          </w:p>
          <w:p w14:paraId="795CD8C0" w14:textId="77777777" w:rsidR="00280DB2" w:rsidRPr="00496500" w:rsidRDefault="00280DB2" w:rsidP="008F6E04">
            <w:pPr>
              <w:numPr>
                <w:ilvl w:val="0"/>
                <w:numId w:val="46"/>
              </w:numPr>
              <w:shd w:val="clear" w:color="auto" w:fill="FFFFFF"/>
              <w:spacing w:before="120" w:after="120" w:line="240" w:lineRule="auto"/>
              <w:ind w:left="331"/>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в последните пет години се отчитат ускорени темпове на развитие на е-управлението в ключови сектори на държавното управление – фискална, данъчна и осигурителна политика, здравеопазване, социална и трудова, образование;</w:t>
            </w:r>
          </w:p>
          <w:p w14:paraId="79F42513" w14:textId="77777777" w:rsidR="00280DB2" w:rsidRPr="00496500" w:rsidRDefault="00280DB2" w:rsidP="008F6E04">
            <w:pPr>
              <w:numPr>
                <w:ilvl w:val="0"/>
                <w:numId w:val="46"/>
              </w:numPr>
              <w:shd w:val="clear" w:color="auto" w:fill="FFFFFF"/>
              <w:spacing w:before="120" w:after="0" w:line="240" w:lineRule="auto"/>
              <w:ind w:left="329" w:hanging="357"/>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lastRenderedPageBreak/>
              <w:t>България</w:t>
            </w:r>
            <w:r w:rsidRPr="00496500">
              <w:rPr>
                <w:rFonts w:ascii="Times New Roman" w:eastAsia="Times New Roman" w:hAnsi="Times New Roman" w:cs="Times New Roman"/>
                <w:color w:val="000000" w:themeColor="text1"/>
                <w:sz w:val="24"/>
                <w:szCs w:val="24"/>
              </w:rPr>
              <w:t xml:space="preserve"> надвишава средните нива на ЕС за цифрови публични услуги за бизнеса (94% при средно ниво за ЕС 86%), както и за достъп до електронни здравни записи (88% при средно ниво за ЕС 83%)</w:t>
            </w:r>
            <w:r w:rsidRPr="00496500">
              <w:rPr>
                <w:rFonts w:ascii="Times New Roman" w:eastAsia="Times New Roman" w:hAnsi="Times New Roman" w:cs="Times New Roman"/>
                <w:color w:val="000000" w:themeColor="text1"/>
                <w:sz w:val="27"/>
                <w:szCs w:val="27"/>
              </w:rPr>
              <w:t xml:space="preserve"> </w:t>
            </w:r>
            <w:r w:rsidRPr="00496500">
              <w:rPr>
                <w:rFonts w:ascii="Times New Roman" w:eastAsia="Times New Roman" w:hAnsi="Times New Roman" w:cs="Times New Roman"/>
                <w:color w:val="000000" w:themeColor="text1"/>
                <w:sz w:val="27"/>
                <w:szCs w:val="27"/>
              </w:rPr>
              <w:sym w:font="Symbol" w:char="F02D"/>
            </w:r>
            <w:r w:rsidRPr="00496500">
              <w:rPr>
                <w:rFonts w:ascii="Times New Roman" w:eastAsia="Times New Roman" w:hAnsi="Times New Roman" w:cs="Times New Roman"/>
                <w:color w:val="000000" w:themeColor="text1"/>
                <w:sz w:val="27"/>
                <w:szCs w:val="27"/>
              </w:rPr>
              <w:t xml:space="preserve"> </w:t>
            </w:r>
            <w:r w:rsidRPr="00496500">
              <w:rPr>
                <w:rFonts w:ascii="Times New Roman" w:eastAsia="Times New Roman" w:hAnsi="Times New Roman" w:cs="Times New Roman"/>
                <w:color w:val="000000" w:themeColor="text1"/>
                <w:sz w:val="24"/>
                <w:szCs w:val="24"/>
              </w:rPr>
              <w:t>функциониращи системи на електронното управление, за които се отчита</w:t>
            </w:r>
            <w:r w:rsidRPr="00496500">
              <w:rPr>
                <w:rFonts w:ascii="Times New Roman" w:eastAsia="Times New Roman" w:hAnsi="Times New Roman" w:cs="Times New Roman"/>
                <w:bCs/>
                <w:color w:val="000000" w:themeColor="text1"/>
                <w:sz w:val="24"/>
                <w:szCs w:val="24"/>
              </w:rPr>
              <w:t xml:space="preserve"> устойчив темп на нарастване на използването им: Портал на електронното управление (</w:t>
            </w:r>
            <w:hyperlink r:id="rId45" w:history="1">
              <w:r w:rsidRPr="00496500">
                <w:rPr>
                  <w:rFonts w:ascii="Times New Roman" w:eastAsia="Times New Roman" w:hAnsi="Times New Roman" w:cs="Times New Roman"/>
                  <w:bCs/>
                  <w:sz w:val="24"/>
                  <w:szCs w:val="24"/>
                </w:rPr>
                <w:t>egov.bg</w:t>
              </w:r>
            </w:hyperlink>
            <w:r w:rsidRPr="00496500">
              <w:rPr>
                <w:rFonts w:ascii="Times New Roman" w:eastAsia="Times New Roman" w:hAnsi="Times New Roman" w:cs="Times New Roman"/>
                <w:bCs/>
                <w:color w:val="000000" w:themeColor="text1"/>
                <w:sz w:val="24"/>
                <w:szCs w:val="24"/>
              </w:rPr>
              <w:t xml:space="preserve">), </w:t>
            </w:r>
            <w:bookmarkStart w:id="20" w:name="_Toc531645"/>
            <w:bookmarkStart w:id="21" w:name="_Toc157787275"/>
            <w:r w:rsidRPr="00496500">
              <w:rPr>
                <w:rFonts w:ascii="Times New Roman" w:eastAsia="Times New Roman" w:hAnsi="Times New Roman" w:cs="Times New Roman"/>
                <w:bCs/>
                <w:color w:val="000000" w:themeColor="text1"/>
                <w:sz w:val="24"/>
                <w:szCs w:val="24"/>
              </w:rPr>
              <w:t>Система за електронна автентикация (е-Автентикация</w:t>
            </w:r>
            <w:bookmarkEnd w:id="20"/>
            <w:bookmarkEnd w:id="21"/>
            <w:r w:rsidRPr="00496500">
              <w:rPr>
                <w:rFonts w:ascii="Times New Roman" w:eastAsia="Times New Roman" w:hAnsi="Times New Roman" w:cs="Times New Roman"/>
                <w:bCs/>
                <w:color w:val="000000" w:themeColor="text1"/>
                <w:sz w:val="24"/>
                <w:szCs w:val="24"/>
              </w:rPr>
              <w:t xml:space="preserve">), </w:t>
            </w:r>
            <w:bookmarkStart w:id="22" w:name="_Toc531647"/>
            <w:bookmarkStart w:id="23" w:name="_Toc157787277"/>
            <w:r w:rsidRPr="00496500">
              <w:rPr>
                <w:rFonts w:ascii="Times New Roman" w:eastAsia="Times New Roman" w:hAnsi="Times New Roman" w:cs="Times New Roman"/>
                <w:bCs/>
                <w:color w:val="000000" w:themeColor="text1"/>
                <w:sz w:val="24"/>
                <w:szCs w:val="24"/>
              </w:rPr>
              <w:t xml:space="preserve">Система за електронни плащания </w:t>
            </w:r>
            <w:bookmarkEnd w:id="22"/>
            <w:bookmarkEnd w:id="23"/>
            <w:r w:rsidRPr="00496500">
              <w:rPr>
                <w:rFonts w:ascii="Times New Roman" w:eastAsia="Times New Roman" w:hAnsi="Times New Roman" w:cs="Times New Roman"/>
                <w:bCs/>
                <w:color w:val="000000" w:themeColor="text1"/>
                <w:sz w:val="24"/>
                <w:szCs w:val="24"/>
              </w:rPr>
              <w:t xml:space="preserve">(е-Плащане), </w:t>
            </w:r>
            <w:bookmarkStart w:id="24" w:name="_Toc531648"/>
            <w:bookmarkStart w:id="25" w:name="_Toc157787278"/>
            <w:r w:rsidRPr="00496500">
              <w:rPr>
                <w:rFonts w:ascii="Times New Roman" w:eastAsia="Times New Roman" w:hAnsi="Times New Roman" w:cs="Times New Roman"/>
                <w:bCs/>
                <w:color w:val="000000" w:themeColor="text1"/>
                <w:sz w:val="24"/>
                <w:szCs w:val="24"/>
              </w:rPr>
              <w:t>Система за сигурно електронно връчване</w:t>
            </w:r>
            <w:bookmarkEnd w:id="24"/>
            <w:bookmarkEnd w:id="25"/>
            <w:r w:rsidRPr="00496500">
              <w:rPr>
                <w:rFonts w:ascii="Times New Roman" w:eastAsia="Times New Roman" w:hAnsi="Times New Roman" w:cs="Times New Roman"/>
                <w:bCs/>
                <w:color w:val="000000" w:themeColor="text1"/>
                <w:sz w:val="24"/>
                <w:szCs w:val="24"/>
              </w:rPr>
              <w:t xml:space="preserve"> (е-Връчване), </w:t>
            </w:r>
            <w:bookmarkStart w:id="26" w:name="_Toc531650"/>
            <w:bookmarkStart w:id="27" w:name="_Toc157787280"/>
            <w:r w:rsidRPr="00496500">
              <w:rPr>
                <w:rFonts w:ascii="Times New Roman" w:eastAsia="Times New Roman" w:hAnsi="Times New Roman" w:cs="Times New Roman"/>
                <w:bCs/>
                <w:color w:val="000000" w:themeColor="text1"/>
                <w:sz w:val="24"/>
                <w:szCs w:val="24"/>
              </w:rPr>
              <w:t>Система за управление на електронни форми (е-Форми</w:t>
            </w:r>
            <w:bookmarkEnd w:id="26"/>
            <w:bookmarkEnd w:id="27"/>
            <w:r w:rsidRPr="00496500">
              <w:rPr>
                <w:rFonts w:ascii="Times New Roman" w:eastAsia="Times New Roman" w:hAnsi="Times New Roman" w:cs="Times New Roman"/>
                <w:bCs/>
                <w:color w:val="000000" w:themeColor="text1"/>
                <w:sz w:val="24"/>
                <w:szCs w:val="24"/>
              </w:rPr>
              <w:t xml:space="preserve">); </w:t>
            </w:r>
          </w:p>
          <w:p w14:paraId="263F3653" w14:textId="77777777" w:rsidR="00280DB2" w:rsidRPr="00496500" w:rsidRDefault="00280DB2" w:rsidP="008F6E04">
            <w:pPr>
              <w:shd w:val="clear" w:color="auto" w:fill="FFFFFF"/>
              <w:spacing w:after="0" w:line="240" w:lineRule="auto"/>
              <w:ind w:left="329"/>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Здравно-информационен портал (</w:t>
            </w:r>
            <w:r w:rsidRPr="00496500">
              <w:rPr>
                <w:rFonts w:ascii="Times New Roman" w:eastAsia="Times New Roman" w:hAnsi="Times New Roman" w:cs="Times New Roman"/>
                <w:bCs/>
                <w:color w:val="0000FF"/>
                <w:sz w:val="24"/>
                <w:szCs w:val="24"/>
                <w:u w:val="single"/>
              </w:rPr>
              <w:t>his.bg</w:t>
            </w:r>
            <w:r w:rsidRPr="00496500">
              <w:rPr>
                <w:rFonts w:ascii="Times New Roman" w:eastAsia="Times New Roman" w:hAnsi="Times New Roman" w:cs="Times New Roman"/>
                <w:bCs/>
                <w:color w:val="000000" w:themeColor="text1"/>
                <w:sz w:val="24"/>
                <w:szCs w:val="24"/>
              </w:rPr>
              <w:t>)</w:t>
            </w:r>
            <w:r w:rsidR="00E97C0C" w:rsidRPr="00496500">
              <w:rPr>
                <w:rFonts w:ascii="Times New Roman" w:eastAsia="Times New Roman" w:hAnsi="Times New Roman" w:cs="Times New Roman"/>
                <w:bCs/>
                <w:color w:val="000000" w:themeColor="text1"/>
                <w:sz w:val="24"/>
                <w:szCs w:val="24"/>
              </w:rPr>
              <w:t xml:space="preserve"> и електронно здравно досие</w:t>
            </w:r>
            <w:r w:rsidRPr="00496500">
              <w:rPr>
                <w:rFonts w:ascii="Times New Roman" w:eastAsia="Times New Roman" w:hAnsi="Times New Roman" w:cs="Times New Roman"/>
                <w:bCs/>
                <w:color w:val="000000" w:themeColor="text1"/>
                <w:sz w:val="24"/>
                <w:szCs w:val="24"/>
              </w:rPr>
              <w:t>; Портал за електронни услуги на НАП (</w:t>
            </w:r>
            <w:hyperlink r:id="rId46" w:history="1">
              <w:r w:rsidRPr="00496500">
                <w:rPr>
                  <w:rFonts w:ascii="Times New Roman" w:eastAsia="Times New Roman" w:hAnsi="Times New Roman" w:cs="Times New Roman"/>
                  <w:bCs/>
                  <w:color w:val="0000FF"/>
                  <w:sz w:val="24"/>
                  <w:szCs w:val="24"/>
                  <w:u w:val="single"/>
                </w:rPr>
                <w:t>https://portal.nra.bg/</w:t>
              </w:r>
            </w:hyperlink>
            <w:r w:rsidRPr="00496500">
              <w:rPr>
                <w:rFonts w:ascii="Times New Roman" w:eastAsia="Times New Roman" w:hAnsi="Times New Roman" w:cs="Times New Roman"/>
                <w:bCs/>
                <w:color w:val="000000" w:themeColor="text1"/>
                <w:sz w:val="24"/>
                <w:szCs w:val="24"/>
              </w:rPr>
              <w:t>); Единен портал на електронни услуги на НОИ (</w:t>
            </w:r>
            <w:hyperlink r:id="rId47" w:history="1">
              <w:r w:rsidRPr="00496500">
                <w:rPr>
                  <w:rFonts w:ascii="Times New Roman" w:eastAsia="Times New Roman" w:hAnsi="Times New Roman" w:cs="Times New Roman"/>
                  <w:bCs/>
                  <w:color w:val="0000FF"/>
                  <w:sz w:val="24"/>
                  <w:szCs w:val="24"/>
                  <w:u w:val="single"/>
                </w:rPr>
                <w:t>https://eportal.nssi.bg/</w:t>
              </w:r>
            </w:hyperlink>
            <w:r w:rsidRPr="00496500">
              <w:rPr>
                <w:rFonts w:ascii="Times New Roman" w:eastAsia="Times New Roman" w:hAnsi="Times New Roman" w:cs="Times New Roman"/>
                <w:bCs/>
                <w:color w:val="000000" w:themeColor="text1"/>
                <w:sz w:val="24"/>
                <w:szCs w:val="24"/>
              </w:rPr>
              <w:t>);</w:t>
            </w:r>
          </w:p>
          <w:p w14:paraId="6213E1B2" w14:textId="77777777" w:rsidR="00280DB2" w:rsidRPr="00496500" w:rsidRDefault="00280DB2" w:rsidP="008F6E04">
            <w:pPr>
              <w:numPr>
                <w:ilvl w:val="0"/>
                <w:numId w:val="46"/>
              </w:numPr>
              <w:shd w:val="clear" w:color="auto" w:fill="FFFFFF"/>
              <w:spacing w:before="120" w:after="120" w:line="240" w:lineRule="auto"/>
              <w:ind w:left="331"/>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създаден Единен модел за заявяване, заплащане и предоставяне на електронни административни услуги чрез използване на хоризонталните системи на е-управление;</w:t>
            </w:r>
          </w:p>
          <w:p w14:paraId="2FC657CF" w14:textId="2D882A74"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bCs/>
                <w:color w:val="000000" w:themeColor="text1"/>
                <w:sz w:val="24"/>
                <w:szCs w:val="24"/>
                <w:lang w:eastAsia="bg-BG"/>
              </w:rPr>
            </w:pPr>
            <w:r w:rsidRPr="00496500">
              <w:rPr>
                <w:rFonts w:ascii="Times New Roman" w:eastAsia="Times New Roman" w:hAnsi="Times New Roman" w:cs="Times New Roman"/>
                <w:bCs/>
                <w:color w:val="000000" w:themeColor="text1"/>
                <w:sz w:val="24"/>
                <w:szCs w:val="24"/>
              </w:rPr>
              <w:t>осигурена</w:t>
            </w:r>
            <w:r w:rsidRPr="00496500">
              <w:rPr>
                <w:rFonts w:ascii="Times New Roman" w:eastAsia="Times New Roman" w:hAnsi="Times New Roman" w:cs="Times New Roman"/>
                <w:bCs/>
                <w:color w:val="000000" w:themeColor="text1"/>
                <w:sz w:val="24"/>
                <w:szCs w:val="24"/>
                <w:lang w:eastAsia="bg-BG"/>
              </w:rPr>
              <w:t xml:space="preserve"> възможност за електронен обмен на данни и документи в администрацията: реализирани интеграционни шини - шина за обмен на удостоверителна и справочна информация; </w:t>
            </w:r>
            <w:r w:rsidRPr="00496500">
              <w:rPr>
                <w:rFonts w:ascii="Times New Roman" w:eastAsia="Times New Roman" w:hAnsi="Times New Roman" w:cs="Times New Roman"/>
                <w:color w:val="000000" w:themeColor="text1"/>
                <w:sz w:val="24"/>
                <w:szCs w:val="24"/>
                <w:lang w:eastAsia="bg-BG"/>
              </w:rPr>
              <w:t xml:space="preserve">шина за </w:t>
            </w:r>
            <w:r w:rsidRPr="00496500">
              <w:rPr>
                <w:rFonts w:ascii="Times New Roman" w:eastAsia="Times New Roman" w:hAnsi="Times New Roman" w:cs="Times New Roman"/>
                <w:bCs/>
                <w:color w:val="000000" w:themeColor="text1"/>
                <w:sz w:val="24"/>
                <w:szCs w:val="24"/>
                <w:lang w:eastAsia="bg-BG"/>
              </w:rPr>
              <w:t>достъп и управление на ИТ услуги и данни (ESB); шина за обмен на електронни документи (СЕОС) и чрез изпълняването на всички нормативни изисквания за електронен вътрешен оборот на документи в администрациите се създават условията за установяване на ред в процесите и усъвършенстването на административните процедури, по които се работи в различните администрации; създадени са условия за постигане на по-голяма бързина и прозрачност в процеса по създаване и движение на документите както и намаляване на разходите и оптимизация на процесите;</w:t>
            </w:r>
          </w:p>
          <w:p w14:paraId="67237A7C" w14:textId="77777777"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bCs/>
                <w:color w:val="000000" w:themeColor="text1"/>
                <w:sz w:val="24"/>
                <w:szCs w:val="24"/>
                <w:lang w:eastAsia="bg-BG"/>
              </w:rPr>
              <w:lastRenderedPageBreak/>
              <w:t xml:space="preserve">с ускоряването на темповете на цифрово развитие осезаемо се подобрява партньорството между гражданите, бизнеса и администрацията; </w:t>
            </w:r>
          </w:p>
          <w:p w14:paraId="571EE287" w14:textId="5AF94A66"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bCs/>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стартирали инициативи за намаляване на административната тежест и внедряване на административни услуги на принципа „епизод от живота“</w:t>
            </w:r>
            <w:r w:rsidR="001D5976">
              <w:rPr>
                <w:rFonts w:ascii="Times New Roman" w:eastAsia="Times New Roman" w:hAnsi="Times New Roman" w:cs="Times New Roman"/>
                <w:color w:val="000000" w:themeColor="text1"/>
                <w:sz w:val="24"/>
                <w:szCs w:val="24"/>
                <w:lang w:eastAsia="bg-BG"/>
              </w:rPr>
              <w:t>.</w:t>
            </w:r>
          </w:p>
          <w:p w14:paraId="333E4F03" w14:textId="77777777" w:rsidR="00941669" w:rsidRPr="003D6106" w:rsidRDefault="00941669" w:rsidP="006D7474">
            <w:pPr>
              <w:tabs>
                <w:tab w:val="left" w:pos="284"/>
              </w:tabs>
              <w:spacing w:before="120" w:after="120" w:line="240" w:lineRule="auto"/>
              <w:ind w:left="284"/>
              <w:jc w:val="both"/>
              <w:rPr>
                <w:rFonts w:ascii="Times New Roman" w:eastAsia="Times New Roman" w:hAnsi="Times New Roman" w:cs="Times New Roman"/>
                <w:color w:val="000000" w:themeColor="text1"/>
                <w:sz w:val="24"/>
                <w:szCs w:val="24"/>
                <w:lang w:eastAsia="bg-BG"/>
              </w:rPr>
            </w:pPr>
          </w:p>
          <w:p w14:paraId="786A0313" w14:textId="77777777" w:rsidR="00941669" w:rsidRPr="00496500" w:rsidRDefault="00941669"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Инфраструктура и технологии</w:t>
            </w:r>
          </w:p>
          <w:p w14:paraId="1604D9B4" w14:textId="0B5A0035"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bCs/>
                <w:color w:val="000000" w:themeColor="text1"/>
                <w:sz w:val="24"/>
                <w:szCs w:val="24"/>
                <w:lang w:eastAsia="bg-BG"/>
              </w:rPr>
            </w:pPr>
            <w:r w:rsidRPr="00496500">
              <w:rPr>
                <w:rFonts w:ascii="Times New Roman" w:eastAsia="Times New Roman" w:hAnsi="Times New Roman" w:cs="Times New Roman"/>
                <w:bCs/>
                <w:color w:val="000000" w:themeColor="text1"/>
                <w:sz w:val="24"/>
                <w:szCs w:val="24"/>
                <w:lang w:eastAsia="bg-BG"/>
              </w:rPr>
              <w:t>България надвишава средните нива на ЕС по показателите за свързаност и осигурен достъп до фиксирани мрежи с много голям капацитет (</w:t>
            </w:r>
            <w:r w:rsidR="00F64D96" w:rsidRPr="00496500">
              <w:rPr>
                <w:rFonts w:ascii="Times New Roman" w:eastAsia="Times New Roman" w:hAnsi="Times New Roman" w:cs="Times New Roman"/>
                <w:bCs/>
                <w:color w:val="000000" w:themeColor="text1"/>
                <w:sz w:val="24"/>
                <w:szCs w:val="24"/>
                <w:lang w:eastAsia="bg-BG"/>
              </w:rPr>
              <w:t>ММГК</w:t>
            </w:r>
            <w:r w:rsidRPr="00496500">
              <w:rPr>
                <w:rFonts w:ascii="Times New Roman" w:eastAsia="Times New Roman" w:hAnsi="Times New Roman" w:cs="Times New Roman"/>
                <w:bCs/>
                <w:color w:val="000000" w:themeColor="text1"/>
                <w:sz w:val="24"/>
                <w:szCs w:val="24"/>
                <w:lang w:eastAsia="bg-BG"/>
              </w:rPr>
              <w:t>) (90</w:t>
            </w:r>
            <w:r w:rsidR="00F64D96" w:rsidRPr="00496500">
              <w:rPr>
                <w:rFonts w:ascii="Times New Roman" w:eastAsia="Times New Roman" w:hAnsi="Times New Roman" w:cs="Times New Roman"/>
                <w:bCs/>
                <w:color w:val="000000" w:themeColor="text1"/>
                <w:sz w:val="24"/>
                <w:szCs w:val="24"/>
                <w:lang w:eastAsia="bg-BG"/>
              </w:rPr>
              <w:t>,36</w:t>
            </w:r>
            <w:r w:rsidRPr="00496500">
              <w:rPr>
                <w:rFonts w:ascii="Times New Roman" w:eastAsia="Times New Roman" w:hAnsi="Times New Roman" w:cs="Times New Roman"/>
                <w:bCs/>
                <w:color w:val="000000" w:themeColor="text1"/>
                <w:sz w:val="24"/>
                <w:szCs w:val="24"/>
                <w:lang w:eastAsia="bg-BG"/>
              </w:rPr>
              <w:t>% при средно ниво за ЕС 83%) и с оптична връзка до помещенията (FTTP) (90</w:t>
            </w:r>
            <w:r w:rsidR="00F64D96" w:rsidRPr="00496500">
              <w:rPr>
                <w:rFonts w:ascii="Times New Roman" w:eastAsia="Times New Roman" w:hAnsi="Times New Roman" w:cs="Times New Roman"/>
                <w:bCs/>
                <w:color w:val="000000" w:themeColor="text1"/>
                <w:sz w:val="24"/>
                <w:szCs w:val="24"/>
                <w:lang w:eastAsia="bg-BG"/>
              </w:rPr>
              <w:t>,36</w:t>
            </w:r>
            <w:r w:rsidRPr="00496500">
              <w:rPr>
                <w:rFonts w:ascii="Times New Roman" w:eastAsia="Times New Roman" w:hAnsi="Times New Roman" w:cs="Times New Roman"/>
                <w:bCs/>
                <w:color w:val="000000" w:themeColor="text1"/>
                <w:sz w:val="24"/>
                <w:szCs w:val="24"/>
                <w:lang w:eastAsia="bg-BG"/>
              </w:rPr>
              <w:t>% при средно ниво за ЕС – 69% и продължава реализацията на мерки за развитие на широколентовата свързаност, включително до точки в отдалечени населени места;</w:t>
            </w:r>
          </w:p>
          <w:p w14:paraId="53209426" w14:textId="77777777"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bCs/>
                <w:color w:val="000000" w:themeColor="text1"/>
                <w:sz w:val="24"/>
                <w:szCs w:val="24"/>
                <w:lang w:eastAsia="bg-BG"/>
              </w:rPr>
            </w:pPr>
            <w:r w:rsidRPr="00496500">
              <w:rPr>
                <w:rFonts w:ascii="Times New Roman" w:eastAsia="Times New Roman" w:hAnsi="Times New Roman" w:cs="Times New Roman"/>
                <w:bCs/>
                <w:color w:val="000000" w:themeColor="text1"/>
                <w:sz w:val="24"/>
                <w:szCs w:val="24"/>
                <w:lang w:eastAsia="bg-BG"/>
              </w:rPr>
              <w:t>добре развит телекомуникационен сектор, бързо разширяващи се 5G мрежи и значителни инвестиции в оптична инфраструктура;</w:t>
            </w:r>
          </w:p>
          <w:p w14:paraId="23E053C4" w14:textId="2C6420C0"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bCs/>
                <w:color w:val="000000" w:themeColor="text1"/>
                <w:sz w:val="24"/>
                <w:szCs w:val="24"/>
                <w:lang w:eastAsia="bg-BG"/>
              </w:rPr>
            </w:pPr>
            <w:r w:rsidRPr="00496500">
              <w:rPr>
                <w:rFonts w:ascii="Times New Roman" w:eastAsia="Times New Roman" w:hAnsi="Times New Roman" w:cs="Times New Roman"/>
                <w:bCs/>
                <w:color w:val="000000" w:themeColor="text1"/>
                <w:sz w:val="24"/>
                <w:szCs w:val="24"/>
                <w:lang w:eastAsia="bg-BG"/>
              </w:rPr>
              <w:t>много висок процент на домакинствата (92</w:t>
            </w:r>
            <w:r w:rsidR="00D206A4">
              <w:rPr>
                <w:rFonts w:ascii="Times New Roman" w:eastAsia="Times New Roman" w:hAnsi="Times New Roman" w:cs="Times New Roman"/>
                <w:bCs/>
                <w:color w:val="000000" w:themeColor="text1"/>
                <w:sz w:val="24"/>
                <w:szCs w:val="24"/>
                <w:lang w:eastAsia="bg-BG"/>
              </w:rPr>
              <w:t>,</w:t>
            </w:r>
            <w:r w:rsidRPr="00496500">
              <w:rPr>
                <w:rFonts w:ascii="Times New Roman" w:eastAsia="Times New Roman" w:hAnsi="Times New Roman" w:cs="Times New Roman"/>
                <w:bCs/>
                <w:color w:val="000000" w:themeColor="text1"/>
                <w:sz w:val="24"/>
                <w:szCs w:val="24"/>
                <w:lang w:eastAsia="bg-BG"/>
              </w:rPr>
              <w:t xml:space="preserve">12%) с достъп до интернет; </w:t>
            </w:r>
          </w:p>
          <w:p w14:paraId="6FFA577F" w14:textId="18493B3F" w:rsidR="00941669" w:rsidRPr="00496500" w:rsidRDefault="00941669"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bCs/>
                <w:color w:val="000000" w:themeColor="text1"/>
                <w:sz w:val="24"/>
                <w:szCs w:val="24"/>
                <w:lang w:eastAsia="bg-BG"/>
              </w:rPr>
            </w:pPr>
            <w:r w:rsidRPr="00496500">
              <w:rPr>
                <w:rFonts w:ascii="Times New Roman" w:eastAsia="Times New Roman" w:hAnsi="Times New Roman" w:cs="Times New Roman"/>
                <w:bCs/>
                <w:color w:val="000000" w:themeColor="text1"/>
                <w:sz w:val="24"/>
                <w:szCs w:val="24"/>
                <w:lang w:eastAsia="bg-BG"/>
              </w:rPr>
              <w:t xml:space="preserve">много висок процент на предприятията (МСП – </w:t>
            </w:r>
            <w:r w:rsidR="00FE710E" w:rsidRPr="00496500">
              <w:rPr>
                <w:rFonts w:ascii="Times New Roman" w:eastAsia="Times New Roman" w:hAnsi="Times New Roman" w:cs="Times New Roman"/>
                <w:bCs/>
                <w:color w:val="000000" w:themeColor="text1"/>
                <w:sz w:val="24"/>
                <w:szCs w:val="24"/>
                <w:lang w:eastAsia="bg-BG"/>
              </w:rPr>
              <w:t>96</w:t>
            </w:r>
            <w:r w:rsidR="00D206A4">
              <w:rPr>
                <w:rFonts w:ascii="Times New Roman" w:eastAsia="Times New Roman" w:hAnsi="Times New Roman" w:cs="Times New Roman"/>
                <w:bCs/>
                <w:color w:val="000000" w:themeColor="text1"/>
                <w:sz w:val="24"/>
                <w:szCs w:val="24"/>
                <w:lang w:eastAsia="bg-BG"/>
              </w:rPr>
              <w:t>,</w:t>
            </w:r>
            <w:r w:rsidR="00FE710E" w:rsidRPr="00496500">
              <w:rPr>
                <w:rFonts w:ascii="Times New Roman" w:eastAsia="Times New Roman" w:hAnsi="Times New Roman" w:cs="Times New Roman"/>
                <w:bCs/>
                <w:color w:val="000000" w:themeColor="text1"/>
                <w:sz w:val="24"/>
                <w:szCs w:val="24"/>
                <w:lang w:eastAsia="bg-BG"/>
              </w:rPr>
              <w:t>2</w:t>
            </w:r>
            <w:r w:rsidRPr="00496500">
              <w:rPr>
                <w:rFonts w:ascii="Times New Roman" w:eastAsia="Times New Roman" w:hAnsi="Times New Roman" w:cs="Times New Roman"/>
                <w:bCs/>
                <w:color w:val="000000" w:themeColor="text1"/>
                <w:sz w:val="24"/>
                <w:szCs w:val="24"/>
                <w:lang w:eastAsia="bg-BG"/>
              </w:rPr>
              <w:t>% и големи – 100%) с достъп до интернет</w:t>
            </w:r>
          </w:p>
          <w:p w14:paraId="71FBA669" w14:textId="77777777"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налична нотифицирана схема за електронна идентификация пред ЕК, която е призната от останалите държави членки (разработена и управлявана от частноправен субект);</w:t>
            </w:r>
          </w:p>
          <w:p w14:paraId="5E2BECF9" w14:textId="4C729D07" w:rsidR="00034948" w:rsidRPr="00496500" w:rsidRDefault="00034948"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подкрепа за свързаността в страната чрез приемане на необходимите стратегии и програми, намаляване на таксите за </w:t>
            </w:r>
            <w:r w:rsidRPr="00496500">
              <w:rPr>
                <w:rFonts w:ascii="Times New Roman" w:eastAsia="Times New Roman" w:hAnsi="Times New Roman" w:cs="Times New Roman"/>
                <w:color w:val="000000" w:themeColor="text1"/>
                <w:sz w:val="24"/>
                <w:szCs w:val="24"/>
                <w:lang w:eastAsia="bg-BG"/>
              </w:rPr>
              <w:lastRenderedPageBreak/>
              <w:t>радиочестотния спектър, улесняване на конкуренцията, инвестиране в инфраструктурата</w:t>
            </w:r>
            <w:r w:rsidR="000D053D">
              <w:rPr>
                <w:rFonts w:ascii="Times New Roman" w:eastAsia="Times New Roman" w:hAnsi="Times New Roman" w:cs="Times New Roman"/>
                <w:color w:val="000000" w:themeColor="text1"/>
                <w:sz w:val="24"/>
                <w:szCs w:val="24"/>
                <w:lang w:eastAsia="bg-BG"/>
              </w:rPr>
              <w:t>.</w:t>
            </w:r>
          </w:p>
          <w:p w14:paraId="562EFCC6" w14:textId="77777777" w:rsidR="00941669" w:rsidRPr="00496500" w:rsidRDefault="00941669"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63A41C7B" w14:textId="77777777" w:rsidR="00941669" w:rsidRPr="00496500" w:rsidRDefault="00034948"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Данни</w:t>
            </w:r>
          </w:p>
          <w:p w14:paraId="29E591BF" w14:textId="63FEF7C6"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създадени Портал за отворени данни на Република България (</w:t>
            </w:r>
            <w:hyperlink r:id="rId48" w:history="1">
              <w:r w:rsidRPr="00496500">
                <w:rPr>
                  <w:rFonts w:ascii="Times New Roman" w:eastAsia="Times New Roman" w:hAnsi="Times New Roman" w:cs="Times New Roman"/>
                  <w:color w:val="000000" w:themeColor="text1"/>
                  <w:sz w:val="24"/>
                  <w:szCs w:val="24"/>
                  <w:u w:val="single"/>
                  <w:lang w:eastAsia="bg-BG"/>
                </w:rPr>
                <w:t>http://opendata.government.bg/</w:t>
              </w:r>
            </w:hyperlink>
            <w:r w:rsidRPr="00496500">
              <w:rPr>
                <w:rFonts w:ascii="Times New Roman" w:eastAsia="Times New Roman" w:hAnsi="Times New Roman" w:cs="Times New Roman"/>
                <w:color w:val="000000" w:themeColor="text1"/>
                <w:sz w:val="24"/>
                <w:szCs w:val="24"/>
                <w:lang w:eastAsia="bg-BG"/>
              </w:rPr>
              <w:t>)</w:t>
            </w:r>
            <w:r w:rsidR="00F64D96" w:rsidRPr="00496500">
              <w:rPr>
                <w:rFonts w:ascii="Times New Roman" w:eastAsia="Times New Roman" w:hAnsi="Times New Roman" w:cs="Times New Roman"/>
                <w:color w:val="000000" w:themeColor="text1"/>
                <w:sz w:val="24"/>
                <w:szCs w:val="24"/>
                <w:lang w:eastAsia="bg-BG"/>
              </w:rPr>
              <w:t>,</w:t>
            </w:r>
            <w:r w:rsidRPr="00496500">
              <w:rPr>
                <w:rFonts w:ascii="Times New Roman" w:eastAsia="Times New Roman" w:hAnsi="Times New Roman" w:cs="Times New Roman"/>
                <w:color w:val="000000" w:themeColor="text1"/>
                <w:sz w:val="24"/>
                <w:szCs w:val="24"/>
                <w:lang w:eastAsia="bg-BG"/>
              </w:rPr>
              <w:t xml:space="preserve"> Национален портал за пространствени данни (</w:t>
            </w:r>
            <w:hyperlink r:id="rId49" w:history="1">
              <w:r w:rsidRPr="00496500">
                <w:rPr>
                  <w:rFonts w:ascii="Times New Roman" w:eastAsia="Times New Roman" w:hAnsi="Times New Roman" w:cs="Times New Roman"/>
                  <w:color w:val="000000" w:themeColor="text1"/>
                  <w:sz w:val="24"/>
                  <w:szCs w:val="24"/>
                  <w:u w:val="single"/>
                  <w:lang w:eastAsia="bg-BG"/>
                </w:rPr>
                <w:t>https://inspire.egov.bg/</w:t>
              </w:r>
            </w:hyperlink>
            <w:r w:rsidRPr="00496500">
              <w:rPr>
                <w:rFonts w:ascii="Times New Roman" w:eastAsia="Times New Roman" w:hAnsi="Times New Roman" w:cs="Times New Roman"/>
                <w:color w:val="000000" w:themeColor="text1"/>
                <w:sz w:val="24"/>
                <w:szCs w:val="24"/>
                <w:lang w:eastAsia="bg-BG"/>
              </w:rPr>
              <w:t>)</w:t>
            </w:r>
            <w:r w:rsidR="00F64D96" w:rsidRPr="00496500">
              <w:rPr>
                <w:rFonts w:ascii="Times New Roman" w:eastAsia="Times New Roman" w:hAnsi="Times New Roman" w:cs="Times New Roman"/>
                <w:color w:val="000000" w:themeColor="text1"/>
                <w:sz w:val="24"/>
                <w:szCs w:val="24"/>
                <w:lang w:eastAsia="bg-BG"/>
              </w:rPr>
              <w:t xml:space="preserve"> и Български портал за отворена наука (https://bpos.bg/)</w:t>
            </w:r>
            <w:r w:rsidR="000D053D">
              <w:rPr>
                <w:rFonts w:ascii="Times New Roman" w:eastAsia="Times New Roman" w:hAnsi="Times New Roman" w:cs="Times New Roman"/>
                <w:color w:val="000000" w:themeColor="text1"/>
                <w:sz w:val="24"/>
                <w:szCs w:val="24"/>
                <w:lang w:eastAsia="bg-BG"/>
              </w:rPr>
              <w:t>.</w:t>
            </w:r>
          </w:p>
          <w:p w14:paraId="671517EA" w14:textId="77777777" w:rsidR="00034948" w:rsidRPr="00496500" w:rsidRDefault="00034948"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2F434972" w14:textId="77777777" w:rsidR="00034948" w:rsidRPr="00496500" w:rsidRDefault="00034948"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Киберсигурност</w:t>
            </w:r>
          </w:p>
          <w:p w14:paraId="4365614C" w14:textId="477445CA"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изградени базови компоненти на екосистемата за киберсигурност – институционално ниво (НЕРИКС), нормативна рамка, както и реализацията на постоянен процес по изграждане, развитие и надграждане на компонентите на екосистемата за киберсигурност за борба на високо ниво с киберпрестъпността</w:t>
            </w:r>
            <w:r w:rsidR="000D053D">
              <w:rPr>
                <w:rFonts w:ascii="Times New Roman" w:eastAsia="Times New Roman" w:hAnsi="Times New Roman" w:cs="Times New Roman"/>
                <w:color w:val="000000" w:themeColor="text1"/>
                <w:sz w:val="24"/>
                <w:szCs w:val="24"/>
                <w:lang w:eastAsia="bg-BG"/>
              </w:rPr>
              <w:t>.</w:t>
            </w:r>
          </w:p>
          <w:p w14:paraId="23527402" w14:textId="77777777" w:rsidR="00034948" w:rsidRPr="00496500" w:rsidRDefault="00034948"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2D392A93" w14:textId="77777777" w:rsidR="00034948" w:rsidRPr="00496500" w:rsidRDefault="00034948"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Човешки ресурси</w:t>
            </w:r>
          </w:p>
          <w:p w14:paraId="05230593" w14:textId="52A62E93" w:rsidR="00034948" w:rsidRPr="00496500" w:rsidRDefault="00034948" w:rsidP="00034948">
            <w:pPr>
              <w:numPr>
                <w:ilvl w:val="0"/>
                <w:numId w:val="46"/>
              </w:numPr>
              <w:pBdr>
                <w:top w:val="nil"/>
                <w:left w:val="nil"/>
                <w:bottom w:val="nil"/>
                <w:right w:val="nil"/>
                <w:between w:val="nil"/>
              </w:pBd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България е традиционно силна и утвърдена дестинация за аутсорсинг в ИКТ сектора; разполага с висококвалифицирани ИКТ специалисти и утвърдени университети с профили в компютърните науки, математика и инженерство; налице е стабилна основа за научноизследователска и развойна дейност, включително в областта на ИИ</w:t>
            </w:r>
            <w:r w:rsidR="000D053D">
              <w:rPr>
                <w:rFonts w:ascii="Times New Roman" w:eastAsia="Times New Roman" w:hAnsi="Times New Roman" w:cs="Times New Roman"/>
                <w:color w:val="000000" w:themeColor="text1"/>
                <w:sz w:val="24"/>
                <w:szCs w:val="24"/>
                <w:lang w:eastAsia="bg-BG"/>
              </w:rPr>
              <w:t>.</w:t>
            </w:r>
          </w:p>
          <w:p w14:paraId="2B998669" w14:textId="77777777" w:rsidR="00034948" w:rsidRPr="00496500" w:rsidRDefault="00034948"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3BC631DA" w14:textId="77777777" w:rsidR="00034948" w:rsidRPr="00496500" w:rsidRDefault="00034948"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Бизнес</w:t>
            </w:r>
          </w:p>
          <w:p w14:paraId="3D734B84" w14:textId="77777777" w:rsidR="00280DB2" w:rsidRPr="00496500" w:rsidRDefault="00280DB2"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lastRenderedPageBreak/>
              <w:t xml:space="preserve">дългогодишни традиции в сектора на ИТ и електрониката, значителен брой ИКТ компании и добре подготвени специалисти; наличие на множество технологични компании за обработка на данни, машинно обучение и автоматизация – България има две компании „еднорог“, действащи в областта на </w:t>
            </w:r>
            <w:r w:rsidR="00AA68D1" w:rsidRPr="00496500">
              <w:rPr>
                <w:rFonts w:ascii="Times New Roman" w:eastAsia="Times New Roman" w:hAnsi="Times New Roman" w:cs="Times New Roman"/>
                <w:color w:val="000000" w:themeColor="text1"/>
                <w:sz w:val="24"/>
                <w:szCs w:val="24"/>
                <w:lang w:eastAsia="bg-BG"/>
              </w:rPr>
              <w:t>цифрови</w:t>
            </w:r>
            <w:r w:rsidRPr="00496500">
              <w:rPr>
                <w:rFonts w:ascii="Times New Roman" w:eastAsia="Times New Roman" w:hAnsi="Times New Roman" w:cs="Times New Roman"/>
                <w:color w:val="000000" w:themeColor="text1"/>
                <w:sz w:val="24"/>
                <w:szCs w:val="24"/>
                <w:lang w:eastAsia="bg-BG"/>
              </w:rPr>
              <w:t>те решения за управление на бизнес финансите и на сгради;</w:t>
            </w:r>
          </w:p>
          <w:p w14:paraId="0B24E032" w14:textId="77777777" w:rsidR="00E56930" w:rsidRPr="00496500" w:rsidRDefault="00E56930" w:rsidP="008F6E04">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hAnsi="Times New Roman" w:cs="Times New Roman"/>
                <w:bCs/>
                <w:sz w:val="24"/>
                <w:szCs w:val="24"/>
              </w:rPr>
              <w:t>конкурентен телекомуникационен пазар – наличие на няколко големи доставчици на услуги;</w:t>
            </w:r>
          </w:p>
          <w:p w14:paraId="20B99E74" w14:textId="77777777" w:rsidR="00280DB2" w:rsidRPr="00496500" w:rsidRDefault="00280DB2"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ниски цени на услугите, базирани на високоскоростни мрежи и възможности за обмен на по-големи обеми от данни;</w:t>
            </w:r>
          </w:p>
          <w:p w14:paraId="0C009C24" w14:textId="407E546E" w:rsidR="00280DB2" w:rsidRPr="00496500" w:rsidRDefault="00280DB2" w:rsidP="008F6E04">
            <w:pPr>
              <w:numPr>
                <w:ilvl w:val="0"/>
                <w:numId w:val="46"/>
              </w:numPr>
              <w:pBdr>
                <w:top w:val="nil"/>
                <w:left w:val="nil"/>
                <w:bottom w:val="nil"/>
                <w:right w:val="nil"/>
                <w:between w:val="nil"/>
              </w:pBd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Достъп до европейски фондове и инициативи </w:t>
            </w:r>
            <w:r w:rsidR="00E56930" w:rsidRPr="00496500">
              <w:rPr>
                <w:rFonts w:ascii="Times New Roman" w:eastAsia="Times New Roman" w:hAnsi="Times New Roman" w:cs="Times New Roman"/>
                <w:color w:val="000000" w:themeColor="text1"/>
                <w:sz w:val="24"/>
                <w:szCs w:val="24"/>
                <w:lang w:eastAsia="bg-BG"/>
              </w:rPr>
              <w:t xml:space="preserve">и активно участие </w:t>
            </w:r>
            <w:r w:rsidRPr="00496500">
              <w:rPr>
                <w:rFonts w:ascii="Times New Roman" w:eastAsia="Times New Roman" w:hAnsi="Times New Roman" w:cs="Times New Roman"/>
                <w:color w:val="000000" w:themeColor="text1"/>
                <w:sz w:val="24"/>
                <w:szCs w:val="24"/>
                <w:lang w:eastAsia="bg-BG"/>
              </w:rPr>
              <w:t>(Horizon Europe, Digital Europe, EDIH, EuroHPC и др.)</w:t>
            </w:r>
            <w:r w:rsidR="000D053D">
              <w:rPr>
                <w:rFonts w:ascii="Times New Roman" w:eastAsia="Times New Roman" w:hAnsi="Times New Roman" w:cs="Times New Roman"/>
                <w:color w:val="000000" w:themeColor="text1"/>
                <w:sz w:val="24"/>
                <w:szCs w:val="24"/>
                <w:lang w:eastAsia="bg-BG"/>
              </w:rPr>
              <w:t>.</w:t>
            </w:r>
          </w:p>
        </w:tc>
        <w:tc>
          <w:tcPr>
            <w:tcW w:w="7085" w:type="dxa"/>
          </w:tcPr>
          <w:p w14:paraId="0E72B5F2" w14:textId="77777777" w:rsidR="00B777D6" w:rsidRPr="00496500" w:rsidRDefault="00B777D6" w:rsidP="006E661C">
            <w:p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
                <w:bCs/>
                <w:color w:val="2E74B5" w:themeColor="accent1" w:themeShade="BF"/>
                <w:sz w:val="24"/>
                <w:szCs w:val="24"/>
              </w:rPr>
              <w:lastRenderedPageBreak/>
              <w:t>Публичен сектор и публични услуги</w:t>
            </w:r>
          </w:p>
          <w:p w14:paraId="555D0DB0" w14:textId="77777777" w:rsidR="00280DB2" w:rsidRPr="00496500" w:rsidRDefault="00280DB2"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ограничено желание от страна на организациите в публичния сектор за координирана и ефективна цифрова трансформация;</w:t>
            </w:r>
          </w:p>
          <w:p w14:paraId="6DE2EAD5" w14:textId="77777777" w:rsidR="00280DB2" w:rsidRPr="00496500" w:rsidRDefault="00280DB2"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все още се наблюдава от страна на администрации, лица, осъществяващи публични функции, или организации, предоставящи публични услуги, изискването от гражданите и бизнеса да предоставят или доказват вече събрани или създадени данни, вместо да ги изискат служебно от първичния администратор на данните;</w:t>
            </w:r>
          </w:p>
          <w:p w14:paraId="3557DBAD" w14:textId="77777777" w:rsidR="00280DB2" w:rsidRPr="00496500" w:rsidRDefault="00280DB2"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България все още изостава от средните нива на ЕС за цифрови публични услуги за гражданите (68% при средно ниво за ЕС 82%); има категории лица от обществото, които никога не са използвали електронни услуги, поради ниска </w:t>
            </w:r>
            <w:r w:rsidR="00AA68D1" w:rsidRPr="00496500">
              <w:rPr>
                <w:rFonts w:ascii="Times New Roman" w:eastAsia="Times New Roman" w:hAnsi="Times New Roman" w:cs="Times New Roman"/>
                <w:bCs/>
                <w:color w:val="000000" w:themeColor="text1"/>
                <w:sz w:val="24"/>
                <w:szCs w:val="24"/>
              </w:rPr>
              <w:t>цифрова</w:t>
            </w:r>
            <w:r w:rsidRPr="00496500">
              <w:rPr>
                <w:rFonts w:ascii="Times New Roman" w:eastAsia="Times New Roman" w:hAnsi="Times New Roman" w:cs="Times New Roman"/>
                <w:bCs/>
                <w:color w:val="000000" w:themeColor="text1"/>
                <w:sz w:val="24"/>
                <w:szCs w:val="24"/>
              </w:rPr>
              <w:t xml:space="preserve"> грамотност или липса на достъп до мрежа;</w:t>
            </w:r>
          </w:p>
          <w:p w14:paraId="06933DB7" w14:textId="77777777" w:rsidR="00280DB2" w:rsidRPr="00496500" w:rsidRDefault="00280DB2"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липса на единно средство за електронна идентификация, предоставено от държавата, чрез което да се идентифицират българските граждани; все още се използват различни средства за електронна идентификация с различно ниво на осигуреност;</w:t>
            </w:r>
          </w:p>
          <w:p w14:paraId="59B33BFE" w14:textId="77777777" w:rsidR="001342B8" w:rsidRPr="00496500" w:rsidRDefault="001342B8"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hAnsi="Times New Roman" w:cs="Times New Roman"/>
                <w:bCs/>
                <w:kern w:val="2"/>
                <w:sz w:val="24"/>
                <w:szCs w:val="24"/>
              </w:rPr>
              <w:t>неизграден институционален капацитет и механизъм за прилагане на Акта за ИИ – липса на обучени експерти, институционална координация и практически инструменти за оценка на риска на системите с ИИ</w:t>
            </w:r>
            <w:r w:rsidR="00E97C0C" w:rsidRPr="00496500">
              <w:rPr>
                <w:rFonts w:ascii="Times New Roman" w:hAnsi="Times New Roman" w:cs="Times New Roman"/>
                <w:bCs/>
                <w:kern w:val="2"/>
                <w:sz w:val="24"/>
                <w:szCs w:val="24"/>
              </w:rPr>
              <w:t>;</w:t>
            </w:r>
          </w:p>
          <w:p w14:paraId="4C11670C" w14:textId="77777777" w:rsidR="00E97C0C" w:rsidRPr="00496500" w:rsidRDefault="00E97C0C"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sz w:val="24"/>
                <w:szCs w:val="24"/>
              </w:rPr>
              <w:t>е-</w:t>
            </w:r>
            <w:r w:rsidRPr="00496500">
              <w:rPr>
                <w:rFonts w:ascii="Times New Roman" w:eastAsia="Times New Roman" w:hAnsi="Times New Roman" w:cs="Times New Roman"/>
                <w:bCs/>
                <w:color w:val="000000" w:themeColor="text1"/>
                <w:sz w:val="24"/>
                <w:szCs w:val="24"/>
              </w:rPr>
              <w:t xml:space="preserve">здравеопазване - липсва специфична законова уредба и официална регулация за телемедицината; </w:t>
            </w:r>
          </w:p>
          <w:p w14:paraId="52AB2727" w14:textId="4C558F39" w:rsidR="00E97C0C" w:rsidRPr="00496500" w:rsidRDefault="00E97C0C" w:rsidP="00F82ABC">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lastRenderedPageBreak/>
              <w:t>липса</w:t>
            </w:r>
            <w:r w:rsidRPr="00496500">
              <w:rPr>
                <w:rFonts w:ascii="Times New Roman" w:eastAsia="Times New Roman" w:hAnsi="Times New Roman" w:cs="Times New Roman"/>
                <w:bCs/>
                <w:sz w:val="24"/>
                <w:szCs w:val="24"/>
              </w:rPr>
              <w:t xml:space="preserve"> на пълна интеграция между болничните ИТ системи и националната система</w:t>
            </w:r>
            <w:r w:rsidR="001D5976">
              <w:rPr>
                <w:rFonts w:ascii="Times New Roman" w:eastAsia="Times New Roman" w:hAnsi="Times New Roman" w:cs="Times New Roman"/>
                <w:bCs/>
                <w:sz w:val="24"/>
                <w:szCs w:val="24"/>
              </w:rPr>
              <w:t>.</w:t>
            </w:r>
          </w:p>
          <w:p w14:paraId="0B09DD4F" w14:textId="77777777" w:rsidR="00B777D6" w:rsidRPr="00496500" w:rsidRDefault="00B777D6"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p>
          <w:p w14:paraId="147BE6E2" w14:textId="77777777" w:rsidR="00B777D6" w:rsidRPr="00496500" w:rsidRDefault="00B777D6"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Инфраструктура и технологии</w:t>
            </w:r>
          </w:p>
          <w:p w14:paraId="70553501" w14:textId="77777777" w:rsidR="00280DB2" w:rsidRPr="00496500" w:rsidRDefault="00280DB2" w:rsidP="008F6E04">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ниска степен на цялостно внедряване на съвременни </w:t>
            </w:r>
            <w:r w:rsidR="00E56930" w:rsidRPr="00496500">
              <w:rPr>
                <w:rFonts w:ascii="Times New Roman" w:eastAsia="Times New Roman" w:hAnsi="Times New Roman" w:cs="Times New Roman"/>
                <w:bCs/>
                <w:color w:val="000000" w:themeColor="text1"/>
                <w:sz w:val="24"/>
                <w:szCs w:val="24"/>
              </w:rPr>
              <w:t xml:space="preserve">оперативно съвместими </w:t>
            </w:r>
            <w:r w:rsidRPr="00496500">
              <w:rPr>
                <w:rFonts w:ascii="Times New Roman" w:eastAsia="Times New Roman" w:hAnsi="Times New Roman" w:cs="Times New Roman"/>
                <w:bCs/>
                <w:color w:val="000000" w:themeColor="text1"/>
                <w:sz w:val="24"/>
                <w:szCs w:val="24"/>
              </w:rPr>
              <w:t>цифрови технологии, ограничено използване ИКТ решенията с висока стойност (BI, CRM, ERP) в МСП, поради липса на ресурси (финансови и човешки ресурси), както и разбиране за добавената стойност от използването им;</w:t>
            </w:r>
          </w:p>
          <w:p w14:paraId="0FDF5D74" w14:textId="77777777" w:rsidR="00E97C0C" w:rsidRPr="00496500" w:rsidRDefault="00E97C0C" w:rsidP="00B777D6">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ниско ниво на оперативна съвместимост – техническа, правна, организационна и семантична;</w:t>
            </w:r>
          </w:p>
          <w:p w14:paraId="0710E8CF" w14:textId="09646509" w:rsidR="00B777D6" w:rsidRPr="00496500" w:rsidRDefault="00B777D6" w:rsidP="00B777D6">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липса на институционална, нормативна, стратегическа и технологична рамка за използване и развитие на </w:t>
            </w:r>
            <w:r w:rsidR="009C7F4A">
              <w:rPr>
                <w:rFonts w:ascii="Times New Roman" w:eastAsia="Times New Roman" w:hAnsi="Times New Roman" w:cs="Times New Roman"/>
                <w:bCs/>
                <w:color w:val="000000" w:themeColor="text1"/>
                <w:sz w:val="24"/>
                <w:szCs w:val="24"/>
              </w:rPr>
              <w:t>ИИ</w:t>
            </w:r>
            <w:r w:rsidRPr="00496500">
              <w:rPr>
                <w:rFonts w:ascii="Times New Roman" w:eastAsia="Times New Roman" w:hAnsi="Times New Roman" w:cs="Times New Roman"/>
                <w:bCs/>
                <w:color w:val="000000" w:themeColor="text1"/>
                <w:sz w:val="24"/>
                <w:szCs w:val="24"/>
              </w:rPr>
              <w:t xml:space="preserve"> в публичния сектор и по-специално в администрациите;</w:t>
            </w:r>
          </w:p>
          <w:p w14:paraId="2EC0137C" w14:textId="6B84D040" w:rsidR="00B777D6" w:rsidRPr="00496500" w:rsidRDefault="00B777D6" w:rsidP="00B777D6">
            <w:pPr>
              <w:numPr>
                <w:ilvl w:val="0"/>
                <w:numId w:val="46"/>
              </w:num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географски дисбаланс по отношение на цифрова свързаност между градовете и извънградските райони (много селски райони и по-малки градове все още нямат широколентов достъп)</w:t>
            </w:r>
            <w:r w:rsidR="001D5976">
              <w:rPr>
                <w:rFonts w:ascii="Times New Roman" w:eastAsia="Times New Roman" w:hAnsi="Times New Roman" w:cs="Times New Roman"/>
                <w:bCs/>
                <w:color w:val="000000" w:themeColor="text1"/>
                <w:sz w:val="24"/>
                <w:szCs w:val="24"/>
              </w:rPr>
              <w:t>.</w:t>
            </w:r>
          </w:p>
          <w:p w14:paraId="19B83E10" w14:textId="77777777" w:rsidR="00B777D6" w:rsidRPr="00496500" w:rsidRDefault="00B777D6" w:rsidP="006E661C">
            <w:pPr>
              <w:shd w:val="clear" w:color="auto" w:fill="FFFFFF"/>
              <w:spacing w:before="120" w:after="120" w:line="240" w:lineRule="auto"/>
              <w:jc w:val="both"/>
              <w:rPr>
                <w:rFonts w:ascii="Times New Roman" w:eastAsia="Calibri" w:hAnsi="Times New Roman" w:cs="Times New Roman"/>
                <w:bCs/>
                <w:sz w:val="24"/>
                <w:szCs w:val="24"/>
              </w:rPr>
            </w:pPr>
          </w:p>
          <w:p w14:paraId="4C31A043" w14:textId="77777777" w:rsidR="00B777D6" w:rsidRPr="00496500" w:rsidRDefault="00B777D6"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Данни</w:t>
            </w:r>
          </w:p>
          <w:p w14:paraId="26DE09E0" w14:textId="65E9F9D9" w:rsidR="00941669" w:rsidRPr="00496500" w:rsidRDefault="00941669" w:rsidP="006E661C">
            <w:pPr>
              <w:numPr>
                <w:ilvl w:val="0"/>
                <w:numId w:val="46"/>
              </w:numPr>
              <w:shd w:val="clear" w:color="auto" w:fill="FFFFFF"/>
              <w:spacing w:before="120" w:after="120" w:line="240" w:lineRule="auto"/>
              <w:jc w:val="both"/>
              <w:rPr>
                <w:rFonts w:ascii="Times New Roman" w:eastAsia="Calibri" w:hAnsi="Times New Roman" w:cs="Times New Roman"/>
                <w:bCs/>
                <w:sz w:val="24"/>
                <w:szCs w:val="24"/>
              </w:rPr>
            </w:pPr>
            <w:r w:rsidRPr="00496500">
              <w:rPr>
                <w:rFonts w:ascii="Times New Roman" w:eastAsia="Calibri" w:hAnsi="Times New Roman" w:cs="Times New Roman"/>
                <w:kern w:val="2"/>
                <w:sz w:val="24"/>
                <w:szCs w:val="24"/>
              </w:rPr>
              <w:t>няма достатъчно налични данни за новаторско повторно използване, включително за разработването на изкуствен интелект</w:t>
            </w:r>
            <w:r w:rsidR="009C7F4A">
              <w:rPr>
                <w:rFonts w:ascii="Times New Roman" w:eastAsia="Calibri" w:hAnsi="Times New Roman" w:cs="Times New Roman"/>
                <w:kern w:val="2"/>
                <w:sz w:val="24"/>
                <w:szCs w:val="24"/>
              </w:rPr>
              <w:t>;</w:t>
            </w:r>
          </w:p>
          <w:p w14:paraId="2F2DA08E" w14:textId="61361A1D" w:rsidR="00B777D6" w:rsidRPr="00496500" w:rsidRDefault="00B777D6" w:rsidP="00B777D6">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недостатъчна наличност на отворени и структурирани публични данни - прилагат се различни и несъгласувани подходи, техники и технологии за цифровизация в публичния </w:t>
            </w:r>
            <w:r w:rsidRPr="00496500">
              <w:rPr>
                <w:rFonts w:ascii="Times New Roman" w:eastAsia="Times New Roman" w:hAnsi="Times New Roman" w:cs="Times New Roman"/>
                <w:bCs/>
                <w:color w:val="000000" w:themeColor="text1"/>
                <w:sz w:val="24"/>
                <w:szCs w:val="24"/>
              </w:rPr>
              <w:lastRenderedPageBreak/>
              <w:t>сектор, което води до ограничения за използването и повторното използване на данни и до проблеми с осигуряването на оперативна съвместимост на данните в цифров вид</w:t>
            </w:r>
            <w:r w:rsidR="001D5976">
              <w:rPr>
                <w:rFonts w:ascii="Times New Roman" w:eastAsia="Times New Roman" w:hAnsi="Times New Roman" w:cs="Times New Roman"/>
                <w:bCs/>
                <w:color w:val="000000" w:themeColor="text1"/>
                <w:sz w:val="24"/>
                <w:szCs w:val="24"/>
              </w:rPr>
              <w:t>.</w:t>
            </w:r>
          </w:p>
          <w:p w14:paraId="04753AAF" w14:textId="77777777" w:rsidR="00280DB2" w:rsidRPr="00496500" w:rsidRDefault="00280DB2" w:rsidP="008F6E04">
            <w:pPr>
              <w:tabs>
                <w:tab w:val="left" w:pos="284"/>
              </w:tabs>
              <w:spacing w:before="120" w:after="120" w:line="240" w:lineRule="auto"/>
              <w:ind w:left="284"/>
              <w:jc w:val="both"/>
              <w:rPr>
                <w:rFonts w:ascii="Times New Roman" w:eastAsia="Times New Roman" w:hAnsi="Times New Roman" w:cs="Times New Roman"/>
                <w:color w:val="000000" w:themeColor="text1"/>
                <w:sz w:val="24"/>
                <w:szCs w:val="24"/>
                <w:lang w:eastAsia="bg-BG"/>
              </w:rPr>
            </w:pPr>
          </w:p>
          <w:p w14:paraId="20590FE9" w14:textId="77777777" w:rsidR="00A1200C" w:rsidRPr="00496500" w:rsidRDefault="00A1200C"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Киберсигурност</w:t>
            </w:r>
          </w:p>
          <w:p w14:paraId="13C42A4D" w14:textId="77777777" w:rsidR="00A1200C" w:rsidRPr="00496500" w:rsidRDefault="00A1200C" w:rsidP="00A1200C">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все още липсват напълно изградени елементи от националната екосистема за киберсигурност: НЕРИКС, СЕРИКС;</w:t>
            </w:r>
          </w:p>
          <w:p w14:paraId="6797787A" w14:textId="77777777" w:rsidR="00A1200C" w:rsidRPr="00496500" w:rsidRDefault="00A1200C" w:rsidP="00A1200C">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липса на цялостен интегриран подход към управлението на киберинциденти и проактивното откриване на киберзаплахи;</w:t>
            </w:r>
          </w:p>
          <w:p w14:paraId="38F5DC7A" w14:textId="7394B5E8" w:rsidR="00A1200C" w:rsidRPr="00496500" w:rsidRDefault="00A1200C" w:rsidP="00A1200C">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слабо развити трансгранични услуги</w:t>
            </w:r>
            <w:r w:rsidR="000D053D">
              <w:rPr>
                <w:rFonts w:ascii="Times New Roman" w:eastAsia="Times New Roman" w:hAnsi="Times New Roman" w:cs="Times New Roman"/>
                <w:bCs/>
                <w:color w:val="000000" w:themeColor="text1"/>
                <w:sz w:val="24"/>
                <w:szCs w:val="24"/>
              </w:rPr>
              <w:t>.</w:t>
            </w:r>
          </w:p>
          <w:p w14:paraId="4B180D56" w14:textId="77777777" w:rsidR="00A1200C" w:rsidRPr="00496500" w:rsidRDefault="00A1200C" w:rsidP="008F6E04">
            <w:pPr>
              <w:tabs>
                <w:tab w:val="left" w:pos="284"/>
              </w:tabs>
              <w:spacing w:before="120" w:after="120" w:line="240" w:lineRule="auto"/>
              <w:ind w:left="284"/>
              <w:jc w:val="both"/>
              <w:rPr>
                <w:rFonts w:ascii="Times New Roman" w:eastAsia="Times New Roman" w:hAnsi="Times New Roman" w:cs="Times New Roman"/>
                <w:color w:val="000000" w:themeColor="text1"/>
                <w:sz w:val="24"/>
                <w:szCs w:val="24"/>
                <w:lang w:eastAsia="bg-BG"/>
              </w:rPr>
            </w:pPr>
          </w:p>
          <w:p w14:paraId="74C46DFC" w14:textId="77777777" w:rsidR="00B777D6" w:rsidRPr="00496500" w:rsidRDefault="00B777D6" w:rsidP="006E661C">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Човешки ресурси</w:t>
            </w:r>
          </w:p>
          <w:p w14:paraId="2EBC6345" w14:textId="77777777" w:rsidR="00B777D6" w:rsidRPr="00496500" w:rsidRDefault="00B777D6" w:rsidP="00B777D6">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България значително изостава от средните нива на ЕС за цифрови умения, както за „основни“ цифрови умения (36% при средно ниво за ЕС 56%), така и за „над основните“, налице е „цифрова изолация“ за някои категории лица от обществото;  </w:t>
            </w:r>
          </w:p>
          <w:p w14:paraId="0C391853" w14:textId="77777777" w:rsidR="00B777D6" w:rsidRPr="00496500" w:rsidRDefault="00B777D6" w:rsidP="00B777D6">
            <w:pPr>
              <w:numPr>
                <w:ilvl w:val="0"/>
                <w:numId w:val="46"/>
              </w:num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 xml:space="preserve">ниско ниво на цифрова грамотност на заети лица, недостиг на високо квалифицирани ИКТ специалисти и същевременно слаб интерес и търсене, съответно ограничено предлагане от страна на бизнеса на обучения за възрастни, свързани с формиране и надграждане на цифрови умения; </w:t>
            </w:r>
          </w:p>
          <w:p w14:paraId="0566DBDB" w14:textId="2B136A49" w:rsidR="00B777D6" w:rsidRPr="00496500" w:rsidRDefault="00B777D6" w:rsidP="00B777D6">
            <w:pPr>
              <w:numPr>
                <w:ilvl w:val="0"/>
                <w:numId w:val="46"/>
              </w:numPr>
              <w:pBdr>
                <w:top w:val="nil"/>
                <w:left w:val="nil"/>
                <w:bottom w:val="nil"/>
                <w:right w:val="nil"/>
                <w:between w:val="nil"/>
              </w:pBd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ниска цифрова култура по отношение на работа в интернет, ползване на социални мрежи, споделяне и защита на личните данни</w:t>
            </w:r>
            <w:r w:rsidR="000D053D">
              <w:rPr>
                <w:rFonts w:ascii="Times New Roman" w:eastAsia="Times New Roman" w:hAnsi="Times New Roman" w:cs="Times New Roman"/>
                <w:bCs/>
                <w:color w:val="000000" w:themeColor="text1"/>
                <w:sz w:val="24"/>
                <w:szCs w:val="24"/>
              </w:rPr>
              <w:t>.</w:t>
            </w:r>
          </w:p>
          <w:p w14:paraId="560D20C5" w14:textId="77777777" w:rsidR="00B777D6" w:rsidRPr="00496500" w:rsidRDefault="00B777D6" w:rsidP="006E661C">
            <w:pPr>
              <w:tabs>
                <w:tab w:val="left" w:pos="284"/>
              </w:tabs>
              <w:spacing w:before="120" w:after="120" w:line="240" w:lineRule="auto"/>
              <w:ind w:left="284"/>
              <w:jc w:val="both"/>
              <w:rPr>
                <w:rFonts w:ascii="Times New Roman" w:eastAsia="Times New Roman" w:hAnsi="Times New Roman" w:cs="Times New Roman"/>
                <w:color w:val="000000" w:themeColor="text1"/>
                <w:sz w:val="24"/>
                <w:szCs w:val="24"/>
                <w:lang w:eastAsia="bg-BG"/>
              </w:rPr>
            </w:pPr>
          </w:p>
          <w:p w14:paraId="50AF18F5" w14:textId="77777777" w:rsidR="00B777D6" w:rsidRPr="00496500" w:rsidRDefault="00B777D6" w:rsidP="00B777D6">
            <w:pPr>
              <w:shd w:val="clear" w:color="auto" w:fill="FFFFFF"/>
              <w:spacing w:before="120" w:after="120" w:line="240" w:lineRule="auto"/>
              <w:ind w:left="63"/>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Бизнес</w:t>
            </w:r>
          </w:p>
          <w:p w14:paraId="685D3E5A" w14:textId="77777777" w:rsidR="00A1200C" w:rsidRPr="00496500" w:rsidRDefault="00A1200C" w:rsidP="00A1200C">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lastRenderedPageBreak/>
              <w:t xml:space="preserve">България значително изостава от средните нива на ЕС за използване на ИИ, облак или анализ на данни в предприятията (29% при средно ниво за ЕС 55%) и МСП с поне основно ниво на цифров интензитет (50% при средно ниво за ЕС 73%); </w:t>
            </w:r>
          </w:p>
          <w:p w14:paraId="5C2DEA3F" w14:textId="22E146AB" w:rsidR="00B777D6" w:rsidRPr="00496500" w:rsidRDefault="00B777D6" w:rsidP="00B777D6">
            <w:pPr>
              <w:numPr>
                <w:ilvl w:val="0"/>
                <w:numId w:val="46"/>
              </w:numPr>
              <w:shd w:val="clear" w:color="auto" w:fill="FFFFFF"/>
              <w:spacing w:before="120" w:after="120" w:line="240" w:lineRule="auto"/>
              <w:jc w:val="both"/>
              <w:rPr>
                <w:rFonts w:ascii="Times New Roman" w:eastAsia="Times New Roman" w:hAnsi="Times New Roman" w:cs="Times New Roman"/>
                <w:bCs/>
                <w:color w:val="000000" w:themeColor="text1"/>
                <w:sz w:val="24"/>
                <w:szCs w:val="24"/>
              </w:rPr>
            </w:pPr>
            <w:r w:rsidRPr="00496500">
              <w:rPr>
                <w:rFonts w:ascii="Times New Roman" w:eastAsia="Times New Roman" w:hAnsi="Times New Roman" w:cs="Times New Roman"/>
                <w:bCs/>
                <w:color w:val="000000" w:themeColor="text1"/>
                <w:sz w:val="24"/>
                <w:szCs w:val="24"/>
              </w:rPr>
              <w:t>трансферът на знания и комерсиализацията на резултатите от научните изследвания в областта на цифровата трансформация са ограничени от липсата на ефективна екосистема за трансфер на цифрови технологии (с правилно финансирани структури за трансфер)</w:t>
            </w:r>
            <w:r w:rsidR="000D053D">
              <w:rPr>
                <w:rFonts w:ascii="Times New Roman" w:eastAsia="Times New Roman" w:hAnsi="Times New Roman" w:cs="Times New Roman"/>
                <w:bCs/>
                <w:color w:val="000000" w:themeColor="text1"/>
                <w:sz w:val="24"/>
                <w:szCs w:val="24"/>
              </w:rPr>
              <w:t>;</w:t>
            </w:r>
          </w:p>
          <w:p w14:paraId="68804DC6" w14:textId="77777777" w:rsidR="00B777D6" w:rsidRPr="00496500" w:rsidRDefault="00B777D6"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въпреки че българските предприятия припознават социалните мрежи като основен канал за маркетинг и връзка с потребителите, не ги използват стратегически за продажби и клиентска поддръжка; </w:t>
            </w:r>
          </w:p>
          <w:p w14:paraId="1D348B6F" w14:textId="77777777" w:rsidR="00B777D6" w:rsidRPr="00496500" w:rsidRDefault="00B777D6" w:rsidP="006E661C">
            <w:pPr>
              <w:numPr>
                <w:ilvl w:val="0"/>
                <w:numId w:val="46"/>
              </w:numPr>
              <w:pBdr>
                <w:top w:val="nil"/>
                <w:left w:val="nil"/>
                <w:bottom w:val="nil"/>
                <w:right w:val="nil"/>
                <w:between w:val="nil"/>
              </w:pBd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слаб частен инвестиционен интерес за цифрова трансформация в слабо населените и отдалечени селски райони, където инвестиционните разходи са високи, а възвращаемостта ниска;</w:t>
            </w:r>
          </w:p>
          <w:p w14:paraId="401A6E12" w14:textId="15D5FD6C" w:rsidR="001342B8" w:rsidRPr="000D053D" w:rsidRDefault="001342B8">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ограничена цифрова зрялост на бизнеса, включително липса на стратегически интерес към ИИ и слаба култура на иновации, особено сред МСП</w:t>
            </w:r>
            <w:r w:rsidR="000D053D">
              <w:rPr>
                <w:rFonts w:ascii="Times New Roman" w:eastAsia="Times New Roman" w:hAnsi="Times New Roman" w:cs="Times New Roman"/>
                <w:color w:val="000000" w:themeColor="text1"/>
                <w:sz w:val="24"/>
                <w:szCs w:val="24"/>
                <w:lang w:eastAsia="bg-BG"/>
              </w:rPr>
              <w:t>.</w:t>
            </w:r>
          </w:p>
        </w:tc>
      </w:tr>
    </w:tbl>
    <w:p w14:paraId="2A7F3DE4" w14:textId="77777777" w:rsidR="00280DB2" w:rsidRPr="00496500" w:rsidRDefault="00280DB2" w:rsidP="00280DB2">
      <w:pPr>
        <w:spacing w:before="120" w:after="120" w:line="240" w:lineRule="auto"/>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lastRenderedPageBreak/>
        <w:br w:type="page"/>
      </w:r>
    </w:p>
    <w:p w14:paraId="6E762892" w14:textId="77777777" w:rsidR="00280DB2" w:rsidRPr="00496500" w:rsidRDefault="00280DB2" w:rsidP="00280DB2">
      <w:pPr>
        <w:spacing w:before="120" w:after="120" w:line="240" w:lineRule="auto"/>
        <w:rPr>
          <w:rFonts w:ascii="Times New Roman" w:eastAsia="Times New Roman" w:hAnsi="Times New Roman" w:cs="Times New Roman"/>
          <w:color w:val="000000" w:themeColor="text1"/>
          <w:sz w:val="24"/>
          <w:szCs w:val="24"/>
          <w:lang w:eastAsia="bg-BG"/>
        </w:rPr>
      </w:pPr>
    </w:p>
    <w:tbl>
      <w:tblPr>
        <w:tblW w:w="1417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Look w:val="04A0" w:firstRow="1" w:lastRow="0" w:firstColumn="1" w:lastColumn="0" w:noHBand="0" w:noVBand="1"/>
      </w:tblPr>
      <w:tblGrid>
        <w:gridCol w:w="7085"/>
        <w:gridCol w:w="7085"/>
      </w:tblGrid>
      <w:tr w:rsidR="00280DB2" w:rsidRPr="00496500" w14:paraId="19DB29E5" w14:textId="77777777" w:rsidTr="00917389">
        <w:trPr>
          <w:tblHeader/>
        </w:trPr>
        <w:tc>
          <w:tcPr>
            <w:tcW w:w="7085" w:type="dxa"/>
            <w:shd w:val="clear" w:color="auto" w:fill="E2EFD9" w:themeFill="accent6" w:themeFillTint="33"/>
          </w:tcPr>
          <w:p w14:paraId="45FF5396" w14:textId="77777777" w:rsidR="00280DB2" w:rsidRPr="00496500" w:rsidRDefault="00280DB2" w:rsidP="00280DB2">
            <w:pPr>
              <w:spacing w:before="120" w:after="120" w:line="240" w:lineRule="auto"/>
              <w:jc w:val="center"/>
              <w:rPr>
                <w:rFonts w:ascii="Times New Roman" w:eastAsia="Times New Roman" w:hAnsi="Times New Roman" w:cs="Times New Roman"/>
                <w:b/>
                <w:color w:val="000000" w:themeColor="text1"/>
                <w:sz w:val="24"/>
                <w:szCs w:val="24"/>
                <w:lang w:eastAsia="bg-BG"/>
              </w:rPr>
            </w:pPr>
            <w:r w:rsidRPr="00496500">
              <w:rPr>
                <w:rFonts w:ascii="Times New Roman" w:eastAsia="Times New Roman" w:hAnsi="Times New Roman" w:cs="Times New Roman"/>
                <w:b/>
                <w:color w:val="000000" w:themeColor="text1"/>
                <w:sz w:val="24"/>
                <w:szCs w:val="24"/>
                <w:lang w:eastAsia="bg-BG"/>
              </w:rPr>
              <w:t>Възможности</w:t>
            </w:r>
          </w:p>
        </w:tc>
        <w:tc>
          <w:tcPr>
            <w:tcW w:w="7085" w:type="dxa"/>
            <w:shd w:val="clear" w:color="auto" w:fill="E2EFD9" w:themeFill="accent6" w:themeFillTint="33"/>
          </w:tcPr>
          <w:p w14:paraId="6F3686B8" w14:textId="77777777" w:rsidR="00280DB2" w:rsidRPr="00496500" w:rsidRDefault="00280DB2" w:rsidP="00280DB2">
            <w:pPr>
              <w:spacing w:before="120" w:after="120" w:line="240" w:lineRule="auto"/>
              <w:jc w:val="center"/>
              <w:rPr>
                <w:rFonts w:ascii="Times New Roman" w:eastAsia="Times New Roman" w:hAnsi="Times New Roman" w:cs="Times New Roman"/>
                <w:b/>
                <w:color w:val="000000" w:themeColor="text1"/>
                <w:sz w:val="24"/>
                <w:szCs w:val="24"/>
                <w:lang w:eastAsia="bg-BG"/>
              </w:rPr>
            </w:pPr>
            <w:r w:rsidRPr="00496500">
              <w:rPr>
                <w:rFonts w:ascii="Times New Roman" w:eastAsia="Times New Roman" w:hAnsi="Times New Roman" w:cs="Times New Roman"/>
                <w:b/>
                <w:color w:val="000000" w:themeColor="text1"/>
                <w:sz w:val="24"/>
                <w:szCs w:val="24"/>
                <w:lang w:eastAsia="bg-BG"/>
              </w:rPr>
              <w:t>Заплахи</w:t>
            </w:r>
          </w:p>
        </w:tc>
      </w:tr>
      <w:tr w:rsidR="00280DB2" w:rsidRPr="00496500" w14:paraId="33995AA5" w14:textId="77777777" w:rsidTr="00917389">
        <w:tc>
          <w:tcPr>
            <w:tcW w:w="7085" w:type="dxa"/>
          </w:tcPr>
          <w:p w14:paraId="07E30326" w14:textId="77777777" w:rsidR="006C583E" w:rsidRPr="00496500" w:rsidRDefault="006C583E"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b/>
                <w:bCs/>
                <w:color w:val="2E74B5" w:themeColor="accent1" w:themeShade="BF"/>
                <w:sz w:val="24"/>
                <w:szCs w:val="24"/>
              </w:rPr>
              <w:t>Публичен сектор и публични услуги</w:t>
            </w:r>
          </w:p>
          <w:p w14:paraId="2AFC6AD3" w14:textId="39789E68" w:rsidR="00280DB2" w:rsidRPr="00496500" w:rsidRDefault="00280DB2"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продължаваща оптимизация на ресурси и процеси за </w:t>
            </w:r>
            <w:r w:rsidR="00AA68D1" w:rsidRPr="00496500">
              <w:rPr>
                <w:rFonts w:ascii="Times New Roman" w:eastAsia="Times New Roman" w:hAnsi="Times New Roman" w:cs="Times New Roman"/>
                <w:color w:val="000000" w:themeColor="text1"/>
                <w:sz w:val="24"/>
                <w:szCs w:val="24"/>
                <w:lang w:eastAsia="bg-BG"/>
              </w:rPr>
              <w:t>цифрова</w:t>
            </w:r>
            <w:r w:rsidRPr="00496500">
              <w:rPr>
                <w:rFonts w:ascii="Times New Roman" w:eastAsia="Times New Roman" w:hAnsi="Times New Roman" w:cs="Times New Roman"/>
                <w:color w:val="000000" w:themeColor="text1"/>
                <w:sz w:val="24"/>
                <w:szCs w:val="24"/>
                <w:lang w:eastAsia="bg-BG"/>
              </w:rPr>
              <w:t xml:space="preserve"> трансформация и изпълнение на принципа „потребителя</w:t>
            </w:r>
            <w:r w:rsidR="000D053D">
              <w:rPr>
                <w:rFonts w:ascii="Times New Roman" w:eastAsia="Times New Roman" w:hAnsi="Times New Roman" w:cs="Times New Roman"/>
                <w:color w:val="000000" w:themeColor="text1"/>
                <w:sz w:val="24"/>
                <w:szCs w:val="24"/>
                <w:lang w:eastAsia="bg-BG"/>
              </w:rPr>
              <w:t>т</w:t>
            </w:r>
            <w:r w:rsidRPr="00496500">
              <w:rPr>
                <w:rFonts w:ascii="Times New Roman" w:eastAsia="Times New Roman" w:hAnsi="Times New Roman" w:cs="Times New Roman"/>
                <w:color w:val="000000" w:themeColor="text1"/>
                <w:sz w:val="24"/>
                <w:szCs w:val="24"/>
                <w:lang w:eastAsia="bg-BG"/>
              </w:rPr>
              <w:t xml:space="preserve"> в центъра на административното обслужване“;</w:t>
            </w:r>
          </w:p>
          <w:p w14:paraId="309AE5F6" w14:textId="77777777" w:rsidR="00280DB2" w:rsidRPr="00496500" w:rsidRDefault="00280DB2"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постигане на транснационална оперативна съвместимост и „трансгранични електронни публични услуги“ за развитие обществото и бизнеса в рамките на единния пазар; разширяването на прилагането на принципа за еднократност и разработването на общи цифрови платформи за трансгранично взаимодействие;</w:t>
            </w:r>
          </w:p>
          <w:p w14:paraId="4174E8E1" w14:textId="77777777" w:rsidR="006C583E" w:rsidRPr="00496500" w:rsidRDefault="006C583E"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повишаване на нивата на партньорства между администрацията, гражданите и бизнеса и повишаване на общественото доверие към институциите, което е предпоставка за повишаване на качеството на демократичния процес;</w:t>
            </w:r>
          </w:p>
          <w:p w14:paraId="3D16E9C3" w14:textId="77777777" w:rsidR="006C583E" w:rsidRPr="00496500" w:rsidRDefault="006C583E"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осигуряване на правна, организационна, семантична и техническа оперативна съвместимост, основа на свободна комуникация (B2B, G2B, G2G, G2C);</w:t>
            </w:r>
          </w:p>
          <w:p w14:paraId="3312B881" w14:textId="77777777" w:rsidR="002E1AA6" w:rsidRPr="00496500" w:rsidRDefault="002E1AA6" w:rsidP="006E661C">
            <w:pPr>
              <w:numPr>
                <w:ilvl w:val="0"/>
                <w:numId w:val="46"/>
              </w:numPr>
              <w:pBdr>
                <w:top w:val="nil"/>
                <w:left w:val="nil"/>
                <w:bottom w:val="nil"/>
                <w:right w:val="nil"/>
                <w:between w:val="nil"/>
              </w:pBd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реализиране на концепцията „Държавата в джоба ми“ - създаване на мобилни приложения за основните електронни услуги, за да се улесни достъпът и използването им от гражданите и бизнеса; </w:t>
            </w:r>
          </w:p>
          <w:p w14:paraId="703CFE75" w14:textId="77777777" w:rsidR="002E1AA6" w:rsidRPr="00496500" w:rsidRDefault="002E1AA6" w:rsidP="006E661C">
            <w:pPr>
              <w:numPr>
                <w:ilvl w:val="0"/>
                <w:numId w:val="46"/>
              </w:numPr>
              <w:pBdr>
                <w:top w:val="nil"/>
                <w:left w:val="nil"/>
                <w:bottom w:val="nil"/>
                <w:right w:val="nil"/>
                <w:between w:val="nil"/>
              </w:pBd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развитие и използване на потенциала на цифровата трансформация на местно ниво за подобряване на качеството на живот на гражданите и активното им включване в социално-икономическите процеси, включително включването на </w:t>
            </w:r>
            <w:r w:rsidRPr="00496500">
              <w:rPr>
                <w:rFonts w:ascii="Times New Roman" w:eastAsia="Times New Roman" w:hAnsi="Times New Roman" w:cs="Times New Roman"/>
                <w:color w:val="000000" w:themeColor="text1"/>
                <w:sz w:val="24"/>
                <w:szCs w:val="24"/>
                <w:lang w:eastAsia="bg-BG"/>
              </w:rPr>
              <w:lastRenderedPageBreak/>
              <w:t>местната общност в процесите по проектиране на цифрови публични услуги;</w:t>
            </w:r>
          </w:p>
          <w:p w14:paraId="6EFAC749" w14:textId="77777777" w:rsidR="009548EF" w:rsidRPr="00496500" w:rsidRDefault="009548EF"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дистанционни здравни услуги – развитие на потенциала на телемедицината - разработване и прилагане на концепция за телемедицината (особено за граждани в труднодостъпни и отдалечени райони, както и за граждани със специфични потребности – болни с хронични заболявания, възрастни хора и др.) и въвеждане на иновативни приложения за мобилни услуги за наблюдение на здравното състояние на гражданите;</w:t>
            </w:r>
          </w:p>
          <w:p w14:paraId="25BC343B" w14:textId="77777777" w:rsidR="008C5CAD" w:rsidRPr="00496500" w:rsidRDefault="00965D7E"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интегрирани на всички болнични системи с НЗИС;</w:t>
            </w:r>
          </w:p>
          <w:p w14:paraId="402C86E3" w14:textId="77777777" w:rsidR="00965D7E" w:rsidRPr="00496500" w:rsidRDefault="00965D7E"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присъединяване към европейски инициативи като MyHealth@EU – трансграничен достъп до е-рецепти и е-досиета.</w:t>
            </w:r>
          </w:p>
          <w:p w14:paraId="073F88F0" w14:textId="77777777" w:rsidR="00965D7E" w:rsidRPr="00496500" w:rsidRDefault="00965D7E"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въвеждане на европейски здравен паспорт (EHR) и улесняване на здравните</w:t>
            </w:r>
            <w:r w:rsidRPr="00496500">
              <w:rPr>
                <w:rFonts w:ascii="Times New Roman" w:hAnsi="Times New Roman" w:cs="Times New Roman"/>
                <w:sz w:val="24"/>
                <w:szCs w:val="24"/>
              </w:rPr>
              <w:t xml:space="preserve"> услуги за мобилни граждани;</w:t>
            </w:r>
          </w:p>
          <w:p w14:paraId="2B7503D4" w14:textId="4D67C9FC" w:rsidR="00430F04" w:rsidRPr="00496500" w:rsidRDefault="00430F04" w:rsidP="006E661C">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изграждане на единна правосъдна платформа за свързване на всички съдебни и административни институции</w:t>
            </w:r>
            <w:r w:rsidR="000D053D">
              <w:rPr>
                <w:rFonts w:ascii="Times New Roman" w:eastAsia="Times New Roman" w:hAnsi="Times New Roman" w:cs="Times New Roman"/>
                <w:color w:val="000000" w:themeColor="text1"/>
                <w:sz w:val="24"/>
                <w:szCs w:val="24"/>
                <w:lang w:eastAsia="bg-BG"/>
              </w:rPr>
              <w:t>.</w:t>
            </w:r>
          </w:p>
          <w:p w14:paraId="4320AF09" w14:textId="77777777" w:rsidR="009548EF" w:rsidRPr="00496500" w:rsidRDefault="009548EF"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57E7CFFF" w14:textId="77777777" w:rsidR="006C583E" w:rsidRPr="00496500" w:rsidRDefault="006C583E" w:rsidP="006C583E">
            <w:pPr>
              <w:rPr>
                <w:rFonts w:ascii="Times New Roman" w:hAnsi="Times New Roman" w:cs="Times New Roman"/>
              </w:rPr>
            </w:pPr>
            <w:r w:rsidRPr="00496500">
              <w:rPr>
                <w:rFonts w:ascii="Times New Roman" w:eastAsia="Times New Roman" w:hAnsi="Times New Roman" w:cs="Times New Roman"/>
                <w:b/>
                <w:bCs/>
                <w:color w:val="2E74B5" w:themeColor="accent1" w:themeShade="BF"/>
                <w:sz w:val="24"/>
                <w:szCs w:val="24"/>
              </w:rPr>
              <w:t>Инфраструктура и технологии</w:t>
            </w:r>
          </w:p>
          <w:p w14:paraId="732360C5" w14:textId="77777777" w:rsidR="002E1AA6" w:rsidRPr="00496500" w:rsidRDefault="002E1AA6" w:rsidP="00F82AB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осигуряване на свободен достъп на МСП до технологични решения, разработени за целите на оперативната съвместимост;</w:t>
            </w:r>
          </w:p>
          <w:p w14:paraId="2F445E6D" w14:textId="77777777" w:rsidR="002E1AA6" w:rsidRPr="00496500" w:rsidRDefault="002E1AA6" w:rsidP="00965D7E">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централизирана поддръжка на системи и управление на цифрови активи;</w:t>
            </w:r>
          </w:p>
          <w:p w14:paraId="6CE754FC" w14:textId="77777777" w:rsidR="002E1AA6" w:rsidRPr="00496500" w:rsidRDefault="002E1AA6" w:rsidP="00F82AB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предоставяне на целенасочена техническа помощ и обмен на добри практики при прилагането на ключови европейски законодателни актове в областта на цифровите технологии;</w:t>
            </w:r>
          </w:p>
          <w:p w14:paraId="01B43C24" w14:textId="77777777" w:rsidR="006C583E" w:rsidRPr="00496500" w:rsidRDefault="006C583E"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7A73D677" w14:textId="77777777" w:rsidR="006C583E" w:rsidRPr="00496500" w:rsidRDefault="006C583E" w:rsidP="006C583E">
            <w:pPr>
              <w:rPr>
                <w:rFonts w:ascii="Times New Roman" w:hAnsi="Times New Roman" w:cs="Times New Roman"/>
              </w:rPr>
            </w:pPr>
            <w:r w:rsidRPr="00496500">
              <w:rPr>
                <w:rFonts w:ascii="Times New Roman" w:eastAsia="Times New Roman" w:hAnsi="Times New Roman" w:cs="Times New Roman"/>
                <w:b/>
                <w:bCs/>
                <w:color w:val="2E74B5" w:themeColor="accent1" w:themeShade="BF"/>
                <w:sz w:val="24"/>
                <w:szCs w:val="24"/>
              </w:rPr>
              <w:lastRenderedPageBreak/>
              <w:t>Данни</w:t>
            </w:r>
          </w:p>
          <w:p w14:paraId="48F78593" w14:textId="77777777" w:rsidR="006C583E" w:rsidRPr="00496500" w:rsidRDefault="006C583E" w:rsidP="00F82ABC">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данните, поставени в основата на цифровата трансформация на публичния сектор - преминаване към следващото, по-високо ниво на повторно използване на резултатите от досегашните инициативи и създаването на нови условия както за намиране, достъпност, оперативна съвместимост и повторна употреба на данните (FAIR Data), така и за тяхната сигурност и надеждно съхранение във виртуалното пространство. Постигане на оперативната съвместимост на информационните системи и на данните, въвеждането на стандарти, процедури и общи решения, както и цифровизацията и интеграцията на ключови регистри, като основен носител на данни в публичния сектор в България са в основата на цифровото взаимодействие в публичния сектор между гражданите, бизнеса, научните и академичните среди, неправителствения сектор и администрацията;</w:t>
            </w:r>
          </w:p>
          <w:p w14:paraId="5ACC29FF" w14:textId="77777777" w:rsidR="002E1AA6" w:rsidRPr="00496500" w:rsidRDefault="002E1AA6" w:rsidP="002B7E22">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осигуряване на инфраструктура за данни и отворен достъп до публични данни (високотехнологични хъбове и пространства от данни) за разгръщане на цифрови технологии и иновативни услуги и продукти;</w:t>
            </w:r>
          </w:p>
          <w:p w14:paraId="6574146B" w14:textId="77777777" w:rsidR="002E1AA6" w:rsidRPr="00496500" w:rsidRDefault="002E1AA6" w:rsidP="00B10AF4">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подкрепа на инициативи, които да стимулират безопасното и ефективно споделяне на данни между публичния сектор и бизнеса. изграждане на капацитет в областта на инфраструктурата за данни и стандартите за оперативна съвместимост, особено в по-малките и по-малко напреднали цифрово държави членки;</w:t>
            </w:r>
          </w:p>
          <w:p w14:paraId="31404595" w14:textId="77777777" w:rsidR="002E1AA6" w:rsidRPr="00496500" w:rsidRDefault="002E1AA6" w:rsidP="006E661C">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припознаване на мястото на България в Стратегията за съюз на данните за по-нататъшно подобряване на наличността на данни и рационализиране на</w:t>
            </w:r>
            <w:r w:rsidR="008C5CAD" w:rsidRPr="00496500">
              <w:rPr>
                <w:rFonts w:ascii="Times New Roman" w:eastAsia="Times New Roman" w:hAnsi="Times New Roman" w:cs="Times New Roman"/>
                <w:color w:val="000000" w:themeColor="text1"/>
                <w:sz w:val="24"/>
                <w:szCs w:val="24"/>
                <w:lang w:eastAsia="bg-BG"/>
              </w:rPr>
              <w:t xml:space="preserve"> правилата за развитие на ИИ; </w:t>
            </w:r>
          </w:p>
          <w:p w14:paraId="09BA3083" w14:textId="21BCB9C4" w:rsidR="008C5CAD" w:rsidRPr="00496500" w:rsidRDefault="008C5CAD" w:rsidP="006E661C">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lastRenderedPageBreak/>
              <w:t>използване и повторно използване на данни, включително на големи данни, за НИРД, за създаване и внедряване на иновации, за разработване и внедряване на нови цифрови услуги в различни области на социално-икономическия живот с цел повишаване качеството на живот на гражданите</w:t>
            </w:r>
            <w:r w:rsidR="000D053D">
              <w:rPr>
                <w:rFonts w:ascii="Times New Roman" w:eastAsia="Times New Roman" w:hAnsi="Times New Roman" w:cs="Times New Roman"/>
                <w:color w:val="000000" w:themeColor="text1"/>
                <w:sz w:val="24"/>
                <w:szCs w:val="24"/>
                <w:lang w:eastAsia="bg-BG"/>
              </w:rPr>
              <w:t>.</w:t>
            </w:r>
          </w:p>
          <w:p w14:paraId="46E3BABA" w14:textId="77777777" w:rsidR="006C583E" w:rsidRPr="00496500" w:rsidRDefault="006C583E"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297F40B2" w14:textId="77777777" w:rsidR="006C583E" w:rsidRPr="00496500" w:rsidRDefault="006C583E" w:rsidP="006C583E">
            <w:pPr>
              <w:rPr>
                <w:rFonts w:ascii="Times New Roman" w:hAnsi="Times New Roman" w:cs="Times New Roman"/>
              </w:rPr>
            </w:pPr>
            <w:r w:rsidRPr="00496500">
              <w:rPr>
                <w:rFonts w:ascii="Times New Roman" w:eastAsia="Times New Roman" w:hAnsi="Times New Roman" w:cs="Times New Roman"/>
                <w:b/>
                <w:bCs/>
                <w:color w:val="2E74B5" w:themeColor="accent1" w:themeShade="BF"/>
                <w:sz w:val="24"/>
                <w:szCs w:val="24"/>
              </w:rPr>
              <w:t>Киберсигурност</w:t>
            </w:r>
          </w:p>
          <w:p w14:paraId="11E1BF50" w14:textId="77777777" w:rsidR="002E1AA6" w:rsidRPr="00496500" w:rsidRDefault="002E1AA6" w:rsidP="00F82AB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интеграция на елементите на българската екосистема за киберсигурност в европейската и световна екосистеми за киберсигурност;</w:t>
            </w:r>
          </w:p>
          <w:p w14:paraId="1C7520F4" w14:textId="602F5949" w:rsidR="00D40AF2" w:rsidRPr="00496500" w:rsidRDefault="00D40AF2" w:rsidP="002B7E22">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осигуряване на сигурност и надеждност на информацията и личните данни – разработване и актуализиране на правила, процедури и мерки за осигуряване на киберсигурността</w:t>
            </w:r>
            <w:r w:rsidR="000D053D">
              <w:rPr>
                <w:rFonts w:ascii="Times New Roman" w:eastAsia="Times New Roman" w:hAnsi="Times New Roman" w:cs="Times New Roman"/>
                <w:color w:val="000000" w:themeColor="text1"/>
                <w:sz w:val="24"/>
                <w:szCs w:val="24"/>
                <w:lang w:eastAsia="bg-BG"/>
              </w:rPr>
              <w:t>.</w:t>
            </w:r>
          </w:p>
          <w:p w14:paraId="547DEFA8" w14:textId="77777777" w:rsidR="006C583E" w:rsidRPr="00496500" w:rsidRDefault="006C583E"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7E5FD0A7" w14:textId="77777777" w:rsidR="006C583E" w:rsidRPr="00496500" w:rsidRDefault="006C583E" w:rsidP="006C583E">
            <w:pPr>
              <w:rPr>
                <w:rFonts w:ascii="Times New Roman" w:hAnsi="Times New Roman" w:cs="Times New Roman"/>
              </w:rPr>
            </w:pPr>
            <w:r w:rsidRPr="00496500">
              <w:rPr>
                <w:rFonts w:ascii="Times New Roman" w:eastAsia="Times New Roman" w:hAnsi="Times New Roman" w:cs="Times New Roman"/>
                <w:b/>
                <w:bCs/>
                <w:color w:val="2E74B5" w:themeColor="accent1" w:themeShade="BF"/>
                <w:sz w:val="24"/>
                <w:szCs w:val="24"/>
              </w:rPr>
              <w:t>Човешки ресурси</w:t>
            </w:r>
          </w:p>
          <w:p w14:paraId="3CD48197" w14:textId="77777777" w:rsidR="006C583E" w:rsidRPr="00496500" w:rsidRDefault="006C583E" w:rsidP="006E661C">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повишаване на квалификацията и цифровите компетенции на заетите в публичния сектор;</w:t>
            </w:r>
          </w:p>
          <w:p w14:paraId="3F7C5F7D" w14:textId="77777777" w:rsidR="002E1AA6" w:rsidRPr="00496500" w:rsidRDefault="002E1AA6" w:rsidP="00F82AB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цифрово грамотно население и развитие на цифрово общество: целеви програми за повишаване на цифрови умения сред възрастни и ниско образовани; стимулиране на МСП за цифрова адаптация и преквалификация на служители; въвеждане на иновации в образованието чрез облачни технологии и софтуер; целенасочени програми за цифрова грамотност и цифрово включване на уязвими групи; използване на ИКТ и мобилни технологии за преодоляване на социалното изключване;</w:t>
            </w:r>
          </w:p>
          <w:p w14:paraId="21680BE3" w14:textId="1381317F" w:rsidR="002E1AA6" w:rsidRPr="00496500" w:rsidRDefault="002E1AA6" w:rsidP="002B7E22">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lastRenderedPageBreak/>
              <w:t>изграждане на национален IGF форум и механизми за многостранен диалог</w:t>
            </w:r>
            <w:r w:rsidR="000D053D">
              <w:rPr>
                <w:rFonts w:ascii="Times New Roman" w:eastAsia="Times New Roman" w:hAnsi="Times New Roman" w:cs="Times New Roman"/>
                <w:color w:val="000000" w:themeColor="text1"/>
                <w:sz w:val="24"/>
                <w:szCs w:val="24"/>
                <w:lang w:eastAsia="bg-BG"/>
              </w:rPr>
              <w:t>.</w:t>
            </w:r>
          </w:p>
          <w:p w14:paraId="2F9CD643" w14:textId="77777777" w:rsidR="006C583E" w:rsidRPr="00496500" w:rsidRDefault="006C583E"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2ED4972A" w14:textId="77777777" w:rsidR="006C583E" w:rsidRPr="00496500" w:rsidRDefault="006C583E" w:rsidP="006C583E">
            <w:pPr>
              <w:rPr>
                <w:rFonts w:ascii="Times New Roman" w:hAnsi="Times New Roman" w:cs="Times New Roman"/>
              </w:rPr>
            </w:pPr>
            <w:r w:rsidRPr="00496500">
              <w:rPr>
                <w:rFonts w:ascii="Times New Roman" w:eastAsia="Times New Roman" w:hAnsi="Times New Roman" w:cs="Times New Roman"/>
                <w:b/>
                <w:bCs/>
                <w:color w:val="2E74B5" w:themeColor="accent1" w:themeShade="BF"/>
                <w:sz w:val="24"/>
                <w:szCs w:val="24"/>
              </w:rPr>
              <w:t>Бизнес</w:t>
            </w:r>
          </w:p>
          <w:p w14:paraId="2CB80365" w14:textId="77777777" w:rsidR="00280DB2" w:rsidRPr="00496500" w:rsidRDefault="00280DB2" w:rsidP="00F82ABC">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активно използване на финансиране и инвестиционни програми на ЕС (МВУ, InvestEU, Европейски проекти с голямо въздействие) за цифрова инфраструктура и ИИ;</w:t>
            </w:r>
          </w:p>
          <w:p w14:paraId="2A670B11" w14:textId="77777777" w:rsidR="00280DB2" w:rsidRPr="00496500" w:rsidRDefault="00280DB2" w:rsidP="00B10AF4">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потенциал за специализация в икономиката на данните и услугите, базирани на ИИ, използвайки съществуващите силни страни;</w:t>
            </w:r>
          </w:p>
          <w:p w14:paraId="4E2048B1" w14:textId="77777777" w:rsidR="00280DB2" w:rsidRPr="00496500" w:rsidRDefault="00280DB2" w:rsidP="006E661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въвеждане на институционална рамка за прилагане на Акта за ИИ, създаване на национални компетентни органи и въвеждане на механизъм за взаимодействие, което ще позиционира страната като активен участник в прилагането на новата регулаторна рамка за ИИ в ЕС;</w:t>
            </w:r>
          </w:p>
          <w:p w14:paraId="47918D03" w14:textId="77777777" w:rsidR="00280DB2" w:rsidRPr="00496500" w:rsidRDefault="00280DB2" w:rsidP="006E661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развитие на Европейски цифрови иновационни хъбове (EDIH). Стимулиране на ИИ проекти и обучение с европейско съфинансиране, участие в международни работни групи, европейски партньорства и мрежи по ИИ;</w:t>
            </w:r>
          </w:p>
          <w:p w14:paraId="35DB7658" w14:textId="77777777" w:rsidR="00280DB2" w:rsidRPr="00496500" w:rsidRDefault="00280DB2" w:rsidP="006E661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потенциал за използване на ИИ в стратегически сектори, като здравеопазване, образование, транспорт, земеделие и публични услуги; </w:t>
            </w:r>
          </w:p>
          <w:p w14:paraId="3F57E808" w14:textId="77777777" w:rsidR="00280DB2" w:rsidRPr="00496500" w:rsidRDefault="00280DB2" w:rsidP="006E661C">
            <w:pPr>
              <w:numPr>
                <w:ilvl w:val="0"/>
                <w:numId w:val="46"/>
              </w:numPr>
              <w:pBdr>
                <w:top w:val="nil"/>
                <w:left w:val="nil"/>
                <w:bottom w:val="nil"/>
                <w:right w:val="nil"/>
                <w:between w:val="nil"/>
              </w:pBd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да </w:t>
            </w:r>
            <w:r w:rsidR="002E1AA6" w:rsidRPr="00496500">
              <w:rPr>
                <w:rFonts w:ascii="Times New Roman" w:eastAsia="Times New Roman" w:hAnsi="Times New Roman" w:cs="Times New Roman"/>
                <w:color w:val="000000" w:themeColor="text1"/>
                <w:sz w:val="24"/>
                <w:szCs w:val="24"/>
                <w:lang w:eastAsia="bg-BG"/>
              </w:rPr>
              <w:t xml:space="preserve">се ускорят </w:t>
            </w:r>
            <w:r w:rsidRPr="00496500">
              <w:rPr>
                <w:rFonts w:ascii="Times New Roman" w:eastAsia="Times New Roman" w:hAnsi="Times New Roman" w:cs="Times New Roman"/>
                <w:color w:val="000000" w:themeColor="text1"/>
                <w:sz w:val="24"/>
                <w:szCs w:val="24"/>
                <w:lang w:eastAsia="bg-BG"/>
              </w:rPr>
              <w:t xml:space="preserve">усилията </w:t>
            </w:r>
            <w:r w:rsidR="002E1AA6" w:rsidRPr="00496500">
              <w:rPr>
                <w:rFonts w:ascii="Times New Roman" w:eastAsia="Times New Roman" w:hAnsi="Times New Roman" w:cs="Times New Roman"/>
                <w:color w:val="000000" w:themeColor="text1"/>
                <w:sz w:val="24"/>
                <w:szCs w:val="24"/>
                <w:lang w:eastAsia="bg-BG"/>
              </w:rPr>
              <w:t>и да се насочат</w:t>
            </w:r>
            <w:r w:rsidRPr="00496500">
              <w:rPr>
                <w:rFonts w:ascii="Times New Roman" w:eastAsia="Times New Roman" w:hAnsi="Times New Roman" w:cs="Times New Roman"/>
                <w:color w:val="000000" w:themeColor="text1"/>
                <w:sz w:val="24"/>
                <w:szCs w:val="24"/>
                <w:lang w:eastAsia="bg-BG"/>
              </w:rPr>
              <w:t xml:space="preserve"> повече мерки към увеличаване на внедряването на технологии от страна на МСП, включително мерки за стимулиране на инвестициите в трансфер на технологии, например чрез повече мерки за </w:t>
            </w:r>
            <w:r w:rsidRPr="00496500">
              <w:rPr>
                <w:rFonts w:ascii="Times New Roman" w:eastAsia="Times New Roman" w:hAnsi="Times New Roman" w:cs="Times New Roman"/>
                <w:color w:val="000000" w:themeColor="text1"/>
                <w:sz w:val="24"/>
                <w:szCs w:val="24"/>
                <w:lang w:eastAsia="bg-BG"/>
              </w:rPr>
              <w:lastRenderedPageBreak/>
              <w:t>преминаване от лабораторията към пазара, и подкрепа за своите иновативни стартиращи предприятия;</w:t>
            </w:r>
          </w:p>
          <w:p w14:paraId="2A6D617C" w14:textId="77777777" w:rsidR="00E56930" w:rsidRPr="00496500" w:rsidRDefault="008C5CAD" w:rsidP="006E661C">
            <w:pPr>
              <w:numPr>
                <w:ilvl w:val="0"/>
                <w:numId w:val="46"/>
              </w:num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развитие </w:t>
            </w:r>
            <w:r w:rsidR="00E56930" w:rsidRPr="00496500">
              <w:rPr>
                <w:rFonts w:ascii="Times New Roman" w:eastAsia="Times New Roman" w:hAnsi="Times New Roman" w:cs="Times New Roman"/>
                <w:color w:val="000000" w:themeColor="text1"/>
                <w:sz w:val="24"/>
                <w:szCs w:val="24"/>
                <w:lang w:eastAsia="bg-BG"/>
              </w:rPr>
              <w:t>на Smart Cities, периферни цифрови възли и IoT инфраструктура;</w:t>
            </w:r>
          </w:p>
          <w:p w14:paraId="41419F13" w14:textId="77777777" w:rsidR="00E56930" w:rsidRPr="00496500" w:rsidRDefault="008C5CAD" w:rsidP="006E661C">
            <w:pPr>
              <w:numPr>
                <w:ilvl w:val="0"/>
                <w:numId w:val="46"/>
              </w:numPr>
              <w:tabs>
                <w:tab w:val="left" w:pos="284"/>
              </w:tabs>
              <w:spacing w:before="120" w:after="120" w:line="240" w:lineRule="auto"/>
              <w:jc w:val="both"/>
              <w:rPr>
                <w:rFonts w:ascii="Times New Roman" w:hAnsi="Times New Roman" w:cs="Times New Roman"/>
                <w:bCs/>
                <w:sz w:val="24"/>
                <w:szCs w:val="24"/>
              </w:rPr>
            </w:pPr>
            <w:r w:rsidRPr="00496500">
              <w:rPr>
                <w:rFonts w:ascii="Times New Roman" w:eastAsia="Times New Roman" w:hAnsi="Times New Roman" w:cs="Times New Roman"/>
                <w:color w:val="000000" w:themeColor="text1"/>
                <w:sz w:val="24"/>
                <w:szCs w:val="24"/>
                <w:lang w:eastAsia="bg-BG"/>
              </w:rPr>
              <w:t xml:space="preserve">потенциал </w:t>
            </w:r>
            <w:r w:rsidR="00E56930" w:rsidRPr="00496500">
              <w:rPr>
                <w:rFonts w:ascii="Times New Roman" w:eastAsia="Times New Roman" w:hAnsi="Times New Roman" w:cs="Times New Roman"/>
                <w:color w:val="000000" w:themeColor="text1"/>
                <w:sz w:val="24"/>
                <w:szCs w:val="24"/>
                <w:lang w:eastAsia="bg-BG"/>
              </w:rPr>
              <w:t>за</w:t>
            </w:r>
            <w:r w:rsidR="00E56930" w:rsidRPr="00496500">
              <w:rPr>
                <w:rFonts w:ascii="Times New Roman" w:hAnsi="Times New Roman" w:cs="Times New Roman"/>
                <w:bCs/>
                <w:sz w:val="24"/>
                <w:szCs w:val="24"/>
              </w:rPr>
              <w:t xml:space="preserve"> публично-частни партньорства за изграждане на 5G/6G и периферна инфраструктура;</w:t>
            </w:r>
          </w:p>
          <w:p w14:paraId="129F5DCE" w14:textId="5F2A8977" w:rsidR="008C5CAD" w:rsidRPr="000D053D" w:rsidRDefault="008C5CAD">
            <w:pPr>
              <w:numPr>
                <w:ilvl w:val="0"/>
                <w:numId w:val="46"/>
              </w:numPr>
              <w:tabs>
                <w:tab w:val="left" w:pos="284"/>
              </w:tabs>
              <w:spacing w:before="120" w:after="120" w:line="240" w:lineRule="auto"/>
              <w:jc w:val="both"/>
              <w:rPr>
                <w:rFonts w:ascii="Times New Roman" w:hAnsi="Times New Roman" w:cs="Times New Roman"/>
                <w:bCs/>
                <w:sz w:val="24"/>
                <w:szCs w:val="24"/>
              </w:rPr>
            </w:pPr>
            <w:r w:rsidRPr="00496500">
              <w:rPr>
                <w:rFonts w:ascii="Times New Roman" w:eastAsia="Times New Roman" w:hAnsi="Times New Roman" w:cs="Times New Roman"/>
                <w:color w:val="000000" w:themeColor="text1"/>
                <w:sz w:val="24"/>
                <w:szCs w:val="24"/>
                <w:lang w:eastAsia="bg-BG"/>
              </w:rPr>
              <w:t>повишен</w:t>
            </w:r>
            <w:r w:rsidRPr="00496500">
              <w:rPr>
                <w:rFonts w:ascii="Times New Roman" w:hAnsi="Times New Roman" w:cs="Times New Roman"/>
                <w:bCs/>
                <w:sz w:val="24"/>
                <w:szCs w:val="24"/>
              </w:rPr>
              <w:t xml:space="preserve"> </w:t>
            </w:r>
            <w:r w:rsidR="00E56930" w:rsidRPr="00496500">
              <w:rPr>
                <w:rFonts w:ascii="Times New Roman" w:hAnsi="Times New Roman" w:cs="Times New Roman"/>
                <w:bCs/>
                <w:sz w:val="24"/>
                <w:szCs w:val="24"/>
              </w:rPr>
              <w:t xml:space="preserve">интерес към индустриален интернет на нещата (IIoT), облак и </w:t>
            </w:r>
            <w:r w:rsidR="000D053D">
              <w:rPr>
                <w:rFonts w:ascii="Times New Roman" w:hAnsi="Times New Roman" w:cs="Times New Roman"/>
                <w:bCs/>
                <w:sz w:val="24"/>
                <w:szCs w:val="24"/>
              </w:rPr>
              <w:t>ИИ</w:t>
            </w:r>
            <w:r w:rsidR="000D053D" w:rsidRPr="00496500">
              <w:rPr>
                <w:rFonts w:ascii="Times New Roman" w:hAnsi="Times New Roman" w:cs="Times New Roman"/>
                <w:bCs/>
                <w:sz w:val="24"/>
                <w:szCs w:val="24"/>
              </w:rPr>
              <w:t xml:space="preserve"> </w:t>
            </w:r>
            <w:r w:rsidR="00E56930" w:rsidRPr="00496500">
              <w:rPr>
                <w:rFonts w:ascii="Times New Roman" w:hAnsi="Times New Roman" w:cs="Times New Roman"/>
                <w:bCs/>
                <w:sz w:val="24"/>
                <w:szCs w:val="24"/>
              </w:rPr>
              <w:t>за бизнеса</w:t>
            </w:r>
            <w:r w:rsidR="000D053D">
              <w:rPr>
                <w:rFonts w:ascii="Times New Roman" w:hAnsi="Times New Roman" w:cs="Times New Roman"/>
                <w:bCs/>
                <w:sz w:val="24"/>
                <w:szCs w:val="24"/>
              </w:rPr>
              <w:t>.</w:t>
            </w:r>
          </w:p>
        </w:tc>
        <w:tc>
          <w:tcPr>
            <w:tcW w:w="7085" w:type="dxa"/>
          </w:tcPr>
          <w:p w14:paraId="06DE5C5D" w14:textId="77777777" w:rsidR="002E1AA6" w:rsidRPr="00496500" w:rsidRDefault="002E1AA6" w:rsidP="002E1AA6">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b/>
                <w:bCs/>
                <w:color w:val="2E74B5" w:themeColor="accent1" w:themeShade="BF"/>
                <w:sz w:val="24"/>
                <w:szCs w:val="24"/>
              </w:rPr>
              <w:lastRenderedPageBreak/>
              <w:t>Публичен сектор и публични услуги</w:t>
            </w:r>
          </w:p>
          <w:p w14:paraId="1B8A1BED" w14:textId="77777777" w:rsidR="004835C3" w:rsidRPr="00496500" w:rsidRDefault="004835C3"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липса на обща стратегическа рамка и системен подход при разработването на приоритетите и целите по области на политики, свързани с </w:t>
            </w:r>
            <w:r w:rsidR="00AA68D1" w:rsidRPr="00496500">
              <w:rPr>
                <w:rFonts w:ascii="Times New Roman" w:eastAsia="Times New Roman" w:hAnsi="Times New Roman" w:cs="Times New Roman"/>
                <w:color w:val="000000" w:themeColor="text1"/>
                <w:sz w:val="24"/>
                <w:szCs w:val="24"/>
                <w:lang w:eastAsia="bg-BG"/>
              </w:rPr>
              <w:t>цифрова</w:t>
            </w:r>
            <w:r w:rsidRPr="00496500">
              <w:rPr>
                <w:rFonts w:ascii="Times New Roman" w:eastAsia="Times New Roman" w:hAnsi="Times New Roman" w:cs="Times New Roman"/>
                <w:color w:val="000000" w:themeColor="text1"/>
                <w:sz w:val="24"/>
                <w:szCs w:val="24"/>
                <w:lang w:eastAsia="bg-BG"/>
              </w:rPr>
              <w:t>та трансформация</w:t>
            </w:r>
            <w:r w:rsidR="006B4FAF" w:rsidRPr="00496500">
              <w:rPr>
                <w:rFonts w:ascii="Times New Roman" w:eastAsia="Times New Roman" w:hAnsi="Times New Roman" w:cs="Times New Roman"/>
                <w:color w:val="000000" w:themeColor="text1"/>
                <w:sz w:val="24"/>
                <w:szCs w:val="24"/>
                <w:lang w:eastAsia="bg-BG"/>
              </w:rPr>
              <w:t>;</w:t>
            </w:r>
          </w:p>
          <w:p w14:paraId="1C5E1928"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продължаваща съпротива и липса на мотивация от страна на администрацията за цифрова трансформация на моделите и процесите на функциониране на публичните институции; </w:t>
            </w:r>
          </w:p>
          <w:p w14:paraId="60F7E700"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динамика в нормотворческите процеси на страната – неустойчива и непредвидима правна среда; продължаваща липса на системен и координиран подход в разработването, изменението и допълнението на нормативната рамка в областта на </w:t>
            </w:r>
            <w:r w:rsidR="00AA68D1" w:rsidRPr="00496500">
              <w:rPr>
                <w:rFonts w:ascii="Times New Roman" w:eastAsia="Times New Roman" w:hAnsi="Times New Roman" w:cs="Times New Roman"/>
                <w:color w:val="000000" w:themeColor="text1"/>
                <w:sz w:val="24"/>
                <w:szCs w:val="24"/>
                <w:lang w:eastAsia="bg-BG"/>
              </w:rPr>
              <w:t>цифрова</w:t>
            </w:r>
            <w:r w:rsidRPr="00496500">
              <w:rPr>
                <w:rFonts w:ascii="Times New Roman" w:eastAsia="Times New Roman" w:hAnsi="Times New Roman" w:cs="Times New Roman"/>
                <w:color w:val="000000" w:themeColor="text1"/>
                <w:sz w:val="24"/>
                <w:szCs w:val="24"/>
                <w:lang w:eastAsia="bg-BG"/>
              </w:rPr>
              <w:t>та трансформация;</w:t>
            </w:r>
          </w:p>
          <w:p w14:paraId="2165D22E"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непостигане на целите на стратегиите по области на политики, неизпълнение на плановете и програмите на администрациите и публичните институции за реализация на </w:t>
            </w:r>
            <w:r w:rsidR="00AA68D1" w:rsidRPr="00496500">
              <w:rPr>
                <w:rFonts w:ascii="Times New Roman" w:eastAsia="Times New Roman" w:hAnsi="Times New Roman" w:cs="Times New Roman"/>
                <w:color w:val="000000" w:themeColor="text1"/>
                <w:sz w:val="24"/>
                <w:szCs w:val="24"/>
                <w:lang w:eastAsia="bg-BG"/>
              </w:rPr>
              <w:t>цифрова</w:t>
            </w:r>
            <w:r w:rsidRPr="00496500">
              <w:rPr>
                <w:rFonts w:ascii="Times New Roman" w:eastAsia="Times New Roman" w:hAnsi="Times New Roman" w:cs="Times New Roman"/>
                <w:color w:val="000000" w:themeColor="text1"/>
                <w:sz w:val="24"/>
                <w:szCs w:val="24"/>
                <w:lang w:eastAsia="bg-BG"/>
              </w:rPr>
              <w:t xml:space="preserve"> трансформация;</w:t>
            </w:r>
          </w:p>
          <w:p w14:paraId="5A3CE6C2"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изоставане от динамиката на глобалното развитие на ИКТ и </w:t>
            </w:r>
            <w:r w:rsidR="00AA68D1" w:rsidRPr="00496500">
              <w:rPr>
                <w:rFonts w:ascii="Times New Roman" w:eastAsia="Times New Roman" w:hAnsi="Times New Roman" w:cs="Times New Roman"/>
                <w:color w:val="000000" w:themeColor="text1"/>
                <w:sz w:val="24"/>
                <w:szCs w:val="24"/>
                <w:lang w:eastAsia="bg-BG"/>
              </w:rPr>
              <w:t>цифрова</w:t>
            </w:r>
            <w:r w:rsidRPr="00496500">
              <w:rPr>
                <w:rFonts w:ascii="Times New Roman" w:eastAsia="Times New Roman" w:hAnsi="Times New Roman" w:cs="Times New Roman"/>
                <w:color w:val="000000" w:themeColor="text1"/>
                <w:sz w:val="24"/>
                <w:szCs w:val="24"/>
                <w:lang w:eastAsia="bg-BG"/>
              </w:rPr>
              <w:t xml:space="preserve"> трансформация – неспособност на публичните организация като цяло да се адаптират към технологичните промени</w:t>
            </w:r>
            <w:r w:rsidR="002E1AA6" w:rsidRPr="00496500">
              <w:rPr>
                <w:rFonts w:ascii="Times New Roman" w:eastAsia="Times New Roman" w:hAnsi="Times New Roman" w:cs="Times New Roman"/>
                <w:color w:val="000000" w:themeColor="text1"/>
                <w:sz w:val="24"/>
                <w:szCs w:val="24"/>
                <w:lang w:eastAsia="bg-BG"/>
              </w:rPr>
              <w:t>;</w:t>
            </w:r>
          </w:p>
          <w:p w14:paraId="6D6D7538" w14:textId="7DE8841A"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ниско обществено доверие в онлайн услугите, опасения относно онлайн поверителността и по-малка активност по отношение на индивидуалния контрол върху данните;</w:t>
            </w:r>
          </w:p>
          <w:p w14:paraId="1B36CFE5" w14:textId="77777777" w:rsidR="002E1AA6" w:rsidRPr="00496500" w:rsidRDefault="002E1AA6" w:rsidP="002E1AA6">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забавяне на въвеждането и прилагането на европейските регулации;</w:t>
            </w:r>
          </w:p>
          <w:p w14:paraId="20D2430F" w14:textId="5C20CC89" w:rsidR="002E1AA6" w:rsidRPr="00496500" w:rsidRDefault="002E1AA6" w:rsidP="002E1AA6">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lastRenderedPageBreak/>
              <w:t>липса на обратна връзка от гражданите и бизнеса – потребителите на цифрови публични услуги</w:t>
            </w:r>
            <w:r w:rsidR="000D053D">
              <w:rPr>
                <w:rFonts w:ascii="Times New Roman" w:eastAsia="Times New Roman" w:hAnsi="Times New Roman" w:cs="Times New Roman"/>
                <w:color w:val="000000" w:themeColor="text1"/>
                <w:sz w:val="24"/>
                <w:szCs w:val="24"/>
                <w:lang w:eastAsia="bg-BG"/>
              </w:rPr>
              <w:t>.</w:t>
            </w:r>
          </w:p>
          <w:p w14:paraId="3D635923" w14:textId="77777777" w:rsidR="002E1AA6" w:rsidRPr="00496500" w:rsidRDefault="002E1AA6"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275F6085" w14:textId="77777777" w:rsidR="002E1AA6" w:rsidRPr="00496500" w:rsidRDefault="002E1AA6"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b/>
                <w:bCs/>
                <w:color w:val="2E74B5" w:themeColor="accent1" w:themeShade="BF"/>
                <w:sz w:val="24"/>
                <w:szCs w:val="24"/>
              </w:rPr>
              <w:t>Инфраструктура и технологии</w:t>
            </w:r>
          </w:p>
          <w:p w14:paraId="110688C3" w14:textId="77777777" w:rsidR="002E1AA6" w:rsidRPr="00496500" w:rsidRDefault="002E1AA6"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поддръжка на морално остарели системи и невъзможност за интеграция с други системи, бюрократични пречки за интеграция и автоматизация, регистри в държавната администрация, които все още се водят на хартия или не са приведени в съответствие с изискванията на Закона за електронното управление;</w:t>
            </w:r>
          </w:p>
          <w:p w14:paraId="42B96E64" w14:textId="77777777" w:rsidR="002E1AA6" w:rsidRPr="00496500" w:rsidRDefault="002E1AA6" w:rsidP="002E1AA6">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трудности при мащабирането на инфраструктурата в ДХЧО поради финансови, технологични или организационни пречки;</w:t>
            </w:r>
          </w:p>
          <w:p w14:paraId="5ECCCC17" w14:textId="77777777" w:rsidR="00F82ABC" w:rsidRPr="00496500" w:rsidRDefault="002E1AA6" w:rsidP="002E1AA6">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продължаваща зависимост от външни за ЕС доставчици за критична цифрова инфраструктура и усл</w:t>
            </w:r>
            <w:r w:rsidR="00F82ABC" w:rsidRPr="00496500">
              <w:rPr>
                <w:rFonts w:ascii="Times New Roman" w:eastAsia="Times New Roman" w:hAnsi="Times New Roman" w:cs="Times New Roman"/>
                <w:color w:val="000000" w:themeColor="text1"/>
                <w:sz w:val="24"/>
                <w:szCs w:val="24"/>
                <w:lang w:eastAsia="bg-BG"/>
              </w:rPr>
              <w:t>уги (облак, ИИ, полупроводници);</w:t>
            </w:r>
          </w:p>
          <w:p w14:paraId="71BE7F6B" w14:textId="71537D9B" w:rsidR="002E1AA6" w:rsidRPr="00496500" w:rsidRDefault="00F82ABC" w:rsidP="002E1AA6">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неприлагане на Националната рамка за оперативна съвместимост и Референтната архитектура за оперативна съвместимост с оглед постигане на високо ниво на оперативна съвместимост в публичния сектор</w:t>
            </w:r>
            <w:r w:rsidR="000D053D">
              <w:rPr>
                <w:rFonts w:ascii="Times New Roman" w:eastAsia="Times New Roman" w:hAnsi="Times New Roman" w:cs="Times New Roman"/>
                <w:color w:val="000000" w:themeColor="text1"/>
                <w:sz w:val="24"/>
                <w:szCs w:val="24"/>
                <w:lang w:eastAsia="bg-BG"/>
              </w:rPr>
              <w:t>.</w:t>
            </w:r>
          </w:p>
          <w:p w14:paraId="342B2FBF" w14:textId="77777777" w:rsidR="002E1AA6" w:rsidRPr="00496500" w:rsidRDefault="002E1AA6"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77D3803C" w14:textId="77777777" w:rsidR="002E1AA6" w:rsidRPr="00496500" w:rsidRDefault="002E1AA6" w:rsidP="006E661C">
            <w:pPr>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Данни</w:t>
            </w:r>
          </w:p>
          <w:p w14:paraId="07EB7370" w14:textId="77777777" w:rsidR="002E1AA6" w:rsidRPr="00496500" w:rsidRDefault="006A6A0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липсваща или ограничена оперативна съвместимост на данни;</w:t>
            </w:r>
          </w:p>
          <w:p w14:paraId="6EB84A0E" w14:textId="77777777" w:rsidR="002E1AA6" w:rsidRPr="00496500" w:rsidRDefault="006A6A0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недостатъчна защита на личните данни, непрозрачност на алгоритми и потенциална дискриминация могат да доведат до страхове за гражданите;</w:t>
            </w:r>
          </w:p>
          <w:p w14:paraId="2EFDE808" w14:textId="2B069B58" w:rsidR="002E1AA6" w:rsidRPr="00496500" w:rsidRDefault="006A6A0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lastRenderedPageBreak/>
              <w:t>неефективно и неефикасно управление на данните, ограничено използване и възпрепятстване на повторното им използване от частния сектор, академичната общност и неправителствения сектор</w:t>
            </w:r>
            <w:r w:rsidR="000D053D">
              <w:rPr>
                <w:rFonts w:ascii="Times New Roman" w:eastAsia="Times New Roman" w:hAnsi="Times New Roman" w:cs="Times New Roman"/>
                <w:color w:val="000000" w:themeColor="text1"/>
                <w:sz w:val="24"/>
                <w:szCs w:val="24"/>
                <w:lang w:eastAsia="bg-BG"/>
              </w:rPr>
              <w:t>.</w:t>
            </w:r>
          </w:p>
          <w:p w14:paraId="5DBB58F1" w14:textId="77777777" w:rsidR="002E1AA6" w:rsidRPr="00496500" w:rsidRDefault="002E1AA6"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774FEDD0" w14:textId="77777777" w:rsidR="002E1AA6" w:rsidRPr="00496500" w:rsidRDefault="002E1AA6"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b/>
                <w:bCs/>
                <w:color w:val="2E74B5" w:themeColor="accent1" w:themeShade="BF"/>
                <w:sz w:val="24"/>
                <w:szCs w:val="24"/>
              </w:rPr>
              <w:t>Киберсигурност</w:t>
            </w:r>
          </w:p>
          <w:p w14:paraId="506343B7" w14:textId="77777777" w:rsidR="00280DB2" w:rsidRPr="00496500" w:rsidRDefault="004835C3"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тенденция за нарастване на</w:t>
            </w:r>
            <w:r w:rsidR="00280DB2" w:rsidRPr="00496500">
              <w:rPr>
                <w:rFonts w:ascii="Times New Roman" w:eastAsia="Times New Roman" w:hAnsi="Times New Roman" w:cs="Times New Roman"/>
                <w:color w:val="000000" w:themeColor="text1"/>
                <w:sz w:val="24"/>
                <w:szCs w:val="24"/>
                <w:lang w:eastAsia="bg-BG"/>
              </w:rPr>
              <w:t xml:space="preserve"> брой кибератаки и пробиви на данни;</w:t>
            </w:r>
          </w:p>
          <w:p w14:paraId="0B29A6C4"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недостатъчно развит пазар на услуги за киберсигурност;</w:t>
            </w:r>
          </w:p>
          <w:p w14:paraId="57EF542A" w14:textId="37825882"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недостатъчно ефикасни мерки за осигуряване на киберсигурност </w:t>
            </w:r>
            <w:r w:rsidR="004835C3" w:rsidRPr="00496500">
              <w:rPr>
                <w:rFonts w:ascii="Times New Roman" w:eastAsia="Times New Roman" w:hAnsi="Times New Roman" w:cs="Times New Roman"/>
                <w:color w:val="000000" w:themeColor="text1"/>
                <w:sz w:val="24"/>
                <w:szCs w:val="24"/>
                <w:lang w:eastAsia="bg-BG"/>
              </w:rPr>
              <w:t xml:space="preserve">по отношение </w:t>
            </w:r>
            <w:r w:rsidRPr="00496500">
              <w:rPr>
                <w:rFonts w:ascii="Times New Roman" w:eastAsia="Times New Roman" w:hAnsi="Times New Roman" w:cs="Times New Roman"/>
                <w:color w:val="000000" w:themeColor="text1"/>
                <w:sz w:val="24"/>
                <w:szCs w:val="24"/>
                <w:lang w:eastAsia="bg-BG"/>
              </w:rPr>
              <w:t>на данните</w:t>
            </w:r>
            <w:r w:rsidR="000D053D">
              <w:rPr>
                <w:rFonts w:ascii="Times New Roman" w:eastAsia="Times New Roman" w:hAnsi="Times New Roman" w:cs="Times New Roman"/>
                <w:color w:val="000000" w:themeColor="text1"/>
                <w:sz w:val="24"/>
                <w:szCs w:val="24"/>
                <w:lang w:eastAsia="bg-BG"/>
              </w:rPr>
              <w:t>.</w:t>
            </w:r>
          </w:p>
          <w:p w14:paraId="137CBA7C" w14:textId="77777777" w:rsidR="006A6A02" w:rsidRPr="00496500" w:rsidRDefault="006A6A02"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330AD7C0" w14:textId="77777777" w:rsidR="006A6A02" w:rsidRPr="00496500" w:rsidRDefault="006A6A02" w:rsidP="006E661C">
            <w:pPr>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Човешки ресурси</w:t>
            </w:r>
          </w:p>
          <w:p w14:paraId="4203BD23" w14:textId="77777777" w:rsidR="002E1AA6" w:rsidRPr="00496500" w:rsidRDefault="006A6A0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изтичане на таланти и висококвалифицирани ИКТ специалисти в чужбина;</w:t>
            </w:r>
          </w:p>
          <w:p w14:paraId="247BC022" w14:textId="77777777" w:rsidR="006A6A02" w:rsidRPr="00496500" w:rsidRDefault="006A6A02" w:rsidP="006A6A0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задълбочаващо се цифрово разделение между градските и селските райони и между младото и възрастното население, ограничен достъп до цифрова инфраструктура в отдалечени райони и ниска цифрова грамотност сред населението в селските райони - ограничава способността на предприятията и хората да използват пълноценно цифровите технологии;</w:t>
            </w:r>
          </w:p>
          <w:p w14:paraId="3A8698B7" w14:textId="77777777" w:rsidR="006A6A02" w:rsidRPr="00496500" w:rsidRDefault="006A6A02" w:rsidP="006A6A0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рискове от задълбочаване на социалното и образователното изключване, поради липса на устойчива и стратегическа политика за интегриране на уязвимите групи;</w:t>
            </w:r>
          </w:p>
          <w:p w14:paraId="589D7F71" w14:textId="77777777" w:rsidR="006A6A02" w:rsidRPr="00496500" w:rsidRDefault="006A6A02" w:rsidP="006A6A0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продължаващ недостиг на работна ръка с цифрови умения и застаряващо население;</w:t>
            </w:r>
          </w:p>
          <w:p w14:paraId="2D2EFF86" w14:textId="77777777" w:rsidR="006A6A02" w:rsidRPr="00496500" w:rsidRDefault="006A6A02" w:rsidP="006E661C">
            <w:pPr>
              <w:tabs>
                <w:tab w:val="left" w:pos="284"/>
              </w:tabs>
              <w:spacing w:before="120" w:after="120" w:line="240" w:lineRule="auto"/>
              <w:jc w:val="both"/>
              <w:rPr>
                <w:rFonts w:ascii="Times New Roman" w:eastAsia="Times New Roman" w:hAnsi="Times New Roman" w:cs="Times New Roman"/>
                <w:color w:val="000000" w:themeColor="text1"/>
                <w:sz w:val="24"/>
                <w:szCs w:val="24"/>
                <w:lang w:eastAsia="bg-BG"/>
              </w:rPr>
            </w:pPr>
          </w:p>
          <w:p w14:paraId="7F0D799D" w14:textId="77777777" w:rsidR="00280DB2" w:rsidRPr="00496500" w:rsidRDefault="002E1AA6" w:rsidP="006E661C">
            <w:pPr>
              <w:tabs>
                <w:tab w:val="left" w:pos="284"/>
              </w:tabs>
              <w:spacing w:before="120" w:after="120" w:line="240" w:lineRule="auto"/>
              <w:jc w:val="both"/>
              <w:rPr>
                <w:rFonts w:ascii="Times New Roman" w:eastAsia="Times New Roman" w:hAnsi="Times New Roman" w:cs="Times New Roman"/>
                <w:b/>
                <w:bCs/>
                <w:color w:val="2E74B5" w:themeColor="accent1" w:themeShade="BF"/>
                <w:sz w:val="24"/>
                <w:szCs w:val="24"/>
              </w:rPr>
            </w:pPr>
            <w:r w:rsidRPr="00496500">
              <w:rPr>
                <w:rFonts w:ascii="Times New Roman" w:eastAsia="Times New Roman" w:hAnsi="Times New Roman" w:cs="Times New Roman"/>
                <w:b/>
                <w:bCs/>
                <w:color w:val="2E74B5" w:themeColor="accent1" w:themeShade="BF"/>
                <w:sz w:val="24"/>
                <w:szCs w:val="24"/>
              </w:rPr>
              <w:t>Бизнес</w:t>
            </w:r>
          </w:p>
          <w:p w14:paraId="42FF763E"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сложност и административна тежест на регулациите на ЕС (GDPR, Data Act) за бизнеса, особено за МСП;</w:t>
            </w:r>
          </w:p>
          <w:p w14:paraId="5D680C40" w14:textId="1E8A4F64"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съпротива от страна на бизнеса за споделяне на данни</w:t>
            </w:r>
            <w:r w:rsidR="006A6A02" w:rsidRPr="00496500">
              <w:rPr>
                <w:rFonts w:ascii="Times New Roman" w:eastAsia="Times New Roman" w:hAnsi="Times New Roman" w:cs="Times New Roman"/>
                <w:color w:val="000000" w:themeColor="text1"/>
                <w:sz w:val="24"/>
                <w:szCs w:val="24"/>
                <w:lang w:eastAsia="bg-BG"/>
              </w:rPr>
              <w:t>,</w:t>
            </w:r>
            <w:r w:rsidRPr="00496500">
              <w:rPr>
                <w:rFonts w:ascii="Times New Roman" w:eastAsia="Times New Roman" w:hAnsi="Times New Roman" w:cs="Times New Roman"/>
                <w:color w:val="000000" w:themeColor="text1"/>
                <w:sz w:val="24"/>
                <w:szCs w:val="24"/>
                <w:lang w:eastAsia="bg-BG"/>
              </w:rPr>
              <w:t xml:space="preserve"> поради възприемана загуба на контрол, липса на реципрочност и хоризонтална конкуренция</w:t>
            </w:r>
            <w:r w:rsidR="000D053D">
              <w:rPr>
                <w:rFonts w:ascii="Times New Roman" w:eastAsia="Times New Roman" w:hAnsi="Times New Roman" w:cs="Times New Roman"/>
                <w:color w:val="000000" w:themeColor="text1"/>
                <w:sz w:val="24"/>
                <w:szCs w:val="24"/>
                <w:lang w:eastAsia="bg-BG"/>
              </w:rPr>
              <w:t>;</w:t>
            </w:r>
          </w:p>
          <w:p w14:paraId="7BAAEA62"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продължаваща липса или малък инвестиционен интерес в отдалечените и слабо населени райони;</w:t>
            </w:r>
          </w:p>
          <w:p w14:paraId="66EEAA75" w14:textId="77777777" w:rsidR="00280DB2"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забавен темп на </w:t>
            </w:r>
            <w:r w:rsidR="00AA68D1" w:rsidRPr="00496500">
              <w:rPr>
                <w:rFonts w:ascii="Times New Roman" w:eastAsia="Times New Roman" w:hAnsi="Times New Roman" w:cs="Times New Roman"/>
                <w:color w:val="000000" w:themeColor="text1"/>
                <w:sz w:val="24"/>
                <w:szCs w:val="24"/>
                <w:lang w:eastAsia="bg-BG"/>
              </w:rPr>
              <w:t>цифрова</w:t>
            </w:r>
            <w:r w:rsidRPr="00496500">
              <w:rPr>
                <w:rFonts w:ascii="Times New Roman" w:eastAsia="Times New Roman" w:hAnsi="Times New Roman" w:cs="Times New Roman"/>
                <w:color w:val="000000" w:themeColor="text1"/>
                <w:sz w:val="24"/>
                <w:szCs w:val="24"/>
                <w:lang w:eastAsia="bg-BG"/>
              </w:rPr>
              <w:t xml:space="preserve"> трансформация в ключови сектори, включително на образователната система, земеделието, транспорта, </w:t>
            </w:r>
            <w:r w:rsidR="006A6A02" w:rsidRPr="00496500">
              <w:rPr>
                <w:rFonts w:ascii="Times New Roman" w:eastAsia="Times New Roman" w:hAnsi="Times New Roman" w:cs="Times New Roman"/>
                <w:color w:val="000000" w:themeColor="text1"/>
                <w:sz w:val="24"/>
                <w:szCs w:val="24"/>
                <w:lang w:eastAsia="bg-BG"/>
              </w:rPr>
              <w:t xml:space="preserve">енергетика, </w:t>
            </w:r>
            <w:r w:rsidRPr="00496500">
              <w:rPr>
                <w:rFonts w:ascii="Times New Roman" w:eastAsia="Times New Roman" w:hAnsi="Times New Roman" w:cs="Times New Roman"/>
                <w:color w:val="000000" w:themeColor="text1"/>
                <w:sz w:val="24"/>
                <w:szCs w:val="24"/>
                <w:lang w:eastAsia="bg-BG"/>
              </w:rPr>
              <w:t xml:space="preserve">строителство и други; </w:t>
            </w:r>
          </w:p>
          <w:p w14:paraId="6D0E4A41" w14:textId="77777777" w:rsidR="00DA78B3" w:rsidRPr="00496500" w:rsidRDefault="00280DB2" w:rsidP="00280DB2">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eastAsia="Times New Roman" w:hAnsi="Times New Roman" w:cs="Times New Roman"/>
                <w:color w:val="000000" w:themeColor="text1"/>
                <w:sz w:val="24"/>
                <w:szCs w:val="24"/>
                <w:lang w:eastAsia="bg-BG"/>
              </w:rPr>
              <w:t xml:space="preserve">рискове, свързани със забавено прилагане на Акта за ИИ и забавено изграждане на институционалния капацитет в страната; </w:t>
            </w:r>
          </w:p>
          <w:p w14:paraId="58439433" w14:textId="3B1472D7" w:rsidR="00280DB2" w:rsidRPr="00496500" w:rsidRDefault="00DA78B3">
            <w:pPr>
              <w:numPr>
                <w:ilvl w:val="0"/>
                <w:numId w:val="46"/>
              </w:numPr>
              <w:tabs>
                <w:tab w:val="left" w:pos="284"/>
              </w:tabs>
              <w:spacing w:before="120" w:after="120" w:line="240" w:lineRule="auto"/>
              <w:ind w:left="284" w:hanging="284"/>
              <w:jc w:val="both"/>
              <w:rPr>
                <w:rFonts w:ascii="Times New Roman" w:eastAsia="Times New Roman" w:hAnsi="Times New Roman" w:cs="Times New Roman"/>
                <w:color w:val="000000" w:themeColor="text1"/>
                <w:sz w:val="24"/>
                <w:szCs w:val="24"/>
                <w:lang w:eastAsia="bg-BG"/>
              </w:rPr>
            </w:pPr>
            <w:r w:rsidRPr="00496500">
              <w:rPr>
                <w:rFonts w:ascii="Times New Roman" w:hAnsi="Times New Roman" w:cs="Times New Roman"/>
                <w:bCs/>
                <w:sz w:val="24"/>
                <w:szCs w:val="24"/>
              </w:rPr>
              <w:t>нарастваща зависимост от чуждестранни облачни доставчици, без местни алтернативи</w:t>
            </w:r>
            <w:r w:rsidR="000D053D">
              <w:rPr>
                <w:rFonts w:ascii="Times New Roman" w:eastAsia="Times New Roman" w:hAnsi="Times New Roman" w:cs="Times New Roman"/>
                <w:color w:val="000000" w:themeColor="text1"/>
                <w:sz w:val="24"/>
                <w:szCs w:val="24"/>
                <w:lang w:eastAsia="bg-BG"/>
              </w:rPr>
              <w:t>.</w:t>
            </w:r>
          </w:p>
        </w:tc>
      </w:tr>
    </w:tbl>
    <w:p w14:paraId="1D3737EC" w14:textId="77777777" w:rsidR="005860E7" w:rsidRPr="00496500" w:rsidRDefault="005860E7" w:rsidP="00280DB2">
      <w:pPr>
        <w:pStyle w:val="ListParagraph"/>
        <w:tabs>
          <w:tab w:val="left" w:pos="1134"/>
        </w:tabs>
        <w:spacing w:after="120" w:line="240" w:lineRule="auto"/>
        <w:ind w:left="1170"/>
        <w:contextualSpacing w:val="0"/>
        <w:jc w:val="both"/>
        <w:rPr>
          <w:rFonts w:ascii="Times New Roman" w:eastAsia="Calibri" w:hAnsi="Times New Roman" w:cs="Times New Roman"/>
          <w:b/>
          <w:sz w:val="24"/>
          <w:szCs w:val="24"/>
        </w:rPr>
        <w:sectPr w:rsidR="005860E7" w:rsidRPr="00496500" w:rsidSect="00280DB2">
          <w:pgSz w:w="16838" w:h="11906" w:orient="landscape" w:code="9"/>
          <w:pgMar w:top="1526" w:right="1239" w:bottom="1022" w:left="1138" w:header="706" w:footer="518" w:gutter="0"/>
          <w:cols w:space="720"/>
          <w:titlePg/>
          <w:docGrid w:linePitch="360"/>
        </w:sectPr>
      </w:pPr>
    </w:p>
    <w:p w14:paraId="6A691340" w14:textId="77777777" w:rsidR="00280DB2" w:rsidRPr="00496500" w:rsidRDefault="00280DB2" w:rsidP="00280DB2">
      <w:pPr>
        <w:pStyle w:val="ListParagraph"/>
        <w:tabs>
          <w:tab w:val="left" w:pos="1134"/>
        </w:tabs>
        <w:spacing w:after="120" w:line="240" w:lineRule="auto"/>
        <w:ind w:left="1170"/>
        <w:contextualSpacing w:val="0"/>
        <w:jc w:val="both"/>
        <w:rPr>
          <w:rFonts w:ascii="Times New Roman" w:eastAsia="Calibri" w:hAnsi="Times New Roman" w:cs="Times New Roman"/>
          <w:b/>
          <w:sz w:val="24"/>
          <w:szCs w:val="24"/>
        </w:rPr>
      </w:pPr>
    </w:p>
    <w:p w14:paraId="5C147922" w14:textId="77777777" w:rsidR="00CB2255" w:rsidRPr="00496500" w:rsidRDefault="00CB2255" w:rsidP="006D7474">
      <w:pPr>
        <w:pStyle w:val="ListParagraph"/>
        <w:spacing w:after="120" w:line="240" w:lineRule="auto"/>
        <w:contextualSpacing w:val="0"/>
        <w:outlineLvl w:val="0"/>
        <w:rPr>
          <w:rFonts w:ascii="Times New Roman" w:hAnsi="Times New Roman" w:cs="Times New Roman"/>
          <w:b/>
          <w:color w:val="2E74B5" w:themeColor="accent1" w:themeShade="BF"/>
          <w:sz w:val="28"/>
          <w:szCs w:val="28"/>
        </w:rPr>
      </w:pPr>
      <w:bookmarkStart w:id="28" w:name="_Toc209084895"/>
      <w:r w:rsidRPr="00496500">
        <w:rPr>
          <w:rFonts w:ascii="Times New Roman" w:hAnsi="Times New Roman" w:cs="Times New Roman"/>
          <w:b/>
          <w:color w:val="2E74B5" w:themeColor="accent1" w:themeShade="BF"/>
          <w:sz w:val="28"/>
          <w:szCs w:val="28"/>
        </w:rPr>
        <w:t>Източници на информация</w:t>
      </w:r>
      <w:bookmarkEnd w:id="28"/>
      <w:r w:rsidRPr="00496500">
        <w:rPr>
          <w:rFonts w:ascii="Times New Roman" w:hAnsi="Times New Roman" w:cs="Times New Roman"/>
          <w:b/>
          <w:color w:val="2E74B5" w:themeColor="accent1" w:themeShade="BF"/>
          <w:sz w:val="28"/>
          <w:szCs w:val="28"/>
        </w:rPr>
        <w:t xml:space="preserve"> </w:t>
      </w:r>
    </w:p>
    <w:p w14:paraId="1877E2FF" w14:textId="77777777"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sidRPr="00496500">
        <w:rPr>
          <w:rFonts w:ascii="Times New Roman" w:hAnsi="Times New Roman" w:cs="Times New Roman"/>
          <w:b/>
          <w:sz w:val="24"/>
          <w:szCs w:val="24"/>
        </w:rPr>
        <w:t xml:space="preserve">Доклад за състоянието на цифровото десетилетие през 2025 г. за България и приложенията към него </w:t>
      </w:r>
      <w:r w:rsidRPr="00496500">
        <w:rPr>
          <w:rFonts w:ascii="Times New Roman" w:hAnsi="Times New Roman" w:cs="Times New Roman"/>
          <w:sz w:val="24"/>
          <w:szCs w:val="24"/>
        </w:rPr>
        <w:t>(</w:t>
      </w:r>
      <w:hyperlink r:id="rId50" w:history="1">
        <w:r w:rsidRPr="00496500">
          <w:rPr>
            <w:rStyle w:val="Hyperlink"/>
            <w:rFonts w:ascii="Times New Roman" w:hAnsi="Times New Roman" w:cs="Times New Roman"/>
            <w:sz w:val="24"/>
            <w:szCs w:val="24"/>
          </w:rPr>
          <w:t>https://digital-strategy.ec.europa.eu/en/library/state-digital-decade-2025-report</w:t>
        </w:r>
      </w:hyperlink>
      <w:r w:rsidRPr="00496500">
        <w:rPr>
          <w:rFonts w:ascii="Times New Roman" w:hAnsi="Times New Roman" w:cs="Times New Roman"/>
          <w:sz w:val="24"/>
          <w:szCs w:val="24"/>
        </w:rPr>
        <w:t>).</w:t>
      </w:r>
    </w:p>
    <w:p w14:paraId="4A4C1BB7" w14:textId="77777777"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sidRPr="00496500">
        <w:rPr>
          <w:rFonts w:ascii="Times New Roman" w:hAnsi="Times New Roman" w:cs="Times New Roman"/>
          <w:b/>
          <w:sz w:val="24"/>
          <w:szCs w:val="24"/>
        </w:rPr>
        <w:t>Индекс за навлизането на цифровите технологии в икономиката и обществото (</w:t>
      </w:r>
      <w:hyperlink r:id="rId51" w:history="1">
        <w:r w:rsidRPr="00496500">
          <w:rPr>
            <w:rStyle w:val="Hyperlink"/>
            <w:rFonts w:ascii="Times New Roman" w:hAnsi="Times New Roman" w:cs="Times New Roman"/>
            <w:sz w:val="24"/>
            <w:szCs w:val="24"/>
          </w:rPr>
          <w:t>https://digital-decade-desi.digital-strategy.ec.europa.eu/datasets/desi/charts/</w:t>
        </w:r>
      </w:hyperlink>
      <w:r w:rsidRPr="00496500">
        <w:rPr>
          <w:rFonts w:ascii="Times New Roman" w:hAnsi="Times New Roman" w:cs="Times New Roman"/>
          <w:sz w:val="24"/>
          <w:szCs w:val="24"/>
        </w:rPr>
        <w:t>).</w:t>
      </w:r>
    </w:p>
    <w:p w14:paraId="64D01578" w14:textId="77777777"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b/>
          <w:sz w:val="24"/>
          <w:szCs w:val="24"/>
        </w:rPr>
        <w:t>Бенчмарк за електронно управление 2025</w:t>
      </w:r>
      <w:r w:rsidRPr="00496500">
        <w:rPr>
          <w:rFonts w:ascii="Times New Roman" w:eastAsia="Calibri" w:hAnsi="Times New Roman" w:cs="Times New Roman"/>
          <w:sz w:val="24"/>
          <w:szCs w:val="24"/>
        </w:rPr>
        <w:t xml:space="preserve"> (</w:t>
      </w:r>
      <w:hyperlink r:id="rId52" w:history="1">
        <w:r w:rsidRPr="00496500">
          <w:rPr>
            <w:rStyle w:val="Hyperlink"/>
            <w:rFonts w:ascii="Times New Roman" w:eastAsia="Calibri" w:hAnsi="Times New Roman" w:cs="Times New Roman"/>
            <w:sz w:val="24"/>
            <w:szCs w:val="24"/>
          </w:rPr>
          <w:t>https://digital-strategy.ec.europa.eu/en/library/digital-decade-2025-egovernment-benchmark-2025</w:t>
        </w:r>
      </w:hyperlink>
      <w:r w:rsidRPr="00496500">
        <w:rPr>
          <w:rFonts w:ascii="Times New Roman" w:eastAsia="Calibri" w:hAnsi="Times New Roman" w:cs="Times New Roman"/>
          <w:sz w:val="24"/>
          <w:szCs w:val="24"/>
        </w:rPr>
        <w:t>).</w:t>
      </w:r>
    </w:p>
    <w:p w14:paraId="1DD47C34" w14:textId="77777777" w:rsidR="00AF1519" w:rsidRPr="00496500" w:rsidRDefault="00916AE7"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hyperlink r:id="rId53" w:history="1">
        <w:r w:rsidR="00AF1519" w:rsidRPr="00496500">
          <w:rPr>
            <w:rFonts w:ascii="Times New Roman" w:eastAsia="Calibri" w:hAnsi="Times New Roman" w:cs="Times New Roman"/>
            <w:b/>
            <w:sz w:val="24"/>
            <w:szCs w:val="24"/>
          </w:rPr>
          <w:t xml:space="preserve">Проучване на ООН за електронното управление 2024 </w:t>
        </w:r>
      </w:hyperlink>
      <w:r w:rsidR="00AF1519" w:rsidRPr="00496500">
        <w:rPr>
          <w:rFonts w:ascii="Times New Roman" w:eastAsia="Calibri" w:hAnsi="Times New Roman" w:cs="Times New Roman"/>
          <w:b/>
          <w:sz w:val="24"/>
          <w:szCs w:val="24"/>
        </w:rPr>
        <w:t>(</w:t>
      </w:r>
      <w:r w:rsidR="00AF1519" w:rsidRPr="00496500">
        <w:rPr>
          <w:rFonts w:ascii="Times New Roman" w:eastAsia="Calibri" w:hAnsi="Times New Roman" w:cs="Times New Roman"/>
          <w:color w:val="0563C1"/>
          <w:sz w:val="24"/>
          <w:szCs w:val="24"/>
          <w:u w:val="single"/>
        </w:rPr>
        <w:t>https://publicadministration.un.org/egovkb/en-us/</w:t>
      </w:r>
      <w:r w:rsidR="00AF1519" w:rsidRPr="00496500">
        <w:rPr>
          <w:rFonts w:ascii="Times New Roman" w:eastAsia="Calibri" w:hAnsi="Times New Roman" w:cs="Times New Roman"/>
          <w:sz w:val="24"/>
          <w:szCs w:val="24"/>
        </w:rPr>
        <w:t>).</w:t>
      </w:r>
    </w:p>
    <w:p w14:paraId="7BADA809" w14:textId="77777777" w:rsidR="00AF1519" w:rsidRPr="00496500" w:rsidRDefault="00916AE7"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b/>
          <w:sz w:val="24"/>
          <w:szCs w:val="24"/>
        </w:rPr>
      </w:pPr>
      <w:hyperlink r:id="rId54" w:history="1">
        <w:r w:rsidR="00AF1519" w:rsidRPr="00496500">
          <w:rPr>
            <w:rFonts w:ascii="Times New Roman" w:hAnsi="Times New Roman" w:cs="Times New Roman"/>
            <w:b/>
            <w:sz w:val="24"/>
            <w:szCs w:val="24"/>
          </w:rPr>
          <w:t>Индекс за готовност на мрежата</w:t>
        </w:r>
      </w:hyperlink>
      <w:r w:rsidR="00AF1519" w:rsidRPr="00496500">
        <w:rPr>
          <w:rFonts w:ascii="Times New Roman" w:eastAsia="Calibri" w:hAnsi="Times New Roman" w:cs="Times New Roman"/>
          <w:b/>
          <w:sz w:val="24"/>
          <w:szCs w:val="24"/>
        </w:rPr>
        <w:t xml:space="preserve"> 2024 </w:t>
      </w:r>
      <w:r w:rsidR="00AF1519" w:rsidRPr="00496500">
        <w:rPr>
          <w:rFonts w:ascii="Times New Roman" w:eastAsia="Calibri" w:hAnsi="Times New Roman" w:cs="Times New Roman"/>
          <w:sz w:val="24"/>
          <w:szCs w:val="24"/>
        </w:rPr>
        <w:t>(</w:t>
      </w:r>
      <w:hyperlink r:id="rId55" w:history="1">
        <w:r w:rsidR="00AF1519" w:rsidRPr="00496500">
          <w:rPr>
            <w:rStyle w:val="Hyperlink"/>
            <w:rFonts w:ascii="Times New Roman" w:eastAsia="Calibri" w:hAnsi="Times New Roman" w:cs="Times New Roman"/>
            <w:sz w:val="24"/>
            <w:szCs w:val="24"/>
          </w:rPr>
          <w:t>https://networkreadinessindex.org/</w:t>
        </w:r>
      </w:hyperlink>
      <w:r w:rsidR="00AF1519" w:rsidRPr="00496500">
        <w:rPr>
          <w:rFonts w:ascii="Times New Roman" w:eastAsia="Calibri" w:hAnsi="Times New Roman" w:cs="Times New Roman"/>
          <w:sz w:val="24"/>
          <w:szCs w:val="24"/>
        </w:rPr>
        <w:t>).</w:t>
      </w:r>
      <w:r w:rsidR="00AF1519" w:rsidRPr="00496500">
        <w:rPr>
          <w:rFonts w:ascii="Times New Roman" w:eastAsia="Calibri" w:hAnsi="Times New Roman" w:cs="Times New Roman"/>
          <w:b/>
          <w:sz w:val="24"/>
          <w:szCs w:val="24"/>
        </w:rPr>
        <w:t xml:space="preserve"> </w:t>
      </w:r>
    </w:p>
    <w:p w14:paraId="5014569B" w14:textId="77777777"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b/>
          <w:sz w:val="24"/>
          <w:szCs w:val="24"/>
        </w:rPr>
        <w:t>Индек</w:t>
      </w:r>
      <w:r w:rsidR="00B501F7" w:rsidRPr="00496500">
        <w:rPr>
          <w:rFonts w:ascii="Times New Roman" w:eastAsia="Calibri" w:hAnsi="Times New Roman" w:cs="Times New Roman"/>
          <w:b/>
          <w:sz w:val="24"/>
          <w:szCs w:val="24"/>
        </w:rPr>
        <w:t>с</w:t>
      </w:r>
      <w:r w:rsidRPr="00496500">
        <w:rPr>
          <w:rFonts w:ascii="Times New Roman" w:eastAsia="Calibri" w:hAnsi="Times New Roman" w:cs="Times New Roman"/>
          <w:b/>
          <w:sz w:val="24"/>
          <w:szCs w:val="24"/>
        </w:rPr>
        <w:t xml:space="preserve"> за зрялост на отворените данни 2024</w:t>
      </w:r>
      <w:r w:rsidRPr="00496500">
        <w:rPr>
          <w:rFonts w:ascii="Times New Roman" w:eastAsia="Calibri" w:hAnsi="Times New Roman" w:cs="Times New Roman"/>
          <w:sz w:val="24"/>
          <w:szCs w:val="24"/>
        </w:rPr>
        <w:t xml:space="preserve"> (</w:t>
      </w:r>
      <w:hyperlink r:id="rId56" w:history="1">
        <w:r w:rsidRPr="00496500">
          <w:rPr>
            <w:rStyle w:val="Hyperlink"/>
            <w:rFonts w:ascii="Times New Roman" w:eastAsia="Calibri" w:hAnsi="Times New Roman" w:cs="Times New Roman"/>
            <w:sz w:val="24"/>
            <w:szCs w:val="24"/>
          </w:rPr>
          <w:t>https://data.europa.eu/en/publications/open-data-maturity/2024</w:t>
        </w:r>
      </w:hyperlink>
      <w:r w:rsidRPr="00496500">
        <w:rPr>
          <w:rFonts w:ascii="Times New Roman" w:eastAsia="Calibri" w:hAnsi="Times New Roman" w:cs="Times New Roman"/>
          <w:sz w:val="24"/>
          <w:szCs w:val="24"/>
        </w:rPr>
        <w:t>).</w:t>
      </w:r>
    </w:p>
    <w:p w14:paraId="374B6388" w14:textId="77777777"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b/>
          <w:sz w:val="24"/>
          <w:szCs w:val="24"/>
        </w:rPr>
      </w:pPr>
      <w:r w:rsidRPr="00496500">
        <w:rPr>
          <w:rFonts w:ascii="Times New Roman" w:hAnsi="Times New Roman" w:cs="Times New Roman"/>
          <w:b/>
          <w:sz w:val="24"/>
          <w:szCs w:val="24"/>
        </w:rPr>
        <w:t>Индек</w:t>
      </w:r>
      <w:r w:rsidR="00B501F7" w:rsidRPr="00496500">
        <w:rPr>
          <w:rFonts w:ascii="Times New Roman" w:hAnsi="Times New Roman" w:cs="Times New Roman"/>
          <w:b/>
          <w:sz w:val="24"/>
          <w:szCs w:val="24"/>
        </w:rPr>
        <w:t>с</w:t>
      </w:r>
      <w:r w:rsidRPr="00496500">
        <w:rPr>
          <w:rFonts w:ascii="Times New Roman" w:hAnsi="Times New Roman" w:cs="Times New Roman"/>
          <w:b/>
          <w:sz w:val="24"/>
          <w:szCs w:val="24"/>
        </w:rPr>
        <w:t xml:space="preserve"> за зрялост на изкуствения интелект </w:t>
      </w:r>
    </w:p>
    <w:p w14:paraId="62362F79" w14:textId="5077CAD9" w:rsidR="00AF1519"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sidRPr="00496500">
        <w:rPr>
          <w:rFonts w:ascii="Times New Roman" w:hAnsi="Times New Roman" w:cs="Times New Roman"/>
          <w:b/>
          <w:sz w:val="24"/>
          <w:szCs w:val="24"/>
        </w:rPr>
        <w:t xml:space="preserve">AT Kearney Global Services Location Index 2023 </w:t>
      </w:r>
      <w:r w:rsidRPr="00496500">
        <w:rPr>
          <w:rFonts w:ascii="Times New Roman" w:hAnsi="Times New Roman" w:cs="Times New Roman"/>
          <w:sz w:val="24"/>
          <w:szCs w:val="24"/>
        </w:rPr>
        <w:t>(</w:t>
      </w:r>
      <w:hyperlink r:id="rId57" w:history="1">
        <w:r w:rsidRPr="00496500">
          <w:rPr>
            <w:rStyle w:val="Hyperlink"/>
            <w:rFonts w:ascii="Times New Roman" w:hAnsi="Times New Roman" w:cs="Times New Roman"/>
            <w:sz w:val="24"/>
            <w:szCs w:val="24"/>
          </w:rPr>
          <w:t>https://www.kearney.com/service/digital-analytics/gsli/2023-full-report</w:t>
        </w:r>
      </w:hyperlink>
      <w:r w:rsidRPr="00496500">
        <w:rPr>
          <w:rFonts w:ascii="Times New Roman" w:hAnsi="Times New Roman" w:cs="Times New Roman"/>
          <w:sz w:val="24"/>
          <w:szCs w:val="24"/>
        </w:rPr>
        <w:t>).</w:t>
      </w:r>
    </w:p>
    <w:p w14:paraId="1EADD787" w14:textId="25613A62" w:rsidR="00904659" w:rsidRPr="00496500" w:rsidRDefault="0090465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Pr>
          <w:rFonts w:ascii="Times New Roman" w:hAnsi="Times New Roman" w:cs="Times New Roman"/>
          <w:b/>
          <w:sz w:val="24"/>
          <w:szCs w:val="24"/>
        </w:rPr>
        <w:t>Доклад</w:t>
      </w:r>
      <w:r w:rsidRPr="00904659">
        <w:rPr>
          <w:rFonts w:ascii="Times New Roman" w:hAnsi="Times New Roman" w:cs="Times New Roman"/>
          <w:b/>
          <w:sz w:val="24"/>
          <w:szCs w:val="24"/>
        </w:rPr>
        <w:t xml:space="preserve"> за глобалните умения на Coursera 2025</w:t>
      </w:r>
    </w:p>
    <w:p w14:paraId="53C81158" w14:textId="3DA0C7F3" w:rsidR="00AF1519"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sidRPr="00496500">
        <w:rPr>
          <w:rFonts w:ascii="Times New Roman" w:hAnsi="Times New Roman" w:cs="Times New Roman"/>
          <w:b/>
          <w:sz w:val="24"/>
          <w:szCs w:val="24"/>
        </w:rPr>
        <w:t>Национален статистически институт</w:t>
      </w:r>
      <w:r w:rsidRPr="00496500">
        <w:rPr>
          <w:rFonts w:ascii="Times New Roman" w:hAnsi="Times New Roman" w:cs="Times New Roman"/>
          <w:sz w:val="24"/>
          <w:szCs w:val="24"/>
        </w:rPr>
        <w:t xml:space="preserve"> (</w:t>
      </w:r>
      <w:hyperlink r:id="rId58" w:history="1">
        <w:r w:rsidR="005C3AAD" w:rsidRPr="00496500">
          <w:rPr>
            <w:rStyle w:val="Hyperlink"/>
            <w:rFonts w:ascii="Times New Roman" w:hAnsi="Times New Roman" w:cs="Times New Roman"/>
            <w:sz w:val="24"/>
            <w:szCs w:val="24"/>
          </w:rPr>
          <w:t>https://www.nsi.bg/statistical-data/258</w:t>
        </w:r>
      </w:hyperlink>
      <w:r w:rsidR="005C3AAD" w:rsidRPr="00496500">
        <w:rPr>
          <w:rFonts w:ascii="Times New Roman" w:hAnsi="Times New Roman" w:cs="Times New Roman"/>
          <w:sz w:val="24"/>
          <w:szCs w:val="24"/>
        </w:rPr>
        <w:t>)</w:t>
      </w:r>
      <w:r w:rsidR="00904659">
        <w:rPr>
          <w:rFonts w:ascii="Times New Roman" w:hAnsi="Times New Roman" w:cs="Times New Roman"/>
          <w:sz w:val="24"/>
          <w:szCs w:val="24"/>
        </w:rPr>
        <w:t>.</w:t>
      </w:r>
    </w:p>
    <w:p w14:paraId="63E2F47D" w14:textId="0EBDC257" w:rsidR="00667BD8" w:rsidRPr="00496500" w:rsidRDefault="00667BD8" w:rsidP="00667BD8">
      <w:pPr>
        <w:pStyle w:val="ListParagraph"/>
        <w:numPr>
          <w:ilvl w:val="0"/>
          <w:numId w:val="30"/>
        </w:numPr>
        <w:tabs>
          <w:tab w:val="left" w:pos="1134"/>
        </w:tabs>
        <w:spacing w:after="120" w:line="240" w:lineRule="auto"/>
        <w:ind w:hanging="11"/>
        <w:contextualSpacing w:val="0"/>
        <w:jc w:val="both"/>
        <w:rPr>
          <w:rFonts w:ascii="Times New Roman" w:hAnsi="Times New Roman" w:cs="Times New Roman"/>
          <w:sz w:val="24"/>
          <w:szCs w:val="24"/>
        </w:rPr>
      </w:pPr>
      <w:r>
        <w:rPr>
          <w:rFonts w:ascii="Times New Roman" w:hAnsi="Times New Roman" w:cs="Times New Roman"/>
          <w:b/>
          <w:sz w:val="24"/>
          <w:szCs w:val="24"/>
        </w:rPr>
        <w:t xml:space="preserve">Евростат </w:t>
      </w:r>
      <w:r w:rsidRPr="006D7474">
        <w:rPr>
          <w:rFonts w:ascii="Times New Roman" w:hAnsi="Times New Roman" w:cs="Times New Roman"/>
          <w:sz w:val="24"/>
          <w:szCs w:val="24"/>
        </w:rPr>
        <w:t>(</w:t>
      </w:r>
      <w:hyperlink r:id="rId59" w:history="1">
        <w:r w:rsidRPr="006D7474">
          <w:rPr>
            <w:rStyle w:val="Hyperlink"/>
            <w:rFonts w:ascii="Times New Roman" w:hAnsi="Times New Roman" w:cs="Times New Roman"/>
            <w:sz w:val="24"/>
            <w:szCs w:val="24"/>
          </w:rPr>
          <w:t>https://ec.europa.eu/eurostat/web/main/data/database</w:t>
        </w:r>
      </w:hyperlink>
      <w:r>
        <w:rPr>
          <w:rFonts w:ascii="Times New Roman" w:hAnsi="Times New Roman" w:cs="Times New Roman"/>
          <w:b/>
          <w:sz w:val="24"/>
          <w:szCs w:val="24"/>
        </w:rPr>
        <w:t xml:space="preserve">). </w:t>
      </w:r>
    </w:p>
    <w:p w14:paraId="3D4E3562" w14:textId="1A866ED6"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sidRPr="00496500">
        <w:rPr>
          <w:rFonts w:ascii="Times New Roman" w:hAnsi="Times New Roman" w:cs="Times New Roman"/>
          <w:b/>
          <w:sz w:val="24"/>
          <w:szCs w:val="24"/>
        </w:rPr>
        <w:t>Национална програма за развитие „Б</w:t>
      </w:r>
      <w:r w:rsidR="00750E90" w:rsidRPr="00496500">
        <w:rPr>
          <w:rFonts w:ascii="Times New Roman" w:hAnsi="Times New Roman" w:cs="Times New Roman"/>
          <w:b/>
          <w:sz w:val="24"/>
          <w:szCs w:val="24"/>
        </w:rPr>
        <w:t>ългария</w:t>
      </w:r>
      <w:r w:rsidRPr="00496500">
        <w:rPr>
          <w:rFonts w:ascii="Times New Roman" w:hAnsi="Times New Roman" w:cs="Times New Roman"/>
          <w:b/>
          <w:sz w:val="24"/>
          <w:szCs w:val="24"/>
        </w:rPr>
        <w:t xml:space="preserve"> 2030“ </w:t>
      </w:r>
      <w:r w:rsidRPr="00496500">
        <w:rPr>
          <w:rFonts w:ascii="Times New Roman" w:hAnsi="Times New Roman" w:cs="Times New Roman"/>
          <w:sz w:val="24"/>
          <w:szCs w:val="24"/>
        </w:rPr>
        <w:t>(</w:t>
      </w:r>
      <w:hyperlink r:id="rId60" w:history="1">
        <w:r w:rsidRPr="00496500">
          <w:rPr>
            <w:rStyle w:val="Hyperlink"/>
            <w:rFonts w:ascii="Times New Roman" w:hAnsi="Times New Roman" w:cs="Times New Roman"/>
            <w:sz w:val="24"/>
            <w:szCs w:val="24"/>
          </w:rPr>
          <w:t>https://www.strategy.bg/StrategicDocuments/View.aspx?lang=bg-BG&amp;Id=1330</w:t>
        </w:r>
      </w:hyperlink>
      <w:r w:rsidRPr="00496500">
        <w:rPr>
          <w:rFonts w:ascii="Times New Roman" w:hAnsi="Times New Roman" w:cs="Times New Roman"/>
          <w:sz w:val="24"/>
          <w:szCs w:val="24"/>
        </w:rPr>
        <w:t>).</w:t>
      </w:r>
    </w:p>
    <w:p w14:paraId="7C62D753" w14:textId="77777777" w:rsidR="00AF1519" w:rsidRPr="00496500" w:rsidRDefault="00916AE7"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hyperlink r:id="rId61" w:history="1">
        <w:r w:rsidR="00AF1519" w:rsidRPr="00496500">
          <w:rPr>
            <w:rFonts w:ascii="Times New Roman" w:eastAsia="Calibri" w:hAnsi="Times New Roman" w:cs="Times New Roman"/>
            <w:b/>
            <w:sz w:val="24"/>
            <w:szCs w:val="24"/>
          </w:rPr>
          <w:t>Актуализиран Национален стратегически документ „Цифрова трансформация на България за периода 2024 – 2030 г.</w:t>
        </w:r>
      </w:hyperlink>
      <w:r w:rsidR="00AF1519" w:rsidRPr="00496500">
        <w:rPr>
          <w:rFonts w:ascii="Times New Roman" w:eastAsia="Calibri" w:hAnsi="Times New Roman" w:cs="Times New Roman"/>
          <w:b/>
          <w:sz w:val="24"/>
          <w:szCs w:val="24"/>
        </w:rPr>
        <w:t>“ и приложенията към него: Анализ на състоянието на цифровата трансформация и Национална пътна карта за цифрова трансформация до 2030 г.</w:t>
      </w:r>
      <w:r w:rsidR="00AF1519" w:rsidRPr="00496500">
        <w:rPr>
          <w:rFonts w:ascii="Times New Roman" w:eastAsia="Calibri" w:hAnsi="Times New Roman" w:cs="Times New Roman"/>
          <w:sz w:val="24"/>
          <w:szCs w:val="24"/>
        </w:rPr>
        <w:t xml:space="preserve"> (</w:t>
      </w:r>
      <w:hyperlink r:id="rId62" w:history="1">
        <w:r w:rsidR="00AF1519" w:rsidRPr="00496500">
          <w:rPr>
            <w:rStyle w:val="Hyperlink"/>
            <w:rFonts w:ascii="Times New Roman" w:eastAsia="Calibri" w:hAnsi="Times New Roman" w:cs="Times New Roman"/>
            <w:sz w:val="24"/>
            <w:szCs w:val="24"/>
          </w:rPr>
          <w:t>https://egov.government.bg/wps/portal/ministry-meu/strategies-policies/digital.transformation/itis-national-strategic-documents/national.strategic.document.digital.transformation</w:t>
        </w:r>
      </w:hyperlink>
      <w:r w:rsidR="00AF1519" w:rsidRPr="00496500">
        <w:rPr>
          <w:rFonts w:ascii="Times New Roman" w:eastAsia="Calibri" w:hAnsi="Times New Roman" w:cs="Times New Roman"/>
          <w:sz w:val="24"/>
          <w:szCs w:val="24"/>
        </w:rPr>
        <w:t xml:space="preserve">). </w:t>
      </w:r>
    </w:p>
    <w:p w14:paraId="76EB8C7A" w14:textId="77777777" w:rsidR="00AF1519" w:rsidRPr="00496500" w:rsidRDefault="00916AE7"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hyperlink r:id="rId63" w:history="1">
        <w:r w:rsidR="00AF1519" w:rsidRPr="00496500">
          <w:rPr>
            <w:rFonts w:ascii="Times New Roman" w:eastAsia="Calibri" w:hAnsi="Times New Roman" w:cs="Times New Roman"/>
            <w:b/>
            <w:sz w:val="24"/>
            <w:szCs w:val="24"/>
          </w:rPr>
          <w:t>Актуализирана Стратегия за развитие на електронното управление в Република България 2019-2025 г</w:t>
        </w:r>
      </w:hyperlink>
      <w:r w:rsidR="00AF1519" w:rsidRPr="00496500">
        <w:rPr>
          <w:rFonts w:ascii="Times New Roman" w:eastAsia="Calibri" w:hAnsi="Times New Roman" w:cs="Times New Roman"/>
          <w:b/>
          <w:sz w:val="24"/>
          <w:szCs w:val="24"/>
        </w:rPr>
        <w:t>. и Пътна карта за нейното изпълнение за периода 2019-2023 г.</w:t>
      </w:r>
      <w:r w:rsidR="00AF1519" w:rsidRPr="00496500">
        <w:rPr>
          <w:rFonts w:ascii="Times New Roman" w:eastAsia="Calibri" w:hAnsi="Times New Roman" w:cs="Times New Roman"/>
          <w:sz w:val="24"/>
          <w:szCs w:val="24"/>
        </w:rPr>
        <w:t xml:space="preserve"> (</w:t>
      </w:r>
      <w:hyperlink r:id="rId64" w:history="1">
        <w:r w:rsidR="00AF1519" w:rsidRPr="00496500">
          <w:rPr>
            <w:rStyle w:val="Hyperlink"/>
            <w:rFonts w:ascii="Times New Roman" w:eastAsia="Calibri" w:hAnsi="Times New Roman" w:cs="Times New Roman"/>
            <w:sz w:val="24"/>
            <w:szCs w:val="24"/>
          </w:rPr>
          <w:t>https://egov.government.bg/wps/portal/ministry-meu/strategies-policies/strategic-documents</w:t>
        </w:r>
      </w:hyperlink>
      <w:r w:rsidR="00AF1519" w:rsidRPr="00496500">
        <w:rPr>
          <w:rFonts w:ascii="Times New Roman" w:eastAsia="Calibri" w:hAnsi="Times New Roman" w:cs="Times New Roman"/>
          <w:sz w:val="24"/>
          <w:szCs w:val="24"/>
        </w:rPr>
        <w:t xml:space="preserve">). </w:t>
      </w:r>
    </w:p>
    <w:p w14:paraId="457911F1" w14:textId="77777777" w:rsidR="00AF1519" w:rsidRPr="00496500" w:rsidRDefault="00AF1519" w:rsidP="005A1914">
      <w:pPr>
        <w:pStyle w:val="ListParagraph"/>
        <w:numPr>
          <w:ilvl w:val="0"/>
          <w:numId w:val="30"/>
        </w:numPr>
        <w:tabs>
          <w:tab w:val="left" w:pos="1134"/>
        </w:tabs>
        <w:spacing w:after="120" w:line="240" w:lineRule="auto"/>
        <w:ind w:left="1170" w:hanging="461"/>
        <w:contextualSpacing w:val="0"/>
        <w:jc w:val="both"/>
        <w:rPr>
          <w:rFonts w:ascii="Times New Roman" w:hAnsi="Times New Roman" w:cs="Times New Roman"/>
          <w:sz w:val="24"/>
          <w:szCs w:val="24"/>
        </w:rPr>
      </w:pPr>
      <w:r w:rsidRPr="00496500">
        <w:rPr>
          <w:rFonts w:ascii="Times New Roman" w:hAnsi="Times New Roman" w:cs="Times New Roman"/>
          <w:b/>
          <w:sz w:val="24"/>
          <w:szCs w:val="24"/>
        </w:rPr>
        <w:t xml:space="preserve">Национален план за възстановяване и устойчивост </w:t>
      </w:r>
      <w:r w:rsidRPr="00496500">
        <w:rPr>
          <w:rFonts w:ascii="Times New Roman" w:hAnsi="Times New Roman" w:cs="Times New Roman"/>
          <w:sz w:val="24"/>
          <w:szCs w:val="24"/>
        </w:rPr>
        <w:t>(</w:t>
      </w:r>
      <w:hyperlink r:id="rId65" w:history="1">
        <w:r w:rsidRPr="00496500">
          <w:rPr>
            <w:rStyle w:val="Hyperlink"/>
            <w:rFonts w:ascii="Times New Roman" w:hAnsi="Times New Roman" w:cs="Times New Roman"/>
            <w:sz w:val="24"/>
            <w:szCs w:val="24"/>
          </w:rPr>
          <w:t>https://nextgeneration.bg/14</w:t>
        </w:r>
      </w:hyperlink>
      <w:r w:rsidRPr="00496500">
        <w:rPr>
          <w:rFonts w:ascii="Times New Roman" w:hAnsi="Times New Roman" w:cs="Times New Roman"/>
          <w:sz w:val="24"/>
          <w:szCs w:val="24"/>
        </w:rPr>
        <w:t xml:space="preserve">). </w:t>
      </w:r>
    </w:p>
    <w:p w14:paraId="50B21A80" w14:textId="77777777" w:rsidR="00AF1519" w:rsidRPr="00496500" w:rsidRDefault="00916AE7" w:rsidP="005A1914">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hyperlink r:id="rId66" w:history="1">
        <w:r w:rsidR="00AF1519" w:rsidRPr="00496500">
          <w:rPr>
            <w:rFonts w:ascii="Times New Roman" w:eastAsia="Calibri" w:hAnsi="Times New Roman" w:cs="Times New Roman"/>
            <w:b/>
            <w:sz w:val="24"/>
            <w:szCs w:val="24"/>
          </w:rPr>
          <w:t>Актуализиран национален план за широколентова инфраструктура</w:t>
        </w:r>
      </w:hyperlink>
      <w:r w:rsidR="00AF1519" w:rsidRPr="00496500">
        <w:rPr>
          <w:rFonts w:ascii="Times New Roman" w:eastAsia="Calibri" w:hAnsi="Times New Roman" w:cs="Times New Roman"/>
          <w:b/>
          <w:sz w:val="24"/>
          <w:szCs w:val="24"/>
        </w:rPr>
        <w:t xml:space="preserve"> за достъп от следващо поколение „Свързана България“, приета с Решение № 555 на Министерския съвет от 6 август 2020 г. </w:t>
      </w:r>
      <w:r w:rsidR="00AF1519" w:rsidRPr="00496500">
        <w:rPr>
          <w:rFonts w:ascii="Times New Roman" w:eastAsia="Calibri" w:hAnsi="Times New Roman" w:cs="Times New Roman"/>
          <w:sz w:val="24"/>
          <w:szCs w:val="24"/>
        </w:rPr>
        <w:t>(</w:t>
      </w:r>
      <w:hyperlink r:id="rId67" w:history="1">
        <w:r w:rsidR="00AF1519" w:rsidRPr="00496500">
          <w:rPr>
            <w:rStyle w:val="Hyperlink"/>
            <w:rFonts w:ascii="Times New Roman" w:eastAsia="Calibri" w:hAnsi="Times New Roman" w:cs="Times New Roman"/>
            <w:sz w:val="24"/>
            <w:szCs w:val="24"/>
          </w:rPr>
          <w:t>https://www.mtc.government.bg/bg/category/46/prieti-sa-aktualiziran-plan-za-shirokolentova-infrastruktura-svrzana-blgariya-i-aktualizirana-politika-v-oblastta-na-elektronnite-sobscheniya</w:t>
        </w:r>
      </w:hyperlink>
      <w:r w:rsidR="00AF1519" w:rsidRPr="00496500">
        <w:rPr>
          <w:rFonts w:ascii="Times New Roman" w:eastAsia="Calibri" w:hAnsi="Times New Roman" w:cs="Times New Roman"/>
          <w:sz w:val="24"/>
          <w:szCs w:val="24"/>
        </w:rPr>
        <w:t xml:space="preserve">). </w:t>
      </w:r>
    </w:p>
    <w:p w14:paraId="5BAF7312" w14:textId="77777777" w:rsidR="00384E85" w:rsidRPr="00496500" w:rsidRDefault="00210A8E" w:rsidP="004F3673">
      <w:pPr>
        <w:pStyle w:val="ListParagraph"/>
        <w:numPr>
          <w:ilvl w:val="0"/>
          <w:numId w:val="30"/>
        </w:numPr>
        <w:tabs>
          <w:tab w:val="left" w:pos="1134"/>
        </w:tabs>
        <w:spacing w:after="120" w:line="240" w:lineRule="auto"/>
        <w:ind w:left="1170" w:hanging="461"/>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b/>
          <w:sz w:val="24"/>
          <w:szCs w:val="24"/>
        </w:rPr>
        <w:lastRenderedPageBreak/>
        <w:t xml:space="preserve">Доклад за състоянието на администрацията, 2024 г. - </w:t>
      </w:r>
      <w:hyperlink r:id="rId68" w:history="1">
        <w:r w:rsidRPr="00496500">
          <w:rPr>
            <w:rStyle w:val="Hyperlink"/>
            <w:rFonts w:ascii="Times New Roman" w:eastAsia="Calibri" w:hAnsi="Times New Roman" w:cs="Times New Roman"/>
            <w:sz w:val="24"/>
            <w:szCs w:val="24"/>
          </w:rPr>
          <w:t>https://iisda.government.bg/annual_report/664</w:t>
        </w:r>
      </w:hyperlink>
      <w:r w:rsidRPr="00496500">
        <w:rPr>
          <w:rFonts w:ascii="Times New Roman" w:eastAsia="Calibri" w:hAnsi="Times New Roman" w:cs="Times New Roman"/>
          <w:sz w:val="24"/>
          <w:szCs w:val="24"/>
        </w:rPr>
        <w:t xml:space="preserve">. </w:t>
      </w:r>
    </w:p>
    <w:p w14:paraId="74DE59D2" w14:textId="77777777" w:rsidR="003679A6" w:rsidRPr="00496500" w:rsidRDefault="003679A6" w:rsidP="00667BD8">
      <w:pPr>
        <w:pStyle w:val="ListParagraph"/>
        <w:numPr>
          <w:ilvl w:val="0"/>
          <w:numId w:val="30"/>
        </w:numPr>
        <w:tabs>
          <w:tab w:val="left" w:pos="1134"/>
        </w:tabs>
        <w:spacing w:after="120" w:line="240" w:lineRule="auto"/>
        <w:ind w:left="1134" w:hanging="425"/>
        <w:contextualSpacing w:val="0"/>
        <w:jc w:val="both"/>
        <w:rPr>
          <w:rStyle w:val="Hyperlink"/>
          <w:rFonts w:ascii="Times New Roman" w:eastAsia="Calibri" w:hAnsi="Times New Roman" w:cs="Times New Roman"/>
          <w:color w:val="auto"/>
          <w:sz w:val="24"/>
          <w:szCs w:val="24"/>
          <w:u w:val="none"/>
        </w:rPr>
      </w:pPr>
      <w:r w:rsidRPr="00496500">
        <w:rPr>
          <w:rFonts w:ascii="Times New Roman" w:eastAsia="Calibri" w:hAnsi="Times New Roman" w:cs="Times New Roman"/>
          <w:b/>
          <w:sz w:val="24"/>
          <w:szCs w:val="24"/>
        </w:rPr>
        <w:t xml:space="preserve">Отчет за състоянието и годишен план за развитие и обновяване на информационните ресурси в администрацията и информационните ресурси на Единната електронна съобщителна мрежа на държавната администрация и за нуждите на националната сигурност </w:t>
      </w:r>
      <w:r w:rsidR="00C5332C" w:rsidRPr="00496500">
        <w:rPr>
          <w:rFonts w:ascii="Times New Roman" w:eastAsia="Calibri" w:hAnsi="Times New Roman" w:cs="Times New Roman"/>
          <w:b/>
          <w:sz w:val="24"/>
          <w:szCs w:val="24"/>
        </w:rPr>
        <w:t xml:space="preserve">за 2024 г. - </w:t>
      </w:r>
      <w:hyperlink r:id="rId69" w:history="1">
        <w:r w:rsidR="001A70A5" w:rsidRPr="00496500">
          <w:rPr>
            <w:rStyle w:val="Hyperlink"/>
            <w:rFonts w:ascii="Times New Roman" w:hAnsi="Times New Roman" w:cs="Times New Roman"/>
            <w:sz w:val="24"/>
            <w:szCs w:val="24"/>
          </w:rPr>
          <w:t>https://egov.government.bg/wps/portal/ministry-meu/ministry/ministry-report/ministry-report_filelist/20250428-reportir</w:t>
        </w:r>
      </w:hyperlink>
      <w:r w:rsidR="001A70A5" w:rsidRPr="00496500">
        <w:rPr>
          <w:rStyle w:val="Hyperlink"/>
          <w:rFonts w:ascii="Times New Roman" w:hAnsi="Times New Roman" w:cs="Times New Roman"/>
          <w:sz w:val="24"/>
          <w:szCs w:val="24"/>
        </w:rPr>
        <w:t>.</w:t>
      </w:r>
    </w:p>
    <w:p w14:paraId="1128B6CB" w14:textId="77777777" w:rsidR="001A70A5" w:rsidRPr="00496500" w:rsidRDefault="001A70A5" w:rsidP="00667BD8">
      <w:pPr>
        <w:pStyle w:val="ListParagraph"/>
        <w:numPr>
          <w:ilvl w:val="0"/>
          <w:numId w:val="30"/>
        </w:numPr>
        <w:tabs>
          <w:tab w:val="left" w:pos="1134"/>
        </w:tabs>
        <w:spacing w:after="120" w:line="240" w:lineRule="auto"/>
        <w:ind w:left="1134" w:hanging="425"/>
        <w:contextualSpacing w:val="0"/>
        <w:jc w:val="both"/>
        <w:rPr>
          <w:rFonts w:ascii="Times New Roman" w:eastAsia="Calibri" w:hAnsi="Times New Roman" w:cs="Times New Roman"/>
          <w:sz w:val="24"/>
          <w:szCs w:val="24"/>
        </w:rPr>
      </w:pPr>
      <w:r w:rsidRPr="00496500">
        <w:rPr>
          <w:rFonts w:ascii="Times New Roman" w:eastAsia="Calibri" w:hAnsi="Times New Roman" w:cs="Times New Roman"/>
          <w:b/>
          <w:sz w:val="24"/>
          <w:szCs w:val="24"/>
        </w:rPr>
        <w:t>Национална стратегия за електронно здравеопазване и дигитализация на здравната система (до 2030 г.)</w:t>
      </w:r>
      <w:r w:rsidRPr="00496500">
        <w:rPr>
          <w:rFonts w:ascii="Times New Roman" w:eastAsia="Calibri" w:hAnsi="Times New Roman" w:cs="Times New Roman"/>
          <w:sz w:val="24"/>
          <w:szCs w:val="24"/>
        </w:rPr>
        <w:t xml:space="preserve"> - </w:t>
      </w:r>
      <w:hyperlink r:id="rId70" w:history="1">
        <w:r w:rsidRPr="00496500">
          <w:rPr>
            <w:rStyle w:val="Hyperlink"/>
            <w:rFonts w:ascii="Times New Roman" w:eastAsia="Calibri" w:hAnsi="Times New Roman" w:cs="Times New Roman"/>
            <w:sz w:val="24"/>
            <w:szCs w:val="24"/>
          </w:rPr>
          <w:t>https://www.mh.government.bg/bg/politiki/strategii-i-kontseptsii/strategii</w:t>
        </w:r>
      </w:hyperlink>
      <w:r w:rsidRPr="00496500">
        <w:rPr>
          <w:rFonts w:ascii="Times New Roman" w:eastAsia="Calibri" w:hAnsi="Times New Roman" w:cs="Times New Roman"/>
          <w:sz w:val="24"/>
          <w:szCs w:val="24"/>
        </w:rPr>
        <w:t xml:space="preserve">. </w:t>
      </w:r>
    </w:p>
    <w:p w14:paraId="61F933A1" w14:textId="77777777" w:rsidR="004D0F6F" w:rsidRPr="00496500" w:rsidRDefault="004D0F6F" w:rsidP="00667BD8">
      <w:pPr>
        <w:pStyle w:val="ListParagraph"/>
        <w:numPr>
          <w:ilvl w:val="0"/>
          <w:numId w:val="30"/>
        </w:numPr>
        <w:tabs>
          <w:tab w:val="left" w:pos="1134"/>
        </w:tabs>
        <w:spacing w:after="120" w:line="240" w:lineRule="auto"/>
        <w:ind w:left="1134" w:hanging="425"/>
        <w:contextualSpacing w:val="0"/>
        <w:jc w:val="both"/>
        <w:rPr>
          <w:rFonts w:ascii="Times New Roman" w:eastAsia="Calibri" w:hAnsi="Times New Roman" w:cs="Times New Roman"/>
          <w:b/>
          <w:sz w:val="24"/>
          <w:szCs w:val="24"/>
        </w:rPr>
      </w:pPr>
      <w:r w:rsidRPr="00496500">
        <w:rPr>
          <w:rFonts w:ascii="Times New Roman" w:eastAsia="Calibri" w:hAnsi="Times New Roman" w:cs="Times New Roman"/>
          <w:b/>
          <w:sz w:val="24"/>
          <w:szCs w:val="24"/>
        </w:rPr>
        <w:t xml:space="preserve">Годишен отчет за дейността на НАП за </w:t>
      </w:r>
      <w:r w:rsidRPr="00496500">
        <w:rPr>
          <w:rFonts w:ascii="Times New Roman" w:eastAsia="Calibri" w:hAnsi="Times New Roman" w:cs="Times New Roman"/>
          <w:sz w:val="24"/>
          <w:szCs w:val="24"/>
        </w:rPr>
        <w:t xml:space="preserve">2024 г. - </w:t>
      </w:r>
      <w:hyperlink r:id="rId71" w:history="1">
        <w:r w:rsidRPr="00496500">
          <w:rPr>
            <w:rStyle w:val="Hyperlink"/>
            <w:rFonts w:ascii="Times New Roman" w:eastAsia="Calibri" w:hAnsi="Times New Roman" w:cs="Times New Roman"/>
            <w:sz w:val="24"/>
            <w:szCs w:val="24"/>
          </w:rPr>
          <w:t>https://nra.bg/wps/portal/nra/za-nap/osnovni-dokumenti/Godishni-otcheti-za-deynostta-na-NAP</w:t>
        </w:r>
      </w:hyperlink>
      <w:r w:rsidRPr="00496500">
        <w:rPr>
          <w:rFonts w:ascii="Times New Roman" w:eastAsia="Calibri" w:hAnsi="Times New Roman" w:cs="Times New Roman"/>
          <w:sz w:val="24"/>
          <w:szCs w:val="24"/>
        </w:rPr>
        <w:t>.</w:t>
      </w:r>
      <w:r w:rsidRPr="00496500">
        <w:rPr>
          <w:rFonts w:ascii="Times New Roman" w:eastAsia="Calibri" w:hAnsi="Times New Roman" w:cs="Times New Roman"/>
          <w:b/>
          <w:sz w:val="24"/>
          <w:szCs w:val="24"/>
        </w:rPr>
        <w:t xml:space="preserve"> </w:t>
      </w:r>
    </w:p>
    <w:p w14:paraId="3293C14D" w14:textId="10845F8E" w:rsidR="00667BD8" w:rsidRPr="000D053D" w:rsidRDefault="00E96F27" w:rsidP="006D7474">
      <w:pPr>
        <w:pStyle w:val="ListParagraph"/>
        <w:numPr>
          <w:ilvl w:val="0"/>
          <w:numId w:val="30"/>
        </w:numPr>
        <w:tabs>
          <w:tab w:val="left" w:pos="1134"/>
        </w:tabs>
        <w:spacing w:after="120" w:line="240" w:lineRule="auto"/>
        <w:ind w:left="1134" w:hanging="425"/>
        <w:contextualSpacing w:val="0"/>
        <w:jc w:val="both"/>
        <w:rPr>
          <w:rFonts w:ascii="Times New Roman" w:eastAsia="Calibri" w:hAnsi="Times New Roman" w:cs="Times New Roman"/>
          <w:b/>
          <w:sz w:val="24"/>
          <w:szCs w:val="24"/>
        </w:rPr>
      </w:pPr>
      <w:r w:rsidRPr="00496500">
        <w:rPr>
          <w:rFonts w:ascii="Times New Roman" w:hAnsi="Times New Roman"/>
          <w:sz w:val="24"/>
          <w:szCs w:val="24"/>
        </w:rPr>
        <w:t xml:space="preserve">Доклад за България за 2024 г., придружаващ Препоръка на Съвета относно икономическата, социалната, трудовата, структурната и бюджетната политика на България - </w:t>
      </w:r>
      <w:hyperlink r:id="rId72" w:history="1">
        <w:r w:rsidRPr="00496500">
          <w:rPr>
            <w:rStyle w:val="Hyperlink"/>
            <w:rFonts w:ascii="Times New Roman" w:hAnsi="Times New Roman"/>
            <w:sz w:val="24"/>
            <w:szCs w:val="24"/>
          </w:rPr>
          <w:t>https://www.minfin.bg/upload/60144/Country+report+Bulgaria+2024.pdf</w:t>
        </w:r>
      </w:hyperlink>
      <w:r w:rsidRPr="00496500">
        <w:rPr>
          <w:rFonts w:ascii="Times New Roman" w:hAnsi="Times New Roman"/>
          <w:sz w:val="24"/>
          <w:szCs w:val="24"/>
        </w:rPr>
        <w:t>.</w:t>
      </w:r>
    </w:p>
    <w:sectPr w:rsidR="00667BD8" w:rsidRPr="000D053D" w:rsidSect="001C0068">
      <w:pgSz w:w="11906" w:h="16838" w:code="9"/>
      <w:pgMar w:top="1238" w:right="1022" w:bottom="1138" w:left="1526" w:header="706" w:footer="51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97CFD" w16cex:dateUtc="2025-09-16T11:10:00Z"/>
  <w16cex:commentExtensible w16cex:durableId="6BFCF5E3" w16cex:dateUtc="2025-09-16T12:26:00Z"/>
  <w16cex:commentExtensible w16cex:durableId="777EC1BE" w16cex:dateUtc="2025-09-16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4176F" w16cid:durableId="7D9F0F3F"/>
  <w16cid:commentId w16cid:paraId="6F93E70C" w16cid:durableId="4F7BD1EF"/>
  <w16cid:commentId w16cid:paraId="18139C97" w16cid:durableId="09D7BA5E"/>
  <w16cid:commentId w16cid:paraId="24D0ABDD" w16cid:durableId="4F497CFD"/>
  <w16cid:commentId w16cid:paraId="436B0F9E" w16cid:durableId="3C51ECCB"/>
  <w16cid:commentId w16cid:paraId="7D42F42A" w16cid:durableId="5A4C2CC1"/>
  <w16cid:commentId w16cid:paraId="22658EB4" w16cid:durableId="4B90AC2B"/>
  <w16cid:commentId w16cid:paraId="2D20463D" w16cid:durableId="7F3EAA37"/>
  <w16cid:commentId w16cid:paraId="4A336A80" w16cid:durableId="6EE1D7FB"/>
  <w16cid:commentId w16cid:paraId="31899042" w16cid:durableId="52F56814"/>
  <w16cid:commentId w16cid:paraId="1F1BE1A4" w16cid:durableId="6BFCF5E3"/>
  <w16cid:commentId w16cid:paraId="05701311" w16cid:durableId="51240A37"/>
  <w16cid:commentId w16cid:paraId="3798138C" w16cid:durableId="5A8A7089"/>
  <w16cid:commentId w16cid:paraId="6032A751" w16cid:durableId="040060A6"/>
  <w16cid:commentId w16cid:paraId="1249B6E1" w16cid:durableId="477FDE7B"/>
  <w16cid:commentId w16cid:paraId="30F99128" w16cid:durableId="040B085B"/>
  <w16cid:commentId w16cid:paraId="714286F1" w16cid:durableId="7007B215"/>
  <w16cid:commentId w16cid:paraId="203FBC78" w16cid:durableId="2469F65C"/>
  <w16cid:commentId w16cid:paraId="482E173E" w16cid:durableId="1BED1518"/>
  <w16cid:commentId w16cid:paraId="2B3E8296" w16cid:durableId="0F95AB01"/>
  <w16cid:commentId w16cid:paraId="18247EE6" w16cid:durableId="409C900F"/>
  <w16cid:commentId w16cid:paraId="4B24FF31" w16cid:durableId="1AD960A5"/>
  <w16cid:commentId w16cid:paraId="5D036442" w16cid:durableId="777EC1BE"/>
  <w16cid:commentId w16cid:paraId="655ED922" w16cid:durableId="29DBEB4E"/>
  <w16cid:commentId w16cid:paraId="02BCE17F" w16cid:durableId="49886A66"/>
  <w16cid:commentId w16cid:paraId="23236715" w16cid:durableId="433F9FF0"/>
  <w16cid:commentId w16cid:paraId="20364EF9" w16cid:durableId="57D8E133"/>
  <w16cid:commentId w16cid:paraId="5E8075BB" w16cid:durableId="37A8418A"/>
  <w16cid:commentId w16cid:paraId="01316785" w16cid:durableId="532FF6F5"/>
  <w16cid:commentId w16cid:paraId="5F5D11F6" w16cid:durableId="7DA57935"/>
  <w16cid:commentId w16cid:paraId="1086F080" w16cid:durableId="7E6E325E"/>
  <w16cid:commentId w16cid:paraId="23C50D2F" w16cid:durableId="7242B425"/>
  <w16cid:commentId w16cid:paraId="59977DC5" w16cid:durableId="60833A69"/>
  <w16cid:commentId w16cid:paraId="23C0C32A" w16cid:durableId="15AF7F54"/>
  <w16cid:commentId w16cid:paraId="350BD882" w16cid:durableId="6E8DDA64"/>
  <w16cid:commentId w16cid:paraId="227DBA30" w16cid:durableId="24B39FFF"/>
  <w16cid:commentId w16cid:paraId="5CBB91D5" w16cid:durableId="5D3BB94C"/>
  <w16cid:commentId w16cid:paraId="22D68F98" w16cid:durableId="06FD966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0269D" w14:textId="77777777" w:rsidR="00916AE7" w:rsidRDefault="00916AE7" w:rsidP="00187752">
      <w:pPr>
        <w:spacing w:after="0" w:line="240" w:lineRule="auto"/>
      </w:pPr>
      <w:r>
        <w:separator/>
      </w:r>
    </w:p>
  </w:endnote>
  <w:endnote w:type="continuationSeparator" w:id="0">
    <w:p w14:paraId="13348407" w14:textId="77777777" w:rsidR="00916AE7" w:rsidRDefault="00916AE7" w:rsidP="0018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92246203"/>
      <w:docPartObj>
        <w:docPartGallery w:val="Page Numbers (Bottom of Page)"/>
        <w:docPartUnique/>
      </w:docPartObj>
    </w:sdtPr>
    <w:sdtEndPr/>
    <w:sdtContent>
      <w:sdt>
        <w:sdtPr>
          <w:rPr>
            <w:rFonts w:ascii="Times New Roman" w:hAnsi="Times New Roman" w:cs="Times New Roman"/>
          </w:rPr>
          <w:id w:val="-1413537817"/>
          <w:docPartObj>
            <w:docPartGallery w:val="Page Numbers (Top of Page)"/>
            <w:docPartUnique/>
          </w:docPartObj>
        </w:sdtPr>
        <w:sdtEndPr/>
        <w:sdtContent>
          <w:p w14:paraId="14E39637" w14:textId="58A22BFF" w:rsidR="00053929" w:rsidRPr="00982A51" w:rsidRDefault="00053929" w:rsidP="00982A51">
            <w:pPr>
              <w:pStyle w:val="Footer"/>
              <w:jc w:val="right"/>
              <w:rPr>
                <w:rFonts w:ascii="Times New Roman" w:hAnsi="Times New Roman" w:cs="Times New Roman"/>
              </w:rPr>
            </w:pPr>
            <w:r w:rsidRPr="00982A51">
              <w:rPr>
                <w:rFonts w:ascii="Times New Roman" w:hAnsi="Times New Roman" w:cs="Times New Roman"/>
              </w:rPr>
              <w:t xml:space="preserve">Стр. </w:t>
            </w:r>
            <w:r w:rsidRPr="00982A51">
              <w:rPr>
                <w:rFonts w:ascii="Times New Roman" w:hAnsi="Times New Roman" w:cs="Times New Roman"/>
                <w:b/>
                <w:bCs/>
              </w:rPr>
              <w:fldChar w:fldCharType="begin"/>
            </w:r>
            <w:r w:rsidRPr="00982A51">
              <w:rPr>
                <w:rFonts w:ascii="Times New Roman" w:hAnsi="Times New Roman" w:cs="Times New Roman"/>
                <w:b/>
                <w:bCs/>
              </w:rPr>
              <w:instrText xml:space="preserve"> PAGE </w:instrText>
            </w:r>
            <w:r w:rsidRPr="00982A51">
              <w:rPr>
                <w:rFonts w:ascii="Times New Roman" w:hAnsi="Times New Roman" w:cs="Times New Roman"/>
                <w:b/>
                <w:bCs/>
              </w:rPr>
              <w:fldChar w:fldCharType="separate"/>
            </w:r>
            <w:r w:rsidR="00EF6F40">
              <w:rPr>
                <w:rFonts w:ascii="Times New Roman" w:hAnsi="Times New Roman" w:cs="Times New Roman"/>
                <w:b/>
                <w:bCs/>
                <w:noProof/>
              </w:rPr>
              <w:t>8</w:t>
            </w:r>
            <w:r w:rsidRPr="00982A51">
              <w:rPr>
                <w:rFonts w:ascii="Times New Roman" w:hAnsi="Times New Roman" w:cs="Times New Roman"/>
                <w:b/>
                <w:bCs/>
              </w:rPr>
              <w:fldChar w:fldCharType="end"/>
            </w:r>
            <w:r w:rsidRPr="00982A51">
              <w:rPr>
                <w:rFonts w:ascii="Times New Roman" w:hAnsi="Times New Roman" w:cs="Times New Roman"/>
              </w:rPr>
              <w:t xml:space="preserve"> от </w:t>
            </w:r>
            <w:r w:rsidRPr="00982A51">
              <w:rPr>
                <w:rFonts w:ascii="Times New Roman" w:hAnsi="Times New Roman" w:cs="Times New Roman"/>
                <w:b/>
                <w:bCs/>
              </w:rPr>
              <w:fldChar w:fldCharType="begin"/>
            </w:r>
            <w:r w:rsidRPr="00982A51">
              <w:rPr>
                <w:rFonts w:ascii="Times New Roman" w:hAnsi="Times New Roman" w:cs="Times New Roman"/>
                <w:b/>
                <w:bCs/>
              </w:rPr>
              <w:instrText xml:space="preserve"> NUMPAGES  </w:instrText>
            </w:r>
            <w:r w:rsidRPr="00982A51">
              <w:rPr>
                <w:rFonts w:ascii="Times New Roman" w:hAnsi="Times New Roman" w:cs="Times New Roman"/>
                <w:b/>
                <w:bCs/>
              </w:rPr>
              <w:fldChar w:fldCharType="separate"/>
            </w:r>
            <w:r w:rsidR="00EF6F40">
              <w:rPr>
                <w:rFonts w:ascii="Times New Roman" w:hAnsi="Times New Roman" w:cs="Times New Roman"/>
                <w:b/>
                <w:bCs/>
                <w:noProof/>
              </w:rPr>
              <w:t>71</w:t>
            </w:r>
            <w:r w:rsidRPr="00982A51">
              <w:rPr>
                <w:rFonts w:ascii="Times New Roman" w:hAnsi="Times New Roman" w:cs="Times New Roman"/>
                <w:b/>
                <w:bCs/>
              </w:rPr>
              <w:fldChar w:fldCharType="end"/>
            </w:r>
          </w:p>
        </w:sdtContent>
      </w:sdt>
    </w:sdtContent>
  </w:sdt>
  <w:p w14:paraId="7A0681E3" w14:textId="77777777" w:rsidR="00053929" w:rsidRDefault="000539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53F7" w14:textId="77777777" w:rsidR="00916AE7" w:rsidRDefault="00916AE7" w:rsidP="00187752">
      <w:pPr>
        <w:spacing w:after="0" w:line="240" w:lineRule="auto"/>
      </w:pPr>
      <w:r>
        <w:separator/>
      </w:r>
    </w:p>
  </w:footnote>
  <w:footnote w:type="continuationSeparator" w:id="0">
    <w:p w14:paraId="54B026D3" w14:textId="77777777" w:rsidR="00916AE7" w:rsidRDefault="00916AE7" w:rsidP="00187752">
      <w:pPr>
        <w:spacing w:after="0" w:line="240" w:lineRule="auto"/>
      </w:pPr>
      <w:r>
        <w:continuationSeparator/>
      </w:r>
    </w:p>
  </w:footnote>
  <w:footnote w:id="1">
    <w:p w14:paraId="4424E2C4" w14:textId="2732838D" w:rsidR="00053929" w:rsidRPr="00765780" w:rsidRDefault="00053929" w:rsidP="009F7486">
      <w:pPr>
        <w:pStyle w:val="Default"/>
        <w:rPr>
          <w:sz w:val="20"/>
          <w:szCs w:val="20"/>
        </w:rPr>
      </w:pPr>
      <w:r w:rsidRPr="00765780">
        <w:rPr>
          <w:rStyle w:val="FootnoteReference"/>
          <w:sz w:val="20"/>
          <w:szCs w:val="20"/>
        </w:rPr>
        <w:footnoteRef/>
      </w:r>
      <w:r w:rsidRPr="00765780">
        <w:rPr>
          <w:sz w:val="20"/>
          <w:szCs w:val="20"/>
        </w:rPr>
        <w:t xml:space="preserve"> </w:t>
      </w:r>
      <w:r w:rsidRPr="00DC1DC3">
        <w:rPr>
          <w:sz w:val="20"/>
          <w:szCs w:val="20"/>
          <w:lang w:val="bg-BG"/>
        </w:rPr>
        <w:t>Специално проучване на Евробарометър за Цифровото десетилетие, в началото на 2025 г.</w:t>
      </w:r>
      <w:r>
        <w:rPr>
          <w:sz w:val="20"/>
          <w:szCs w:val="20"/>
          <w:lang w:val="bg-BG"/>
        </w:rPr>
        <w:t xml:space="preserve"> - </w:t>
      </w:r>
      <w:r w:rsidRPr="00765780">
        <w:rPr>
          <w:sz w:val="20"/>
          <w:szCs w:val="20"/>
        </w:rPr>
        <w:t>SWD (2025) 294 final Digital Decade 2025 country reports</w:t>
      </w:r>
    </w:p>
  </w:footnote>
  <w:footnote w:id="2">
    <w:p w14:paraId="561C54FD" w14:textId="68FDF7D0" w:rsidR="00053929" w:rsidRPr="00765780" w:rsidRDefault="00053929" w:rsidP="00B964CC">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С Решение № 33 на Министерския съвет от 20 януари 2020 г. са одобрени Визия, цели и приоритети на НПР България 2030. Детайлизираната версия на НПР България 2030 е одобрена с Протокол № 67 на Министерския съвет от 2 декември 2020 г.</w:t>
      </w:r>
    </w:p>
  </w:footnote>
  <w:footnote w:id="3">
    <w:p w14:paraId="17F55B4F" w14:textId="118C04EE" w:rsidR="00053929" w:rsidRPr="00765780" w:rsidRDefault="00053929" w:rsidP="0016182E">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1" w:history="1">
        <w:r w:rsidRPr="001B1301">
          <w:rPr>
            <w:rStyle w:val="Hyperlink"/>
            <w:rFonts w:ascii="Times New Roman" w:hAnsi="Times New Roman" w:cs="Times New Roman"/>
          </w:rPr>
          <w:t>https://commission.europa.eu/strategy-and-policy/priorities-2019-2024/europe-fit-digital-age/europes-digital-decade-digital-targets-2030_en</w:t>
        </w:r>
      </w:hyperlink>
      <w:r>
        <w:rPr>
          <w:rFonts w:ascii="Times New Roman" w:hAnsi="Times New Roman" w:cs="Times New Roman"/>
        </w:rPr>
        <w:t xml:space="preserve"> </w:t>
      </w:r>
    </w:p>
  </w:footnote>
  <w:footnote w:id="4">
    <w:p w14:paraId="0E03EED1" w14:textId="52705656" w:rsidR="00053929" w:rsidRPr="006D7474" w:rsidRDefault="00053929">
      <w:pPr>
        <w:pStyle w:val="FootnoteText"/>
        <w:rPr>
          <w:rFonts w:ascii="Times New Roman" w:hAnsi="Times New Roman" w:cs="Times New Roman"/>
        </w:rPr>
      </w:pPr>
      <w:r>
        <w:rPr>
          <w:rStyle w:val="FootnoteReference"/>
        </w:rPr>
        <w:footnoteRef/>
      </w:r>
      <w:r>
        <w:t xml:space="preserve"> </w:t>
      </w:r>
      <w:r w:rsidRPr="006D7474">
        <w:rPr>
          <w:rFonts w:ascii="Times New Roman" w:hAnsi="Times New Roman" w:cs="Times New Roman"/>
        </w:rPr>
        <w:t>https://documents1.worldbank.org/curated/en/266341631189498407/pdf/e-Government-in-Bulgaria-The-Journey-to-2020-and-the-Future-Ahead.pdf</w:t>
      </w:r>
    </w:p>
  </w:footnote>
  <w:footnote w:id="5">
    <w:p w14:paraId="3ABCA0AB" w14:textId="339ED28D" w:rsidR="00053929" w:rsidRPr="004C5C5B" w:rsidRDefault="00053929" w:rsidP="000E2768">
      <w:pPr>
        <w:pStyle w:val="FootnoteText"/>
        <w:rPr>
          <w:rFonts w:ascii="Times New Roman" w:hAnsi="Times New Roman" w:cs="Times New Roman"/>
        </w:rPr>
      </w:pPr>
      <w:r w:rsidRPr="008410BE">
        <w:rPr>
          <w:rStyle w:val="FootnoteReference"/>
          <w:rFonts w:ascii="Times New Roman" w:hAnsi="Times New Roman" w:cs="Times New Roman"/>
        </w:rPr>
        <w:footnoteRef/>
      </w:r>
      <w:r w:rsidRPr="001D6711">
        <w:rPr>
          <w:rFonts w:ascii="Times New Roman" w:hAnsi="Times New Roman" w:cs="Times New Roman"/>
        </w:rPr>
        <w:t xml:space="preserve"> </w:t>
      </w:r>
      <w:hyperlink r:id="rId2" w:history="1">
        <w:r w:rsidRPr="008410BE">
          <w:rPr>
            <w:rStyle w:val="Hyperlink"/>
            <w:rFonts w:ascii="Times New Roman" w:hAnsi="Times New Roman" w:cs="Times New Roman"/>
          </w:rPr>
          <w:t>https://digital-strategy.ec.europa.eu/en/library/state-digital-decade-2025-report</w:t>
        </w:r>
      </w:hyperlink>
      <w:r>
        <w:rPr>
          <w:rFonts w:ascii="Times New Roman" w:hAnsi="Times New Roman" w:cs="Times New Roman"/>
        </w:rPr>
        <w:t xml:space="preserve"> </w:t>
      </w:r>
    </w:p>
  </w:footnote>
  <w:footnote w:id="6">
    <w:p w14:paraId="716C9816" w14:textId="77777777" w:rsidR="00053929" w:rsidRPr="004C5C5B" w:rsidRDefault="00053929" w:rsidP="00B312C2">
      <w:pPr>
        <w:pStyle w:val="FootnoteText"/>
        <w:spacing w:after="60"/>
        <w:jc w:val="both"/>
        <w:rPr>
          <w:rFonts w:ascii="Times New Roman" w:hAnsi="Times New Roman" w:cs="Times New Roman"/>
        </w:rPr>
      </w:pPr>
      <w:r w:rsidRPr="004C5C5B">
        <w:rPr>
          <w:rStyle w:val="FootnoteReference"/>
          <w:rFonts w:ascii="Times New Roman" w:hAnsi="Times New Roman" w:cs="Times New Roman"/>
        </w:rPr>
        <w:footnoteRef/>
      </w:r>
      <w:r w:rsidRPr="004C5C5B">
        <w:rPr>
          <w:rFonts w:ascii="Times New Roman" w:hAnsi="Times New Roman" w:cs="Times New Roman"/>
        </w:rPr>
        <w:t xml:space="preserve"> </w:t>
      </w:r>
      <w:r w:rsidRPr="009F6CD7">
        <w:rPr>
          <w:rFonts w:ascii="Times New Roman" w:hAnsi="Times New Roman" w:cs="Times New Roman"/>
        </w:rPr>
        <w:t xml:space="preserve">Доклад за България за 2024 г., придружаващ Препоръка на Съвета относно икономическата, социалната, трудовата, структурната и бюджетната политика на България - </w:t>
      </w:r>
      <w:hyperlink r:id="rId3" w:history="1">
        <w:r w:rsidRPr="009F6CD7">
          <w:rPr>
            <w:rStyle w:val="Hyperlink"/>
            <w:rFonts w:ascii="Times New Roman" w:hAnsi="Times New Roman" w:cs="Times New Roman"/>
          </w:rPr>
          <w:t>https://www.minfin.bg/upload/60144/Country+report+Bulgaria+2024.pdf</w:t>
        </w:r>
      </w:hyperlink>
      <w:r w:rsidRPr="009F6CD7">
        <w:rPr>
          <w:rFonts w:ascii="Times New Roman" w:hAnsi="Times New Roman" w:cs="Times New Roman"/>
        </w:rPr>
        <w:t>.</w:t>
      </w:r>
    </w:p>
  </w:footnote>
  <w:footnote w:id="7">
    <w:p w14:paraId="796DB5D4" w14:textId="7A6A4312" w:rsidR="00053929" w:rsidRPr="00765780" w:rsidRDefault="00053929">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4" w:history="1">
        <w:r w:rsidRPr="00D47E67">
          <w:rPr>
            <w:rStyle w:val="Hyperlink"/>
            <w:rFonts w:ascii="Times New Roman" w:hAnsi="Times New Roman" w:cs="Times New Roman"/>
          </w:rPr>
          <w:t>https://www.oecd.org/en/about/programmes/pisa.html</w:t>
        </w:r>
      </w:hyperlink>
      <w:r>
        <w:rPr>
          <w:rFonts w:ascii="Times New Roman" w:hAnsi="Times New Roman" w:cs="Times New Roman"/>
        </w:rPr>
        <w:t xml:space="preserve"> </w:t>
      </w:r>
    </w:p>
  </w:footnote>
  <w:footnote w:id="8">
    <w:p w14:paraId="00E57849" w14:textId="77777777" w:rsidR="00053929" w:rsidRPr="00765780" w:rsidRDefault="00053929" w:rsidP="00DA57E3">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Закон за електронното управление</w:t>
      </w:r>
    </w:p>
  </w:footnote>
  <w:footnote w:id="9">
    <w:p w14:paraId="7E443C24" w14:textId="77777777" w:rsidR="00053929" w:rsidRPr="00765780" w:rsidRDefault="00053929" w:rsidP="00DA57E3">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Национална стратегия за електронно здравеопазване и дигитализация на здравната система 2030 г.</w:t>
      </w:r>
    </w:p>
  </w:footnote>
  <w:footnote w:id="10">
    <w:p w14:paraId="1AC4370E" w14:textId="77777777" w:rsidR="00053929" w:rsidRPr="00765780" w:rsidRDefault="00053929" w:rsidP="00DA57E3">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r w:rsidRPr="00765780">
        <w:rPr>
          <w:rFonts w:ascii="Times New Roman" w:hAnsi="Times New Roman" w:cs="Times New Roman"/>
          <w:color w:val="000000"/>
          <w:lang w:eastAsia="bg-BG"/>
        </w:rPr>
        <w:t>Регламент (ЕС) 2022/868 на Европейския парламент и на Съвета от 30 май 2022 година относно европейска рамка за управление на данните и за изменение на Регламент (ЕС) 2018/1724</w:t>
      </w:r>
    </w:p>
  </w:footnote>
  <w:footnote w:id="11">
    <w:p w14:paraId="7480CA68" w14:textId="77777777" w:rsidR="00053929" w:rsidRPr="00C418E8" w:rsidRDefault="00053929" w:rsidP="00DA57E3">
      <w:pPr>
        <w:pStyle w:val="FootnoteText"/>
        <w:rPr>
          <w:rFonts w:ascii="Times New Roman" w:hAnsi="Times New Roman" w:cs="Times New Roman"/>
        </w:rPr>
      </w:pPr>
      <w:r w:rsidRPr="00C418E8">
        <w:rPr>
          <w:rStyle w:val="FootnoteReference"/>
          <w:rFonts w:ascii="Times New Roman" w:hAnsi="Times New Roman" w:cs="Times New Roman"/>
        </w:rPr>
        <w:footnoteRef/>
      </w:r>
      <w:r w:rsidRPr="00C418E8">
        <w:rPr>
          <w:rFonts w:ascii="Times New Roman" w:hAnsi="Times New Roman" w:cs="Times New Roman"/>
        </w:rPr>
        <w:t xml:space="preserve"> </w:t>
      </w:r>
      <w:r w:rsidRPr="00C418E8">
        <w:rPr>
          <w:rFonts w:ascii="Times New Roman" w:hAnsi="Times New Roman" w:cs="Times New Roman"/>
          <w:color w:val="000000"/>
          <w:lang w:eastAsia="bg-BG"/>
        </w:rPr>
        <w:t>Актуализиран с Регламент (ЕС) 2024/1183</w:t>
      </w:r>
    </w:p>
  </w:footnote>
  <w:footnote w:id="12">
    <w:p w14:paraId="0BE1EC13" w14:textId="77777777" w:rsidR="00053929" w:rsidRPr="00C418E8" w:rsidRDefault="00053929">
      <w:pPr>
        <w:pStyle w:val="FootnoteText"/>
        <w:rPr>
          <w:rFonts w:ascii="Times New Roman" w:hAnsi="Times New Roman" w:cs="Times New Roman"/>
        </w:rPr>
      </w:pPr>
      <w:r w:rsidRPr="00C418E8">
        <w:rPr>
          <w:rStyle w:val="FootnoteReference"/>
          <w:rFonts w:ascii="Times New Roman" w:hAnsi="Times New Roman" w:cs="Times New Roman"/>
        </w:rPr>
        <w:footnoteRef/>
      </w:r>
      <w:r w:rsidRPr="00C418E8">
        <w:rPr>
          <w:rFonts w:ascii="Times New Roman" w:hAnsi="Times New Roman" w:cs="Times New Roman"/>
        </w:rPr>
        <w:t xml:space="preserve"> https://publicadministration.un.org/egovkb/en-us/</w:t>
      </w:r>
    </w:p>
  </w:footnote>
  <w:footnote w:id="13">
    <w:p w14:paraId="752A44C7" w14:textId="77777777" w:rsidR="00053929" w:rsidRPr="00C418E8" w:rsidRDefault="00053929">
      <w:pPr>
        <w:pStyle w:val="FootnoteText"/>
        <w:rPr>
          <w:rFonts w:ascii="Times New Roman" w:hAnsi="Times New Roman" w:cs="Times New Roman"/>
        </w:rPr>
      </w:pPr>
      <w:r w:rsidRPr="00C418E8">
        <w:rPr>
          <w:rStyle w:val="FootnoteReference"/>
          <w:rFonts w:ascii="Times New Roman" w:hAnsi="Times New Roman" w:cs="Times New Roman"/>
        </w:rPr>
        <w:footnoteRef/>
      </w:r>
      <w:r w:rsidRPr="00C418E8">
        <w:rPr>
          <w:rFonts w:ascii="Times New Roman" w:hAnsi="Times New Roman" w:cs="Times New Roman"/>
        </w:rPr>
        <w:t xml:space="preserve"> Показателят „Широколентова достъпност“ е нов, въведен за наблюдение и оценка от 2024 г.</w:t>
      </w:r>
    </w:p>
  </w:footnote>
  <w:footnote w:id="14">
    <w:p w14:paraId="719D891D" w14:textId="77777777" w:rsidR="00053929" w:rsidRPr="00C418E8" w:rsidRDefault="00053929">
      <w:pPr>
        <w:pStyle w:val="FootnoteText"/>
        <w:rPr>
          <w:rFonts w:ascii="Times New Roman" w:hAnsi="Times New Roman" w:cs="Times New Roman"/>
        </w:rPr>
      </w:pPr>
      <w:r w:rsidRPr="00C418E8">
        <w:rPr>
          <w:rStyle w:val="FootnoteReference"/>
          <w:rFonts w:ascii="Times New Roman" w:hAnsi="Times New Roman" w:cs="Times New Roman"/>
        </w:rPr>
        <w:footnoteRef/>
      </w:r>
      <w:r w:rsidRPr="00C418E8">
        <w:rPr>
          <w:rFonts w:ascii="Times New Roman" w:hAnsi="Times New Roman" w:cs="Times New Roman"/>
        </w:rPr>
        <w:t xml:space="preserve"> Този показател е нов, въведен за наблюдение и оценка от 2024 г.</w:t>
      </w:r>
    </w:p>
  </w:footnote>
  <w:footnote w:id="15">
    <w:p w14:paraId="43A2236F" w14:textId="4940B9AE" w:rsidR="00053929" w:rsidRPr="00765780" w:rsidRDefault="00053929">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5" w:history="1">
        <w:r w:rsidRPr="001B1301">
          <w:rPr>
            <w:rStyle w:val="Hyperlink"/>
            <w:rFonts w:ascii="Times New Roman" w:hAnsi="Times New Roman" w:cs="Times New Roman"/>
          </w:rPr>
          <w:t>https://networkreadinessindex.org/</w:t>
        </w:r>
      </w:hyperlink>
      <w:r>
        <w:rPr>
          <w:rFonts w:ascii="Times New Roman" w:hAnsi="Times New Roman" w:cs="Times New Roman"/>
        </w:rPr>
        <w:t xml:space="preserve"> </w:t>
      </w:r>
    </w:p>
  </w:footnote>
  <w:footnote w:id="16">
    <w:p w14:paraId="3E362394" w14:textId="77777777" w:rsidR="00053929" w:rsidRPr="00765780" w:rsidRDefault="00053929" w:rsidP="00F4234A">
      <w:pPr>
        <w:pStyle w:val="FootnoteText"/>
        <w:rPr>
          <w:rFonts w:ascii="Times New Roman" w:hAnsi="Times New Roman" w:cs="Times New Roman"/>
        </w:rPr>
      </w:pPr>
      <w:r w:rsidRPr="00DF4B7C">
        <w:rPr>
          <w:rStyle w:val="FootnoteReference"/>
          <w:rFonts w:ascii="Times New Roman" w:hAnsi="Times New Roman" w:cs="Times New Roman"/>
          <w:sz w:val="18"/>
          <w:szCs w:val="18"/>
        </w:rPr>
        <w:footnoteRef/>
      </w:r>
      <w:r w:rsidRPr="00765780">
        <w:rPr>
          <w:rFonts w:ascii="Times New Roman" w:hAnsi="Times New Roman" w:cs="Times New Roman"/>
        </w:rPr>
        <w:t xml:space="preserve"> </w:t>
      </w:r>
      <w:hyperlink r:id="rId6" w:history="1">
        <w:r w:rsidRPr="00765780">
          <w:rPr>
            <w:rStyle w:val="Hyperlink"/>
            <w:rFonts w:ascii="Times New Roman" w:hAnsi="Times New Roman" w:cs="Times New Roman"/>
          </w:rPr>
          <w:t>https://digital-strategy.ec.europa.eu/en/library/state-digital-decade-2025-report</w:t>
        </w:r>
      </w:hyperlink>
      <w:r w:rsidRPr="00765780">
        <w:rPr>
          <w:rFonts w:ascii="Times New Roman" w:hAnsi="Times New Roman" w:cs="Times New Roman"/>
        </w:rPr>
        <w:t xml:space="preserve"> </w:t>
      </w:r>
    </w:p>
  </w:footnote>
  <w:footnote w:id="17">
    <w:p w14:paraId="23B269DE" w14:textId="7FA1BB13" w:rsidR="00053929" w:rsidRPr="00765780" w:rsidRDefault="00053929">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Секторна стратегия за развитие на електронното управление в Министерство на външните работи „Е-външна политика, консулски услуги и българска диаспора 2021-2025“</w:t>
      </w:r>
    </w:p>
  </w:footnote>
  <w:footnote w:id="18">
    <w:p w14:paraId="3DFFBED4" w14:textId="77777777" w:rsidR="00053929" w:rsidRPr="00765780" w:rsidRDefault="00053929" w:rsidP="009E15C5">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Доклад за състоянието на администрацията, 2024 г.</w:t>
      </w:r>
    </w:p>
  </w:footnote>
  <w:footnote w:id="19">
    <w:p w14:paraId="4C472395" w14:textId="723213C2" w:rsidR="00053929" w:rsidRPr="00765780" w:rsidRDefault="00053929">
      <w:pPr>
        <w:pStyle w:val="FootnoteText"/>
        <w:rPr>
          <w:rFonts w:ascii="Times New Roman" w:hAnsi="Times New Roman" w:cs="Times New Roman"/>
        </w:rPr>
      </w:pPr>
      <w:r>
        <w:rPr>
          <w:rStyle w:val="FootnoteReference"/>
        </w:rPr>
        <w:footnoteRef/>
      </w:r>
      <w:r>
        <w:t xml:space="preserve"> </w:t>
      </w:r>
      <w:r w:rsidRPr="00765780">
        <w:rPr>
          <w:rFonts w:ascii="Times New Roman" w:hAnsi="Times New Roman" w:cs="Times New Roman"/>
        </w:rPr>
        <w:t>Портал на електронното управление (egov.bg), Система за електронна автентикация (е-Автентикация), Система за електронно плащане (е-Плащане), Система за проверка валидността на персонален цифров сертификат (е-Валидиране), Система за управление на електронни форми (е-Форми), Система за сигурно електронно връчване (ССЕВ, е-Връчване)</w:t>
      </w:r>
    </w:p>
  </w:footnote>
  <w:footnote w:id="20">
    <w:p w14:paraId="1748B198" w14:textId="77777777" w:rsidR="00053929" w:rsidRPr="00765780" w:rsidRDefault="00053929" w:rsidP="00F778AC">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https://egov.bg/wps/portal/egov/statistika</w:t>
      </w:r>
    </w:p>
  </w:footnote>
  <w:footnote w:id="21">
    <w:p w14:paraId="5AD1E13E" w14:textId="77777777" w:rsidR="00053929" w:rsidRPr="00765780" w:rsidRDefault="00053929" w:rsidP="00D03C4C">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На електронен адрес: https://info-regix.egov.bg/public са публикувани данните за присъединените регистри и операциите за достъп до тях, както и статистическа и справочна информация за използването на системата.</w:t>
      </w:r>
    </w:p>
  </w:footnote>
  <w:footnote w:id="22">
    <w:p w14:paraId="40BAFD3C" w14:textId="77777777" w:rsidR="00053929" w:rsidRPr="00765780" w:rsidRDefault="00053929">
      <w:pPr>
        <w:pStyle w:val="FootnoteText"/>
        <w:rPr>
          <w:rFonts w:ascii="Times New Roman" w:hAnsi="Times New Roman" w:cs="Times New Roman"/>
        </w:rPr>
      </w:pPr>
      <w:r w:rsidRPr="00765780">
        <w:rPr>
          <w:rFonts w:ascii="Times New Roman" w:hAnsi="Times New Roman" w:cs="Times New Roman"/>
          <w:vertAlign w:val="superscript"/>
        </w:rPr>
        <w:footnoteRef/>
      </w:r>
      <w:r w:rsidRPr="00765780">
        <w:rPr>
          <w:rFonts w:ascii="Times New Roman" w:hAnsi="Times New Roman" w:cs="Times New Roman"/>
          <w:vertAlign w:val="superscript"/>
        </w:rPr>
        <w:t xml:space="preserve"> </w:t>
      </w:r>
      <w:r w:rsidRPr="00765780">
        <w:rPr>
          <w:rFonts w:ascii="Times New Roman" w:hAnsi="Times New Roman" w:cs="Times New Roman"/>
        </w:rPr>
        <w:t>Мярка 3 от цел „Хоризонтално развитие на електронното управление“, приоритет „Модернизация на страната чрез развитие на електронното управление“ на Програма за управление на Република България 2025 – 2029 г.</w:t>
      </w:r>
    </w:p>
  </w:footnote>
  <w:footnote w:id="23">
    <w:p w14:paraId="6091CE59" w14:textId="77777777" w:rsidR="00053929" w:rsidRPr="00765780" w:rsidRDefault="00053929" w:rsidP="00430F04">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https://nra.bg/wps/portal/nra/za-nap/osnovni-dokumenti/Godisni-dokladi-za-ocenka-na-udovletvorenostta</w:t>
      </w:r>
    </w:p>
  </w:footnote>
  <w:footnote w:id="24">
    <w:p w14:paraId="54A60738" w14:textId="77777777" w:rsidR="00053929" w:rsidRPr="00765780" w:rsidRDefault="00053929" w:rsidP="00C67AF7">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7" w:history="1">
        <w:r w:rsidRPr="00765780">
          <w:rPr>
            <w:rStyle w:val="Hyperlink"/>
            <w:rFonts w:ascii="Times New Roman" w:hAnsi="Times New Roman" w:cs="Times New Roman"/>
          </w:rPr>
          <w:t>https://www.archives.government.bg/daa_projects-513-19-%D0%9F%D1%80%D0%BE%D0%B5%D0%BA%D1%82%20%E2%80%9E%D0%A0%D0%B0%D0%B7%D1%80%D0%B0%D0%B1%D0%BE%D1%82%D0%BA%D0%B0%20%D0%B8%20%D0%B2%D0%BD%D0%B5%D0%B4%D1%80%D1%8F%D0%B2%D0%B0%D0%BD%D0%B5%20%D0%BD%D0%B0%20%D1%81%D0%B8%D1%81%D1%82%D0%B5%D0%BC%D0%B0%20%D0%B7%D0%B0%20%D0%B5%D0%BB%D0%B5%D0%BA%D1%82%D1%80%D0%BE</w:t>
        </w:r>
      </w:hyperlink>
    </w:p>
    <w:p w14:paraId="006FD5DA" w14:textId="77777777" w:rsidR="00053929" w:rsidRPr="00765780" w:rsidRDefault="00053929" w:rsidP="00C67AF7">
      <w:pPr>
        <w:pStyle w:val="FootnoteText"/>
        <w:rPr>
          <w:rFonts w:ascii="Times New Roman" w:hAnsi="Times New Roman" w:cs="Times New Roman"/>
        </w:rPr>
      </w:pPr>
    </w:p>
  </w:footnote>
  <w:footnote w:id="25">
    <w:p w14:paraId="5D6BABE3" w14:textId="77777777" w:rsidR="00053929" w:rsidRPr="009F6CD7" w:rsidRDefault="00053929" w:rsidP="007C212A">
      <w:pPr>
        <w:spacing w:after="0" w:line="240" w:lineRule="auto"/>
        <w:rPr>
          <w:rFonts w:ascii="Times New Roman" w:hAnsi="Times New Roman" w:cs="Times New Roman"/>
          <w:sz w:val="20"/>
          <w:szCs w:val="20"/>
        </w:rPr>
      </w:pPr>
      <w:r w:rsidRPr="009F6CD7">
        <w:rPr>
          <w:rStyle w:val="FootnoteReference"/>
          <w:rFonts w:ascii="Times New Roman" w:hAnsi="Times New Roman" w:cs="Times New Roman"/>
          <w:sz w:val="20"/>
          <w:szCs w:val="20"/>
        </w:rPr>
        <w:footnoteRef/>
      </w:r>
      <w:r w:rsidRPr="009F6CD7">
        <w:rPr>
          <w:rFonts w:ascii="Times New Roman" w:hAnsi="Times New Roman" w:cs="Times New Roman"/>
          <w:sz w:val="20"/>
          <w:szCs w:val="20"/>
        </w:rPr>
        <w:t xml:space="preserve"> </w:t>
      </w:r>
      <w:hyperlink r:id="rId8" w:history="1">
        <w:r w:rsidRPr="009F6CD7">
          <w:rPr>
            <w:rStyle w:val="Hyperlink"/>
            <w:rFonts w:ascii="Times New Roman" w:hAnsi="Times New Roman" w:cs="Times New Roman"/>
            <w:sz w:val="20"/>
            <w:szCs w:val="20"/>
          </w:rPr>
          <w:t>[isoc_sk_dskl_i21] Individuals' level of digital skills (from 2021 onwards)</w:t>
        </w:r>
      </w:hyperlink>
    </w:p>
    <w:p w14:paraId="06AE1D4E" w14:textId="77777777" w:rsidR="00053929" w:rsidRPr="00765780" w:rsidRDefault="00053929" w:rsidP="008C7D4F">
      <w:pPr>
        <w:pStyle w:val="FootnoteText"/>
        <w:rPr>
          <w:rFonts w:ascii="Times New Roman" w:hAnsi="Times New Roman" w:cs="Times New Roman"/>
        </w:rPr>
      </w:pPr>
    </w:p>
  </w:footnote>
  <w:footnote w:id="26">
    <w:p w14:paraId="60A6DF3F" w14:textId="77777777" w:rsidR="00053929" w:rsidRPr="00765780" w:rsidRDefault="00053929" w:rsidP="00591396">
      <w:pPr>
        <w:pStyle w:val="FootnoteText"/>
        <w:ind w:right="-944"/>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lang w:val="en-US"/>
        </w:rPr>
        <w:t xml:space="preserve"> </w:t>
      </w:r>
      <w:r w:rsidRPr="00765780">
        <w:rPr>
          <w:rFonts w:ascii="Times New Roman" w:hAnsi="Times New Roman" w:cs="Times New Roman"/>
        </w:rPr>
        <w:t xml:space="preserve"> </w:t>
      </w:r>
      <w:hyperlink r:id="rId9" w:history="1">
        <w:r w:rsidRPr="009F6CD7">
          <w:rPr>
            <w:rStyle w:val="Hyperlink"/>
            <w:rFonts w:ascii="Times New Roman" w:hAnsi="Times New Roman" w:cs="Times New Roman"/>
          </w:rPr>
          <w:t>[isoc_sk_dskl_i21] Individuals' level of digital skills (from 2021 onwards)</w:t>
        </w:r>
      </w:hyperlink>
    </w:p>
  </w:footnote>
  <w:footnote w:id="27">
    <w:p w14:paraId="7CCF70A4" w14:textId="77777777" w:rsidR="00053929" w:rsidRPr="00765780" w:rsidRDefault="00053929" w:rsidP="00591396">
      <w:pPr>
        <w:pStyle w:val="FootnoteText"/>
        <w:rPr>
          <w:rFonts w:ascii="Times New Roman" w:hAnsi="Times New Roman" w:cs="Times New Roman"/>
          <w:lang w:val="ru-RU"/>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Показателят се измерва през 2 години</w:t>
      </w:r>
    </w:p>
  </w:footnote>
  <w:footnote w:id="28">
    <w:p w14:paraId="3D212DFA" w14:textId="77777777" w:rsidR="00053929" w:rsidRPr="00765780" w:rsidRDefault="00053929" w:rsidP="00591396">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Показателят се измерва през 2 години</w:t>
      </w:r>
    </w:p>
  </w:footnote>
  <w:footnote w:id="29">
    <w:p w14:paraId="3CEDA6F6" w14:textId="77777777" w:rsidR="00053929" w:rsidRPr="00765780" w:rsidRDefault="00053929" w:rsidP="00F948B8">
      <w:pPr>
        <w:pStyle w:val="FootnoteText"/>
        <w:ind w:right="2"/>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10" w:history="1">
        <w:r w:rsidRPr="00765780">
          <w:rPr>
            <w:rStyle w:val="Hyperlink"/>
            <w:rFonts w:ascii="Times New Roman" w:hAnsi="Times New Roman" w:cs="Times New Roman"/>
          </w:rPr>
          <w:t>https://digital-decade-desi.digital-strategy.ec.europa.eu/datasets/desi/charts/compare-countries-progress?period=desi_2024&amp;indicator=desi_dsk_bab&amp;breakdown=ind_total&amp;unit=pc_ind&amp;country=AT,BE,BG,HR,CY,CZ,DK,EE,EU,FI,FR,DE,EL,HU,IE,IT,LV,LT,LU,MT,NL,PL,PT,RO,SK,SI,ES,SE</w:t>
        </w:r>
      </w:hyperlink>
      <w:r w:rsidRPr="00765780">
        <w:rPr>
          <w:rFonts w:ascii="Times New Roman" w:hAnsi="Times New Roman" w:cs="Times New Roman"/>
        </w:rPr>
        <w:t xml:space="preserve"> </w:t>
      </w:r>
    </w:p>
  </w:footnote>
  <w:footnote w:id="30">
    <w:p w14:paraId="042B0EBA" w14:textId="77777777" w:rsidR="00053929" w:rsidRPr="00765780" w:rsidRDefault="00053929" w:rsidP="00F948B8">
      <w:pPr>
        <w:pStyle w:val="FootnoteText"/>
        <w:ind w:right="2"/>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Този показател се измерва веднъж на две години, т.е. следващите данни ще бъдат за 2025 г. и ще бъдат публикувани 2026 г.</w:t>
      </w:r>
    </w:p>
  </w:footnote>
  <w:footnote w:id="31">
    <w:p w14:paraId="02E0A381" w14:textId="77777777" w:rsidR="00053929" w:rsidRPr="00765780" w:rsidRDefault="00053929" w:rsidP="00591396">
      <w:pPr>
        <w:pStyle w:val="FootnoteText"/>
        <w:ind w:right="-722"/>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11"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rPr>
          <w:t>://</w:t>
        </w:r>
        <w:r w:rsidRPr="00765780">
          <w:rPr>
            <w:rStyle w:val="Hyperlink"/>
            <w:rFonts w:ascii="Times New Roman" w:hAnsi="Times New Roman" w:cs="Times New Roman"/>
            <w:lang w:val="en-US"/>
          </w:rPr>
          <w:t>infostat</w:t>
        </w:r>
        <w:r w:rsidRPr="00765780">
          <w:rPr>
            <w:rStyle w:val="Hyperlink"/>
            <w:rFonts w:ascii="Times New Roman" w:hAnsi="Times New Roman" w:cs="Times New Roman"/>
          </w:rPr>
          <w:t>.</w:t>
        </w:r>
        <w:r w:rsidRPr="00765780">
          <w:rPr>
            <w:rStyle w:val="Hyperlink"/>
            <w:rFonts w:ascii="Times New Roman" w:hAnsi="Times New Roman" w:cs="Times New Roman"/>
            <w:lang w:val="en-US"/>
          </w:rPr>
          <w:t>nsi</w:t>
        </w:r>
        <w:r w:rsidRPr="00765780">
          <w:rPr>
            <w:rStyle w:val="Hyperlink"/>
            <w:rFonts w:ascii="Times New Roman" w:hAnsi="Times New Roman" w:cs="Times New Roman"/>
          </w:rPr>
          <w:t>.</w:t>
        </w:r>
        <w:r w:rsidRPr="00765780">
          <w:rPr>
            <w:rStyle w:val="Hyperlink"/>
            <w:rFonts w:ascii="Times New Roman" w:hAnsi="Times New Roman" w:cs="Times New Roman"/>
            <w:lang w:val="en-US"/>
          </w:rPr>
          <w:t>bg</w:t>
        </w:r>
        <w:r w:rsidRPr="00765780">
          <w:rPr>
            <w:rStyle w:val="Hyperlink"/>
            <w:rFonts w:ascii="Times New Roman" w:hAnsi="Times New Roman" w:cs="Times New Roman"/>
          </w:rPr>
          <w:t>/</w:t>
        </w:r>
        <w:r w:rsidRPr="00765780">
          <w:rPr>
            <w:rStyle w:val="Hyperlink"/>
            <w:rFonts w:ascii="Times New Roman" w:hAnsi="Times New Roman" w:cs="Times New Roman"/>
            <w:lang w:val="en-US"/>
          </w:rPr>
          <w:t>infostat</w:t>
        </w:r>
        <w:r w:rsidRPr="00765780">
          <w:rPr>
            <w:rStyle w:val="Hyperlink"/>
            <w:rFonts w:ascii="Times New Roman" w:hAnsi="Times New Roman" w:cs="Times New Roman"/>
          </w:rPr>
          <w:t>/</w:t>
        </w:r>
        <w:r w:rsidRPr="00765780">
          <w:rPr>
            <w:rStyle w:val="Hyperlink"/>
            <w:rFonts w:ascii="Times New Roman" w:hAnsi="Times New Roman" w:cs="Times New Roman"/>
            <w:lang w:val="en-US"/>
          </w:rPr>
          <w:t>pages</w:t>
        </w:r>
        <w:r w:rsidRPr="00765780">
          <w:rPr>
            <w:rStyle w:val="Hyperlink"/>
            <w:rFonts w:ascii="Times New Roman" w:hAnsi="Times New Roman" w:cs="Times New Roman"/>
          </w:rPr>
          <w:t>/</w:t>
        </w:r>
        <w:r w:rsidRPr="00765780">
          <w:rPr>
            <w:rStyle w:val="Hyperlink"/>
            <w:rFonts w:ascii="Times New Roman" w:hAnsi="Times New Roman" w:cs="Times New Roman"/>
            <w:lang w:val="en-US"/>
          </w:rPr>
          <w:t>reports</w:t>
        </w:r>
        <w:r w:rsidRPr="00765780">
          <w:rPr>
            <w:rStyle w:val="Hyperlink"/>
            <w:rFonts w:ascii="Times New Roman" w:hAnsi="Times New Roman" w:cs="Times New Roman"/>
          </w:rPr>
          <w:t>/</w:t>
        </w:r>
        <w:r w:rsidRPr="00765780">
          <w:rPr>
            <w:rStyle w:val="Hyperlink"/>
            <w:rFonts w:ascii="Times New Roman" w:hAnsi="Times New Roman" w:cs="Times New Roman"/>
            <w:lang w:val="en-US"/>
          </w:rPr>
          <w:t>query</w:t>
        </w:r>
        <w:r w:rsidRPr="00765780">
          <w:rPr>
            <w:rStyle w:val="Hyperlink"/>
            <w:rFonts w:ascii="Times New Roman" w:hAnsi="Times New Roman" w:cs="Times New Roman"/>
          </w:rPr>
          <w:t>.</w:t>
        </w:r>
        <w:r w:rsidRPr="00765780">
          <w:rPr>
            <w:rStyle w:val="Hyperlink"/>
            <w:rFonts w:ascii="Times New Roman" w:hAnsi="Times New Roman" w:cs="Times New Roman"/>
            <w:lang w:val="en-US"/>
          </w:rPr>
          <w:t>jsf</w:t>
        </w:r>
        <w:r w:rsidRPr="00765780">
          <w:rPr>
            <w:rStyle w:val="Hyperlink"/>
            <w:rFonts w:ascii="Times New Roman" w:hAnsi="Times New Roman" w:cs="Times New Roman"/>
          </w:rPr>
          <w:t>?</w:t>
        </w:r>
        <w:r w:rsidRPr="00765780">
          <w:rPr>
            <w:rStyle w:val="Hyperlink"/>
            <w:rFonts w:ascii="Times New Roman" w:hAnsi="Times New Roman" w:cs="Times New Roman"/>
            <w:lang w:val="en-US"/>
          </w:rPr>
          <w:t>x</w:t>
        </w:r>
        <w:r w:rsidRPr="00765780">
          <w:rPr>
            <w:rStyle w:val="Hyperlink"/>
            <w:rFonts w:ascii="Times New Roman" w:hAnsi="Times New Roman" w:cs="Times New Roman"/>
          </w:rPr>
          <w:t>_2=2209</w:t>
        </w:r>
      </w:hyperlink>
    </w:p>
  </w:footnote>
  <w:footnote w:id="32">
    <w:p w14:paraId="7EED4C99" w14:textId="77777777" w:rsidR="00053929" w:rsidRPr="00765780" w:rsidRDefault="00053929" w:rsidP="00591396">
      <w:pPr>
        <w:pStyle w:val="FootnoteText"/>
        <w:ind w:right="-674"/>
        <w:jc w:val="both"/>
        <w:rPr>
          <w:rFonts w:ascii="Times New Roman" w:hAnsi="Times New Roman" w:cs="Times New Roman"/>
        </w:rPr>
      </w:pPr>
      <w:r w:rsidRPr="00765780">
        <w:rPr>
          <w:rStyle w:val="FootnoteReference"/>
          <w:rFonts w:ascii="Times New Roman" w:hAnsi="Times New Roman" w:cs="Times New Roman"/>
        </w:rPr>
        <w:footnoteRef/>
      </w:r>
      <w:r w:rsidRPr="009F6CD7">
        <w:rPr>
          <w:rFonts w:ascii="Times New Roman" w:hAnsi="Times New Roman" w:cs="Times New Roman"/>
        </w:rPr>
        <w:t>isoc_ske_ittn2] Enterprises that provided training to develop/upgrade ICT skills of their personnel by NACE Rev.2</w:t>
      </w:r>
      <w:r w:rsidRPr="00765780">
        <w:rPr>
          <w:rFonts w:ascii="Times New Roman" w:hAnsi="Times New Roman" w:cs="Times New Roman"/>
        </w:rPr>
        <w:t xml:space="preserve"> </w:t>
      </w:r>
      <w:r w:rsidRPr="009F6CD7">
        <w:rPr>
          <w:rFonts w:ascii="Times New Roman" w:hAnsi="Times New Roman" w:cs="Times New Roman"/>
        </w:rPr>
        <w:t>activity</w:t>
      </w:r>
    </w:p>
  </w:footnote>
  <w:footnote w:id="33">
    <w:p w14:paraId="70A08763" w14:textId="77777777" w:rsidR="00053929" w:rsidRPr="00765780" w:rsidRDefault="00053929" w:rsidP="00591396">
      <w:pPr>
        <w:pStyle w:val="FootnoteText"/>
        <w:ind w:right="-674"/>
        <w:jc w:val="both"/>
        <w:rPr>
          <w:rFonts w:ascii="Times New Roman" w:hAnsi="Times New Roman" w:cs="Times New Roman"/>
        </w:rPr>
      </w:pPr>
      <w:r w:rsidRPr="00765780">
        <w:rPr>
          <w:rStyle w:val="FootnoteReference"/>
          <w:rFonts w:ascii="Times New Roman" w:hAnsi="Times New Roman" w:cs="Times New Roman"/>
        </w:rPr>
        <w:footnoteRef/>
      </w:r>
      <w:hyperlink r:id="rId12" w:history="1">
        <w:r w:rsidRPr="00765780">
          <w:rPr>
            <w:rStyle w:val="Hyperlink"/>
            <w:rFonts w:ascii="Times New Roman" w:hAnsi="Times New Roman" w:cs="Times New Roman"/>
          </w:rPr>
          <w:t>https://ec.europa.eu/eurostat/databrowser/view/isoc_ske_itspen2/default/table?lang=en&amp;category=isoc.isoc_sk.isoc_sks.isoc_ske</w:t>
        </w:r>
      </w:hyperlink>
      <w:r w:rsidRPr="00765780">
        <w:rPr>
          <w:rFonts w:ascii="Times New Roman" w:hAnsi="Times New Roman" w:cs="Times New Roman"/>
        </w:rPr>
        <w:t xml:space="preserve"> </w:t>
      </w:r>
    </w:p>
  </w:footnote>
  <w:footnote w:id="34">
    <w:p w14:paraId="5976D0D5" w14:textId="77777777" w:rsidR="00053929" w:rsidRPr="00765780" w:rsidRDefault="00053929" w:rsidP="00591396">
      <w:pPr>
        <w:pStyle w:val="FootnoteText"/>
        <w:ind w:right="-674"/>
        <w:rPr>
          <w:rFonts w:ascii="Times New Roman" w:hAnsi="Times New Roman" w:cs="Times New Roman"/>
        </w:rPr>
      </w:pPr>
      <w:r w:rsidRPr="00765780">
        <w:rPr>
          <w:rStyle w:val="FootnoteReference"/>
          <w:rFonts w:ascii="Times New Roman" w:hAnsi="Times New Roman" w:cs="Times New Roman"/>
        </w:rPr>
        <w:footnoteRef/>
      </w:r>
      <w:hyperlink r:id="rId13" w:history="1">
        <w:r w:rsidRPr="00765780">
          <w:rPr>
            <w:rStyle w:val="Hyperlink"/>
            <w:rFonts w:ascii="Times New Roman" w:hAnsi="Times New Roman" w:cs="Times New Roman"/>
          </w:rPr>
          <w:t>[isoc_ske_ittn2] Enterprises that provided training to develop/upgrade ICT skills of their personnel by NACE Rev.2 activity</w:t>
        </w:r>
      </w:hyperlink>
      <w:r w:rsidRPr="00765780">
        <w:rPr>
          <w:rFonts w:ascii="Times New Roman" w:hAnsi="Times New Roman" w:cs="Times New Roman"/>
        </w:rPr>
        <w:t xml:space="preserve"> </w:t>
      </w:r>
    </w:p>
  </w:footnote>
  <w:footnote w:id="35">
    <w:p w14:paraId="3E365C90" w14:textId="77777777" w:rsidR="00053929" w:rsidRPr="00765780" w:rsidRDefault="00053929" w:rsidP="00591396">
      <w:pPr>
        <w:pStyle w:val="FootnoteText"/>
        <w:ind w:right="-674"/>
        <w:rPr>
          <w:rFonts w:ascii="Times New Roman" w:hAnsi="Times New Roman" w:cs="Times New Roman"/>
        </w:rPr>
      </w:pPr>
      <w:r w:rsidRPr="00765780">
        <w:rPr>
          <w:rStyle w:val="FootnoteReference"/>
          <w:rFonts w:ascii="Times New Roman" w:hAnsi="Times New Roman" w:cs="Times New Roman"/>
        </w:rPr>
        <w:footnoteRef/>
      </w:r>
      <w:hyperlink r:id="rId14" w:history="1">
        <w:r w:rsidRPr="00765780">
          <w:rPr>
            <w:rStyle w:val="Hyperlink"/>
            <w:rFonts w:ascii="Times New Roman" w:hAnsi="Times New Roman" w:cs="Times New Roman"/>
          </w:rPr>
          <w:t>https://ec.europa.eu/eurostat/databrowser/view/ISOC_SKE_ITTN2__custom_6504358/default/table?lang=en</w:t>
        </w:r>
      </w:hyperlink>
      <w:r w:rsidRPr="00765780">
        <w:rPr>
          <w:rFonts w:ascii="Times New Roman" w:hAnsi="Times New Roman" w:cs="Times New Roman"/>
        </w:rPr>
        <w:t xml:space="preserve"> </w:t>
      </w:r>
    </w:p>
  </w:footnote>
  <w:footnote w:id="36">
    <w:p w14:paraId="4689CA57" w14:textId="77777777" w:rsidR="00053929" w:rsidRPr="00765780" w:rsidRDefault="00053929" w:rsidP="00591396">
      <w:pPr>
        <w:pStyle w:val="FootnoteText"/>
        <w:ind w:right="-674"/>
        <w:rPr>
          <w:rFonts w:ascii="Times New Roman" w:hAnsi="Times New Roman" w:cs="Times New Roman"/>
        </w:rPr>
      </w:pPr>
      <w:r w:rsidRPr="00765780">
        <w:rPr>
          <w:rStyle w:val="FootnoteReference"/>
          <w:rFonts w:ascii="Times New Roman" w:hAnsi="Times New Roman" w:cs="Times New Roman"/>
        </w:rPr>
        <w:footnoteRef/>
      </w:r>
      <w:hyperlink r:id="rId15" w:history="1">
        <w:r w:rsidRPr="00765780">
          <w:rPr>
            <w:rStyle w:val="Hyperlink"/>
            <w:rFonts w:ascii="Times New Roman" w:hAnsi="Times New Roman" w:cs="Times New Roman"/>
          </w:rPr>
          <w:t>https://ec.europa.eu/eurostat/databrowser/view/isoc_ski_itemp/default/bar?lang=en&amp;category=isoc.isoc_sk.isoc_skt.isoc_skt_</w:t>
        </w:r>
      </w:hyperlink>
      <w:r w:rsidRPr="00765780">
        <w:rPr>
          <w:rFonts w:ascii="Times New Roman" w:hAnsi="Times New Roman" w:cs="Times New Roman"/>
        </w:rPr>
        <w:t xml:space="preserve"> </w:t>
      </w:r>
    </w:p>
  </w:footnote>
  <w:footnote w:id="37">
    <w:p w14:paraId="2F245721" w14:textId="77777777" w:rsidR="00053929" w:rsidRPr="00765780" w:rsidRDefault="00053929" w:rsidP="00591396">
      <w:pPr>
        <w:pStyle w:val="FootnoteText"/>
        <w:ind w:right="-674"/>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16" w:history="1">
        <w:r w:rsidRPr="00765780">
          <w:rPr>
            <w:rStyle w:val="Hyperlink"/>
            <w:rFonts w:ascii="Times New Roman" w:hAnsi="Times New Roman" w:cs="Times New Roman"/>
          </w:rPr>
          <w:t>https://www.insead.edu/faculty-research/research/gtci</w:t>
        </w:r>
      </w:hyperlink>
      <w:r w:rsidRPr="00765780">
        <w:rPr>
          <w:rFonts w:ascii="Times New Roman" w:hAnsi="Times New Roman" w:cs="Times New Roman"/>
        </w:rPr>
        <w:t xml:space="preserve"> </w:t>
      </w:r>
    </w:p>
  </w:footnote>
  <w:footnote w:id="38">
    <w:p w14:paraId="202F5991" w14:textId="77777777" w:rsidR="00053929" w:rsidRPr="00765780" w:rsidRDefault="00053929" w:rsidP="00591396">
      <w:pPr>
        <w:pStyle w:val="FootnoteText"/>
        <w:ind w:right="-674"/>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Годишен доклад, базиран на проучване, който измерва способността на страната да привлича и развива таланти</w:t>
      </w:r>
    </w:p>
  </w:footnote>
  <w:footnote w:id="39">
    <w:p w14:paraId="538BDB94" w14:textId="77777777" w:rsidR="00053929" w:rsidRPr="00765780" w:rsidRDefault="00053929" w:rsidP="00591396">
      <w:pPr>
        <w:pStyle w:val="NormalWeb"/>
        <w:spacing w:before="0" w:beforeAutospacing="0" w:after="0" w:afterAutospacing="0"/>
        <w:ind w:right="-764"/>
        <w:jc w:val="both"/>
        <w:rPr>
          <w:sz w:val="20"/>
          <w:szCs w:val="20"/>
          <w:lang w:val="ru-RU"/>
        </w:rPr>
      </w:pPr>
      <w:r w:rsidRPr="00765780">
        <w:rPr>
          <w:rStyle w:val="FootnoteReference"/>
          <w:sz w:val="20"/>
          <w:szCs w:val="20"/>
        </w:rPr>
        <w:footnoteRef/>
      </w:r>
      <w:r w:rsidRPr="00765780">
        <w:rPr>
          <w:sz w:val="20"/>
          <w:szCs w:val="20"/>
          <w:lang w:val="ru-RU"/>
        </w:rPr>
        <w:t xml:space="preserve"> </w:t>
      </w:r>
      <w:r w:rsidRPr="00765780">
        <w:rPr>
          <w:bCs/>
          <w:sz w:val="20"/>
          <w:szCs w:val="20"/>
          <w:lang w:val="ru-RU"/>
        </w:rPr>
        <w:t>Цифрово разделение</w:t>
      </w:r>
      <w:r w:rsidRPr="00765780">
        <w:rPr>
          <w:sz w:val="20"/>
          <w:szCs w:val="20"/>
          <w:lang w:val="ru-RU"/>
        </w:rPr>
        <w:t xml:space="preserve"> е понятие, което описва социално-икономическата разслоеност на </w:t>
      </w:r>
      <w:hyperlink r:id="rId17" w:tooltip="Общество" w:history="1">
        <w:r w:rsidRPr="00765780">
          <w:rPr>
            <w:rStyle w:val="Hyperlink"/>
            <w:sz w:val="20"/>
            <w:szCs w:val="20"/>
            <w:lang w:val="ru-RU"/>
          </w:rPr>
          <w:t>обществото</w:t>
        </w:r>
      </w:hyperlink>
      <w:r w:rsidRPr="00765780">
        <w:rPr>
          <w:sz w:val="20"/>
          <w:szCs w:val="20"/>
          <w:lang w:val="ru-RU"/>
        </w:rPr>
        <w:t xml:space="preserve"> във връзка с достъпа до </w:t>
      </w:r>
      <w:hyperlink r:id="rId18" w:tooltip="Компютърни технологии (страницата не съществува)" w:history="1">
        <w:r w:rsidRPr="00765780">
          <w:rPr>
            <w:rStyle w:val="Hyperlink"/>
            <w:sz w:val="20"/>
            <w:szCs w:val="20"/>
            <w:lang w:val="ru-RU"/>
          </w:rPr>
          <w:t>компютърните технологии</w:t>
        </w:r>
      </w:hyperlink>
      <w:r w:rsidRPr="00765780">
        <w:rPr>
          <w:sz w:val="20"/>
          <w:szCs w:val="20"/>
          <w:lang w:val="ru-RU"/>
        </w:rPr>
        <w:t xml:space="preserve"> и </w:t>
      </w:r>
      <w:hyperlink r:id="rId19" w:tooltip="Интернет" w:history="1">
        <w:r w:rsidRPr="00765780">
          <w:rPr>
            <w:rStyle w:val="Hyperlink"/>
            <w:sz w:val="20"/>
            <w:szCs w:val="20"/>
            <w:lang w:val="ru-RU"/>
          </w:rPr>
          <w:t>Интернет</w:t>
        </w:r>
      </w:hyperlink>
      <w:r w:rsidRPr="00765780">
        <w:rPr>
          <w:sz w:val="20"/>
          <w:szCs w:val="20"/>
          <w:lang w:val="ru-RU"/>
        </w:rPr>
        <w:t xml:space="preserve">. Това е вид неравенство, при което определена </w:t>
      </w:r>
      <w:hyperlink r:id="rId20" w:tooltip="Социална група" w:history="1">
        <w:r w:rsidRPr="00765780">
          <w:rPr>
            <w:rStyle w:val="Hyperlink"/>
            <w:sz w:val="20"/>
            <w:szCs w:val="20"/>
            <w:lang w:val="ru-RU"/>
          </w:rPr>
          <w:t>социална група</w:t>
        </w:r>
      </w:hyperlink>
      <w:r w:rsidRPr="00765780">
        <w:rPr>
          <w:sz w:val="20"/>
          <w:szCs w:val="20"/>
          <w:lang w:val="ru-RU"/>
        </w:rPr>
        <w:t xml:space="preserve"> има привилегията да ползва информационно-комуникационни технологии, които са недостъпни за друга част от населението. Тази разслоеност може да се дължи на физическата невъзможност за достъп до компютърните технологии и/или на липсата на знания и умения за боравене с тях. </w:t>
      </w:r>
    </w:p>
    <w:p w14:paraId="377396AE" w14:textId="77777777" w:rsidR="00053929" w:rsidRPr="00765780" w:rsidRDefault="00053929" w:rsidP="00591396">
      <w:pPr>
        <w:pStyle w:val="NormalWeb"/>
        <w:spacing w:before="0" w:beforeAutospacing="0" w:after="0" w:afterAutospacing="0"/>
        <w:ind w:right="-2"/>
        <w:jc w:val="both"/>
        <w:rPr>
          <w:sz w:val="20"/>
          <w:szCs w:val="20"/>
          <w:lang w:val="ru-RU"/>
        </w:rPr>
      </w:pPr>
      <w:r w:rsidRPr="00765780">
        <w:rPr>
          <w:sz w:val="20"/>
          <w:szCs w:val="20"/>
          <w:lang w:val="ru-RU"/>
        </w:rPr>
        <w:t xml:space="preserve">В зависимост от вида на групите цифровото разделение може да бъде социално-икономическо (богати/бедни), географско (градски/селски райони), етническо и др. Съществува и т. нар. глобално цифрово разделение, което се отнася за неравенството в използването на компютърните технологии в световен мащаб. </w:t>
      </w:r>
    </w:p>
  </w:footnote>
  <w:footnote w:id="40">
    <w:p w14:paraId="686869D9" w14:textId="77777777" w:rsidR="00053929" w:rsidRPr="00765780" w:rsidRDefault="00053929" w:rsidP="00591396">
      <w:pPr>
        <w:pStyle w:val="FootnoteText"/>
        <w:ind w:right="-6"/>
        <w:rPr>
          <w:rFonts w:ascii="Times New Roman" w:hAnsi="Times New Roman" w:cs="Times New Roman"/>
        </w:rPr>
      </w:pPr>
      <w:r w:rsidRPr="00765780">
        <w:rPr>
          <w:rStyle w:val="FootnoteReference"/>
          <w:rFonts w:ascii="Times New Roman" w:hAnsi="Times New Roman" w:cs="Times New Roman"/>
        </w:rPr>
        <w:footnoteRef/>
      </w:r>
      <w:hyperlink r:id="rId21" w:history="1">
        <w:r w:rsidRPr="00765780">
          <w:rPr>
            <w:rStyle w:val="Hyperlink"/>
            <w:rFonts w:ascii="Times New Roman" w:hAnsi="Times New Roman" w:cs="Times New Roman"/>
          </w:rPr>
          <w:t>https://ec.europa.eu/eurostat/databrowser/view/isoc_sks_itspn2/default/map?lang=en&amp;category=isoc.isoc_sk.isoc_sks.isoc_skslf</w:t>
        </w:r>
      </w:hyperlink>
      <w:r w:rsidRPr="00765780">
        <w:rPr>
          <w:rFonts w:ascii="Times New Roman" w:hAnsi="Times New Roman" w:cs="Times New Roman"/>
        </w:rPr>
        <w:t xml:space="preserve"> </w:t>
      </w:r>
    </w:p>
  </w:footnote>
  <w:footnote w:id="41">
    <w:p w14:paraId="08B1A578" w14:textId="77777777" w:rsidR="00053929" w:rsidRPr="00765780" w:rsidRDefault="00053929" w:rsidP="00591396">
      <w:pPr>
        <w:pStyle w:val="FootnoteText"/>
        <w:ind w:right="-6"/>
        <w:rPr>
          <w:rFonts w:ascii="Times New Roman" w:hAnsi="Times New Roman" w:cs="Times New Roman"/>
        </w:rPr>
      </w:pPr>
      <w:r w:rsidRPr="00765780">
        <w:rPr>
          <w:rStyle w:val="FootnoteReference"/>
          <w:rFonts w:ascii="Times New Roman" w:hAnsi="Times New Roman" w:cs="Times New Roman"/>
        </w:rPr>
        <w:footnoteRef/>
      </w:r>
      <w:hyperlink r:id="rId22" w:history="1">
        <w:r w:rsidRPr="00765780">
          <w:rPr>
            <w:rStyle w:val="Hyperlink"/>
            <w:rFonts w:ascii="Times New Roman" w:hAnsi="Times New Roman" w:cs="Times New Roman"/>
          </w:rPr>
          <w:t>https://ec.europa.eu/eurostat/databrowser/view/isoc_sks_itsps/default/table?lang=en&amp;category=isoc.isoc_sk.isoc_sks.isoc_skslf</w:t>
        </w:r>
      </w:hyperlink>
      <w:r w:rsidRPr="00765780">
        <w:rPr>
          <w:rFonts w:ascii="Times New Roman" w:hAnsi="Times New Roman" w:cs="Times New Roman"/>
        </w:rPr>
        <w:t xml:space="preserve"> </w:t>
      </w:r>
    </w:p>
  </w:footnote>
  <w:footnote w:id="42">
    <w:p w14:paraId="222594D5" w14:textId="77777777" w:rsidR="00053929" w:rsidRPr="00765780" w:rsidRDefault="00053929" w:rsidP="00591396">
      <w:pPr>
        <w:pStyle w:val="FootnoteText"/>
        <w:ind w:right="-6"/>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23" w:history="1">
        <w:r w:rsidRPr="00765780">
          <w:rPr>
            <w:rStyle w:val="Hyperlink"/>
            <w:rFonts w:ascii="Times New Roman" w:hAnsi="Times New Roman" w:cs="Times New Roman"/>
          </w:rPr>
          <w:t>https://www.kearney.com/service/digital-analytics/gsli/2023-full-report</w:t>
        </w:r>
      </w:hyperlink>
      <w:r w:rsidRPr="00765780">
        <w:rPr>
          <w:rFonts w:ascii="Times New Roman" w:hAnsi="Times New Roman" w:cs="Times New Roman"/>
        </w:rPr>
        <w:t xml:space="preserve"> </w:t>
      </w:r>
    </w:p>
  </w:footnote>
  <w:footnote w:id="43">
    <w:p w14:paraId="16CB779D" w14:textId="77777777" w:rsidR="00053929" w:rsidRPr="00765780" w:rsidRDefault="00053929" w:rsidP="00591396">
      <w:pPr>
        <w:pStyle w:val="FootnoteText"/>
        <w:ind w:right="-6"/>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r w:rsidRPr="00765780">
        <w:rPr>
          <w:rStyle w:val="rynqvb"/>
          <w:rFonts w:ascii="Times New Roman" w:hAnsi="Times New Roman" w:cs="Times New Roman"/>
        </w:rPr>
        <w:t>Представяне на страните в обучението, изследванията и иновациите в областта на изкуствения интелект с новия Индекс за зрялост на изкуствения интелект – сравнителен анализ на глобалната готовност за използване на изкуствен интелект.</w:t>
      </w:r>
    </w:p>
  </w:footnote>
  <w:footnote w:id="44">
    <w:p w14:paraId="16B87969" w14:textId="77777777" w:rsidR="00053929" w:rsidRPr="00765780" w:rsidRDefault="00053929" w:rsidP="00591396">
      <w:pPr>
        <w:pStyle w:val="FootnoteText"/>
        <w:ind w:right="-6"/>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24" w:history="1">
        <w:r w:rsidRPr="00765780">
          <w:rPr>
            <w:rStyle w:val="Hyperlink"/>
            <w:rFonts w:ascii="Times New Roman" w:hAnsi="Times New Roman" w:cs="Times New Roman"/>
          </w:rPr>
          <w:t>https://ec.europa.eu/eurostat/databrowser/view/isoc_bde15ap/default/table?lang=en&amp;category=isoc.isoc_se</w:t>
        </w:r>
      </w:hyperlink>
      <w:r w:rsidRPr="00765780">
        <w:rPr>
          <w:rFonts w:ascii="Times New Roman" w:hAnsi="Times New Roman" w:cs="Times New Roman"/>
        </w:rPr>
        <w:t xml:space="preserve"> </w:t>
      </w:r>
    </w:p>
  </w:footnote>
  <w:footnote w:id="45">
    <w:p w14:paraId="3E166D8A" w14:textId="77777777" w:rsidR="00053929" w:rsidRPr="00765780" w:rsidRDefault="00053929" w:rsidP="00591396">
      <w:pPr>
        <w:pStyle w:val="FootnoteText"/>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25" w:history="1">
        <w:r w:rsidRPr="00765780">
          <w:rPr>
            <w:rStyle w:val="Hyperlink"/>
            <w:rFonts w:ascii="Times New Roman" w:hAnsi="Times New Roman" w:cs="Times New Roman"/>
          </w:rPr>
          <w:t>https://egov.government.bg/wps/portal/ministry-meu/strategies-policies/digital.transformation/itis-project</w:t>
        </w:r>
      </w:hyperlink>
      <w:r w:rsidRPr="00765780">
        <w:rPr>
          <w:rFonts w:ascii="Times New Roman" w:hAnsi="Times New Roman" w:cs="Times New Roman"/>
        </w:rPr>
        <w:t xml:space="preserve"> </w:t>
      </w:r>
    </w:p>
  </w:footnote>
  <w:footnote w:id="46">
    <w:p w14:paraId="7D750A0A" w14:textId="77777777" w:rsidR="00053929" w:rsidRPr="00765780" w:rsidRDefault="00053929" w:rsidP="00591396">
      <w:pPr>
        <w:pStyle w:val="FootnoteText"/>
        <w:ind w:hanging="180"/>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&lt;</w:t>
      </w:r>
      <w:hyperlink r:id="rId26">
        <w:r w:rsidRPr="00765780">
          <w:rPr>
            <w:rStyle w:val="Hyperlink"/>
            <w:rFonts w:ascii="Times New Roman" w:hAnsi="Times New Roman" w:cs="Times New Roman"/>
          </w:rPr>
          <w:t>https://strategy.bg/</w:t>
        </w:r>
      </w:hyperlink>
      <w:r w:rsidRPr="00765780">
        <w:rPr>
          <w:rFonts w:ascii="Times New Roman" w:hAnsi="Times New Roman" w:cs="Times New Roman"/>
        </w:rPr>
        <w:t>&gt;</w:t>
      </w:r>
    </w:p>
  </w:footnote>
  <w:footnote w:id="47">
    <w:p w14:paraId="0E0F29B5" w14:textId="77777777" w:rsidR="00053929" w:rsidRPr="00765780" w:rsidRDefault="00053929" w:rsidP="00591396">
      <w:pPr>
        <w:pStyle w:val="FootnoteText"/>
        <w:ind w:left="-180" w:right="-944"/>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27"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rPr>
          <w:t>://</w:t>
        </w:r>
        <w:r w:rsidRPr="00765780">
          <w:rPr>
            <w:rStyle w:val="Hyperlink"/>
            <w:rFonts w:ascii="Times New Roman" w:hAnsi="Times New Roman" w:cs="Times New Roman"/>
            <w:lang w:val="en-US"/>
          </w:rPr>
          <w:t>www</w:t>
        </w:r>
        <w:r w:rsidRPr="00765780">
          <w:rPr>
            <w:rStyle w:val="Hyperlink"/>
            <w:rFonts w:ascii="Times New Roman" w:hAnsi="Times New Roman" w:cs="Times New Roman"/>
          </w:rPr>
          <w:t>.</w:t>
        </w:r>
        <w:r w:rsidRPr="00765780">
          <w:rPr>
            <w:rStyle w:val="Hyperlink"/>
            <w:rFonts w:ascii="Times New Roman" w:hAnsi="Times New Roman" w:cs="Times New Roman"/>
            <w:lang w:val="en-US"/>
          </w:rPr>
          <w:t>digitalkconference</w:t>
        </w:r>
        <w:r w:rsidRPr="00765780">
          <w:rPr>
            <w:rStyle w:val="Hyperlink"/>
            <w:rFonts w:ascii="Times New Roman" w:hAnsi="Times New Roman" w:cs="Times New Roman"/>
          </w:rPr>
          <w:t>.</w:t>
        </w:r>
        <w:r w:rsidRPr="00765780">
          <w:rPr>
            <w:rStyle w:val="Hyperlink"/>
            <w:rFonts w:ascii="Times New Roman" w:hAnsi="Times New Roman" w:cs="Times New Roman"/>
            <w:lang w:val="en-US"/>
          </w:rPr>
          <w:t>com</w:t>
        </w:r>
      </w:hyperlink>
    </w:p>
  </w:footnote>
  <w:footnote w:id="48">
    <w:p w14:paraId="76BFB2D5" w14:textId="77777777" w:rsidR="00053929" w:rsidRPr="00765780" w:rsidRDefault="00053929" w:rsidP="00591396">
      <w:pPr>
        <w:pStyle w:val="FootnoteText"/>
        <w:ind w:left="-180" w:right="-944"/>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28"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rPr>
          <w:t>://</w:t>
        </w:r>
        <w:r w:rsidRPr="00765780">
          <w:rPr>
            <w:rStyle w:val="Hyperlink"/>
            <w:rFonts w:ascii="Times New Roman" w:hAnsi="Times New Roman" w:cs="Times New Roman"/>
            <w:lang w:val="en-US"/>
          </w:rPr>
          <w:t>www</w:t>
        </w:r>
        <w:r w:rsidRPr="00765780">
          <w:rPr>
            <w:rStyle w:val="Hyperlink"/>
            <w:rFonts w:ascii="Times New Roman" w:hAnsi="Times New Roman" w:cs="Times New Roman"/>
          </w:rPr>
          <w:t>.</w:t>
        </w:r>
        <w:r w:rsidRPr="00765780">
          <w:rPr>
            <w:rStyle w:val="Hyperlink"/>
            <w:rFonts w:ascii="Times New Roman" w:hAnsi="Times New Roman" w:cs="Times New Roman"/>
            <w:lang w:val="en-US"/>
          </w:rPr>
          <w:t>webit</w:t>
        </w:r>
        <w:r w:rsidRPr="00765780">
          <w:rPr>
            <w:rStyle w:val="Hyperlink"/>
            <w:rFonts w:ascii="Times New Roman" w:hAnsi="Times New Roman" w:cs="Times New Roman"/>
          </w:rPr>
          <w:t>.</w:t>
        </w:r>
        <w:r w:rsidRPr="00765780">
          <w:rPr>
            <w:rStyle w:val="Hyperlink"/>
            <w:rFonts w:ascii="Times New Roman" w:hAnsi="Times New Roman" w:cs="Times New Roman"/>
            <w:lang w:val="en-US"/>
          </w:rPr>
          <w:t>org</w:t>
        </w:r>
        <w:r w:rsidRPr="00765780">
          <w:rPr>
            <w:rStyle w:val="Hyperlink"/>
            <w:rFonts w:ascii="Times New Roman" w:hAnsi="Times New Roman" w:cs="Times New Roman"/>
          </w:rPr>
          <w:t>/</w:t>
        </w:r>
        <w:r w:rsidRPr="00765780">
          <w:rPr>
            <w:rStyle w:val="Hyperlink"/>
            <w:rFonts w:ascii="Times New Roman" w:hAnsi="Times New Roman" w:cs="Times New Roman"/>
            <w:lang w:val="en-US"/>
          </w:rPr>
          <w:t>festival</w:t>
        </w:r>
        <w:r w:rsidRPr="00765780">
          <w:rPr>
            <w:rStyle w:val="Hyperlink"/>
            <w:rFonts w:ascii="Times New Roman" w:hAnsi="Times New Roman" w:cs="Times New Roman"/>
          </w:rPr>
          <w:t>-</w:t>
        </w:r>
        <w:r w:rsidRPr="00765780">
          <w:rPr>
            <w:rStyle w:val="Hyperlink"/>
            <w:rFonts w:ascii="Times New Roman" w:hAnsi="Times New Roman" w:cs="Times New Roman"/>
            <w:lang w:val="en-US"/>
          </w:rPr>
          <w:t>europe</w:t>
        </w:r>
        <w:r w:rsidRPr="00765780">
          <w:rPr>
            <w:rStyle w:val="Hyperlink"/>
            <w:rFonts w:ascii="Times New Roman" w:hAnsi="Times New Roman" w:cs="Times New Roman"/>
          </w:rPr>
          <w:t>/</w:t>
        </w:r>
        <w:r w:rsidRPr="00765780">
          <w:rPr>
            <w:rStyle w:val="Hyperlink"/>
            <w:rFonts w:ascii="Times New Roman" w:hAnsi="Times New Roman" w:cs="Times New Roman"/>
            <w:lang w:val="en-US"/>
          </w:rPr>
          <w:t>index</w:t>
        </w:r>
        <w:r w:rsidRPr="00765780">
          <w:rPr>
            <w:rStyle w:val="Hyperlink"/>
            <w:rFonts w:ascii="Times New Roman" w:hAnsi="Times New Roman" w:cs="Times New Roman"/>
          </w:rPr>
          <w:t>.</w:t>
        </w:r>
        <w:r w:rsidRPr="00765780">
          <w:rPr>
            <w:rStyle w:val="Hyperlink"/>
            <w:rFonts w:ascii="Times New Roman" w:hAnsi="Times New Roman" w:cs="Times New Roman"/>
            <w:lang w:val="en-US"/>
          </w:rPr>
          <w:t>php</w:t>
        </w:r>
      </w:hyperlink>
    </w:p>
  </w:footnote>
  <w:footnote w:id="49">
    <w:p w14:paraId="333C8A6B" w14:textId="77777777" w:rsidR="00053929" w:rsidRPr="00765780" w:rsidRDefault="00053929" w:rsidP="00591396">
      <w:pPr>
        <w:pStyle w:val="FootnoteText"/>
        <w:ind w:left="-180" w:right="-944"/>
        <w:jc w:val="both"/>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29"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rPr>
          <w:t>://</w:t>
        </w:r>
        <w:r w:rsidRPr="00765780">
          <w:rPr>
            <w:rStyle w:val="Hyperlink"/>
            <w:rFonts w:ascii="Times New Roman" w:hAnsi="Times New Roman" w:cs="Times New Roman"/>
            <w:lang w:val="en-US"/>
          </w:rPr>
          <w:t>www</w:t>
        </w:r>
        <w:r w:rsidRPr="00765780">
          <w:rPr>
            <w:rStyle w:val="Hyperlink"/>
            <w:rFonts w:ascii="Times New Roman" w:hAnsi="Times New Roman" w:cs="Times New Roman"/>
          </w:rPr>
          <w:t>.</w:t>
        </w:r>
        <w:r w:rsidRPr="00765780">
          <w:rPr>
            <w:rStyle w:val="Hyperlink"/>
            <w:rFonts w:ascii="Times New Roman" w:hAnsi="Times New Roman" w:cs="Times New Roman"/>
            <w:lang w:val="en-US"/>
          </w:rPr>
          <w:t>capital</w:t>
        </w:r>
        <w:r w:rsidRPr="00765780">
          <w:rPr>
            <w:rStyle w:val="Hyperlink"/>
            <w:rFonts w:ascii="Times New Roman" w:hAnsi="Times New Roman" w:cs="Times New Roman"/>
          </w:rPr>
          <w:t>.</w:t>
        </w:r>
        <w:r w:rsidRPr="00765780">
          <w:rPr>
            <w:rStyle w:val="Hyperlink"/>
            <w:rFonts w:ascii="Times New Roman" w:hAnsi="Times New Roman" w:cs="Times New Roman"/>
            <w:lang w:val="en-US"/>
          </w:rPr>
          <w:t>bg</w:t>
        </w:r>
        <w:r w:rsidRPr="00765780">
          <w:rPr>
            <w:rStyle w:val="Hyperlink"/>
            <w:rFonts w:ascii="Times New Roman" w:hAnsi="Times New Roman" w:cs="Times New Roman"/>
          </w:rPr>
          <w:t>/</w:t>
        </w:r>
        <w:r w:rsidRPr="00765780">
          <w:rPr>
            <w:rStyle w:val="Hyperlink"/>
            <w:rFonts w:ascii="Times New Roman" w:hAnsi="Times New Roman" w:cs="Times New Roman"/>
            <w:lang w:val="en-US"/>
          </w:rPr>
          <w:t>en</w:t>
        </w:r>
        <w:r w:rsidRPr="00765780">
          <w:rPr>
            <w:rStyle w:val="Hyperlink"/>
            <w:rFonts w:ascii="Times New Roman" w:hAnsi="Times New Roman" w:cs="Times New Roman"/>
          </w:rPr>
          <w:t>/</w:t>
        </w:r>
        <w:r w:rsidRPr="00765780">
          <w:rPr>
            <w:rStyle w:val="Hyperlink"/>
            <w:rFonts w:ascii="Times New Roman" w:hAnsi="Times New Roman" w:cs="Times New Roman"/>
            <w:lang w:val="en-US"/>
          </w:rPr>
          <w:t>event</w:t>
        </w:r>
        <w:r w:rsidRPr="00765780">
          <w:rPr>
            <w:rStyle w:val="Hyperlink"/>
            <w:rFonts w:ascii="Times New Roman" w:hAnsi="Times New Roman" w:cs="Times New Roman"/>
          </w:rPr>
          <w:t>/294-</w:t>
        </w:r>
        <w:r w:rsidRPr="00765780">
          <w:rPr>
            <w:rStyle w:val="Hyperlink"/>
            <w:rFonts w:ascii="Times New Roman" w:hAnsi="Times New Roman" w:cs="Times New Roman"/>
            <w:lang w:val="en-US"/>
          </w:rPr>
          <w:t>cybersecurity</w:t>
        </w:r>
        <w:r w:rsidRPr="00765780">
          <w:rPr>
            <w:rStyle w:val="Hyperlink"/>
            <w:rFonts w:ascii="Times New Roman" w:hAnsi="Times New Roman" w:cs="Times New Roman"/>
          </w:rPr>
          <w:t>-</w:t>
        </w:r>
        <w:r w:rsidRPr="00765780">
          <w:rPr>
            <w:rStyle w:val="Hyperlink"/>
            <w:rFonts w:ascii="Times New Roman" w:hAnsi="Times New Roman" w:cs="Times New Roman"/>
            <w:lang w:val="en-US"/>
          </w:rPr>
          <w:t>forum</w:t>
        </w:r>
        <w:r w:rsidRPr="00765780">
          <w:rPr>
            <w:rStyle w:val="Hyperlink"/>
            <w:rFonts w:ascii="Times New Roman" w:hAnsi="Times New Roman" w:cs="Times New Roman"/>
          </w:rPr>
          <w:t>-2024/</w:t>
        </w:r>
      </w:hyperlink>
    </w:p>
  </w:footnote>
  <w:footnote w:id="50">
    <w:p w14:paraId="3496FA39" w14:textId="77777777" w:rsidR="00053929" w:rsidRPr="00765780" w:rsidRDefault="00053929" w:rsidP="00591396">
      <w:pPr>
        <w:pStyle w:val="FootnoteText"/>
        <w:ind w:left="-180" w:right="-944"/>
        <w:jc w:val="both"/>
        <w:rPr>
          <w:rFonts w:ascii="Times New Roman" w:hAnsi="Times New Roman" w:cs="Times New Roman"/>
          <w:lang w:val="ru-RU"/>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30" w:history="1">
        <w:r w:rsidRPr="00765780">
          <w:rPr>
            <w:rFonts w:ascii="Times New Roman" w:hAnsi="Times New Roman" w:cs="Times New Roman"/>
            <w:noProof/>
            <w:color w:val="0563C1" w:themeColor="hyperlink"/>
            <w:u w:val="single"/>
            <w:lang w:val="ru-RU"/>
          </w:rPr>
          <w:t xml:space="preserve">Домейн форум </w:t>
        </w:r>
      </w:hyperlink>
    </w:p>
  </w:footnote>
  <w:footnote w:id="51">
    <w:p w14:paraId="1F0A1DE6" w14:textId="77777777" w:rsidR="00053929" w:rsidRPr="00765780" w:rsidRDefault="00053929" w:rsidP="00591396">
      <w:pPr>
        <w:pStyle w:val="FootnoteText"/>
        <w:ind w:left="-180" w:right="-944"/>
        <w:jc w:val="both"/>
        <w:rPr>
          <w:rFonts w:ascii="Times New Roman" w:hAnsi="Times New Roman" w:cs="Times New Roman"/>
          <w:lang w:val="ru-RU"/>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31"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www</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intgovforum</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org</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en</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content</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national</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and</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regional</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igf</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initiatives</w:t>
        </w:r>
      </w:hyperlink>
    </w:p>
  </w:footnote>
  <w:footnote w:id="52">
    <w:p w14:paraId="6229B514" w14:textId="77777777" w:rsidR="00053929" w:rsidRPr="00765780" w:rsidRDefault="00053929" w:rsidP="00591396">
      <w:pPr>
        <w:pStyle w:val="FootnoteText"/>
        <w:ind w:left="-180" w:right="-944"/>
        <w:jc w:val="both"/>
        <w:rPr>
          <w:rFonts w:ascii="Times New Roman" w:hAnsi="Times New Roman" w:cs="Times New Roman"/>
          <w:lang w:val="ru-RU"/>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32"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pp</w:t>
        </w:r>
        <w:r w:rsidRPr="00765780">
          <w:rPr>
            <w:rStyle w:val="Hyperlink"/>
            <w:rFonts w:ascii="Times New Roman" w:hAnsi="Times New Roman" w:cs="Times New Roman"/>
            <w:lang w:val="ru-RU"/>
          </w:rPr>
          <w:t>22.МСД.</w:t>
        </w:r>
        <w:r w:rsidRPr="00765780">
          <w:rPr>
            <w:rStyle w:val="Hyperlink"/>
            <w:rFonts w:ascii="Times New Roman" w:hAnsi="Times New Roman" w:cs="Times New Roman"/>
            <w:lang w:val="en-US"/>
          </w:rPr>
          <w:t>int</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wp</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content</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uploads</w:t>
        </w:r>
        <w:r w:rsidRPr="00765780">
          <w:rPr>
            <w:rStyle w:val="Hyperlink"/>
            <w:rFonts w:ascii="Times New Roman" w:hAnsi="Times New Roman" w:cs="Times New Roman"/>
            <w:lang w:val="ru-RU"/>
          </w:rPr>
          <w:t>/2022/05/</w:t>
        </w:r>
        <w:r w:rsidRPr="00765780">
          <w:rPr>
            <w:rStyle w:val="Hyperlink"/>
            <w:rFonts w:ascii="Times New Roman" w:hAnsi="Times New Roman" w:cs="Times New Roman"/>
            <w:lang w:val="en-US"/>
          </w:rPr>
          <w:t>bulgaria</w:t>
        </w:r>
        <w:r w:rsidRPr="00765780">
          <w:rPr>
            <w:rStyle w:val="Hyperlink"/>
            <w:rFonts w:ascii="Times New Roman" w:hAnsi="Times New Roman" w:cs="Times New Roman"/>
            <w:lang w:val="ru-RU"/>
          </w:rPr>
          <w:t>_</w:t>
        </w:r>
        <w:r w:rsidRPr="00765780">
          <w:rPr>
            <w:rStyle w:val="Hyperlink"/>
            <w:rFonts w:ascii="Times New Roman" w:hAnsi="Times New Roman" w:cs="Times New Roman"/>
            <w:lang w:val="en-US"/>
          </w:rPr>
          <w:t>council</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brochure</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e</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pdf</w:t>
        </w:r>
      </w:hyperlink>
    </w:p>
  </w:footnote>
  <w:footnote w:id="53">
    <w:p w14:paraId="7514A6C4" w14:textId="77777777" w:rsidR="00053929" w:rsidRPr="00765780" w:rsidRDefault="00053929" w:rsidP="00591396">
      <w:pPr>
        <w:pStyle w:val="FootnoteText"/>
        <w:ind w:right="-944" w:hanging="180"/>
        <w:jc w:val="both"/>
        <w:rPr>
          <w:rFonts w:ascii="Times New Roman" w:hAnsi="Times New Roman" w:cs="Times New Roman"/>
          <w:lang w:val="ru-RU"/>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33" w:history="1">
        <w:r w:rsidRPr="00765780">
          <w:rPr>
            <w:rStyle w:val="Hyperlink"/>
            <w:rFonts w:ascii="Times New Roman" w:hAnsi="Times New Roman" w:cs="Times New Roman"/>
            <w:lang w:val="en-US"/>
          </w:rPr>
          <w:t>https</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www</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icann</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org</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en</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blogs</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details</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relations</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between</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bulgaria</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and</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icann</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mark</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major</w:t>
        </w:r>
        <w:r w:rsidRPr="00765780">
          <w:rPr>
            <w:rStyle w:val="Hyperlink"/>
            <w:rFonts w:ascii="Times New Roman" w:hAnsi="Times New Roman" w:cs="Times New Roman"/>
            <w:lang w:val="ru-RU"/>
          </w:rPr>
          <w:t>-</w:t>
        </w:r>
        <w:r w:rsidRPr="00765780">
          <w:rPr>
            <w:rStyle w:val="Hyperlink"/>
            <w:rFonts w:ascii="Times New Roman" w:hAnsi="Times New Roman" w:cs="Times New Roman"/>
            <w:lang w:val="en-US"/>
          </w:rPr>
          <w:t>milestones</w:t>
        </w:r>
        <w:r w:rsidRPr="00765780">
          <w:rPr>
            <w:rStyle w:val="Hyperlink"/>
            <w:rFonts w:ascii="Times New Roman" w:hAnsi="Times New Roman" w:cs="Times New Roman"/>
            <w:lang w:val="ru-RU"/>
          </w:rPr>
          <w:t>-14-10-2014-</w:t>
        </w:r>
        <w:r w:rsidRPr="00765780">
          <w:rPr>
            <w:rStyle w:val="Hyperlink"/>
            <w:rFonts w:ascii="Times New Roman" w:hAnsi="Times New Roman" w:cs="Times New Roman"/>
            <w:lang w:val="en-US"/>
          </w:rPr>
          <w:t>en</w:t>
        </w:r>
      </w:hyperlink>
    </w:p>
  </w:footnote>
  <w:footnote w:id="54">
    <w:p w14:paraId="344E99A0" w14:textId="77777777" w:rsidR="00053929" w:rsidRPr="00765780" w:rsidRDefault="00053929" w:rsidP="00304B93">
      <w:pPr>
        <w:pStyle w:val="FootnoteText"/>
        <w:ind w:right="-944"/>
        <w:rPr>
          <w:rFonts w:ascii="Times New Roman" w:hAnsi="Times New Roman" w:cs="Times New Roman"/>
        </w:rPr>
      </w:pPr>
      <w:r w:rsidRPr="00765780">
        <w:rPr>
          <w:rStyle w:val="FootnoteReference"/>
          <w:rFonts w:ascii="Times New Roman" w:hAnsi="Times New Roman" w:cs="Times New Roman"/>
        </w:rPr>
        <w:footnoteRef/>
      </w:r>
      <w:r w:rsidRPr="00765780">
        <w:rPr>
          <w:rFonts w:ascii="Times New Roman" w:hAnsi="Times New Roman" w:cs="Times New Roman"/>
        </w:rPr>
        <w:t xml:space="preserve"> </w:t>
      </w:r>
      <w:hyperlink r:id="rId34" w:history="1">
        <w:r w:rsidRPr="00765780">
          <w:rPr>
            <w:rStyle w:val="Hyperlink"/>
            <w:rFonts w:ascii="Times New Roman" w:hAnsi="Times New Roman" w:cs="Times New Roman"/>
          </w:rPr>
          <w:t>https://www.insead.edu/faculty-research/research/gtci</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205" w:hanging="188"/>
      </w:pPr>
      <w:rPr>
        <w:rFonts w:ascii="Calibri" w:hAnsi="Calibri" w:cs="Calibri"/>
        <w:b w:val="0"/>
        <w:bCs w:val="0"/>
        <w:spacing w:val="-1"/>
        <w:w w:val="99"/>
        <w:sz w:val="14"/>
        <w:szCs w:val="14"/>
      </w:rPr>
    </w:lvl>
    <w:lvl w:ilvl="1">
      <w:numFmt w:val="bullet"/>
      <w:lvlText w:val="•"/>
      <w:lvlJc w:val="left"/>
      <w:pPr>
        <w:ind w:left="1072" w:hanging="188"/>
      </w:pPr>
    </w:lvl>
    <w:lvl w:ilvl="2">
      <w:numFmt w:val="bullet"/>
      <w:lvlText w:val="•"/>
      <w:lvlJc w:val="left"/>
      <w:pPr>
        <w:ind w:left="1944" w:hanging="188"/>
      </w:pPr>
    </w:lvl>
    <w:lvl w:ilvl="3">
      <w:numFmt w:val="bullet"/>
      <w:lvlText w:val="•"/>
      <w:lvlJc w:val="left"/>
      <w:pPr>
        <w:ind w:left="2817" w:hanging="188"/>
      </w:pPr>
    </w:lvl>
    <w:lvl w:ilvl="4">
      <w:numFmt w:val="bullet"/>
      <w:lvlText w:val="•"/>
      <w:lvlJc w:val="left"/>
      <w:pPr>
        <w:ind w:left="3689" w:hanging="188"/>
      </w:pPr>
    </w:lvl>
    <w:lvl w:ilvl="5">
      <w:numFmt w:val="bullet"/>
      <w:lvlText w:val="•"/>
      <w:lvlJc w:val="left"/>
      <w:pPr>
        <w:ind w:left="4562" w:hanging="188"/>
      </w:pPr>
    </w:lvl>
    <w:lvl w:ilvl="6">
      <w:numFmt w:val="bullet"/>
      <w:lvlText w:val="•"/>
      <w:lvlJc w:val="left"/>
      <w:pPr>
        <w:ind w:left="5434" w:hanging="188"/>
      </w:pPr>
    </w:lvl>
    <w:lvl w:ilvl="7">
      <w:numFmt w:val="bullet"/>
      <w:lvlText w:val="•"/>
      <w:lvlJc w:val="left"/>
      <w:pPr>
        <w:ind w:left="6307" w:hanging="188"/>
      </w:pPr>
    </w:lvl>
    <w:lvl w:ilvl="8">
      <w:numFmt w:val="bullet"/>
      <w:lvlText w:val="•"/>
      <w:lvlJc w:val="left"/>
      <w:pPr>
        <w:ind w:left="7179" w:hanging="188"/>
      </w:pPr>
    </w:lvl>
  </w:abstractNum>
  <w:abstractNum w:abstractNumId="1" w15:restartNumberingAfterBreak="0">
    <w:nsid w:val="00B43116"/>
    <w:multiLevelType w:val="multilevel"/>
    <w:tmpl w:val="CF0CAB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F5DFC"/>
    <w:multiLevelType w:val="multilevel"/>
    <w:tmpl w:val="B386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32A62"/>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3A1C"/>
    <w:multiLevelType w:val="multilevel"/>
    <w:tmpl w:val="E618E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B4821"/>
    <w:multiLevelType w:val="multilevel"/>
    <w:tmpl w:val="DDC8D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03339"/>
    <w:multiLevelType w:val="multilevel"/>
    <w:tmpl w:val="B69E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F3D8F"/>
    <w:multiLevelType w:val="multilevel"/>
    <w:tmpl w:val="B520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9772B5"/>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473C40"/>
    <w:multiLevelType w:val="hybridMultilevel"/>
    <w:tmpl w:val="68807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5357491"/>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C60F9"/>
    <w:multiLevelType w:val="multilevel"/>
    <w:tmpl w:val="D4DE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7B1B7E"/>
    <w:multiLevelType w:val="multilevel"/>
    <w:tmpl w:val="D8E0B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5E3B90"/>
    <w:multiLevelType w:val="hybridMultilevel"/>
    <w:tmpl w:val="52CE23B2"/>
    <w:lvl w:ilvl="0" w:tplc="CFF22DE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81A01"/>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7B6B09"/>
    <w:multiLevelType w:val="multilevel"/>
    <w:tmpl w:val="EBC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578C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2712D9"/>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754082"/>
    <w:multiLevelType w:val="hybridMultilevel"/>
    <w:tmpl w:val="DE7272A8"/>
    <w:lvl w:ilvl="0" w:tplc="C78CFB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821B43"/>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233C59"/>
    <w:multiLevelType w:val="multilevel"/>
    <w:tmpl w:val="D98C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603E6F"/>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8F5CCA"/>
    <w:multiLevelType w:val="multilevel"/>
    <w:tmpl w:val="D25C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FB6D41"/>
    <w:multiLevelType w:val="multilevel"/>
    <w:tmpl w:val="2A2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805A6D"/>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337901"/>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801F8E"/>
    <w:multiLevelType w:val="multilevel"/>
    <w:tmpl w:val="78C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871D20"/>
    <w:multiLevelType w:val="hybridMultilevel"/>
    <w:tmpl w:val="4CD867EC"/>
    <w:lvl w:ilvl="0" w:tplc="1CFC55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28E7BAC">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A81290"/>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E0016A"/>
    <w:multiLevelType w:val="hybridMultilevel"/>
    <w:tmpl w:val="EAC295E8"/>
    <w:lvl w:ilvl="0" w:tplc="54BE73CA">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3A7A67"/>
    <w:multiLevelType w:val="hybridMultilevel"/>
    <w:tmpl w:val="422E567A"/>
    <w:lvl w:ilvl="0" w:tplc="9FCC03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2E0433A"/>
    <w:multiLevelType w:val="multilevel"/>
    <w:tmpl w:val="CA84B1D2"/>
    <w:lvl w:ilvl="0">
      <w:start w:val="1"/>
      <w:numFmt w:val="decimal"/>
      <w:lvlText w:val="%1."/>
      <w:lvlJc w:val="left"/>
      <w:pPr>
        <w:ind w:left="720" w:hanging="360"/>
      </w:pPr>
      <w:rPr>
        <w:rFonts w:hint="default"/>
      </w:rPr>
    </w:lvl>
    <w:lvl w:ilvl="1">
      <w:start w:val="1"/>
      <w:numFmt w:val="decimal"/>
      <w:isLgl/>
      <w:lvlText w:val="%1.%2."/>
      <w:lvlJc w:val="left"/>
      <w:pPr>
        <w:ind w:left="1426" w:hanging="360"/>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198" w:hanging="72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4970" w:hanging="108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6742" w:hanging="1440"/>
      </w:pPr>
      <w:rPr>
        <w:rFonts w:hint="default"/>
      </w:rPr>
    </w:lvl>
    <w:lvl w:ilvl="8">
      <w:start w:val="1"/>
      <w:numFmt w:val="decimal"/>
      <w:isLgl/>
      <w:lvlText w:val="%1.%2.%3.%4.%5.%6.%7.%8.%9."/>
      <w:lvlJc w:val="left"/>
      <w:pPr>
        <w:ind w:left="7808" w:hanging="1800"/>
      </w:pPr>
      <w:rPr>
        <w:rFonts w:hint="default"/>
      </w:rPr>
    </w:lvl>
  </w:abstractNum>
  <w:abstractNum w:abstractNumId="32" w15:restartNumberingAfterBreak="0">
    <w:nsid w:val="131240EF"/>
    <w:multiLevelType w:val="multilevel"/>
    <w:tmpl w:val="872E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32C274C"/>
    <w:multiLevelType w:val="multilevel"/>
    <w:tmpl w:val="8230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9977BD"/>
    <w:multiLevelType w:val="multilevel"/>
    <w:tmpl w:val="C9BCC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0629AC"/>
    <w:multiLevelType w:val="multilevel"/>
    <w:tmpl w:val="E3F8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52183D"/>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A163BC"/>
    <w:multiLevelType w:val="hybridMultilevel"/>
    <w:tmpl w:val="D51E7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BF7477"/>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CB104D"/>
    <w:multiLevelType w:val="multilevel"/>
    <w:tmpl w:val="3366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F12B5B"/>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C045B1"/>
    <w:multiLevelType w:val="multilevel"/>
    <w:tmpl w:val="ACF27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3932BC"/>
    <w:multiLevelType w:val="multilevel"/>
    <w:tmpl w:val="01E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501F30"/>
    <w:multiLevelType w:val="hybridMultilevel"/>
    <w:tmpl w:val="5B3475F0"/>
    <w:lvl w:ilvl="0" w:tplc="EA9E31AA">
      <w:start w:val="1"/>
      <w:numFmt w:val="bullet"/>
      <w:lvlText w:val=""/>
      <w:lvlJc w:val="left"/>
      <w:pPr>
        <w:ind w:left="1789" w:hanging="360"/>
      </w:pPr>
      <w:rPr>
        <w:rFonts w:ascii="Symbol" w:hAnsi="Symbol" w:hint="default"/>
      </w:rPr>
    </w:lvl>
    <w:lvl w:ilvl="1" w:tplc="ADDAF656">
      <w:start w:val="1"/>
      <w:numFmt w:val="bullet"/>
      <w:lvlText w:val="o"/>
      <w:lvlJc w:val="left"/>
      <w:pPr>
        <w:ind w:left="2509" w:hanging="360"/>
      </w:pPr>
      <w:rPr>
        <w:rFonts w:ascii="Courier New" w:hAnsi="Courier New" w:hint="default"/>
      </w:rPr>
    </w:lvl>
    <w:lvl w:ilvl="2" w:tplc="C78CFB44">
      <w:start w:val="1"/>
      <w:numFmt w:val="bullet"/>
      <w:lvlText w:val=""/>
      <w:lvlJc w:val="left"/>
      <w:pPr>
        <w:ind w:left="3229" w:hanging="360"/>
      </w:pPr>
      <w:rPr>
        <w:rFonts w:ascii="Wingdings" w:hAnsi="Wingdings" w:hint="default"/>
      </w:rPr>
    </w:lvl>
    <w:lvl w:ilvl="3" w:tplc="29F88D02">
      <w:start w:val="1"/>
      <w:numFmt w:val="bullet"/>
      <w:lvlText w:val=""/>
      <w:lvlJc w:val="left"/>
      <w:pPr>
        <w:ind w:left="3949" w:hanging="360"/>
      </w:pPr>
      <w:rPr>
        <w:rFonts w:ascii="Symbol" w:hAnsi="Symbol" w:hint="default"/>
      </w:rPr>
    </w:lvl>
    <w:lvl w:ilvl="4" w:tplc="FEA809D6">
      <w:start w:val="1"/>
      <w:numFmt w:val="bullet"/>
      <w:lvlText w:val="o"/>
      <w:lvlJc w:val="left"/>
      <w:pPr>
        <w:ind w:left="4669" w:hanging="360"/>
      </w:pPr>
      <w:rPr>
        <w:rFonts w:ascii="Courier New" w:hAnsi="Courier New" w:hint="default"/>
      </w:rPr>
    </w:lvl>
    <w:lvl w:ilvl="5" w:tplc="AB6A7564">
      <w:start w:val="1"/>
      <w:numFmt w:val="bullet"/>
      <w:lvlText w:val=""/>
      <w:lvlJc w:val="left"/>
      <w:pPr>
        <w:ind w:left="5389" w:hanging="360"/>
      </w:pPr>
      <w:rPr>
        <w:rFonts w:ascii="Wingdings" w:hAnsi="Wingdings" w:hint="default"/>
      </w:rPr>
    </w:lvl>
    <w:lvl w:ilvl="6" w:tplc="0BE838CA">
      <w:start w:val="1"/>
      <w:numFmt w:val="bullet"/>
      <w:lvlText w:val=""/>
      <w:lvlJc w:val="left"/>
      <w:pPr>
        <w:ind w:left="6109" w:hanging="360"/>
      </w:pPr>
      <w:rPr>
        <w:rFonts w:ascii="Symbol" w:hAnsi="Symbol" w:hint="default"/>
      </w:rPr>
    </w:lvl>
    <w:lvl w:ilvl="7" w:tplc="100E2E52">
      <w:start w:val="1"/>
      <w:numFmt w:val="bullet"/>
      <w:lvlText w:val="o"/>
      <w:lvlJc w:val="left"/>
      <w:pPr>
        <w:ind w:left="6829" w:hanging="360"/>
      </w:pPr>
      <w:rPr>
        <w:rFonts w:ascii="Courier New" w:hAnsi="Courier New" w:hint="default"/>
      </w:rPr>
    </w:lvl>
    <w:lvl w:ilvl="8" w:tplc="7974C418">
      <w:start w:val="1"/>
      <w:numFmt w:val="bullet"/>
      <w:lvlText w:val=""/>
      <w:lvlJc w:val="left"/>
      <w:pPr>
        <w:ind w:left="7549" w:hanging="360"/>
      </w:pPr>
      <w:rPr>
        <w:rFonts w:ascii="Wingdings" w:hAnsi="Wingdings" w:hint="default"/>
      </w:rPr>
    </w:lvl>
  </w:abstractNum>
  <w:abstractNum w:abstractNumId="44" w15:restartNumberingAfterBreak="0">
    <w:nsid w:val="1C00630B"/>
    <w:multiLevelType w:val="multilevel"/>
    <w:tmpl w:val="BB38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01090D"/>
    <w:multiLevelType w:val="multilevel"/>
    <w:tmpl w:val="D9148040"/>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1C5B1393"/>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7D1AB0"/>
    <w:multiLevelType w:val="hybridMultilevel"/>
    <w:tmpl w:val="B07C18A6"/>
    <w:lvl w:ilvl="0" w:tplc="941C66F8">
      <w:start w:val="1"/>
      <w:numFmt w:val="bullet"/>
      <w:lvlText w:val="-"/>
      <w:lvlJc w:val="left"/>
      <w:pPr>
        <w:ind w:left="1338" w:hanging="360"/>
      </w:pPr>
      <w:rPr>
        <w:rFonts w:ascii="Times New Roman" w:eastAsia="Calibri" w:hAnsi="Times New Roman" w:cs="Times New Roman"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48" w15:restartNumberingAfterBreak="0">
    <w:nsid w:val="1C9A00C4"/>
    <w:multiLevelType w:val="multilevel"/>
    <w:tmpl w:val="2DA2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9A730E"/>
    <w:multiLevelType w:val="multilevel"/>
    <w:tmpl w:val="5B8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DB298F"/>
    <w:multiLevelType w:val="hybridMultilevel"/>
    <w:tmpl w:val="3E5A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DAD3C22"/>
    <w:multiLevelType w:val="hybridMultilevel"/>
    <w:tmpl w:val="4EF8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E7B069C"/>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F372DDC"/>
    <w:multiLevelType w:val="hybridMultilevel"/>
    <w:tmpl w:val="61627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F8432E6"/>
    <w:multiLevelType w:val="multilevel"/>
    <w:tmpl w:val="F3A0FAC4"/>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FCE6C12"/>
    <w:multiLevelType w:val="hybridMultilevel"/>
    <w:tmpl w:val="7CE041C6"/>
    <w:lvl w:ilvl="0" w:tplc="1CFC55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ED7026"/>
    <w:multiLevelType w:val="multilevel"/>
    <w:tmpl w:val="503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05E65DC"/>
    <w:multiLevelType w:val="multilevel"/>
    <w:tmpl w:val="0B02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0A638A2"/>
    <w:multiLevelType w:val="multilevel"/>
    <w:tmpl w:val="CCF42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0E403E1"/>
    <w:multiLevelType w:val="hybridMultilevel"/>
    <w:tmpl w:val="8698E09E"/>
    <w:lvl w:ilvl="0" w:tplc="82463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283AD9"/>
    <w:multiLevelType w:val="hybridMultilevel"/>
    <w:tmpl w:val="C98ED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19E5ED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ED38CE"/>
    <w:multiLevelType w:val="multilevel"/>
    <w:tmpl w:val="E47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3A33FC"/>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722A78"/>
    <w:multiLevelType w:val="multilevel"/>
    <w:tmpl w:val="D952B5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7F2471"/>
    <w:multiLevelType w:val="hybridMultilevel"/>
    <w:tmpl w:val="94B8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2B7042D"/>
    <w:multiLevelType w:val="multilevel"/>
    <w:tmpl w:val="AADE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3A198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971C4C"/>
    <w:multiLevelType w:val="hybridMultilevel"/>
    <w:tmpl w:val="6DC6E7AE"/>
    <w:lvl w:ilvl="0" w:tplc="54BE73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40A5A43"/>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4C375D1"/>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5E200CD"/>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0A19A3"/>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136EA9"/>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64320F8"/>
    <w:multiLevelType w:val="hybridMultilevel"/>
    <w:tmpl w:val="B810ABC6"/>
    <w:lvl w:ilvl="0" w:tplc="4E3CAF6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5" w15:restartNumberingAfterBreak="0">
    <w:nsid w:val="26C1797A"/>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9ED2D32"/>
    <w:multiLevelType w:val="multilevel"/>
    <w:tmpl w:val="49B0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DE4C0F"/>
    <w:multiLevelType w:val="multilevel"/>
    <w:tmpl w:val="8A323756"/>
    <w:lvl w:ilvl="0">
      <w:start w:val="1"/>
      <w:numFmt w:val="bullet"/>
      <w:lvlText w:val=""/>
      <w:lvlJc w:val="left"/>
      <w:pPr>
        <w:ind w:left="54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2B33742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C0C7392"/>
    <w:multiLevelType w:val="multilevel"/>
    <w:tmpl w:val="E5BE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C92169B"/>
    <w:multiLevelType w:val="multilevel"/>
    <w:tmpl w:val="F25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DB007FD"/>
    <w:multiLevelType w:val="hybridMultilevel"/>
    <w:tmpl w:val="61627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DDD259F"/>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5867B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CA6202"/>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14E32F0"/>
    <w:multiLevelType w:val="multilevel"/>
    <w:tmpl w:val="A59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D754BB"/>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A04F7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5B66C3"/>
    <w:multiLevelType w:val="multilevel"/>
    <w:tmpl w:val="0F0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0864EE"/>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351DD5"/>
    <w:multiLevelType w:val="multilevel"/>
    <w:tmpl w:val="45AC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491605A"/>
    <w:multiLevelType w:val="multilevel"/>
    <w:tmpl w:val="6B8C5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551413"/>
    <w:multiLevelType w:val="hybridMultilevel"/>
    <w:tmpl w:val="B8287E4C"/>
    <w:lvl w:ilvl="0" w:tplc="54BE73CA">
      <w:start w:val="5"/>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3" w15:restartNumberingAfterBreak="0">
    <w:nsid w:val="36E11994"/>
    <w:multiLevelType w:val="hybridMultilevel"/>
    <w:tmpl w:val="FD1A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6E95778"/>
    <w:multiLevelType w:val="hybridMultilevel"/>
    <w:tmpl w:val="9B0822C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5" w15:restartNumberingAfterBreak="0">
    <w:nsid w:val="387F2815"/>
    <w:multiLevelType w:val="multilevel"/>
    <w:tmpl w:val="B0B81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B65A54"/>
    <w:multiLevelType w:val="hybridMultilevel"/>
    <w:tmpl w:val="FE6036E2"/>
    <w:lvl w:ilvl="0" w:tplc="54BE73C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38FD0067"/>
    <w:multiLevelType w:val="multilevel"/>
    <w:tmpl w:val="61E2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327D4F"/>
    <w:multiLevelType w:val="hybridMultilevel"/>
    <w:tmpl w:val="1B0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8F646F"/>
    <w:multiLevelType w:val="multilevel"/>
    <w:tmpl w:val="6628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C56340"/>
    <w:multiLevelType w:val="multilevel"/>
    <w:tmpl w:val="CC74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AF45692"/>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EC1A8E"/>
    <w:multiLevelType w:val="hybridMultilevel"/>
    <w:tmpl w:val="9BB0584A"/>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3CD3387C"/>
    <w:multiLevelType w:val="multilevel"/>
    <w:tmpl w:val="43E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9B20C9"/>
    <w:multiLevelType w:val="hybridMultilevel"/>
    <w:tmpl w:val="6A62ACDC"/>
    <w:lvl w:ilvl="0" w:tplc="3058138C">
      <w:start w:val="1"/>
      <w:numFmt w:val="decimal"/>
      <w:lvlText w:val="%1."/>
      <w:lvlJc w:val="left"/>
      <w:pPr>
        <w:ind w:left="1698" w:hanging="360"/>
      </w:pPr>
      <w:rPr>
        <w:rFonts w:hint="default"/>
      </w:rPr>
    </w:lvl>
    <w:lvl w:ilvl="1" w:tplc="04090019" w:tentative="1">
      <w:start w:val="1"/>
      <w:numFmt w:val="lowerLetter"/>
      <w:lvlText w:val="%2."/>
      <w:lvlJc w:val="left"/>
      <w:pPr>
        <w:ind w:left="2418" w:hanging="360"/>
      </w:pPr>
    </w:lvl>
    <w:lvl w:ilvl="2" w:tplc="0409001B" w:tentative="1">
      <w:start w:val="1"/>
      <w:numFmt w:val="lowerRoman"/>
      <w:lvlText w:val="%3."/>
      <w:lvlJc w:val="right"/>
      <w:pPr>
        <w:ind w:left="3138" w:hanging="180"/>
      </w:pPr>
    </w:lvl>
    <w:lvl w:ilvl="3" w:tplc="0409000F" w:tentative="1">
      <w:start w:val="1"/>
      <w:numFmt w:val="decimal"/>
      <w:lvlText w:val="%4."/>
      <w:lvlJc w:val="left"/>
      <w:pPr>
        <w:ind w:left="3858" w:hanging="360"/>
      </w:pPr>
    </w:lvl>
    <w:lvl w:ilvl="4" w:tplc="04090019" w:tentative="1">
      <w:start w:val="1"/>
      <w:numFmt w:val="lowerLetter"/>
      <w:lvlText w:val="%5."/>
      <w:lvlJc w:val="left"/>
      <w:pPr>
        <w:ind w:left="4578" w:hanging="360"/>
      </w:pPr>
    </w:lvl>
    <w:lvl w:ilvl="5" w:tplc="0409001B" w:tentative="1">
      <w:start w:val="1"/>
      <w:numFmt w:val="lowerRoman"/>
      <w:lvlText w:val="%6."/>
      <w:lvlJc w:val="right"/>
      <w:pPr>
        <w:ind w:left="5298" w:hanging="180"/>
      </w:pPr>
    </w:lvl>
    <w:lvl w:ilvl="6" w:tplc="0409000F" w:tentative="1">
      <w:start w:val="1"/>
      <w:numFmt w:val="decimal"/>
      <w:lvlText w:val="%7."/>
      <w:lvlJc w:val="left"/>
      <w:pPr>
        <w:ind w:left="6018" w:hanging="360"/>
      </w:pPr>
    </w:lvl>
    <w:lvl w:ilvl="7" w:tplc="04090019" w:tentative="1">
      <w:start w:val="1"/>
      <w:numFmt w:val="lowerLetter"/>
      <w:lvlText w:val="%8."/>
      <w:lvlJc w:val="left"/>
      <w:pPr>
        <w:ind w:left="6738" w:hanging="360"/>
      </w:pPr>
    </w:lvl>
    <w:lvl w:ilvl="8" w:tplc="0409001B" w:tentative="1">
      <w:start w:val="1"/>
      <w:numFmt w:val="lowerRoman"/>
      <w:lvlText w:val="%9."/>
      <w:lvlJc w:val="right"/>
      <w:pPr>
        <w:ind w:left="7458" w:hanging="180"/>
      </w:pPr>
    </w:lvl>
  </w:abstractNum>
  <w:abstractNum w:abstractNumId="105" w15:restartNumberingAfterBreak="0">
    <w:nsid w:val="3DA94195"/>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423085"/>
    <w:multiLevelType w:val="multilevel"/>
    <w:tmpl w:val="2CF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E7C6086"/>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E7D6F89"/>
    <w:multiLevelType w:val="hybridMultilevel"/>
    <w:tmpl w:val="E64A2C34"/>
    <w:lvl w:ilvl="0" w:tplc="3D8458E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15:restartNumberingAfterBreak="0">
    <w:nsid w:val="40122F99"/>
    <w:multiLevelType w:val="hybridMultilevel"/>
    <w:tmpl w:val="64A44E7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0" w15:restartNumberingAfterBreak="0">
    <w:nsid w:val="403C7A1E"/>
    <w:multiLevelType w:val="hybridMultilevel"/>
    <w:tmpl w:val="37C4CFD8"/>
    <w:lvl w:ilvl="0" w:tplc="D5522762">
      <w:start w:val="3"/>
      <w:numFmt w:val="decimal"/>
      <w:lvlText w:val="%1."/>
      <w:lvlJc w:val="left"/>
      <w:pPr>
        <w:ind w:left="2146" w:hanging="360"/>
      </w:pPr>
      <w:rPr>
        <w:rFonts w:hint="default"/>
      </w:rPr>
    </w:lvl>
    <w:lvl w:ilvl="1" w:tplc="04090019">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111" w15:restartNumberingAfterBreak="0">
    <w:nsid w:val="403D34B3"/>
    <w:multiLevelType w:val="multilevel"/>
    <w:tmpl w:val="05F4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0BB7BB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1191329"/>
    <w:multiLevelType w:val="multilevel"/>
    <w:tmpl w:val="AA8A2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2B1C07"/>
    <w:multiLevelType w:val="multilevel"/>
    <w:tmpl w:val="DA14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3363EDA"/>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4C9237E"/>
    <w:multiLevelType w:val="multilevel"/>
    <w:tmpl w:val="99A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F658BE"/>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50058E7"/>
    <w:multiLevelType w:val="hybridMultilevel"/>
    <w:tmpl w:val="B740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502253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5405DFA"/>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AE6359"/>
    <w:multiLevelType w:val="multilevel"/>
    <w:tmpl w:val="1B7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D300B2"/>
    <w:multiLevelType w:val="multilevel"/>
    <w:tmpl w:val="A3A6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5DF3A18"/>
    <w:multiLevelType w:val="multilevel"/>
    <w:tmpl w:val="F6CC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8D00DA9"/>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D427C3"/>
    <w:multiLevelType w:val="multilevel"/>
    <w:tmpl w:val="3952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9707F79"/>
    <w:multiLevelType w:val="hybridMultilevel"/>
    <w:tmpl w:val="132E5438"/>
    <w:lvl w:ilvl="0" w:tplc="54BE73CA">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9BD2E34"/>
    <w:multiLevelType w:val="hybridMultilevel"/>
    <w:tmpl w:val="6852B0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DD5709"/>
    <w:multiLevelType w:val="hybridMultilevel"/>
    <w:tmpl w:val="65FC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9E05443"/>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B2331F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BBF1D2A"/>
    <w:multiLevelType w:val="hybridMultilevel"/>
    <w:tmpl w:val="30C8C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E15A1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7032EA"/>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F96043F"/>
    <w:multiLevelType w:val="multilevel"/>
    <w:tmpl w:val="2D70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FB22655"/>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FFB1BC6"/>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0145F2A"/>
    <w:multiLevelType w:val="multilevel"/>
    <w:tmpl w:val="19A07190"/>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38" w15:restartNumberingAfterBreak="0">
    <w:nsid w:val="503241DB"/>
    <w:multiLevelType w:val="multilevel"/>
    <w:tmpl w:val="4086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0A34722"/>
    <w:multiLevelType w:val="hybridMultilevel"/>
    <w:tmpl w:val="4800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12822B5"/>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1655912"/>
    <w:multiLevelType w:val="hybridMultilevel"/>
    <w:tmpl w:val="B6742A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2" w15:restartNumberingAfterBreak="0">
    <w:nsid w:val="516D048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1875CA6"/>
    <w:multiLevelType w:val="multilevel"/>
    <w:tmpl w:val="3AB4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2E13A99"/>
    <w:multiLevelType w:val="multilevel"/>
    <w:tmpl w:val="01686F84"/>
    <w:lvl w:ilvl="0">
      <w:start w:val="1"/>
      <w:numFmt w:val="decimal"/>
      <w:lvlText w:val="%1."/>
      <w:lvlJc w:val="left"/>
      <w:pPr>
        <w:ind w:left="1069" w:hanging="360"/>
      </w:pPr>
      <w:rPr>
        <w:rFonts w:hint="default"/>
      </w:rPr>
    </w:lvl>
    <w:lvl w:ilvl="1">
      <w:start w:val="1"/>
      <w:numFmt w:val="decimal"/>
      <w:isLgl/>
      <w:lvlText w:val="%1.%2."/>
      <w:lvlJc w:val="left"/>
      <w:pPr>
        <w:ind w:left="1426" w:hanging="360"/>
      </w:pPr>
      <w:rPr>
        <w:rFonts w:hint="default"/>
      </w:rPr>
    </w:lvl>
    <w:lvl w:ilvl="2">
      <w:start w:val="1"/>
      <w:numFmt w:val="decimal"/>
      <w:isLgl/>
      <w:lvlText w:val="%1.%2.%3."/>
      <w:lvlJc w:val="left"/>
      <w:pPr>
        <w:ind w:left="2143"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17" w:hanging="1080"/>
      </w:pPr>
      <w:rPr>
        <w:rFonts w:hint="default"/>
      </w:rPr>
    </w:lvl>
    <w:lvl w:ilvl="5">
      <w:start w:val="1"/>
      <w:numFmt w:val="decimal"/>
      <w:isLgl/>
      <w:lvlText w:val="%1.%2.%3.%4.%5.%6."/>
      <w:lvlJc w:val="left"/>
      <w:pPr>
        <w:ind w:left="3574" w:hanging="1080"/>
      </w:pPr>
      <w:rPr>
        <w:rFonts w:hint="default"/>
      </w:rPr>
    </w:lvl>
    <w:lvl w:ilvl="6">
      <w:start w:val="1"/>
      <w:numFmt w:val="decimal"/>
      <w:isLgl/>
      <w:lvlText w:val="%1.%2.%3.%4.%5.%6.%7."/>
      <w:lvlJc w:val="left"/>
      <w:pPr>
        <w:ind w:left="4291" w:hanging="1440"/>
      </w:pPr>
      <w:rPr>
        <w:rFonts w:hint="default"/>
      </w:rPr>
    </w:lvl>
    <w:lvl w:ilvl="7">
      <w:start w:val="1"/>
      <w:numFmt w:val="decimal"/>
      <w:isLgl/>
      <w:lvlText w:val="%1.%2.%3.%4.%5.%6.%7.%8."/>
      <w:lvlJc w:val="left"/>
      <w:pPr>
        <w:ind w:left="4648" w:hanging="1440"/>
      </w:pPr>
      <w:rPr>
        <w:rFonts w:hint="default"/>
      </w:rPr>
    </w:lvl>
    <w:lvl w:ilvl="8">
      <w:start w:val="1"/>
      <w:numFmt w:val="decimal"/>
      <w:isLgl/>
      <w:lvlText w:val="%1.%2.%3.%4.%5.%6.%7.%8.%9."/>
      <w:lvlJc w:val="left"/>
      <w:pPr>
        <w:ind w:left="5365" w:hanging="1800"/>
      </w:pPr>
      <w:rPr>
        <w:rFonts w:hint="default"/>
      </w:rPr>
    </w:lvl>
  </w:abstractNum>
  <w:abstractNum w:abstractNumId="145" w15:restartNumberingAfterBreak="0">
    <w:nsid w:val="55E046E8"/>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5F970F3"/>
    <w:multiLevelType w:val="hybridMultilevel"/>
    <w:tmpl w:val="AF08403C"/>
    <w:lvl w:ilvl="0" w:tplc="0409000B">
      <w:start w:val="1"/>
      <w:numFmt w:val="bullet"/>
      <w:lvlText w:val=""/>
      <w:lvlJc w:val="left"/>
      <w:pPr>
        <w:ind w:left="1712" w:hanging="360"/>
      </w:pPr>
      <w:rPr>
        <w:rFonts w:ascii="Wingdings" w:hAnsi="Wingdings" w:hint="default"/>
      </w:rPr>
    </w:lvl>
    <w:lvl w:ilvl="1" w:tplc="04020003" w:tentative="1">
      <w:start w:val="1"/>
      <w:numFmt w:val="bullet"/>
      <w:lvlText w:val="o"/>
      <w:lvlJc w:val="left"/>
      <w:pPr>
        <w:ind w:left="2432" w:hanging="360"/>
      </w:pPr>
      <w:rPr>
        <w:rFonts w:ascii="Courier New" w:hAnsi="Courier New" w:cs="Courier New" w:hint="default"/>
      </w:rPr>
    </w:lvl>
    <w:lvl w:ilvl="2" w:tplc="04020005" w:tentative="1">
      <w:start w:val="1"/>
      <w:numFmt w:val="bullet"/>
      <w:lvlText w:val=""/>
      <w:lvlJc w:val="left"/>
      <w:pPr>
        <w:ind w:left="3152" w:hanging="360"/>
      </w:pPr>
      <w:rPr>
        <w:rFonts w:ascii="Wingdings" w:hAnsi="Wingdings" w:hint="default"/>
      </w:rPr>
    </w:lvl>
    <w:lvl w:ilvl="3" w:tplc="04020001" w:tentative="1">
      <w:start w:val="1"/>
      <w:numFmt w:val="bullet"/>
      <w:lvlText w:val=""/>
      <w:lvlJc w:val="left"/>
      <w:pPr>
        <w:ind w:left="3872" w:hanging="360"/>
      </w:pPr>
      <w:rPr>
        <w:rFonts w:ascii="Symbol" w:hAnsi="Symbol" w:hint="default"/>
      </w:rPr>
    </w:lvl>
    <w:lvl w:ilvl="4" w:tplc="04020003" w:tentative="1">
      <w:start w:val="1"/>
      <w:numFmt w:val="bullet"/>
      <w:lvlText w:val="o"/>
      <w:lvlJc w:val="left"/>
      <w:pPr>
        <w:ind w:left="4592" w:hanging="360"/>
      </w:pPr>
      <w:rPr>
        <w:rFonts w:ascii="Courier New" w:hAnsi="Courier New" w:cs="Courier New" w:hint="default"/>
      </w:rPr>
    </w:lvl>
    <w:lvl w:ilvl="5" w:tplc="04020005" w:tentative="1">
      <w:start w:val="1"/>
      <w:numFmt w:val="bullet"/>
      <w:lvlText w:val=""/>
      <w:lvlJc w:val="left"/>
      <w:pPr>
        <w:ind w:left="5312" w:hanging="360"/>
      </w:pPr>
      <w:rPr>
        <w:rFonts w:ascii="Wingdings" w:hAnsi="Wingdings" w:hint="default"/>
      </w:rPr>
    </w:lvl>
    <w:lvl w:ilvl="6" w:tplc="04020001" w:tentative="1">
      <w:start w:val="1"/>
      <w:numFmt w:val="bullet"/>
      <w:lvlText w:val=""/>
      <w:lvlJc w:val="left"/>
      <w:pPr>
        <w:ind w:left="6032" w:hanging="360"/>
      </w:pPr>
      <w:rPr>
        <w:rFonts w:ascii="Symbol" w:hAnsi="Symbol" w:hint="default"/>
      </w:rPr>
    </w:lvl>
    <w:lvl w:ilvl="7" w:tplc="04020003" w:tentative="1">
      <w:start w:val="1"/>
      <w:numFmt w:val="bullet"/>
      <w:lvlText w:val="o"/>
      <w:lvlJc w:val="left"/>
      <w:pPr>
        <w:ind w:left="6752" w:hanging="360"/>
      </w:pPr>
      <w:rPr>
        <w:rFonts w:ascii="Courier New" w:hAnsi="Courier New" w:cs="Courier New" w:hint="default"/>
      </w:rPr>
    </w:lvl>
    <w:lvl w:ilvl="8" w:tplc="04020005" w:tentative="1">
      <w:start w:val="1"/>
      <w:numFmt w:val="bullet"/>
      <w:lvlText w:val=""/>
      <w:lvlJc w:val="left"/>
      <w:pPr>
        <w:ind w:left="7472" w:hanging="360"/>
      </w:pPr>
      <w:rPr>
        <w:rFonts w:ascii="Wingdings" w:hAnsi="Wingdings" w:hint="default"/>
      </w:rPr>
    </w:lvl>
  </w:abstractNum>
  <w:abstractNum w:abstractNumId="147" w15:restartNumberingAfterBreak="0">
    <w:nsid w:val="55FA2F71"/>
    <w:multiLevelType w:val="multilevel"/>
    <w:tmpl w:val="7558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7355D42"/>
    <w:multiLevelType w:val="multilevel"/>
    <w:tmpl w:val="F1C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3F42E8"/>
    <w:multiLevelType w:val="multilevel"/>
    <w:tmpl w:val="03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99912D9"/>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9B12E9B"/>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9FC70C3"/>
    <w:multiLevelType w:val="multilevel"/>
    <w:tmpl w:val="77F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0C3927"/>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A7471C"/>
    <w:multiLevelType w:val="hybridMultilevel"/>
    <w:tmpl w:val="95A8E8C8"/>
    <w:lvl w:ilvl="0" w:tplc="824634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CDA7028"/>
    <w:multiLevelType w:val="hybridMultilevel"/>
    <w:tmpl w:val="A040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EDB5204"/>
    <w:multiLevelType w:val="hybridMultilevel"/>
    <w:tmpl w:val="5BB2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C97A7C"/>
    <w:multiLevelType w:val="multilevel"/>
    <w:tmpl w:val="942E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FDB15C0"/>
    <w:multiLevelType w:val="hybridMultilevel"/>
    <w:tmpl w:val="11E03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FF51175"/>
    <w:multiLevelType w:val="multilevel"/>
    <w:tmpl w:val="E8C6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0490BE6"/>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05E47A2"/>
    <w:multiLevelType w:val="hybridMultilevel"/>
    <w:tmpl w:val="3E406A1A"/>
    <w:lvl w:ilvl="0" w:tplc="04090001">
      <w:start w:val="1"/>
      <w:numFmt w:val="bullet"/>
      <w:lvlText w:val=""/>
      <w:lvlJc w:val="left"/>
      <w:pPr>
        <w:ind w:left="1583" w:hanging="360"/>
      </w:pPr>
      <w:rPr>
        <w:rFonts w:ascii="Symbol" w:hAnsi="Symbol" w:hint="default"/>
      </w:rPr>
    </w:lvl>
    <w:lvl w:ilvl="1" w:tplc="04B618A6">
      <w:numFmt w:val="bullet"/>
      <w:lvlText w:val="-"/>
      <w:lvlJc w:val="left"/>
      <w:pPr>
        <w:ind w:left="2303" w:hanging="360"/>
      </w:pPr>
      <w:rPr>
        <w:rFonts w:ascii="Times New Roman" w:eastAsia="Times New Roman" w:hAnsi="Times New Roman" w:cs="Times New Roman"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162" w15:restartNumberingAfterBreak="0">
    <w:nsid w:val="617C1681"/>
    <w:multiLevelType w:val="multilevel"/>
    <w:tmpl w:val="2EA4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1926FC9"/>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1FE1EFD"/>
    <w:multiLevelType w:val="multilevel"/>
    <w:tmpl w:val="A650C5F4"/>
    <w:lvl w:ilvl="0">
      <w:start w:val="1"/>
      <w:numFmt w:val="upperRoman"/>
      <w:lvlText w:val="%1."/>
      <w:lvlJc w:val="right"/>
      <w:pPr>
        <w:ind w:left="720" w:hanging="360"/>
      </w:pPr>
      <w:rPr>
        <w:rFonts w:hint="default"/>
        <w:b/>
      </w:rPr>
    </w:lvl>
    <w:lvl w:ilvl="1">
      <w:start w:val="1"/>
      <w:numFmt w:val="decimal"/>
      <w:isLgl/>
      <w:lvlText w:val="%1.%2."/>
      <w:lvlJc w:val="left"/>
      <w:pPr>
        <w:ind w:left="3060" w:hanging="360"/>
      </w:pPr>
      <w:rPr>
        <w:rFonts w:hint="default"/>
        <w:b/>
      </w:rPr>
    </w:lvl>
    <w:lvl w:ilvl="2">
      <w:start w:val="1"/>
      <w:numFmt w:val="decimal"/>
      <w:isLgl/>
      <w:lvlText w:val="%1.%2.%3."/>
      <w:lvlJc w:val="left"/>
      <w:pPr>
        <w:ind w:left="2492" w:hanging="720"/>
      </w:pPr>
      <w:rPr>
        <w:rFonts w:hint="default"/>
        <w:b/>
        <w:bCs/>
      </w:rPr>
    </w:lvl>
    <w:lvl w:ilvl="3">
      <w:start w:val="1"/>
      <w:numFmt w:val="decimal"/>
      <w:isLgl/>
      <w:lvlText w:val="%1.%2.%3.%4."/>
      <w:lvlJc w:val="left"/>
      <w:pPr>
        <w:ind w:left="3198" w:hanging="72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4970" w:hanging="108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6742" w:hanging="1440"/>
      </w:pPr>
      <w:rPr>
        <w:rFonts w:hint="default"/>
      </w:rPr>
    </w:lvl>
    <w:lvl w:ilvl="8">
      <w:start w:val="1"/>
      <w:numFmt w:val="decimal"/>
      <w:isLgl/>
      <w:lvlText w:val="%1.%2.%3.%4.%5.%6.%7.%8.%9."/>
      <w:lvlJc w:val="left"/>
      <w:pPr>
        <w:ind w:left="7808" w:hanging="1800"/>
      </w:pPr>
      <w:rPr>
        <w:rFonts w:hint="default"/>
      </w:rPr>
    </w:lvl>
  </w:abstractNum>
  <w:abstractNum w:abstractNumId="165" w15:restartNumberingAfterBreak="0">
    <w:nsid w:val="62522840"/>
    <w:multiLevelType w:val="multilevel"/>
    <w:tmpl w:val="CFB6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2B42BC"/>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43628A9"/>
    <w:multiLevelType w:val="multilevel"/>
    <w:tmpl w:val="1AB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6C3DE3"/>
    <w:multiLevelType w:val="multilevel"/>
    <w:tmpl w:val="F3A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520416C"/>
    <w:multiLevelType w:val="multilevel"/>
    <w:tmpl w:val="1D3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62609DA"/>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67B5334"/>
    <w:multiLevelType w:val="hybridMultilevel"/>
    <w:tmpl w:val="13B4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87E027D"/>
    <w:multiLevelType w:val="multilevel"/>
    <w:tmpl w:val="3C7CC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89B5D93"/>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0D6006"/>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9547EAA"/>
    <w:multiLevelType w:val="multilevel"/>
    <w:tmpl w:val="33D27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A547232"/>
    <w:multiLevelType w:val="multilevel"/>
    <w:tmpl w:val="7EEE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A8673FA"/>
    <w:multiLevelType w:val="multilevel"/>
    <w:tmpl w:val="FE00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B130EC2"/>
    <w:multiLevelType w:val="multilevel"/>
    <w:tmpl w:val="9D8EE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D070718"/>
    <w:multiLevelType w:val="hybridMultilevel"/>
    <w:tmpl w:val="C8EEF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DC2081C"/>
    <w:multiLevelType w:val="multilevel"/>
    <w:tmpl w:val="7B10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DF40B0D"/>
    <w:multiLevelType w:val="multilevel"/>
    <w:tmpl w:val="659C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F50ECE"/>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14457E"/>
    <w:multiLevelType w:val="hybridMultilevel"/>
    <w:tmpl w:val="8AE023F0"/>
    <w:lvl w:ilvl="0" w:tplc="54BE73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F124EA3"/>
    <w:multiLevelType w:val="hybridMultilevel"/>
    <w:tmpl w:val="127C99F0"/>
    <w:lvl w:ilvl="0" w:tplc="9FCC03D0">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F63047E"/>
    <w:multiLevelType w:val="multilevel"/>
    <w:tmpl w:val="0C4C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F74137E"/>
    <w:multiLevelType w:val="hybridMultilevel"/>
    <w:tmpl w:val="F558D3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7" w15:restartNumberingAfterBreak="0">
    <w:nsid w:val="6FA273FD"/>
    <w:multiLevelType w:val="multilevel"/>
    <w:tmpl w:val="F1225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FCC46DD"/>
    <w:multiLevelType w:val="multilevel"/>
    <w:tmpl w:val="B730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FF020BC"/>
    <w:multiLevelType w:val="hybridMultilevel"/>
    <w:tmpl w:val="04BAC146"/>
    <w:lvl w:ilvl="0" w:tplc="D5DE4A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700F3A2A"/>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0606060"/>
    <w:multiLevelType w:val="multilevel"/>
    <w:tmpl w:val="0C4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0C634C8"/>
    <w:multiLevelType w:val="multilevel"/>
    <w:tmpl w:val="5132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192D62"/>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2863EFC"/>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9E641C"/>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2A0229F"/>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CA0705"/>
    <w:multiLevelType w:val="hybridMultilevel"/>
    <w:tmpl w:val="1370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4F10ACE"/>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4538C9"/>
    <w:multiLevelType w:val="hybridMultilevel"/>
    <w:tmpl w:val="61627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5C37FCF"/>
    <w:multiLevelType w:val="multilevel"/>
    <w:tmpl w:val="0B8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73E4986"/>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75C4E39"/>
    <w:multiLevelType w:val="multilevel"/>
    <w:tmpl w:val="59B4E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7AA0B4B"/>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9DC423B"/>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A1C656B"/>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A8473AB"/>
    <w:multiLevelType w:val="multilevel"/>
    <w:tmpl w:val="7054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85026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B5073A7"/>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CB61A99"/>
    <w:multiLevelType w:val="hybridMultilevel"/>
    <w:tmpl w:val="18061D84"/>
    <w:lvl w:ilvl="0" w:tplc="45CC0D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0" w15:restartNumberingAfterBreak="0">
    <w:nsid w:val="7DAF72F4"/>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E0B46C2"/>
    <w:multiLevelType w:val="hybridMultilevel"/>
    <w:tmpl w:val="9D5688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EE1455F"/>
    <w:multiLevelType w:val="multilevel"/>
    <w:tmpl w:val="38A47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F651661"/>
    <w:multiLevelType w:val="hybridMultilevel"/>
    <w:tmpl w:val="F7FAF1F4"/>
    <w:lvl w:ilvl="0" w:tplc="A7C849F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F995CDE"/>
    <w:multiLevelType w:val="multilevel"/>
    <w:tmpl w:val="19A0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FB80761"/>
    <w:multiLevelType w:val="hybridMultilevel"/>
    <w:tmpl w:val="971226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89"/>
  </w:num>
  <w:num w:numId="3">
    <w:abstractNumId w:val="197"/>
  </w:num>
  <w:num w:numId="4">
    <w:abstractNumId w:val="144"/>
  </w:num>
  <w:num w:numId="5">
    <w:abstractNumId w:val="126"/>
  </w:num>
  <w:num w:numId="6">
    <w:abstractNumId w:val="29"/>
  </w:num>
  <w:num w:numId="7">
    <w:abstractNumId w:val="183"/>
  </w:num>
  <w:num w:numId="8">
    <w:abstractNumId w:val="158"/>
  </w:num>
  <w:num w:numId="9">
    <w:abstractNumId w:val="155"/>
  </w:num>
  <w:num w:numId="10">
    <w:abstractNumId w:val="164"/>
  </w:num>
  <w:num w:numId="11">
    <w:abstractNumId w:val="27"/>
  </w:num>
  <w:num w:numId="12">
    <w:abstractNumId w:val="110"/>
  </w:num>
  <w:num w:numId="13">
    <w:abstractNumId w:val="128"/>
  </w:num>
  <w:num w:numId="14">
    <w:abstractNumId w:val="109"/>
  </w:num>
  <w:num w:numId="15">
    <w:abstractNumId w:val="9"/>
  </w:num>
  <w:num w:numId="16">
    <w:abstractNumId w:val="43"/>
  </w:num>
  <w:num w:numId="17">
    <w:abstractNumId w:val="161"/>
  </w:num>
  <w:num w:numId="18">
    <w:abstractNumId w:val="47"/>
  </w:num>
  <w:num w:numId="19">
    <w:abstractNumId w:val="146"/>
  </w:num>
  <w:num w:numId="20">
    <w:abstractNumId w:val="100"/>
  </w:num>
  <w:num w:numId="21">
    <w:abstractNumId w:val="169"/>
  </w:num>
  <w:num w:numId="22">
    <w:abstractNumId w:val="176"/>
  </w:num>
  <w:num w:numId="23">
    <w:abstractNumId w:val="213"/>
  </w:num>
  <w:num w:numId="24">
    <w:abstractNumId w:val="65"/>
  </w:num>
  <w:num w:numId="25">
    <w:abstractNumId w:val="55"/>
  </w:num>
  <w:num w:numId="26">
    <w:abstractNumId w:val="127"/>
  </w:num>
  <w:num w:numId="27">
    <w:abstractNumId w:val="0"/>
  </w:num>
  <w:num w:numId="28">
    <w:abstractNumId w:val="104"/>
  </w:num>
  <w:num w:numId="29">
    <w:abstractNumId w:val="139"/>
  </w:num>
  <w:num w:numId="30">
    <w:abstractNumId w:val="93"/>
  </w:num>
  <w:num w:numId="31">
    <w:abstractNumId w:val="188"/>
  </w:num>
  <w:num w:numId="32">
    <w:abstractNumId w:val="6"/>
  </w:num>
  <w:num w:numId="33">
    <w:abstractNumId w:val="77"/>
  </w:num>
  <w:num w:numId="34">
    <w:abstractNumId w:val="45"/>
  </w:num>
  <w:num w:numId="35">
    <w:abstractNumId w:val="179"/>
  </w:num>
  <w:num w:numId="36">
    <w:abstractNumId w:val="96"/>
  </w:num>
  <w:num w:numId="37">
    <w:abstractNumId w:val="37"/>
  </w:num>
  <w:num w:numId="38">
    <w:abstractNumId w:val="18"/>
  </w:num>
  <w:num w:numId="39">
    <w:abstractNumId w:val="1"/>
  </w:num>
  <w:num w:numId="40">
    <w:abstractNumId w:val="4"/>
  </w:num>
  <w:num w:numId="41">
    <w:abstractNumId w:val="94"/>
  </w:num>
  <w:num w:numId="42">
    <w:abstractNumId w:val="209"/>
  </w:num>
  <w:num w:numId="43">
    <w:abstractNumId w:val="64"/>
  </w:num>
  <w:num w:numId="44">
    <w:abstractNumId w:val="68"/>
  </w:num>
  <w:num w:numId="45">
    <w:abstractNumId w:val="186"/>
  </w:num>
  <w:num w:numId="46">
    <w:abstractNumId w:val="102"/>
  </w:num>
  <w:num w:numId="47">
    <w:abstractNumId w:val="108"/>
  </w:num>
  <w:num w:numId="48">
    <w:abstractNumId w:val="51"/>
  </w:num>
  <w:num w:numId="49">
    <w:abstractNumId w:val="92"/>
  </w:num>
  <w:num w:numId="50">
    <w:abstractNumId w:val="74"/>
  </w:num>
  <w:num w:numId="51">
    <w:abstractNumId w:val="39"/>
  </w:num>
  <w:num w:numId="52">
    <w:abstractNumId w:val="59"/>
  </w:num>
  <w:num w:numId="53">
    <w:abstractNumId w:val="154"/>
  </w:num>
  <w:num w:numId="54">
    <w:abstractNumId w:val="118"/>
  </w:num>
  <w:num w:numId="55">
    <w:abstractNumId w:val="156"/>
  </w:num>
  <w:num w:numId="56">
    <w:abstractNumId w:val="75"/>
  </w:num>
  <w:num w:numId="57">
    <w:abstractNumId w:val="130"/>
  </w:num>
  <w:num w:numId="58">
    <w:abstractNumId w:val="82"/>
  </w:num>
  <w:num w:numId="59">
    <w:abstractNumId w:val="210"/>
  </w:num>
  <w:num w:numId="60">
    <w:abstractNumId w:val="101"/>
  </w:num>
  <w:num w:numId="61">
    <w:abstractNumId w:val="145"/>
  </w:num>
  <w:num w:numId="62">
    <w:abstractNumId w:val="170"/>
  </w:num>
  <w:num w:numId="63">
    <w:abstractNumId w:val="67"/>
  </w:num>
  <w:num w:numId="64">
    <w:abstractNumId w:val="166"/>
  </w:num>
  <w:num w:numId="65">
    <w:abstractNumId w:val="61"/>
  </w:num>
  <w:num w:numId="66">
    <w:abstractNumId w:val="124"/>
  </w:num>
  <w:num w:numId="67">
    <w:abstractNumId w:val="142"/>
  </w:num>
  <w:num w:numId="68">
    <w:abstractNumId w:val="194"/>
  </w:num>
  <w:num w:numId="69">
    <w:abstractNumId w:val="28"/>
  </w:num>
  <w:num w:numId="70">
    <w:abstractNumId w:val="129"/>
  </w:num>
  <w:num w:numId="71">
    <w:abstractNumId w:val="187"/>
  </w:num>
  <w:num w:numId="72">
    <w:abstractNumId w:val="162"/>
  </w:num>
  <w:num w:numId="73">
    <w:abstractNumId w:val="12"/>
  </w:num>
  <w:num w:numId="74">
    <w:abstractNumId w:val="33"/>
  </w:num>
  <w:num w:numId="75">
    <w:abstractNumId w:val="80"/>
  </w:num>
  <w:num w:numId="76">
    <w:abstractNumId w:val="165"/>
  </w:num>
  <w:num w:numId="77">
    <w:abstractNumId w:val="180"/>
  </w:num>
  <w:num w:numId="78">
    <w:abstractNumId w:val="149"/>
  </w:num>
  <w:num w:numId="79">
    <w:abstractNumId w:val="15"/>
  </w:num>
  <w:num w:numId="80">
    <w:abstractNumId w:val="122"/>
  </w:num>
  <w:num w:numId="81">
    <w:abstractNumId w:val="206"/>
  </w:num>
  <w:num w:numId="82">
    <w:abstractNumId w:val="99"/>
  </w:num>
  <w:num w:numId="83">
    <w:abstractNumId w:val="97"/>
  </w:num>
  <w:num w:numId="84">
    <w:abstractNumId w:val="148"/>
  </w:num>
  <w:num w:numId="85">
    <w:abstractNumId w:val="168"/>
  </w:num>
  <w:num w:numId="86">
    <w:abstractNumId w:val="22"/>
  </w:num>
  <w:num w:numId="87">
    <w:abstractNumId w:val="30"/>
  </w:num>
  <w:num w:numId="88">
    <w:abstractNumId w:val="171"/>
  </w:num>
  <w:num w:numId="89">
    <w:abstractNumId w:val="121"/>
  </w:num>
  <w:num w:numId="90">
    <w:abstractNumId w:val="2"/>
  </w:num>
  <w:num w:numId="91">
    <w:abstractNumId w:val="167"/>
  </w:num>
  <w:num w:numId="92">
    <w:abstractNumId w:val="50"/>
  </w:num>
  <w:num w:numId="93">
    <w:abstractNumId w:val="44"/>
  </w:num>
  <w:num w:numId="94">
    <w:abstractNumId w:val="7"/>
  </w:num>
  <w:num w:numId="95">
    <w:abstractNumId w:val="111"/>
  </w:num>
  <w:num w:numId="96">
    <w:abstractNumId w:val="175"/>
  </w:num>
  <w:num w:numId="97">
    <w:abstractNumId w:val="54"/>
  </w:num>
  <w:num w:numId="98">
    <w:abstractNumId w:val="181"/>
  </w:num>
  <w:num w:numId="99">
    <w:abstractNumId w:val="106"/>
  </w:num>
  <w:num w:numId="100">
    <w:abstractNumId w:val="125"/>
  </w:num>
  <w:num w:numId="101">
    <w:abstractNumId w:val="147"/>
  </w:num>
  <w:num w:numId="102">
    <w:abstractNumId w:val="157"/>
  </w:num>
  <w:num w:numId="103">
    <w:abstractNumId w:val="200"/>
  </w:num>
  <w:num w:numId="104">
    <w:abstractNumId w:val="159"/>
  </w:num>
  <w:num w:numId="105">
    <w:abstractNumId w:val="36"/>
  </w:num>
  <w:num w:numId="106">
    <w:abstractNumId w:val="56"/>
  </w:num>
  <w:num w:numId="107">
    <w:abstractNumId w:val="66"/>
  </w:num>
  <w:num w:numId="108">
    <w:abstractNumId w:val="114"/>
  </w:num>
  <w:num w:numId="109">
    <w:abstractNumId w:val="62"/>
  </w:num>
  <w:num w:numId="110">
    <w:abstractNumId w:val="32"/>
  </w:num>
  <w:num w:numId="111">
    <w:abstractNumId w:val="143"/>
  </w:num>
  <w:num w:numId="112">
    <w:abstractNumId w:val="192"/>
  </w:num>
  <w:num w:numId="113">
    <w:abstractNumId w:val="90"/>
  </w:num>
  <w:num w:numId="114">
    <w:abstractNumId w:val="177"/>
  </w:num>
  <w:num w:numId="115">
    <w:abstractNumId w:val="57"/>
  </w:num>
  <w:num w:numId="116">
    <w:abstractNumId w:val="26"/>
  </w:num>
  <w:num w:numId="117">
    <w:abstractNumId w:val="88"/>
  </w:num>
  <w:num w:numId="118">
    <w:abstractNumId w:val="35"/>
  </w:num>
  <w:num w:numId="119">
    <w:abstractNumId w:val="178"/>
  </w:num>
  <w:num w:numId="120">
    <w:abstractNumId w:val="95"/>
  </w:num>
  <w:num w:numId="121">
    <w:abstractNumId w:val="91"/>
  </w:num>
  <w:num w:numId="122">
    <w:abstractNumId w:val="20"/>
  </w:num>
  <w:num w:numId="123">
    <w:abstractNumId w:val="172"/>
  </w:num>
  <w:num w:numId="124">
    <w:abstractNumId w:val="79"/>
  </w:num>
  <w:num w:numId="125">
    <w:abstractNumId w:val="202"/>
  </w:num>
  <w:num w:numId="126">
    <w:abstractNumId w:val="41"/>
  </w:num>
  <w:num w:numId="127">
    <w:abstractNumId w:val="84"/>
  </w:num>
  <w:num w:numId="128">
    <w:abstractNumId w:val="201"/>
  </w:num>
  <w:num w:numId="129">
    <w:abstractNumId w:val="151"/>
  </w:num>
  <w:num w:numId="130">
    <w:abstractNumId w:val="17"/>
  </w:num>
  <w:num w:numId="131">
    <w:abstractNumId w:val="117"/>
  </w:num>
  <w:num w:numId="132">
    <w:abstractNumId w:val="203"/>
  </w:num>
  <w:num w:numId="133">
    <w:abstractNumId w:val="86"/>
  </w:num>
  <w:num w:numId="134">
    <w:abstractNumId w:val="13"/>
  </w:num>
  <w:num w:numId="135">
    <w:abstractNumId w:val="190"/>
  </w:num>
  <w:num w:numId="136">
    <w:abstractNumId w:val="21"/>
  </w:num>
  <w:num w:numId="137">
    <w:abstractNumId w:val="174"/>
  </w:num>
  <w:num w:numId="138">
    <w:abstractNumId w:val="19"/>
  </w:num>
  <w:num w:numId="139">
    <w:abstractNumId w:val="8"/>
  </w:num>
  <w:num w:numId="140">
    <w:abstractNumId w:val="163"/>
  </w:num>
  <w:num w:numId="141">
    <w:abstractNumId w:val="182"/>
  </w:num>
  <w:num w:numId="142">
    <w:abstractNumId w:val="87"/>
  </w:num>
  <w:num w:numId="143">
    <w:abstractNumId w:val="133"/>
  </w:num>
  <w:num w:numId="144">
    <w:abstractNumId w:val="173"/>
  </w:num>
  <w:num w:numId="145">
    <w:abstractNumId w:val="16"/>
  </w:num>
  <w:num w:numId="146">
    <w:abstractNumId w:val="120"/>
  </w:num>
  <w:num w:numId="147">
    <w:abstractNumId w:val="63"/>
  </w:num>
  <w:num w:numId="148">
    <w:abstractNumId w:val="204"/>
  </w:num>
  <w:num w:numId="149">
    <w:abstractNumId w:val="14"/>
  </w:num>
  <w:num w:numId="150">
    <w:abstractNumId w:val="132"/>
  </w:num>
  <w:num w:numId="151">
    <w:abstractNumId w:val="71"/>
  </w:num>
  <w:num w:numId="152">
    <w:abstractNumId w:val="160"/>
  </w:num>
  <w:num w:numId="153">
    <w:abstractNumId w:val="135"/>
  </w:num>
  <w:num w:numId="154">
    <w:abstractNumId w:val="137"/>
  </w:num>
  <w:num w:numId="155">
    <w:abstractNumId w:val="24"/>
  </w:num>
  <w:num w:numId="156">
    <w:abstractNumId w:val="140"/>
  </w:num>
  <w:num w:numId="157">
    <w:abstractNumId w:val="69"/>
  </w:num>
  <w:num w:numId="158">
    <w:abstractNumId w:val="198"/>
  </w:num>
  <w:num w:numId="159">
    <w:abstractNumId w:val="89"/>
  </w:num>
  <w:num w:numId="160">
    <w:abstractNumId w:val="105"/>
  </w:num>
  <w:num w:numId="161">
    <w:abstractNumId w:val="208"/>
  </w:num>
  <w:num w:numId="162">
    <w:abstractNumId w:val="70"/>
  </w:num>
  <w:num w:numId="163">
    <w:abstractNumId w:val="73"/>
  </w:num>
  <w:num w:numId="164">
    <w:abstractNumId w:val="46"/>
  </w:num>
  <w:num w:numId="165">
    <w:abstractNumId w:val="25"/>
  </w:num>
  <w:num w:numId="166">
    <w:abstractNumId w:val="193"/>
  </w:num>
  <w:num w:numId="167">
    <w:abstractNumId w:val="107"/>
  </w:num>
  <w:num w:numId="168">
    <w:abstractNumId w:val="115"/>
  </w:num>
  <w:num w:numId="169">
    <w:abstractNumId w:val="195"/>
  </w:num>
  <w:num w:numId="170">
    <w:abstractNumId w:val="10"/>
  </w:num>
  <w:num w:numId="171">
    <w:abstractNumId w:val="72"/>
  </w:num>
  <w:num w:numId="172">
    <w:abstractNumId w:val="78"/>
  </w:num>
  <w:num w:numId="173">
    <w:abstractNumId w:val="83"/>
  </w:num>
  <w:num w:numId="174">
    <w:abstractNumId w:val="150"/>
  </w:num>
  <w:num w:numId="175">
    <w:abstractNumId w:val="119"/>
  </w:num>
  <w:num w:numId="176">
    <w:abstractNumId w:val="207"/>
  </w:num>
  <w:num w:numId="177">
    <w:abstractNumId w:val="196"/>
  </w:num>
  <w:num w:numId="178">
    <w:abstractNumId w:val="153"/>
  </w:num>
  <w:num w:numId="179">
    <w:abstractNumId w:val="112"/>
  </w:num>
  <w:num w:numId="180">
    <w:abstractNumId w:val="40"/>
  </w:num>
  <w:num w:numId="181">
    <w:abstractNumId w:val="214"/>
  </w:num>
  <w:num w:numId="182">
    <w:abstractNumId w:val="205"/>
  </w:num>
  <w:num w:numId="183">
    <w:abstractNumId w:val="3"/>
  </w:num>
  <w:num w:numId="184">
    <w:abstractNumId w:val="38"/>
  </w:num>
  <w:num w:numId="185">
    <w:abstractNumId w:val="136"/>
  </w:num>
  <w:num w:numId="186">
    <w:abstractNumId w:val="52"/>
  </w:num>
  <w:num w:numId="187">
    <w:abstractNumId w:val="23"/>
  </w:num>
  <w:num w:numId="188">
    <w:abstractNumId w:val="34"/>
  </w:num>
  <w:num w:numId="189">
    <w:abstractNumId w:val="85"/>
  </w:num>
  <w:num w:numId="190">
    <w:abstractNumId w:val="76"/>
  </w:num>
  <w:num w:numId="191">
    <w:abstractNumId w:val="212"/>
  </w:num>
  <w:num w:numId="192">
    <w:abstractNumId w:val="5"/>
  </w:num>
  <w:num w:numId="193">
    <w:abstractNumId w:val="49"/>
  </w:num>
  <w:num w:numId="194">
    <w:abstractNumId w:val="48"/>
  </w:num>
  <w:num w:numId="195">
    <w:abstractNumId w:val="138"/>
  </w:num>
  <w:num w:numId="196">
    <w:abstractNumId w:val="123"/>
  </w:num>
  <w:num w:numId="197">
    <w:abstractNumId w:val="11"/>
  </w:num>
  <w:num w:numId="198">
    <w:abstractNumId w:val="116"/>
  </w:num>
  <w:num w:numId="199">
    <w:abstractNumId w:val="113"/>
  </w:num>
  <w:num w:numId="200">
    <w:abstractNumId w:val="42"/>
  </w:num>
  <w:num w:numId="201">
    <w:abstractNumId w:val="103"/>
  </w:num>
  <w:num w:numId="202">
    <w:abstractNumId w:val="191"/>
  </w:num>
  <w:num w:numId="203">
    <w:abstractNumId w:val="134"/>
  </w:num>
  <w:num w:numId="204">
    <w:abstractNumId w:val="152"/>
  </w:num>
  <w:num w:numId="205">
    <w:abstractNumId w:val="185"/>
  </w:num>
  <w:num w:numId="206">
    <w:abstractNumId w:val="58"/>
  </w:num>
  <w:num w:numId="207">
    <w:abstractNumId w:val="141"/>
  </w:num>
  <w:num w:numId="208">
    <w:abstractNumId w:val="199"/>
  </w:num>
  <w:num w:numId="209">
    <w:abstractNumId w:val="98"/>
  </w:num>
  <w:num w:numId="210">
    <w:abstractNumId w:val="53"/>
  </w:num>
  <w:num w:numId="211">
    <w:abstractNumId w:val="81"/>
  </w:num>
  <w:num w:numId="212">
    <w:abstractNumId w:val="215"/>
  </w:num>
  <w:num w:numId="213">
    <w:abstractNumId w:val="131"/>
  </w:num>
  <w:num w:numId="214">
    <w:abstractNumId w:val="211"/>
  </w:num>
  <w:num w:numId="215">
    <w:abstractNumId w:val="184"/>
  </w:num>
  <w:num w:numId="216">
    <w:abstractNumId w:val="60"/>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C3"/>
    <w:rsid w:val="00003FEC"/>
    <w:rsid w:val="0000481E"/>
    <w:rsid w:val="00004858"/>
    <w:rsid w:val="00006D9D"/>
    <w:rsid w:val="000100F0"/>
    <w:rsid w:val="00011400"/>
    <w:rsid w:val="00011AAB"/>
    <w:rsid w:val="0001378D"/>
    <w:rsid w:val="000141E1"/>
    <w:rsid w:val="000167B1"/>
    <w:rsid w:val="00017B15"/>
    <w:rsid w:val="00020EDE"/>
    <w:rsid w:val="00021BFB"/>
    <w:rsid w:val="00023DFA"/>
    <w:rsid w:val="00024530"/>
    <w:rsid w:val="00024AFE"/>
    <w:rsid w:val="00024ED5"/>
    <w:rsid w:val="000278CF"/>
    <w:rsid w:val="00034948"/>
    <w:rsid w:val="00035506"/>
    <w:rsid w:val="000363F4"/>
    <w:rsid w:val="00040A50"/>
    <w:rsid w:val="00043120"/>
    <w:rsid w:val="000439E5"/>
    <w:rsid w:val="00044E8E"/>
    <w:rsid w:val="00045BCE"/>
    <w:rsid w:val="000464BF"/>
    <w:rsid w:val="00047AD0"/>
    <w:rsid w:val="00050809"/>
    <w:rsid w:val="0005138F"/>
    <w:rsid w:val="000526EA"/>
    <w:rsid w:val="00053929"/>
    <w:rsid w:val="00054DF7"/>
    <w:rsid w:val="0006054E"/>
    <w:rsid w:val="00065CD0"/>
    <w:rsid w:val="00066059"/>
    <w:rsid w:val="00070385"/>
    <w:rsid w:val="000711CF"/>
    <w:rsid w:val="00072547"/>
    <w:rsid w:val="000739AF"/>
    <w:rsid w:val="000750DD"/>
    <w:rsid w:val="000758F5"/>
    <w:rsid w:val="00082536"/>
    <w:rsid w:val="000826E2"/>
    <w:rsid w:val="00083AB0"/>
    <w:rsid w:val="0008592A"/>
    <w:rsid w:val="0009228D"/>
    <w:rsid w:val="00092474"/>
    <w:rsid w:val="00094075"/>
    <w:rsid w:val="0009707A"/>
    <w:rsid w:val="000A733D"/>
    <w:rsid w:val="000A742E"/>
    <w:rsid w:val="000B0452"/>
    <w:rsid w:val="000B308D"/>
    <w:rsid w:val="000B4746"/>
    <w:rsid w:val="000C300B"/>
    <w:rsid w:val="000C4ED5"/>
    <w:rsid w:val="000C5E1D"/>
    <w:rsid w:val="000D0416"/>
    <w:rsid w:val="000D053D"/>
    <w:rsid w:val="000D7A26"/>
    <w:rsid w:val="000E2768"/>
    <w:rsid w:val="000E3C5E"/>
    <w:rsid w:val="000E4A76"/>
    <w:rsid w:val="000E5BB5"/>
    <w:rsid w:val="000E7667"/>
    <w:rsid w:val="000F2D3C"/>
    <w:rsid w:val="00100651"/>
    <w:rsid w:val="00101DBB"/>
    <w:rsid w:val="001021A8"/>
    <w:rsid w:val="001023CC"/>
    <w:rsid w:val="0010492F"/>
    <w:rsid w:val="00104998"/>
    <w:rsid w:val="001059C3"/>
    <w:rsid w:val="00107938"/>
    <w:rsid w:val="00110647"/>
    <w:rsid w:val="00111A4A"/>
    <w:rsid w:val="0011220F"/>
    <w:rsid w:val="00112965"/>
    <w:rsid w:val="001154F3"/>
    <w:rsid w:val="00122994"/>
    <w:rsid w:val="00122D30"/>
    <w:rsid w:val="00122F6C"/>
    <w:rsid w:val="001238C1"/>
    <w:rsid w:val="00127F33"/>
    <w:rsid w:val="00130AE5"/>
    <w:rsid w:val="00130D18"/>
    <w:rsid w:val="00131EB6"/>
    <w:rsid w:val="001327C0"/>
    <w:rsid w:val="001342B8"/>
    <w:rsid w:val="0013451A"/>
    <w:rsid w:val="00136A16"/>
    <w:rsid w:val="001407A4"/>
    <w:rsid w:val="00141320"/>
    <w:rsid w:val="00144250"/>
    <w:rsid w:val="00146E83"/>
    <w:rsid w:val="00152FAC"/>
    <w:rsid w:val="0015514F"/>
    <w:rsid w:val="001559D9"/>
    <w:rsid w:val="00155C31"/>
    <w:rsid w:val="00155D2B"/>
    <w:rsid w:val="0016182E"/>
    <w:rsid w:val="00163DBC"/>
    <w:rsid w:val="00164CC9"/>
    <w:rsid w:val="00174D3B"/>
    <w:rsid w:val="00175A34"/>
    <w:rsid w:val="00177E2D"/>
    <w:rsid w:val="00180B21"/>
    <w:rsid w:val="00180C61"/>
    <w:rsid w:val="0018219D"/>
    <w:rsid w:val="00184FEC"/>
    <w:rsid w:val="00185D17"/>
    <w:rsid w:val="00187752"/>
    <w:rsid w:val="001916E2"/>
    <w:rsid w:val="0019278E"/>
    <w:rsid w:val="0019410B"/>
    <w:rsid w:val="00194523"/>
    <w:rsid w:val="0019630C"/>
    <w:rsid w:val="0019669D"/>
    <w:rsid w:val="00197680"/>
    <w:rsid w:val="001977F8"/>
    <w:rsid w:val="001A3D2D"/>
    <w:rsid w:val="001A51CD"/>
    <w:rsid w:val="001A70A5"/>
    <w:rsid w:val="001B0F02"/>
    <w:rsid w:val="001B0FED"/>
    <w:rsid w:val="001B1011"/>
    <w:rsid w:val="001B347C"/>
    <w:rsid w:val="001B3E57"/>
    <w:rsid w:val="001C0068"/>
    <w:rsid w:val="001C07B1"/>
    <w:rsid w:val="001C1DE9"/>
    <w:rsid w:val="001C48FA"/>
    <w:rsid w:val="001C7FCF"/>
    <w:rsid w:val="001D0B6C"/>
    <w:rsid w:val="001D33E1"/>
    <w:rsid w:val="001D4ECD"/>
    <w:rsid w:val="001D5976"/>
    <w:rsid w:val="001D5F86"/>
    <w:rsid w:val="001D6711"/>
    <w:rsid w:val="001D79AC"/>
    <w:rsid w:val="001E0DF0"/>
    <w:rsid w:val="001E5FB8"/>
    <w:rsid w:val="001F05A6"/>
    <w:rsid w:val="001F18D7"/>
    <w:rsid w:val="001F5E48"/>
    <w:rsid w:val="001F6748"/>
    <w:rsid w:val="001F6DDB"/>
    <w:rsid w:val="001F6FE0"/>
    <w:rsid w:val="00202CD5"/>
    <w:rsid w:val="00203A65"/>
    <w:rsid w:val="00204CEE"/>
    <w:rsid w:val="00204F45"/>
    <w:rsid w:val="002054F4"/>
    <w:rsid w:val="00205A2A"/>
    <w:rsid w:val="00210A8E"/>
    <w:rsid w:val="00211172"/>
    <w:rsid w:val="00212BB9"/>
    <w:rsid w:val="00212DB3"/>
    <w:rsid w:val="00214B92"/>
    <w:rsid w:val="00215E00"/>
    <w:rsid w:val="002161B6"/>
    <w:rsid w:val="00216ADD"/>
    <w:rsid w:val="00220FA6"/>
    <w:rsid w:val="00223575"/>
    <w:rsid w:val="0022695F"/>
    <w:rsid w:val="0023087F"/>
    <w:rsid w:val="00230D03"/>
    <w:rsid w:val="002322A8"/>
    <w:rsid w:val="00235692"/>
    <w:rsid w:val="00236B2F"/>
    <w:rsid w:val="00236EE9"/>
    <w:rsid w:val="00237799"/>
    <w:rsid w:val="002378CC"/>
    <w:rsid w:val="00237EBF"/>
    <w:rsid w:val="00241264"/>
    <w:rsid w:val="00245619"/>
    <w:rsid w:val="002479C0"/>
    <w:rsid w:val="002479F3"/>
    <w:rsid w:val="00250C3B"/>
    <w:rsid w:val="0025261F"/>
    <w:rsid w:val="00253436"/>
    <w:rsid w:val="00254ECF"/>
    <w:rsid w:val="002556B6"/>
    <w:rsid w:val="002558C4"/>
    <w:rsid w:val="002561B4"/>
    <w:rsid w:val="00260B97"/>
    <w:rsid w:val="0026560E"/>
    <w:rsid w:val="0026657A"/>
    <w:rsid w:val="00266DF6"/>
    <w:rsid w:val="00267471"/>
    <w:rsid w:val="00270D8F"/>
    <w:rsid w:val="002710CD"/>
    <w:rsid w:val="002732AB"/>
    <w:rsid w:val="002734D1"/>
    <w:rsid w:val="00280D7A"/>
    <w:rsid w:val="00280DB2"/>
    <w:rsid w:val="0028108A"/>
    <w:rsid w:val="0028579F"/>
    <w:rsid w:val="002A2631"/>
    <w:rsid w:val="002A4A02"/>
    <w:rsid w:val="002A7F0F"/>
    <w:rsid w:val="002B02B7"/>
    <w:rsid w:val="002B6F81"/>
    <w:rsid w:val="002B7E22"/>
    <w:rsid w:val="002C00B0"/>
    <w:rsid w:val="002C25B9"/>
    <w:rsid w:val="002C3D77"/>
    <w:rsid w:val="002C6C95"/>
    <w:rsid w:val="002C75C0"/>
    <w:rsid w:val="002D2566"/>
    <w:rsid w:val="002D3AC2"/>
    <w:rsid w:val="002D4904"/>
    <w:rsid w:val="002D4AB8"/>
    <w:rsid w:val="002D720B"/>
    <w:rsid w:val="002D79EB"/>
    <w:rsid w:val="002E006B"/>
    <w:rsid w:val="002E1AA6"/>
    <w:rsid w:val="002E3CE6"/>
    <w:rsid w:val="002E43D4"/>
    <w:rsid w:val="002E6E24"/>
    <w:rsid w:val="002F0A75"/>
    <w:rsid w:val="002F137F"/>
    <w:rsid w:val="002F5303"/>
    <w:rsid w:val="002F5B63"/>
    <w:rsid w:val="002F618B"/>
    <w:rsid w:val="002F7018"/>
    <w:rsid w:val="00300228"/>
    <w:rsid w:val="00304B93"/>
    <w:rsid w:val="00310091"/>
    <w:rsid w:val="003109DB"/>
    <w:rsid w:val="00313386"/>
    <w:rsid w:val="00316A0C"/>
    <w:rsid w:val="00321186"/>
    <w:rsid w:val="0032395B"/>
    <w:rsid w:val="00323A4E"/>
    <w:rsid w:val="00327B29"/>
    <w:rsid w:val="00330E17"/>
    <w:rsid w:val="003332BB"/>
    <w:rsid w:val="00333D13"/>
    <w:rsid w:val="00334F5B"/>
    <w:rsid w:val="00336B52"/>
    <w:rsid w:val="00337B6B"/>
    <w:rsid w:val="00340523"/>
    <w:rsid w:val="00347393"/>
    <w:rsid w:val="003518E9"/>
    <w:rsid w:val="00351A76"/>
    <w:rsid w:val="00352863"/>
    <w:rsid w:val="00354FA3"/>
    <w:rsid w:val="003558C2"/>
    <w:rsid w:val="00355B7F"/>
    <w:rsid w:val="003571E5"/>
    <w:rsid w:val="0035760B"/>
    <w:rsid w:val="00357AF2"/>
    <w:rsid w:val="003619D0"/>
    <w:rsid w:val="00366372"/>
    <w:rsid w:val="00366FFD"/>
    <w:rsid w:val="00367790"/>
    <w:rsid w:val="003679A6"/>
    <w:rsid w:val="00367DC9"/>
    <w:rsid w:val="00370A43"/>
    <w:rsid w:val="003735F3"/>
    <w:rsid w:val="00374511"/>
    <w:rsid w:val="00380458"/>
    <w:rsid w:val="0038459D"/>
    <w:rsid w:val="00384E85"/>
    <w:rsid w:val="00385020"/>
    <w:rsid w:val="00386143"/>
    <w:rsid w:val="00386586"/>
    <w:rsid w:val="00390C4A"/>
    <w:rsid w:val="00395CFA"/>
    <w:rsid w:val="0039639C"/>
    <w:rsid w:val="0039726E"/>
    <w:rsid w:val="003A5CFD"/>
    <w:rsid w:val="003A691E"/>
    <w:rsid w:val="003B0F47"/>
    <w:rsid w:val="003B214A"/>
    <w:rsid w:val="003B26FC"/>
    <w:rsid w:val="003B40F8"/>
    <w:rsid w:val="003B412E"/>
    <w:rsid w:val="003B56D5"/>
    <w:rsid w:val="003C031C"/>
    <w:rsid w:val="003C0F39"/>
    <w:rsid w:val="003C2388"/>
    <w:rsid w:val="003C3F65"/>
    <w:rsid w:val="003C4591"/>
    <w:rsid w:val="003C5B2C"/>
    <w:rsid w:val="003C621F"/>
    <w:rsid w:val="003C638B"/>
    <w:rsid w:val="003C7585"/>
    <w:rsid w:val="003D0D2C"/>
    <w:rsid w:val="003D2B3B"/>
    <w:rsid w:val="003D339C"/>
    <w:rsid w:val="003D4F9B"/>
    <w:rsid w:val="003D5C93"/>
    <w:rsid w:val="003D6106"/>
    <w:rsid w:val="003D64E8"/>
    <w:rsid w:val="003E05FE"/>
    <w:rsid w:val="003E17D3"/>
    <w:rsid w:val="003E1CD5"/>
    <w:rsid w:val="003E3D95"/>
    <w:rsid w:val="003E44C3"/>
    <w:rsid w:val="003E67D8"/>
    <w:rsid w:val="003E7FCD"/>
    <w:rsid w:val="003F04FC"/>
    <w:rsid w:val="003F07E1"/>
    <w:rsid w:val="003F6000"/>
    <w:rsid w:val="003F7669"/>
    <w:rsid w:val="00400056"/>
    <w:rsid w:val="00405291"/>
    <w:rsid w:val="004079CF"/>
    <w:rsid w:val="0042055A"/>
    <w:rsid w:val="00421D39"/>
    <w:rsid w:val="00424826"/>
    <w:rsid w:val="00430F04"/>
    <w:rsid w:val="00431DD6"/>
    <w:rsid w:val="00445E82"/>
    <w:rsid w:val="00446C88"/>
    <w:rsid w:val="00450028"/>
    <w:rsid w:val="00450EAF"/>
    <w:rsid w:val="00454570"/>
    <w:rsid w:val="004547D8"/>
    <w:rsid w:val="00460F76"/>
    <w:rsid w:val="004626F0"/>
    <w:rsid w:val="0046304F"/>
    <w:rsid w:val="00464426"/>
    <w:rsid w:val="00464A40"/>
    <w:rsid w:val="004656FB"/>
    <w:rsid w:val="00466FB3"/>
    <w:rsid w:val="004703A6"/>
    <w:rsid w:val="0047091C"/>
    <w:rsid w:val="00472D96"/>
    <w:rsid w:val="00474DDA"/>
    <w:rsid w:val="00476178"/>
    <w:rsid w:val="00476409"/>
    <w:rsid w:val="00481CBA"/>
    <w:rsid w:val="004832FB"/>
    <w:rsid w:val="0048341D"/>
    <w:rsid w:val="004835C3"/>
    <w:rsid w:val="00491D83"/>
    <w:rsid w:val="00492906"/>
    <w:rsid w:val="0049290C"/>
    <w:rsid w:val="00493DDB"/>
    <w:rsid w:val="00494B26"/>
    <w:rsid w:val="00494FA8"/>
    <w:rsid w:val="00496500"/>
    <w:rsid w:val="004966E5"/>
    <w:rsid w:val="00496719"/>
    <w:rsid w:val="00497157"/>
    <w:rsid w:val="004A0D67"/>
    <w:rsid w:val="004A1D91"/>
    <w:rsid w:val="004A21B6"/>
    <w:rsid w:val="004A25E7"/>
    <w:rsid w:val="004A26B7"/>
    <w:rsid w:val="004A436D"/>
    <w:rsid w:val="004A5E31"/>
    <w:rsid w:val="004B22E5"/>
    <w:rsid w:val="004B5958"/>
    <w:rsid w:val="004C16C2"/>
    <w:rsid w:val="004C3012"/>
    <w:rsid w:val="004C4901"/>
    <w:rsid w:val="004C5C5B"/>
    <w:rsid w:val="004C5E94"/>
    <w:rsid w:val="004C66F4"/>
    <w:rsid w:val="004D0825"/>
    <w:rsid w:val="004D0C1F"/>
    <w:rsid w:val="004D0F6F"/>
    <w:rsid w:val="004D45AE"/>
    <w:rsid w:val="004D4C89"/>
    <w:rsid w:val="004D55AA"/>
    <w:rsid w:val="004D6972"/>
    <w:rsid w:val="004E13E4"/>
    <w:rsid w:val="004E2831"/>
    <w:rsid w:val="004E41C9"/>
    <w:rsid w:val="004E4EE7"/>
    <w:rsid w:val="004E5474"/>
    <w:rsid w:val="004E54C2"/>
    <w:rsid w:val="004E6357"/>
    <w:rsid w:val="004E6B88"/>
    <w:rsid w:val="004E7AAD"/>
    <w:rsid w:val="004F0ED7"/>
    <w:rsid w:val="004F3673"/>
    <w:rsid w:val="004F45FA"/>
    <w:rsid w:val="004F68F6"/>
    <w:rsid w:val="00501379"/>
    <w:rsid w:val="00503553"/>
    <w:rsid w:val="00507837"/>
    <w:rsid w:val="0052006B"/>
    <w:rsid w:val="0052007B"/>
    <w:rsid w:val="0052072F"/>
    <w:rsid w:val="005213D8"/>
    <w:rsid w:val="0052248B"/>
    <w:rsid w:val="00522799"/>
    <w:rsid w:val="005232AD"/>
    <w:rsid w:val="005268E0"/>
    <w:rsid w:val="00526AB8"/>
    <w:rsid w:val="00530C69"/>
    <w:rsid w:val="00531ED9"/>
    <w:rsid w:val="0053443A"/>
    <w:rsid w:val="00536F25"/>
    <w:rsid w:val="00542736"/>
    <w:rsid w:val="005449FE"/>
    <w:rsid w:val="005539D1"/>
    <w:rsid w:val="00554B1B"/>
    <w:rsid w:val="00562369"/>
    <w:rsid w:val="005644AB"/>
    <w:rsid w:val="00565702"/>
    <w:rsid w:val="00566C77"/>
    <w:rsid w:val="005713CC"/>
    <w:rsid w:val="0057379C"/>
    <w:rsid w:val="00573E12"/>
    <w:rsid w:val="00575860"/>
    <w:rsid w:val="005760B5"/>
    <w:rsid w:val="0057642D"/>
    <w:rsid w:val="00577B4F"/>
    <w:rsid w:val="00580CA2"/>
    <w:rsid w:val="005850FD"/>
    <w:rsid w:val="005860E7"/>
    <w:rsid w:val="00590726"/>
    <w:rsid w:val="005909EB"/>
    <w:rsid w:val="00590B40"/>
    <w:rsid w:val="00591396"/>
    <w:rsid w:val="00591AD2"/>
    <w:rsid w:val="00593FA8"/>
    <w:rsid w:val="005A1077"/>
    <w:rsid w:val="005A1914"/>
    <w:rsid w:val="005A35DB"/>
    <w:rsid w:val="005A3D34"/>
    <w:rsid w:val="005B5725"/>
    <w:rsid w:val="005B5BED"/>
    <w:rsid w:val="005B5D9D"/>
    <w:rsid w:val="005B6F72"/>
    <w:rsid w:val="005B75F8"/>
    <w:rsid w:val="005B7A79"/>
    <w:rsid w:val="005C0447"/>
    <w:rsid w:val="005C1465"/>
    <w:rsid w:val="005C1F34"/>
    <w:rsid w:val="005C3AAD"/>
    <w:rsid w:val="005C54FD"/>
    <w:rsid w:val="005C5DD4"/>
    <w:rsid w:val="005C639F"/>
    <w:rsid w:val="005D3B8D"/>
    <w:rsid w:val="005D609F"/>
    <w:rsid w:val="005E00A0"/>
    <w:rsid w:val="005E2A0E"/>
    <w:rsid w:val="005E41DB"/>
    <w:rsid w:val="005F2402"/>
    <w:rsid w:val="005F3419"/>
    <w:rsid w:val="005F4745"/>
    <w:rsid w:val="005F4EBD"/>
    <w:rsid w:val="005F72F4"/>
    <w:rsid w:val="005F7369"/>
    <w:rsid w:val="005F75C9"/>
    <w:rsid w:val="00600BA3"/>
    <w:rsid w:val="00604E9E"/>
    <w:rsid w:val="00604F3B"/>
    <w:rsid w:val="00605124"/>
    <w:rsid w:val="006066E8"/>
    <w:rsid w:val="00606D1A"/>
    <w:rsid w:val="00610A20"/>
    <w:rsid w:val="00611B19"/>
    <w:rsid w:val="00612388"/>
    <w:rsid w:val="006128CB"/>
    <w:rsid w:val="0061613B"/>
    <w:rsid w:val="00617269"/>
    <w:rsid w:val="00625650"/>
    <w:rsid w:val="0063106E"/>
    <w:rsid w:val="006314C8"/>
    <w:rsid w:val="006405BD"/>
    <w:rsid w:val="00642AAC"/>
    <w:rsid w:val="00643145"/>
    <w:rsid w:val="00643357"/>
    <w:rsid w:val="006433DD"/>
    <w:rsid w:val="006439F8"/>
    <w:rsid w:val="00644694"/>
    <w:rsid w:val="00645465"/>
    <w:rsid w:val="00646D0F"/>
    <w:rsid w:val="006507D7"/>
    <w:rsid w:val="00650F7A"/>
    <w:rsid w:val="00652F3A"/>
    <w:rsid w:val="006558FC"/>
    <w:rsid w:val="00661041"/>
    <w:rsid w:val="0066136A"/>
    <w:rsid w:val="006619C4"/>
    <w:rsid w:val="00663B16"/>
    <w:rsid w:val="00666220"/>
    <w:rsid w:val="00667612"/>
    <w:rsid w:val="00667BD8"/>
    <w:rsid w:val="006706C8"/>
    <w:rsid w:val="006808E9"/>
    <w:rsid w:val="00681C1D"/>
    <w:rsid w:val="00681EDA"/>
    <w:rsid w:val="00684DF3"/>
    <w:rsid w:val="0069192B"/>
    <w:rsid w:val="00692964"/>
    <w:rsid w:val="006937D6"/>
    <w:rsid w:val="0069430D"/>
    <w:rsid w:val="0069438C"/>
    <w:rsid w:val="006A217F"/>
    <w:rsid w:val="006A66B4"/>
    <w:rsid w:val="006A6A02"/>
    <w:rsid w:val="006B14CC"/>
    <w:rsid w:val="006B43F4"/>
    <w:rsid w:val="006B4FAF"/>
    <w:rsid w:val="006B5C6C"/>
    <w:rsid w:val="006B659F"/>
    <w:rsid w:val="006C0743"/>
    <w:rsid w:val="006C38D0"/>
    <w:rsid w:val="006C54F4"/>
    <w:rsid w:val="006C583E"/>
    <w:rsid w:val="006D1619"/>
    <w:rsid w:val="006D1888"/>
    <w:rsid w:val="006D53B4"/>
    <w:rsid w:val="006D7474"/>
    <w:rsid w:val="006E1AA5"/>
    <w:rsid w:val="006E3A33"/>
    <w:rsid w:val="006E661C"/>
    <w:rsid w:val="006F02CF"/>
    <w:rsid w:val="006F042A"/>
    <w:rsid w:val="006F1A58"/>
    <w:rsid w:val="006F2539"/>
    <w:rsid w:val="006F2793"/>
    <w:rsid w:val="006F4657"/>
    <w:rsid w:val="006F5D5F"/>
    <w:rsid w:val="0070359A"/>
    <w:rsid w:val="00703B4D"/>
    <w:rsid w:val="007077C4"/>
    <w:rsid w:val="0070783A"/>
    <w:rsid w:val="00711C88"/>
    <w:rsid w:val="0071777E"/>
    <w:rsid w:val="00732274"/>
    <w:rsid w:val="0073569D"/>
    <w:rsid w:val="00736BAF"/>
    <w:rsid w:val="00742C78"/>
    <w:rsid w:val="0074376C"/>
    <w:rsid w:val="00744A85"/>
    <w:rsid w:val="00746E3E"/>
    <w:rsid w:val="0074753A"/>
    <w:rsid w:val="00750E90"/>
    <w:rsid w:val="007522E5"/>
    <w:rsid w:val="007539CA"/>
    <w:rsid w:val="007545FC"/>
    <w:rsid w:val="00755EA4"/>
    <w:rsid w:val="00757390"/>
    <w:rsid w:val="0075769B"/>
    <w:rsid w:val="00760B06"/>
    <w:rsid w:val="007637D3"/>
    <w:rsid w:val="007643CF"/>
    <w:rsid w:val="00764E2E"/>
    <w:rsid w:val="00765780"/>
    <w:rsid w:val="007664ED"/>
    <w:rsid w:val="00766E54"/>
    <w:rsid w:val="0077128A"/>
    <w:rsid w:val="00771771"/>
    <w:rsid w:val="00772F4C"/>
    <w:rsid w:val="00775210"/>
    <w:rsid w:val="00786114"/>
    <w:rsid w:val="007871AE"/>
    <w:rsid w:val="00793CCC"/>
    <w:rsid w:val="007A0F2E"/>
    <w:rsid w:val="007A3872"/>
    <w:rsid w:val="007A39F5"/>
    <w:rsid w:val="007A3D29"/>
    <w:rsid w:val="007A3EB8"/>
    <w:rsid w:val="007A7C99"/>
    <w:rsid w:val="007B5F34"/>
    <w:rsid w:val="007C1420"/>
    <w:rsid w:val="007C19C1"/>
    <w:rsid w:val="007C212A"/>
    <w:rsid w:val="007C28C0"/>
    <w:rsid w:val="007C3472"/>
    <w:rsid w:val="007D0DA2"/>
    <w:rsid w:val="007D1059"/>
    <w:rsid w:val="007D6C6D"/>
    <w:rsid w:val="007E2578"/>
    <w:rsid w:val="007E307D"/>
    <w:rsid w:val="007F0434"/>
    <w:rsid w:val="007F2626"/>
    <w:rsid w:val="007F2AF4"/>
    <w:rsid w:val="007F62AF"/>
    <w:rsid w:val="007F6E5A"/>
    <w:rsid w:val="008015E5"/>
    <w:rsid w:val="008016DF"/>
    <w:rsid w:val="0080488F"/>
    <w:rsid w:val="00804C49"/>
    <w:rsid w:val="00804E4A"/>
    <w:rsid w:val="00805AAC"/>
    <w:rsid w:val="00813FA7"/>
    <w:rsid w:val="00815181"/>
    <w:rsid w:val="00815D77"/>
    <w:rsid w:val="00820025"/>
    <w:rsid w:val="0082684D"/>
    <w:rsid w:val="008269E6"/>
    <w:rsid w:val="0082755A"/>
    <w:rsid w:val="00837192"/>
    <w:rsid w:val="008410BE"/>
    <w:rsid w:val="008414FF"/>
    <w:rsid w:val="00841856"/>
    <w:rsid w:val="008422C2"/>
    <w:rsid w:val="0084260F"/>
    <w:rsid w:val="008441D5"/>
    <w:rsid w:val="00846F3A"/>
    <w:rsid w:val="00850643"/>
    <w:rsid w:val="008521D2"/>
    <w:rsid w:val="00855CF4"/>
    <w:rsid w:val="008575F9"/>
    <w:rsid w:val="00860569"/>
    <w:rsid w:val="00863203"/>
    <w:rsid w:val="0086347F"/>
    <w:rsid w:val="0086683C"/>
    <w:rsid w:val="00866F88"/>
    <w:rsid w:val="008672B2"/>
    <w:rsid w:val="00872451"/>
    <w:rsid w:val="0087353F"/>
    <w:rsid w:val="00876724"/>
    <w:rsid w:val="008818B4"/>
    <w:rsid w:val="008908E7"/>
    <w:rsid w:val="00893490"/>
    <w:rsid w:val="008941C2"/>
    <w:rsid w:val="00897D03"/>
    <w:rsid w:val="008A1441"/>
    <w:rsid w:val="008A20BE"/>
    <w:rsid w:val="008A3F68"/>
    <w:rsid w:val="008A7586"/>
    <w:rsid w:val="008A7D46"/>
    <w:rsid w:val="008A7FA9"/>
    <w:rsid w:val="008B2CF9"/>
    <w:rsid w:val="008B5F04"/>
    <w:rsid w:val="008C1E48"/>
    <w:rsid w:val="008C262E"/>
    <w:rsid w:val="008C5CAD"/>
    <w:rsid w:val="008C6C19"/>
    <w:rsid w:val="008C7D4F"/>
    <w:rsid w:val="008D1202"/>
    <w:rsid w:val="008D2B91"/>
    <w:rsid w:val="008D3F1C"/>
    <w:rsid w:val="008D62E3"/>
    <w:rsid w:val="008D658C"/>
    <w:rsid w:val="008E2D95"/>
    <w:rsid w:val="008E3C3E"/>
    <w:rsid w:val="008E44B5"/>
    <w:rsid w:val="008E4D3F"/>
    <w:rsid w:val="008E54F2"/>
    <w:rsid w:val="008E5750"/>
    <w:rsid w:val="008E6122"/>
    <w:rsid w:val="008F00F2"/>
    <w:rsid w:val="008F0741"/>
    <w:rsid w:val="008F1459"/>
    <w:rsid w:val="008F231E"/>
    <w:rsid w:val="008F34A0"/>
    <w:rsid w:val="008F4E9C"/>
    <w:rsid w:val="008F6E04"/>
    <w:rsid w:val="00903066"/>
    <w:rsid w:val="00904659"/>
    <w:rsid w:val="00905F1B"/>
    <w:rsid w:val="00906251"/>
    <w:rsid w:val="009103DE"/>
    <w:rsid w:val="00910914"/>
    <w:rsid w:val="00916AE7"/>
    <w:rsid w:val="00917389"/>
    <w:rsid w:val="009200BB"/>
    <w:rsid w:val="009213A1"/>
    <w:rsid w:val="00924804"/>
    <w:rsid w:val="00924A03"/>
    <w:rsid w:val="00931F32"/>
    <w:rsid w:val="00933F25"/>
    <w:rsid w:val="00934FA3"/>
    <w:rsid w:val="00935E1D"/>
    <w:rsid w:val="0093651C"/>
    <w:rsid w:val="009408D9"/>
    <w:rsid w:val="00941669"/>
    <w:rsid w:val="00941B78"/>
    <w:rsid w:val="00942C4E"/>
    <w:rsid w:val="00944711"/>
    <w:rsid w:val="00944A55"/>
    <w:rsid w:val="009452C2"/>
    <w:rsid w:val="00952739"/>
    <w:rsid w:val="0095315C"/>
    <w:rsid w:val="00953C41"/>
    <w:rsid w:val="009548EF"/>
    <w:rsid w:val="009549C9"/>
    <w:rsid w:val="00955CC2"/>
    <w:rsid w:val="00956C29"/>
    <w:rsid w:val="0095746B"/>
    <w:rsid w:val="00957BF4"/>
    <w:rsid w:val="00960FB1"/>
    <w:rsid w:val="009637F2"/>
    <w:rsid w:val="00965BA5"/>
    <w:rsid w:val="00965D7E"/>
    <w:rsid w:val="00965F4B"/>
    <w:rsid w:val="00970ACF"/>
    <w:rsid w:val="00970F88"/>
    <w:rsid w:val="00973508"/>
    <w:rsid w:val="00974065"/>
    <w:rsid w:val="00975971"/>
    <w:rsid w:val="00975C2E"/>
    <w:rsid w:val="00976BA8"/>
    <w:rsid w:val="00981EA5"/>
    <w:rsid w:val="00982A51"/>
    <w:rsid w:val="00983251"/>
    <w:rsid w:val="00984087"/>
    <w:rsid w:val="00985D9C"/>
    <w:rsid w:val="0098670C"/>
    <w:rsid w:val="00990E3C"/>
    <w:rsid w:val="00995345"/>
    <w:rsid w:val="00996DCC"/>
    <w:rsid w:val="009A1ED8"/>
    <w:rsid w:val="009A5674"/>
    <w:rsid w:val="009A5DC6"/>
    <w:rsid w:val="009B1186"/>
    <w:rsid w:val="009B1281"/>
    <w:rsid w:val="009B61D9"/>
    <w:rsid w:val="009B6922"/>
    <w:rsid w:val="009B72EE"/>
    <w:rsid w:val="009C1518"/>
    <w:rsid w:val="009C2954"/>
    <w:rsid w:val="009C33E0"/>
    <w:rsid w:val="009C3495"/>
    <w:rsid w:val="009C5586"/>
    <w:rsid w:val="009C7F4A"/>
    <w:rsid w:val="009D59C5"/>
    <w:rsid w:val="009D688F"/>
    <w:rsid w:val="009E131E"/>
    <w:rsid w:val="009E15C5"/>
    <w:rsid w:val="009E3256"/>
    <w:rsid w:val="009E4873"/>
    <w:rsid w:val="009E48EA"/>
    <w:rsid w:val="009E4C1A"/>
    <w:rsid w:val="009E61FE"/>
    <w:rsid w:val="009E79AA"/>
    <w:rsid w:val="009F1C50"/>
    <w:rsid w:val="009F23DD"/>
    <w:rsid w:val="009F31A4"/>
    <w:rsid w:val="009F35F8"/>
    <w:rsid w:val="009F6CD7"/>
    <w:rsid w:val="009F7486"/>
    <w:rsid w:val="009F7525"/>
    <w:rsid w:val="009F7C0E"/>
    <w:rsid w:val="00A02E7B"/>
    <w:rsid w:val="00A048DA"/>
    <w:rsid w:val="00A04CB3"/>
    <w:rsid w:val="00A06A65"/>
    <w:rsid w:val="00A06F79"/>
    <w:rsid w:val="00A101D1"/>
    <w:rsid w:val="00A10763"/>
    <w:rsid w:val="00A109CB"/>
    <w:rsid w:val="00A11793"/>
    <w:rsid w:val="00A1200C"/>
    <w:rsid w:val="00A14020"/>
    <w:rsid w:val="00A16986"/>
    <w:rsid w:val="00A17DC3"/>
    <w:rsid w:val="00A20962"/>
    <w:rsid w:val="00A2474E"/>
    <w:rsid w:val="00A24CDF"/>
    <w:rsid w:val="00A25FCD"/>
    <w:rsid w:val="00A30A1E"/>
    <w:rsid w:val="00A30EA6"/>
    <w:rsid w:val="00A319B9"/>
    <w:rsid w:val="00A35E56"/>
    <w:rsid w:val="00A35E83"/>
    <w:rsid w:val="00A366AB"/>
    <w:rsid w:val="00A40784"/>
    <w:rsid w:val="00A40AC7"/>
    <w:rsid w:val="00A41F42"/>
    <w:rsid w:val="00A4687B"/>
    <w:rsid w:val="00A46E19"/>
    <w:rsid w:val="00A5281F"/>
    <w:rsid w:val="00A55677"/>
    <w:rsid w:val="00A55C40"/>
    <w:rsid w:val="00A57F0E"/>
    <w:rsid w:val="00A621B6"/>
    <w:rsid w:val="00A6482F"/>
    <w:rsid w:val="00A67432"/>
    <w:rsid w:val="00A72AD3"/>
    <w:rsid w:val="00A80034"/>
    <w:rsid w:val="00A81300"/>
    <w:rsid w:val="00A81D19"/>
    <w:rsid w:val="00A87078"/>
    <w:rsid w:val="00A910FB"/>
    <w:rsid w:val="00A92244"/>
    <w:rsid w:val="00A956AC"/>
    <w:rsid w:val="00A95A0A"/>
    <w:rsid w:val="00A97C08"/>
    <w:rsid w:val="00AA6111"/>
    <w:rsid w:val="00AA68D1"/>
    <w:rsid w:val="00AA6C4C"/>
    <w:rsid w:val="00AB1892"/>
    <w:rsid w:val="00AB31BF"/>
    <w:rsid w:val="00AB6B6A"/>
    <w:rsid w:val="00AB7710"/>
    <w:rsid w:val="00AC0EF1"/>
    <w:rsid w:val="00AC41BC"/>
    <w:rsid w:val="00AD04CC"/>
    <w:rsid w:val="00AD2914"/>
    <w:rsid w:val="00AD65AA"/>
    <w:rsid w:val="00AD6D2F"/>
    <w:rsid w:val="00AD7623"/>
    <w:rsid w:val="00AD76BA"/>
    <w:rsid w:val="00AD7DD8"/>
    <w:rsid w:val="00AE63AC"/>
    <w:rsid w:val="00AE74D8"/>
    <w:rsid w:val="00AF07EF"/>
    <w:rsid w:val="00AF1519"/>
    <w:rsid w:val="00AF1A1C"/>
    <w:rsid w:val="00AF4BB1"/>
    <w:rsid w:val="00AF5B84"/>
    <w:rsid w:val="00AF5F19"/>
    <w:rsid w:val="00AF723B"/>
    <w:rsid w:val="00AF79A3"/>
    <w:rsid w:val="00B0350F"/>
    <w:rsid w:val="00B03A66"/>
    <w:rsid w:val="00B05C98"/>
    <w:rsid w:val="00B10AF4"/>
    <w:rsid w:val="00B11E35"/>
    <w:rsid w:val="00B16F7C"/>
    <w:rsid w:val="00B1758D"/>
    <w:rsid w:val="00B17E9D"/>
    <w:rsid w:val="00B21111"/>
    <w:rsid w:val="00B2652C"/>
    <w:rsid w:val="00B30124"/>
    <w:rsid w:val="00B312C2"/>
    <w:rsid w:val="00B31B11"/>
    <w:rsid w:val="00B32F1D"/>
    <w:rsid w:val="00B34840"/>
    <w:rsid w:val="00B3654A"/>
    <w:rsid w:val="00B4291D"/>
    <w:rsid w:val="00B440F9"/>
    <w:rsid w:val="00B44399"/>
    <w:rsid w:val="00B46936"/>
    <w:rsid w:val="00B479C7"/>
    <w:rsid w:val="00B47B84"/>
    <w:rsid w:val="00B501F7"/>
    <w:rsid w:val="00B5020A"/>
    <w:rsid w:val="00B5279A"/>
    <w:rsid w:val="00B5407C"/>
    <w:rsid w:val="00B5488E"/>
    <w:rsid w:val="00B54990"/>
    <w:rsid w:val="00B5505B"/>
    <w:rsid w:val="00B57595"/>
    <w:rsid w:val="00B57AAF"/>
    <w:rsid w:val="00B613B6"/>
    <w:rsid w:val="00B71455"/>
    <w:rsid w:val="00B721C0"/>
    <w:rsid w:val="00B7731F"/>
    <w:rsid w:val="00B777D6"/>
    <w:rsid w:val="00B77A42"/>
    <w:rsid w:val="00B77E23"/>
    <w:rsid w:val="00B77FD4"/>
    <w:rsid w:val="00B81044"/>
    <w:rsid w:val="00B81466"/>
    <w:rsid w:val="00B85E66"/>
    <w:rsid w:val="00B85EF1"/>
    <w:rsid w:val="00B92833"/>
    <w:rsid w:val="00B93967"/>
    <w:rsid w:val="00B941DB"/>
    <w:rsid w:val="00B9542F"/>
    <w:rsid w:val="00B964CC"/>
    <w:rsid w:val="00B9778F"/>
    <w:rsid w:val="00BA03A4"/>
    <w:rsid w:val="00BA1128"/>
    <w:rsid w:val="00BA1FAD"/>
    <w:rsid w:val="00BA303D"/>
    <w:rsid w:val="00BB11C7"/>
    <w:rsid w:val="00BB4BF2"/>
    <w:rsid w:val="00BB579B"/>
    <w:rsid w:val="00BC0C38"/>
    <w:rsid w:val="00BC3849"/>
    <w:rsid w:val="00BC38CA"/>
    <w:rsid w:val="00BC7282"/>
    <w:rsid w:val="00BC7747"/>
    <w:rsid w:val="00BC7FB9"/>
    <w:rsid w:val="00BD02C5"/>
    <w:rsid w:val="00BD324B"/>
    <w:rsid w:val="00BD693D"/>
    <w:rsid w:val="00BD6DA8"/>
    <w:rsid w:val="00BD725A"/>
    <w:rsid w:val="00BE1D4F"/>
    <w:rsid w:val="00BE2DC4"/>
    <w:rsid w:val="00BE3E3B"/>
    <w:rsid w:val="00BE4B27"/>
    <w:rsid w:val="00BE646F"/>
    <w:rsid w:val="00BE7889"/>
    <w:rsid w:val="00C03548"/>
    <w:rsid w:val="00C03772"/>
    <w:rsid w:val="00C12CD6"/>
    <w:rsid w:val="00C16719"/>
    <w:rsid w:val="00C2255F"/>
    <w:rsid w:val="00C244BE"/>
    <w:rsid w:val="00C25F04"/>
    <w:rsid w:val="00C27DF0"/>
    <w:rsid w:val="00C3140D"/>
    <w:rsid w:val="00C3275D"/>
    <w:rsid w:val="00C32DEE"/>
    <w:rsid w:val="00C33446"/>
    <w:rsid w:val="00C338B3"/>
    <w:rsid w:val="00C3548A"/>
    <w:rsid w:val="00C418E8"/>
    <w:rsid w:val="00C42F98"/>
    <w:rsid w:val="00C42FEC"/>
    <w:rsid w:val="00C43669"/>
    <w:rsid w:val="00C44408"/>
    <w:rsid w:val="00C446B7"/>
    <w:rsid w:val="00C51064"/>
    <w:rsid w:val="00C5240B"/>
    <w:rsid w:val="00C5332C"/>
    <w:rsid w:val="00C54C1D"/>
    <w:rsid w:val="00C570F1"/>
    <w:rsid w:val="00C61F81"/>
    <w:rsid w:val="00C623F1"/>
    <w:rsid w:val="00C66955"/>
    <w:rsid w:val="00C67AF7"/>
    <w:rsid w:val="00C72112"/>
    <w:rsid w:val="00C722A4"/>
    <w:rsid w:val="00C7307A"/>
    <w:rsid w:val="00C73BB5"/>
    <w:rsid w:val="00C75115"/>
    <w:rsid w:val="00C75223"/>
    <w:rsid w:val="00C77B47"/>
    <w:rsid w:val="00C835EB"/>
    <w:rsid w:val="00C867AC"/>
    <w:rsid w:val="00C91BD1"/>
    <w:rsid w:val="00C96462"/>
    <w:rsid w:val="00C96CAE"/>
    <w:rsid w:val="00C97B5E"/>
    <w:rsid w:val="00CA6AB6"/>
    <w:rsid w:val="00CB18C7"/>
    <w:rsid w:val="00CB1B84"/>
    <w:rsid w:val="00CB2255"/>
    <w:rsid w:val="00CB3FCF"/>
    <w:rsid w:val="00CB48EA"/>
    <w:rsid w:val="00CB4D93"/>
    <w:rsid w:val="00CB723E"/>
    <w:rsid w:val="00CC12FA"/>
    <w:rsid w:val="00CC2C02"/>
    <w:rsid w:val="00CC3C60"/>
    <w:rsid w:val="00CC7138"/>
    <w:rsid w:val="00CD0B88"/>
    <w:rsid w:val="00CD1A88"/>
    <w:rsid w:val="00CD2159"/>
    <w:rsid w:val="00CD27E5"/>
    <w:rsid w:val="00CD29A9"/>
    <w:rsid w:val="00CD41B4"/>
    <w:rsid w:val="00CD4211"/>
    <w:rsid w:val="00CD599F"/>
    <w:rsid w:val="00CD79DC"/>
    <w:rsid w:val="00CE06BB"/>
    <w:rsid w:val="00CE2ADF"/>
    <w:rsid w:val="00CE580E"/>
    <w:rsid w:val="00CE5D33"/>
    <w:rsid w:val="00CE60E6"/>
    <w:rsid w:val="00CE6779"/>
    <w:rsid w:val="00CF3A77"/>
    <w:rsid w:val="00CF4C32"/>
    <w:rsid w:val="00D01892"/>
    <w:rsid w:val="00D033DC"/>
    <w:rsid w:val="00D03C4C"/>
    <w:rsid w:val="00D05C7D"/>
    <w:rsid w:val="00D06736"/>
    <w:rsid w:val="00D06C19"/>
    <w:rsid w:val="00D10F12"/>
    <w:rsid w:val="00D14F33"/>
    <w:rsid w:val="00D14F6E"/>
    <w:rsid w:val="00D206A4"/>
    <w:rsid w:val="00D20FE6"/>
    <w:rsid w:val="00D224FF"/>
    <w:rsid w:val="00D2464F"/>
    <w:rsid w:val="00D24E34"/>
    <w:rsid w:val="00D3381B"/>
    <w:rsid w:val="00D354BA"/>
    <w:rsid w:val="00D36541"/>
    <w:rsid w:val="00D40AF2"/>
    <w:rsid w:val="00D40DB9"/>
    <w:rsid w:val="00D4123E"/>
    <w:rsid w:val="00D4143A"/>
    <w:rsid w:val="00D41B73"/>
    <w:rsid w:val="00D44A38"/>
    <w:rsid w:val="00D47A38"/>
    <w:rsid w:val="00D47CFA"/>
    <w:rsid w:val="00D51F7A"/>
    <w:rsid w:val="00D5580F"/>
    <w:rsid w:val="00D603F0"/>
    <w:rsid w:val="00D60862"/>
    <w:rsid w:val="00D6196B"/>
    <w:rsid w:val="00D6279D"/>
    <w:rsid w:val="00D64D25"/>
    <w:rsid w:val="00D66B9D"/>
    <w:rsid w:val="00D7264F"/>
    <w:rsid w:val="00D77DA8"/>
    <w:rsid w:val="00D77E89"/>
    <w:rsid w:val="00D808AB"/>
    <w:rsid w:val="00D808D2"/>
    <w:rsid w:val="00D81BFE"/>
    <w:rsid w:val="00D821F4"/>
    <w:rsid w:val="00D826AC"/>
    <w:rsid w:val="00D862E1"/>
    <w:rsid w:val="00D87BB3"/>
    <w:rsid w:val="00D9041F"/>
    <w:rsid w:val="00D91047"/>
    <w:rsid w:val="00D929DB"/>
    <w:rsid w:val="00D95C71"/>
    <w:rsid w:val="00D961A8"/>
    <w:rsid w:val="00DA23AA"/>
    <w:rsid w:val="00DA243B"/>
    <w:rsid w:val="00DA57E3"/>
    <w:rsid w:val="00DA78B3"/>
    <w:rsid w:val="00DB4B6F"/>
    <w:rsid w:val="00DB4FCD"/>
    <w:rsid w:val="00DB5468"/>
    <w:rsid w:val="00DB6405"/>
    <w:rsid w:val="00DB6A11"/>
    <w:rsid w:val="00DB773A"/>
    <w:rsid w:val="00DB77C5"/>
    <w:rsid w:val="00DC1DC3"/>
    <w:rsid w:val="00DC42DF"/>
    <w:rsid w:val="00DC5672"/>
    <w:rsid w:val="00DC727D"/>
    <w:rsid w:val="00DD32E4"/>
    <w:rsid w:val="00DD3373"/>
    <w:rsid w:val="00DD3BFB"/>
    <w:rsid w:val="00DD4A73"/>
    <w:rsid w:val="00DD5E88"/>
    <w:rsid w:val="00DE1983"/>
    <w:rsid w:val="00DE20D7"/>
    <w:rsid w:val="00DE30D3"/>
    <w:rsid w:val="00DE39BB"/>
    <w:rsid w:val="00DE3D40"/>
    <w:rsid w:val="00DE491E"/>
    <w:rsid w:val="00DE6590"/>
    <w:rsid w:val="00DE65EE"/>
    <w:rsid w:val="00DE744F"/>
    <w:rsid w:val="00DF1961"/>
    <w:rsid w:val="00DF40B6"/>
    <w:rsid w:val="00DF4B7C"/>
    <w:rsid w:val="00DF623A"/>
    <w:rsid w:val="00DF7EBF"/>
    <w:rsid w:val="00E017D4"/>
    <w:rsid w:val="00E06163"/>
    <w:rsid w:val="00E07E36"/>
    <w:rsid w:val="00E11C99"/>
    <w:rsid w:val="00E1360D"/>
    <w:rsid w:val="00E14DDF"/>
    <w:rsid w:val="00E2146B"/>
    <w:rsid w:val="00E2486E"/>
    <w:rsid w:val="00E25C1B"/>
    <w:rsid w:val="00E315ED"/>
    <w:rsid w:val="00E33542"/>
    <w:rsid w:val="00E372BA"/>
    <w:rsid w:val="00E43D44"/>
    <w:rsid w:val="00E440CA"/>
    <w:rsid w:val="00E4530A"/>
    <w:rsid w:val="00E555B7"/>
    <w:rsid w:val="00E55601"/>
    <w:rsid w:val="00E56930"/>
    <w:rsid w:val="00E575F0"/>
    <w:rsid w:val="00E6057C"/>
    <w:rsid w:val="00E623F5"/>
    <w:rsid w:val="00E653D3"/>
    <w:rsid w:val="00E70767"/>
    <w:rsid w:val="00E710AC"/>
    <w:rsid w:val="00E73211"/>
    <w:rsid w:val="00E80D7E"/>
    <w:rsid w:val="00E83450"/>
    <w:rsid w:val="00E864F3"/>
    <w:rsid w:val="00E87380"/>
    <w:rsid w:val="00E875AA"/>
    <w:rsid w:val="00E937C1"/>
    <w:rsid w:val="00E939D1"/>
    <w:rsid w:val="00E96F27"/>
    <w:rsid w:val="00E97C0C"/>
    <w:rsid w:val="00E97DD6"/>
    <w:rsid w:val="00EA1ADA"/>
    <w:rsid w:val="00EA7CE2"/>
    <w:rsid w:val="00EB1C91"/>
    <w:rsid w:val="00EB2EA5"/>
    <w:rsid w:val="00EB4935"/>
    <w:rsid w:val="00EB4B81"/>
    <w:rsid w:val="00EB5AC5"/>
    <w:rsid w:val="00EB7773"/>
    <w:rsid w:val="00EC1F00"/>
    <w:rsid w:val="00EC1FD2"/>
    <w:rsid w:val="00EC3272"/>
    <w:rsid w:val="00EC4675"/>
    <w:rsid w:val="00EC506A"/>
    <w:rsid w:val="00EC607C"/>
    <w:rsid w:val="00ED003D"/>
    <w:rsid w:val="00ED03A6"/>
    <w:rsid w:val="00ED17F4"/>
    <w:rsid w:val="00ED4995"/>
    <w:rsid w:val="00ED6944"/>
    <w:rsid w:val="00EE21CD"/>
    <w:rsid w:val="00EE321F"/>
    <w:rsid w:val="00EE6D72"/>
    <w:rsid w:val="00EE793C"/>
    <w:rsid w:val="00EF1CC6"/>
    <w:rsid w:val="00EF2F5F"/>
    <w:rsid w:val="00EF32A3"/>
    <w:rsid w:val="00EF4486"/>
    <w:rsid w:val="00EF5642"/>
    <w:rsid w:val="00EF6F40"/>
    <w:rsid w:val="00F00C8D"/>
    <w:rsid w:val="00F03D42"/>
    <w:rsid w:val="00F03F91"/>
    <w:rsid w:val="00F062AB"/>
    <w:rsid w:val="00F11CC7"/>
    <w:rsid w:val="00F11DE9"/>
    <w:rsid w:val="00F133C7"/>
    <w:rsid w:val="00F251E7"/>
    <w:rsid w:val="00F30416"/>
    <w:rsid w:val="00F347A4"/>
    <w:rsid w:val="00F36C3A"/>
    <w:rsid w:val="00F40034"/>
    <w:rsid w:val="00F40720"/>
    <w:rsid w:val="00F4234A"/>
    <w:rsid w:val="00F42ED6"/>
    <w:rsid w:val="00F47EE9"/>
    <w:rsid w:val="00F5133B"/>
    <w:rsid w:val="00F62F3E"/>
    <w:rsid w:val="00F64D96"/>
    <w:rsid w:val="00F674B3"/>
    <w:rsid w:val="00F7331A"/>
    <w:rsid w:val="00F778AC"/>
    <w:rsid w:val="00F82ABC"/>
    <w:rsid w:val="00F84500"/>
    <w:rsid w:val="00F8596A"/>
    <w:rsid w:val="00F948B8"/>
    <w:rsid w:val="00F94F26"/>
    <w:rsid w:val="00FA2D5C"/>
    <w:rsid w:val="00FA71B3"/>
    <w:rsid w:val="00FB182F"/>
    <w:rsid w:val="00FB4002"/>
    <w:rsid w:val="00FC082E"/>
    <w:rsid w:val="00FC2404"/>
    <w:rsid w:val="00FC67C6"/>
    <w:rsid w:val="00FC692C"/>
    <w:rsid w:val="00FD382A"/>
    <w:rsid w:val="00FD3A72"/>
    <w:rsid w:val="00FD66EE"/>
    <w:rsid w:val="00FD6865"/>
    <w:rsid w:val="00FE1EF1"/>
    <w:rsid w:val="00FE309C"/>
    <w:rsid w:val="00FE541A"/>
    <w:rsid w:val="00FE710E"/>
    <w:rsid w:val="00FE7473"/>
    <w:rsid w:val="00FE75E6"/>
    <w:rsid w:val="00FE7645"/>
    <w:rsid w:val="00FF03D0"/>
    <w:rsid w:val="00FF1592"/>
    <w:rsid w:val="00FF35C2"/>
    <w:rsid w:val="00FF6F31"/>
    <w:rsid w:val="00FF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C8BF"/>
  <w15:docId w15:val="{5E0A919F-8104-47D7-B5E4-EB1FD8A1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88"/>
    <w:rPr>
      <w:lang w:val="bg-BG"/>
    </w:rPr>
  </w:style>
  <w:style w:type="paragraph" w:styleId="Heading1">
    <w:name w:val="heading 1"/>
    <w:basedOn w:val="Normal"/>
    <w:next w:val="Normal"/>
    <w:link w:val="Heading1Char"/>
    <w:uiPriority w:val="9"/>
    <w:qFormat/>
    <w:rsid w:val="00CB22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4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21F4"/>
    <w:pPr>
      <w:keepNext/>
      <w:keepLines/>
      <w:spacing w:before="40" w:after="0" w:line="240" w:lineRule="auto"/>
      <w:ind w:left="720"/>
      <w:outlineLvl w:val="2"/>
    </w:pPr>
    <w:rPr>
      <w:rFonts w:ascii="Times New Roman" w:eastAsiaTheme="majorEastAsia" w:hAnsi="Times New Roman" w:cstheme="majorBidi"/>
      <w:b/>
      <w:color w:val="0070C0"/>
      <w:kern w:val="2"/>
      <w:sz w:val="24"/>
      <w:szCs w:val="24"/>
    </w:rPr>
  </w:style>
  <w:style w:type="paragraph" w:styleId="Heading4">
    <w:name w:val="heading 4"/>
    <w:basedOn w:val="Normal"/>
    <w:next w:val="Normal"/>
    <w:link w:val="Heading4Char"/>
    <w:uiPriority w:val="9"/>
    <w:semiHidden/>
    <w:unhideWhenUsed/>
    <w:qFormat/>
    <w:rsid w:val="00253436"/>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n-US"/>
    </w:rPr>
  </w:style>
  <w:style w:type="paragraph" w:styleId="Heading5">
    <w:name w:val="heading 5"/>
    <w:basedOn w:val="Normal"/>
    <w:next w:val="Normal"/>
    <w:link w:val="Heading5Char"/>
    <w:uiPriority w:val="9"/>
    <w:semiHidden/>
    <w:unhideWhenUsed/>
    <w:qFormat/>
    <w:rsid w:val="000E766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76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255"/>
    <w:rPr>
      <w:rFonts w:asciiTheme="majorHAnsi" w:eastAsiaTheme="majorEastAsia" w:hAnsiTheme="majorHAnsi" w:cstheme="majorBidi"/>
      <w:color w:val="2E74B5" w:themeColor="accent1" w:themeShade="BF"/>
      <w:sz w:val="32"/>
      <w:szCs w:val="32"/>
      <w:lang w:val="bg-BG"/>
    </w:rPr>
  </w:style>
  <w:style w:type="character" w:customStyle="1" w:styleId="Heading3Char">
    <w:name w:val="Heading 3 Char"/>
    <w:basedOn w:val="DefaultParagraphFont"/>
    <w:link w:val="Heading3"/>
    <w:uiPriority w:val="9"/>
    <w:rsid w:val="00D821F4"/>
    <w:rPr>
      <w:rFonts w:ascii="Times New Roman" w:eastAsiaTheme="majorEastAsia" w:hAnsi="Times New Roman" w:cstheme="majorBidi"/>
      <w:b/>
      <w:color w:val="0070C0"/>
      <w:kern w:val="2"/>
      <w:sz w:val="24"/>
      <w:szCs w:val="24"/>
      <w:lang w:val="bg-BG"/>
    </w:rPr>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34"/>
    <w:qFormat/>
    <w:rsid w:val="00A17DC3"/>
    <w:pPr>
      <w:ind w:left="720"/>
      <w:contextualSpacing/>
    </w:pPr>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link w:val="ListParagraph"/>
    <w:uiPriority w:val="34"/>
    <w:qFormat/>
    <w:locked/>
    <w:rsid w:val="0074753A"/>
    <w:rPr>
      <w:lang w:val="bg-BG"/>
    </w:rPr>
  </w:style>
  <w:style w:type="paragraph" w:styleId="NormalWeb">
    <w:name w:val="Normal (Web)"/>
    <w:basedOn w:val="Normal"/>
    <w:uiPriority w:val="99"/>
    <w:unhideWhenUsed/>
    <w:rsid w:val="00A41F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
    <w:name w:val="m"/>
    <w:basedOn w:val="Normal"/>
    <w:rsid w:val="00A41F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CB2255"/>
    <w:pPr>
      <w:outlineLvl w:val="9"/>
    </w:pPr>
    <w:rPr>
      <w:lang w:val="en-US"/>
    </w:rPr>
  </w:style>
  <w:style w:type="paragraph" w:styleId="TOC1">
    <w:name w:val="toc 1"/>
    <w:basedOn w:val="Normal"/>
    <w:next w:val="Normal"/>
    <w:autoRedefine/>
    <w:uiPriority w:val="39"/>
    <w:unhideWhenUsed/>
    <w:rsid w:val="00CB2255"/>
    <w:pPr>
      <w:spacing w:after="100"/>
    </w:pPr>
  </w:style>
  <w:style w:type="paragraph" w:styleId="TOC2">
    <w:name w:val="toc 2"/>
    <w:basedOn w:val="Normal"/>
    <w:next w:val="Normal"/>
    <w:autoRedefine/>
    <w:uiPriority w:val="39"/>
    <w:unhideWhenUsed/>
    <w:rsid w:val="00AF5F19"/>
    <w:pPr>
      <w:tabs>
        <w:tab w:val="left" w:pos="960"/>
        <w:tab w:val="right" w:leader="dot" w:pos="9348"/>
      </w:tabs>
      <w:spacing w:after="100"/>
      <w:ind w:left="220"/>
    </w:pPr>
  </w:style>
  <w:style w:type="character" w:styleId="Hyperlink">
    <w:name w:val="Hyperlink"/>
    <w:basedOn w:val="DefaultParagraphFont"/>
    <w:uiPriority w:val="99"/>
    <w:unhideWhenUsed/>
    <w:rsid w:val="00CB2255"/>
    <w:rPr>
      <w:color w:val="0563C1" w:themeColor="hyperlink"/>
      <w:u w:val="single"/>
    </w:rPr>
  </w:style>
  <w:style w:type="paragraph" w:styleId="IntenseQuote">
    <w:name w:val="Intense Quote"/>
    <w:basedOn w:val="Normal"/>
    <w:next w:val="Normal"/>
    <w:link w:val="IntenseQuoteChar"/>
    <w:uiPriority w:val="30"/>
    <w:qFormat/>
    <w:rsid w:val="00A04CB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04CB3"/>
    <w:rPr>
      <w:i/>
      <w:iCs/>
      <w:color w:val="5B9BD5" w:themeColor="accent1"/>
      <w:lang w:val="bg-BG"/>
    </w:rPr>
  </w:style>
  <w:style w:type="table" w:styleId="TableGrid">
    <w:name w:val="Table Grid"/>
    <w:basedOn w:val="TableNormal"/>
    <w:uiPriority w:val="39"/>
    <w:rsid w:val="005A1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Footnote Text Char3,Footnote Text Char2 Char,Footnote Text Char Char Char1 Char,Footnote Text Char1 Char1 Char,Footnote Text Char Char Char2,footnote text,Schriftart: 9 pt,Schriftart: 10 pt,Schriftart: 8 pt,Podrozdział"/>
    <w:basedOn w:val="Normal"/>
    <w:link w:val="FootnoteTextChar"/>
    <w:unhideWhenUsed/>
    <w:qFormat/>
    <w:rsid w:val="00187752"/>
    <w:pPr>
      <w:spacing w:after="0" w:line="240" w:lineRule="auto"/>
    </w:pPr>
    <w:rPr>
      <w:sz w:val="20"/>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footnote text Char,Schriftart: 9 pt Char"/>
    <w:basedOn w:val="DefaultParagraphFont"/>
    <w:link w:val="FootnoteText"/>
    <w:qFormat/>
    <w:rsid w:val="00187752"/>
    <w:rPr>
      <w:sz w:val="20"/>
      <w:szCs w:val="20"/>
      <w:lang w:val="bg-BG"/>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SUPERS,Nota"/>
    <w:basedOn w:val="DefaultParagraphFont"/>
    <w:link w:val="SUPERSCharChar"/>
    <w:uiPriority w:val="99"/>
    <w:unhideWhenUsed/>
    <w:qFormat/>
    <w:rsid w:val="00187752"/>
    <w:rPr>
      <w:vertAlign w:val="superscript"/>
    </w:rPr>
  </w:style>
  <w:style w:type="paragraph" w:customStyle="1" w:styleId="SUPERSCharChar">
    <w:name w:val="SUPERS Char Char"/>
    <w:aliases w:val="Footnote number Char Char,Footnote Char Char,Footnote symbol Char Char,Ref Char Char,de nota al pie Char Char,de nota al pi... Char Char Char Char Char Char Char Char,Voetnootverwijzing Char Char"/>
    <w:basedOn w:val="Normal"/>
    <w:link w:val="FootnoteReference"/>
    <w:rsid w:val="00D821F4"/>
    <w:pPr>
      <w:spacing w:line="240" w:lineRule="exact"/>
      <w:ind w:firstLine="567"/>
      <w:jc w:val="both"/>
    </w:pPr>
    <w:rPr>
      <w:vertAlign w:val="superscript"/>
      <w:lang w:val="en-US"/>
    </w:rPr>
  </w:style>
  <w:style w:type="paragraph" w:customStyle="1" w:styleId="Default">
    <w:name w:val="Default"/>
    <w:rsid w:val="001877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j-super">
    <w:name w:val="oj-super"/>
    <w:basedOn w:val="DefaultParagraphFont"/>
    <w:rsid w:val="00A319B9"/>
  </w:style>
  <w:style w:type="paragraph" w:styleId="Title">
    <w:name w:val="Title"/>
    <w:basedOn w:val="Normal"/>
    <w:next w:val="Normal"/>
    <w:link w:val="TitleChar"/>
    <w:uiPriority w:val="99"/>
    <w:qFormat/>
    <w:rsid w:val="006F042A"/>
    <w:pPr>
      <w:widowControl w:val="0"/>
      <w:spacing w:after="0" w:line="240" w:lineRule="auto"/>
      <w:jc w:val="center"/>
    </w:pPr>
    <w:rPr>
      <w:rFonts w:ascii="Arial" w:eastAsia="Times New Roman" w:hAnsi="Arial" w:cs="Times New Roman"/>
      <w:b/>
      <w:sz w:val="20"/>
      <w:szCs w:val="20"/>
      <w:lang w:eastAsia="bg-BG"/>
    </w:rPr>
  </w:style>
  <w:style w:type="character" w:customStyle="1" w:styleId="TitleChar">
    <w:name w:val="Title Char"/>
    <w:basedOn w:val="DefaultParagraphFont"/>
    <w:link w:val="Title"/>
    <w:uiPriority w:val="99"/>
    <w:rsid w:val="006F042A"/>
    <w:rPr>
      <w:rFonts w:ascii="Arial" w:eastAsia="Times New Roman" w:hAnsi="Arial" w:cs="Times New Roman"/>
      <w:b/>
      <w:sz w:val="20"/>
      <w:szCs w:val="20"/>
      <w:lang w:val="bg-BG" w:eastAsia="bg-BG"/>
    </w:rPr>
  </w:style>
  <w:style w:type="paragraph" w:styleId="Caption">
    <w:name w:val="caption"/>
    <w:basedOn w:val="Normal"/>
    <w:next w:val="Normal"/>
    <w:uiPriority w:val="35"/>
    <w:unhideWhenUsed/>
    <w:qFormat/>
    <w:rsid w:val="00D821F4"/>
    <w:pPr>
      <w:spacing w:after="200" w:line="279" w:lineRule="auto"/>
      <w:ind w:firstLine="720"/>
      <w:jc w:val="both"/>
    </w:pPr>
    <w:rPr>
      <w:rFonts w:ascii="Times New Roman" w:eastAsiaTheme="minorEastAsia" w:hAnsi="Times New Roman"/>
      <w:i/>
      <w:iCs/>
      <w:color w:val="44546A" w:themeColor="text2"/>
      <w:sz w:val="18"/>
      <w:szCs w:val="18"/>
      <w:lang w:eastAsia="ja-JP"/>
    </w:rPr>
  </w:style>
  <w:style w:type="character" w:styleId="CommentReference">
    <w:name w:val="annotation reference"/>
    <w:basedOn w:val="DefaultParagraphFont"/>
    <w:uiPriority w:val="99"/>
    <w:semiHidden/>
    <w:unhideWhenUsed/>
    <w:rsid w:val="00D821F4"/>
    <w:rPr>
      <w:sz w:val="16"/>
      <w:szCs w:val="16"/>
    </w:rPr>
  </w:style>
  <w:style w:type="paragraph" w:styleId="CommentText">
    <w:name w:val="annotation text"/>
    <w:basedOn w:val="Normal"/>
    <w:link w:val="CommentTextChar"/>
    <w:uiPriority w:val="99"/>
    <w:semiHidden/>
    <w:unhideWhenUsed/>
    <w:rsid w:val="00D821F4"/>
    <w:pPr>
      <w:spacing w:after="0" w:line="240" w:lineRule="auto"/>
    </w:pPr>
    <w:rPr>
      <w:kern w:val="2"/>
      <w:sz w:val="20"/>
      <w:szCs w:val="20"/>
    </w:rPr>
  </w:style>
  <w:style w:type="character" w:customStyle="1" w:styleId="CommentTextChar">
    <w:name w:val="Comment Text Char"/>
    <w:basedOn w:val="DefaultParagraphFont"/>
    <w:link w:val="CommentText"/>
    <w:uiPriority w:val="99"/>
    <w:semiHidden/>
    <w:rsid w:val="00D821F4"/>
    <w:rPr>
      <w:kern w:val="2"/>
      <w:sz w:val="20"/>
      <w:szCs w:val="20"/>
      <w:lang w:val="bg-BG"/>
    </w:rPr>
  </w:style>
  <w:style w:type="character" w:customStyle="1" w:styleId="rynqvb">
    <w:name w:val="rynqvb"/>
    <w:basedOn w:val="DefaultParagraphFont"/>
    <w:rsid w:val="00D821F4"/>
  </w:style>
  <w:style w:type="character" w:styleId="Strong">
    <w:name w:val="Strong"/>
    <w:basedOn w:val="DefaultParagraphFont"/>
    <w:uiPriority w:val="22"/>
    <w:qFormat/>
    <w:rsid w:val="00D821F4"/>
    <w:rPr>
      <w:b/>
      <w:bCs/>
    </w:rPr>
  </w:style>
  <w:style w:type="paragraph" w:styleId="BalloonText">
    <w:name w:val="Balloon Text"/>
    <w:basedOn w:val="Normal"/>
    <w:link w:val="BalloonTextChar"/>
    <w:uiPriority w:val="99"/>
    <w:semiHidden/>
    <w:unhideWhenUsed/>
    <w:rsid w:val="00D82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1F4"/>
    <w:rPr>
      <w:rFonts w:ascii="Segoe UI" w:hAnsi="Segoe UI" w:cs="Segoe UI"/>
      <w:sz w:val="18"/>
      <w:szCs w:val="18"/>
      <w:lang w:val="bg-BG"/>
    </w:rPr>
  </w:style>
  <w:style w:type="paragraph" w:styleId="BodyText">
    <w:name w:val="Body Text"/>
    <w:basedOn w:val="Normal"/>
    <w:link w:val="BodyTextChar"/>
    <w:uiPriority w:val="1"/>
    <w:qFormat/>
    <w:rsid w:val="00EA1ADA"/>
    <w:pPr>
      <w:widowControl w:val="0"/>
      <w:autoSpaceDE w:val="0"/>
      <w:autoSpaceDN w:val="0"/>
      <w:spacing w:after="0" w:line="240" w:lineRule="auto"/>
      <w:ind w:left="297" w:firstLine="56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1ADA"/>
    <w:rPr>
      <w:rFonts w:ascii="Times New Roman" w:eastAsia="Times New Roman" w:hAnsi="Times New Roman" w:cs="Times New Roman"/>
      <w:sz w:val="24"/>
      <w:szCs w:val="24"/>
      <w:lang w:val="bg-BG"/>
    </w:rPr>
  </w:style>
  <w:style w:type="character" w:customStyle="1" w:styleId="relative">
    <w:name w:val="relative"/>
    <w:basedOn w:val="DefaultParagraphFont"/>
    <w:rsid w:val="000D0416"/>
  </w:style>
  <w:style w:type="character" w:customStyle="1" w:styleId="ms-1">
    <w:name w:val="ms-1"/>
    <w:basedOn w:val="DefaultParagraphFont"/>
    <w:rsid w:val="000D0416"/>
  </w:style>
  <w:style w:type="character" w:customStyle="1" w:styleId="max-w-full">
    <w:name w:val="max-w-full"/>
    <w:basedOn w:val="DefaultParagraphFont"/>
    <w:rsid w:val="000D0416"/>
  </w:style>
  <w:style w:type="character" w:customStyle="1" w:styleId="-me-1">
    <w:name w:val="-me-1"/>
    <w:basedOn w:val="DefaultParagraphFont"/>
    <w:rsid w:val="000D0416"/>
  </w:style>
  <w:style w:type="paragraph" w:styleId="TOC3">
    <w:name w:val="toc 3"/>
    <w:basedOn w:val="Normal"/>
    <w:next w:val="Normal"/>
    <w:autoRedefine/>
    <w:uiPriority w:val="39"/>
    <w:unhideWhenUsed/>
    <w:rsid w:val="00625650"/>
    <w:pPr>
      <w:spacing w:after="100" w:line="278" w:lineRule="auto"/>
      <w:ind w:left="480"/>
    </w:pPr>
    <w:rPr>
      <w:rFonts w:eastAsiaTheme="minorEastAsia"/>
      <w:kern w:val="2"/>
      <w:sz w:val="24"/>
      <w:szCs w:val="24"/>
      <w:lang w:val="en-US" w:eastAsia="ja-JP"/>
    </w:rPr>
  </w:style>
  <w:style w:type="paragraph" w:styleId="TOC4">
    <w:name w:val="toc 4"/>
    <w:basedOn w:val="Normal"/>
    <w:next w:val="Normal"/>
    <w:autoRedefine/>
    <w:uiPriority w:val="39"/>
    <w:unhideWhenUsed/>
    <w:rsid w:val="00625650"/>
    <w:pPr>
      <w:spacing w:after="100" w:line="278" w:lineRule="auto"/>
      <w:ind w:left="720"/>
    </w:pPr>
    <w:rPr>
      <w:rFonts w:eastAsiaTheme="minorEastAsia"/>
      <w:kern w:val="2"/>
      <w:sz w:val="24"/>
      <w:szCs w:val="24"/>
      <w:lang w:val="en-US" w:eastAsia="ja-JP"/>
    </w:rPr>
  </w:style>
  <w:style w:type="paragraph" w:styleId="TOC5">
    <w:name w:val="toc 5"/>
    <w:basedOn w:val="Normal"/>
    <w:next w:val="Normal"/>
    <w:autoRedefine/>
    <w:uiPriority w:val="39"/>
    <w:unhideWhenUsed/>
    <w:rsid w:val="00625650"/>
    <w:pPr>
      <w:spacing w:after="100" w:line="278" w:lineRule="auto"/>
      <w:ind w:left="960"/>
    </w:pPr>
    <w:rPr>
      <w:rFonts w:eastAsiaTheme="minorEastAsia"/>
      <w:kern w:val="2"/>
      <w:sz w:val="24"/>
      <w:szCs w:val="24"/>
      <w:lang w:val="en-US" w:eastAsia="ja-JP"/>
    </w:rPr>
  </w:style>
  <w:style w:type="paragraph" w:styleId="TOC6">
    <w:name w:val="toc 6"/>
    <w:basedOn w:val="Normal"/>
    <w:next w:val="Normal"/>
    <w:autoRedefine/>
    <w:uiPriority w:val="39"/>
    <w:unhideWhenUsed/>
    <w:rsid w:val="00625650"/>
    <w:pPr>
      <w:spacing w:after="100" w:line="278" w:lineRule="auto"/>
      <w:ind w:left="1200"/>
    </w:pPr>
    <w:rPr>
      <w:rFonts w:eastAsiaTheme="minorEastAsia"/>
      <w:kern w:val="2"/>
      <w:sz w:val="24"/>
      <w:szCs w:val="24"/>
      <w:lang w:val="en-US" w:eastAsia="ja-JP"/>
    </w:rPr>
  </w:style>
  <w:style w:type="paragraph" w:styleId="TOC7">
    <w:name w:val="toc 7"/>
    <w:basedOn w:val="Normal"/>
    <w:next w:val="Normal"/>
    <w:autoRedefine/>
    <w:uiPriority w:val="39"/>
    <w:unhideWhenUsed/>
    <w:rsid w:val="00625650"/>
    <w:pPr>
      <w:spacing w:after="100" w:line="278" w:lineRule="auto"/>
      <w:ind w:left="1440"/>
    </w:pPr>
    <w:rPr>
      <w:rFonts w:eastAsiaTheme="minorEastAsia"/>
      <w:kern w:val="2"/>
      <w:sz w:val="24"/>
      <w:szCs w:val="24"/>
      <w:lang w:val="en-US" w:eastAsia="ja-JP"/>
    </w:rPr>
  </w:style>
  <w:style w:type="paragraph" w:styleId="TOC8">
    <w:name w:val="toc 8"/>
    <w:basedOn w:val="Normal"/>
    <w:next w:val="Normal"/>
    <w:autoRedefine/>
    <w:uiPriority w:val="39"/>
    <w:unhideWhenUsed/>
    <w:rsid w:val="00625650"/>
    <w:pPr>
      <w:spacing w:after="100" w:line="278" w:lineRule="auto"/>
      <w:ind w:left="1680"/>
    </w:pPr>
    <w:rPr>
      <w:rFonts w:eastAsiaTheme="minorEastAsia"/>
      <w:kern w:val="2"/>
      <w:sz w:val="24"/>
      <w:szCs w:val="24"/>
      <w:lang w:val="en-US" w:eastAsia="ja-JP"/>
    </w:rPr>
  </w:style>
  <w:style w:type="paragraph" w:styleId="TOC9">
    <w:name w:val="toc 9"/>
    <w:basedOn w:val="Normal"/>
    <w:next w:val="Normal"/>
    <w:autoRedefine/>
    <w:uiPriority w:val="39"/>
    <w:unhideWhenUsed/>
    <w:rsid w:val="00625650"/>
    <w:pPr>
      <w:spacing w:after="100" w:line="278" w:lineRule="auto"/>
      <w:ind w:left="1920"/>
    </w:pPr>
    <w:rPr>
      <w:rFonts w:eastAsiaTheme="minorEastAsia"/>
      <w:kern w:val="2"/>
      <w:sz w:val="24"/>
      <w:szCs w:val="24"/>
      <w:lang w:val="en-US" w:eastAsia="ja-JP"/>
    </w:rPr>
  </w:style>
  <w:style w:type="character" w:customStyle="1" w:styleId="UnresolvedMention1">
    <w:name w:val="Unresolved Mention1"/>
    <w:basedOn w:val="DefaultParagraphFont"/>
    <w:uiPriority w:val="99"/>
    <w:semiHidden/>
    <w:unhideWhenUsed/>
    <w:rsid w:val="00625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30416"/>
    <w:pPr>
      <w:spacing w:after="160"/>
    </w:pPr>
    <w:rPr>
      <w:b/>
      <w:bCs/>
      <w:kern w:val="0"/>
    </w:rPr>
  </w:style>
  <w:style w:type="character" w:customStyle="1" w:styleId="CommentSubjectChar">
    <w:name w:val="Comment Subject Char"/>
    <w:basedOn w:val="CommentTextChar"/>
    <w:link w:val="CommentSubject"/>
    <w:uiPriority w:val="99"/>
    <w:semiHidden/>
    <w:rsid w:val="00F30416"/>
    <w:rPr>
      <w:b/>
      <w:bCs/>
      <w:kern w:val="2"/>
      <w:sz w:val="20"/>
      <w:szCs w:val="20"/>
      <w:lang w:val="bg-BG"/>
    </w:rPr>
  </w:style>
  <w:style w:type="paragraph" w:styleId="Header">
    <w:name w:val="header"/>
    <w:basedOn w:val="Normal"/>
    <w:link w:val="HeaderChar"/>
    <w:uiPriority w:val="99"/>
    <w:unhideWhenUsed/>
    <w:rsid w:val="00982A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982A51"/>
    <w:rPr>
      <w:lang w:val="bg-BG"/>
    </w:rPr>
  </w:style>
  <w:style w:type="paragraph" w:styleId="Footer">
    <w:name w:val="footer"/>
    <w:basedOn w:val="Normal"/>
    <w:link w:val="FooterChar"/>
    <w:uiPriority w:val="99"/>
    <w:unhideWhenUsed/>
    <w:rsid w:val="00982A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2A51"/>
    <w:rPr>
      <w:lang w:val="bg-BG"/>
    </w:rPr>
  </w:style>
  <w:style w:type="paragraph" w:styleId="Revision">
    <w:name w:val="Revision"/>
    <w:hidden/>
    <w:uiPriority w:val="99"/>
    <w:semiHidden/>
    <w:rsid w:val="00A67432"/>
    <w:pPr>
      <w:spacing w:after="0" w:line="240" w:lineRule="auto"/>
    </w:pPr>
    <w:rPr>
      <w:lang w:val="bg-BG"/>
    </w:rPr>
  </w:style>
  <w:style w:type="table" w:customStyle="1" w:styleId="TableGrid1">
    <w:name w:val="Table Grid1"/>
    <w:basedOn w:val="TableNormal"/>
    <w:next w:val="TableGrid"/>
    <w:uiPriority w:val="39"/>
    <w:rsid w:val="0025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436"/>
    <w:rPr>
      <w:rFonts w:asciiTheme="majorHAnsi" w:eastAsiaTheme="majorEastAsia" w:hAnsiTheme="majorHAnsi" w:cstheme="majorBidi"/>
      <w:color w:val="2E74B5" w:themeColor="accent1" w:themeShade="BF"/>
      <w:sz w:val="26"/>
      <w:szCs w:val="26"/>
      <w:lang w:val="bg-BG"/>
    </w:rPr>
  </w:style>
  <w:style w:type="character" w:customStyle="1" w:styleId="Heading4Char">
    <w:name w:val="Heading 4 Char"/>
    <w:basedOn w:val="DefaultParagraphFont"/>
    <w:link w:val="Heading4"/>
    <w:uiPriority w:val="9"/>
    <w:semiHidden/>
    <w:rsid w:val="00253436"/>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253436"/>
    <w:rPr>
      <w:i/>
      <w:iCs/>
    </w:rPr>
  </w:style>
  <w:style w:type="character" w:customStyle="1" w:styleId="Picturecaption1">
    <w:name w:val="Picture caption|1_"/>
    <w:basedOn w:val="DefaultParagraphFont"/>
    <w:link w:val="Picturecaption10"/>
    <w:rsid w:val="00253436"/>
    <w:rPr>
      <w:rFonts w:ascii="Calibri" w:eastAsia="Calibri" w:hAnsi="Calibri" w:cs="Calibri"/>
      <w:b/>
      <w:color w:val="666666"/>
      <w:sz w:val="17"/>
    </w:rPr>
  </w:style>
  <w:style w:type="paragraph" w:customStyle="1" w:styleId="Picturecaption10">
    <w:name w:val="Picture caption|1"/>
    <w:basedOn w:val="Normal"/>
    <w:link w:val="Picturecaption1"/>
    <w:rsid w:val="00253436"/>
    <w:pPr>
      <w:widowControl w:val="0"/>
      <w:spacing w:after="0" w:line="240" w:lineRule="auto"/>
    </w:pPr>
    <w:rPr>
      <w:rFonts w:ascii="Calibri" w:eastAsia="Calibri" w:hAnsi="Calibri" w:cs="Calibri"/>
      <w:b/>
      <w:color w:val="666666"/>
      <w:sz w:val="17"/>
      <w:lang w:val="en-US"/>
    </w:rPr>
  </w:style>
  <w:style w:type="character" w:customStyle="1" w:styleId="Footnote1">
    <w:name w:val="Footnote|1_"/>
    <w:basedOn w:val="DefaultParagraphFont"/>
    <w:link w:val="Footnote10"/>
    <w:rsid w:val="00253436"/>
    <w:rPr>
      <w:rFonts w:ascii="Calibri" w:eastAsia="Calibri" w:hAnsi="Calibri" w:cs="Calibri"/>
      <w:sz w:val="20"/>
    </w:rPr>
  </w:style>
  <w:style w:type="paragraph" w:customStyle="1" w:styleId="Footnote10">
    <w:name w:val="Footnote|1"/>
    <w:basedOn w:val="Normal"/>
    <w:link w:val="Footnote1"/>
    <w:rsid w:val="00253436"/>
    <w:pPr>
      <w:widowControl w:val="0"/>
      <w:spacing w:after="0" w:line="240" w:lineRule="auto"/>
    </w:pPr>
    <w:rPr>
      <w:rFonts w:ascii="Calibri" w:eastAsia="Calibri" w:hAnsi="Calibri" w:cs="Calibri"/>
      <w:sz w:val="20"/>
      <w:lang w:val="en-US"/>
    </w:rPr>
  </w:style>
  <w:style w:type="character" w:customStyle="1" w:styleId="hwtze">
    <w:name w:val="hwtze"/>
    <w:basedOn w:val="DefaultParagraphFont"/>
    <w:rsid w:val="00253436"/>
  </w:style>
  <w:style w:type="character" w:customStyle="1" w:styleId="igc-graph-pie-multiline-label">
    <w:name w:val="igc-graph-pie-multiline-label"/>
    <w:basedOn w:val="DefaultParagraphFont"/>
    <w:rsid w:val="00253436"/>
  </w:style>
  <w:style w:type="character" w:styleId="FollowedHyperlink">
    <w:name w:val="FollowedHyperlink"/>
    <w:basedOn w:val="DefaultParagraphFont"/>
    <w:uiPriority w:val="99"/>
    <w:semiHidden/>
    <w:unhideWhenUsed/>
    <w:rsid w:val="00253436"/>
    <w:rPr>
      <w:color w:val="954F72" w:themeColor="followedHyperlink"/>
      <w:u w:val="single"/>
    </w:rPr>
  </w:style>
  <w:style w:type="character" w:customStyle="1" w:styleId="Bodytext2">
    <w:name w:val="Body text|2_"/>
    <w:basedOn w:val="DefaultParagraphFont"/>
    <w:link w:val="Bodytext20"/>
    <w:rsid w:val="00253436"/>
    <w:rPr>
      <w:b/>
      <w:bCs/>
    </w:rPr>
  </w:style>
  <w:style w:type="character" w:customStyle="1" w:styleId="Heading11">
    <w:name w:val="Heading #1|1_"/>
    <w:basedOn w:val="DefaultParagraphFont"/>
    <w:link w:val="Heading110"/>
    <w:rsid w:val="00253436"/>
    <w:rPr>
      <w:rFonts w:ascii="Calibri" w:eastAsia="Calibri" w:hAnsi="Calibri" w:cs="Calibri"/>
      <w:b/>
      <w:bCs/>
      <w:color w:val="0046FF"/>
      <w:sz w:val="52"/>
      <w:szCs w:val="52"/>
    </w:rPr>
  </w:style>
  <w:style w:type="paragraph" w:customStyle="1" w:styleId="Bodytext20">
    <w:name w:val="Body text|2"/>
    <w:basedOn w:val="Normal"/>
    <w:link w:val="Bodytext2"/>
    <w:rsid w:val="00253436"/>
    <w:pPr>
      <w:widowControl w:val="0"/>
      <w:spacing w:after="240" w:line="240" w:lineRule="auto"/>
      <w:jc w:val="center"/>
    </w:pPr>
    <w:rPr>
      <w:b/>
      <w:bCs/>
      <w:lang w:val="en-US"/>
    </w:rPr>
  </w:style>
  <w:style w:type="paragraph" w:customStyle="1" w:styleId="Heading110">
    <w:name w:val="Heading #1|1"/>
    <w:basedOn w:val="Normal"/>
    <w:link w:val="Heading11"/>
    <w:rsid w:val="00253436"/>
    <w:pPr>
      <w:widowControl w:val="0"/>
      <w:spacing w:after="200" w:line="240" w:lineRule="auto"/>
      <w:outlineLvl w:val="0"/>
    </w:pPr>
    <w:rPr>
      <w:rFonts w:ascii="Calibri" w:eastAsia="Calibri" w:hAnsi="Calibri" w:cs="Calibri"/>
      <w:b/>
      <w:bCs/>
      <w:color w:val="0046FF"/>
      <w:sz w:val="52"/>
      <w:szCs w:val="52"/>
      <w:lang w:val="en-US"/>
    </w:rPr>
  </w:style>
  <w:style w:type="character" w:customStyle="1" w:styleId="UnresolvedMention2">
    <w:name w:val="Unresolved Mention2"/>
    <w:basedOn w:val="DefaultParagraphFont"/>
    <w:uiPriority w:val="99"/>
    <w:semiHidden/>
    <w:unhideWhenUsed/>
    <w:rsid w:val="00BD725A"/>
    <w:rPr>
      <w:color w:val="605E5C"/>
      <w:shd w:val="clear" w:color="auto" w:fill="E1DFDD"/>
    </w:rPr>
  </w:style>
  <w:style w:type="character" w:customStyle="1" w:styleId="UnresolvedMention">
    <w:name w:val="Unresolved Mention"/>
    <w:basedOn w:val="DefaultParagraphFont"/>
    <w:uiPriority w:val="99"/>
    <w:semiHidden/>
    <w:unhideWhenUsed/>
    <w:rsid w:val="00493DDB"/>
    <w:rPr>
      <w:color w:val="605E5C"/>
      <w:shd w:val="clear" w:color="auto" w:fill="E1DFDD"/>
    </w:rPr>
  </w:style>
  <w:style w:type="character" w:customStyle="1" w:styleId="Heading6Char">
    <w:name w:val="Heading 6 Char"/>
    <w:basedOn w:val="DefaultParagraphFont"/>
    <w:link w:val="Heading6"/>
    <w:uiPriority w:val="9"/>
    <w:semiHidden/>
    <w:rsid w:val="000E7667"/>
    <w:rPr>
      <w:rFonts w:asciiTheme="majorHAnsi" w:eastAsiaTheme="majorEastAsia" w:hAnsiTheme="majorHAnsi" w:cstheme="majorBidi"/>
      <w:color w:val="1F4D78" w:themeColor="accent1" w:themeShade="7F"/>
      <w:lang w:val="bg-BG"/>
    </w:rPr>
  </w:style>
  <w:style w:type="character" w:customStyle="1" w:styleId="Heading5Char">
    <w:name w:val="Heading 5 Char"/>
    <w:basedOn w:val="DefaultParagraphFont"/>
    <w:link w:val="Heading5"/>
    <w:uiPriority w:val="9"/>
    <w:semiHidden/>
    <w:rsid w:val="000E7667"/>
    <w:rPr>
      <w:rFonts w:asciiTheme="majorHAnsi" w:eastAsiaTheme="majorEastAsia" w:hAnsiTheme="majorHAnsi" w:cstheme="majorBidi"/>
      <w:color w:val="2E74B5" w:themeColor="accent1" w:themeShade="BF"/>
      <w:lang w:val="bg-BG"/>
    </w:rPr>
  </w:style>
  <w:style w:type="paragraph" w:styleId="TableofFigures">
    <w:name w:val="table of figures"/>
    <w:basedOn w:val="Normal"/>
    <w:next w:val="Normal"/>
    <w:uiPriority w:val="99"/>
    <w:unhideWhenUsed/>
    <w:rsid w:val="001154F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71834">
      <w:bodyDiv w:val="1"/>
      <w:marLeft w:val="0"/>
      <w:marRight w:val="0"/>
      <w:marTop w:val="0"/>
      <w:marBottom w:val="0"/>
      <w:divBdr>
        <w:top w:val="none" w:sz="0" w:space="0" w:color="auto"/>
        <w:left w:val="none" w:sz="0" w:space="0" w:color="auto"/>
        <w:bottom w:val="none" w:sz="0" w:space="0" w:color="auto"/>
        <w:right w:val="none" w:sz="0" w:space="0" w:color="auto"/>
      </w:divBdr>
      <w:divsChild>
        <w:div w:id="696928013">
          <w:marLeft w:val="0"/>
          <w:marRight w:val="0"/>
          <w:marTop w:val="0"/>
          <w:marBottom w:val="0"/>
          <w:divBdr>
            <w:top w:val="none" w:sz="0" w:space="0" w:color="auto"/>
            <w:left w:val="none" w:sz="0" w:space="0" w:color="auto"/>
            <w:bottom w:val="none" w:sz="0" w:space="0" w:color="auto"/>
            <w:right w:val="none" w:sz="0" w:space="0" w:color="auto"/>
          </w:divBdr>
        </w:div>
        <w:div w:id="1722705043">
          <w:marLeft w:val="0"/>
          <w:marRight w:val="0"/>
          <w:marTop w:val="0"/>
          <w:marBottom w:val="0"/>
          <w:divBdr>
            <w:top w:val="none" w:sz="0" w:space="0" w:color="auto"/>
            <w:left w:val="none" w:sz="0" w:space="0" w:color="auto"/>
            <w:bottom w:val="none" w:sz="0" w:space="0" w:color="auto"/>
            <w:right w:val="none" w:sz="0" w:space="0" w:color="auto"/>
          </w:divBdr>
        </w:div>
      </w:divsChild>
    </w:div>
    <w:div w:id="258291584">
      <w:bodyDiv w:val="1"/>
      <w:marLeft w:val="0"/>
      <w:marRight w:val="0"/>
      <w:marTop w:val="0"/>
      <w:marBottom w:val="0"/>
      <w:divBdr>
        <w:top w:val="none" w:sz="0" w:space="0" w:color="auto"/>
        <w:left w:val="none" w:sz="0" w:space="0" w:color="auto"/>
        <w:bottom w:val="none" w:sz="0" w:space="0" w:color="auto"/>
        <w:right w:val="none" w:sz="0" w:space="0" w:color="auto"/>
      </w:divBdr>
    </w:div>
    <w:div w:id="991181557">
      <w:bodyDiv w:val="1"/>
      <w:marLeft w:val="0"/>
      <w:marRight w:val="0"/>
      <w:marTop w:val="0"/>
      <w:marBottom w:val="0"/>
      <w:divBdr>
        <w:top w:val="none" w:sz="0" w:space="0" w:color="auto"/>
        <w:left w:val="none" w:sz="0" w:space="0" w:color="auto"/>
        <w:bottom w:val="none" w:sz="0" w:space="0" w:color="auto"/>
        <w:right w:val="none" w:sz="0" w:space="0" w:color="auto"/>
      </w:divBdr>
    </w:div>
    <w:div w:id="1645963889">
      <w:bodyDiv w:val="1"/>
      <w:marLeft w:val="0"/>
      <w:marRight w:val="0"/>
      <w:marTop w:val="0"/>
      <w:marBottom w:val="0"/>
      <w:divBdr>
        <w:top w:val="none" w:sz="0" w:space="0" w:color="auto"/>
        <w:left w:val="none" w:sz="0" w:space="0" w:color="auto"/>
        <w:bottom w:val="none" w:sz="0" w:space="0" w:color="auto"/>
        <w:right w:val="none" w:sz="0" w:space="0" w:color="auto"/>
      </w:divBdr>
    </w:div>
    <w:div w:id="18699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is.nhif.bg/main/" TargetMode="External"/><Relationship Id="rId21" Type="http://schemas.openxmlformats.org/officeDocument/2006/relationships/hyperlink" Target="https://analytics.egov.bg" TargetMode="External"/><Relationship Id="rId42" Type="http://schemas.openxmlformats.org/officeDocument/2006/relationships/image" Target="media/image1.jpeg"/><Relationship Id="rId47" Type="http://schemas.openxmlformats.org/officeDocument/2006/relationships/hyperlink" Target="https://eportal.nssi.bg/" TargetMode="External"/><Relationship Id="rId63" Type="http://schemas.openxmlformats.org/officeDocument/2006/relationships/hyperlink" Target="https://egov.government.bg/wps/portal/ministry-meu/strategies-policies/strategic-documents" TargetMode="External"/><Relationship Id="rId68" Type="http://schemas.openxmlformats.org/officeDocument/2006/relationships/hyperlink" Target="https://iisda.government.bg/annual_report/664" TargetMode="External"/><Relationship Id="rId2" Type="http://schemas.openxmlformats.org/officeDocument/2006/relationships/numbering" Target="numbering.xml"/><Relationship Id="rId16" Type="http://schemas.openxmlformats.org/officeDocument/2006/relationships/hyperlink" Target="https://digital-strategy.ec.europa.eu/en/library/digital-decade-2025-egovernment-benchmark-2025" TargetMode="External"/><Relationship Id="rId29" Type="http://schemas.openxmlformats.org/officeDocument/2006/relationships/hyperlink" Target="https://www.nsi.bg/sites/default/files/files/pressreleases/ICT_ent2024_5UX6GMY.pdf?utm_source=chatgpt.com" TargetMode="External"/><Relationship Id="rId11" Type="http://schemas.openxmlformats.org/officeDocument/2006/relationships/hyperlink" Target="https://eur-lex.europa.eu/legal-content/BG/TXT/?uri=CELEX:52022DC0027&amp;qid=1643363406727" TargetMode="External"/><Relationship Id="rId24" Type="http://schemas.openxmlformats.org/officeDocument/2006/relationships/hyperlink" Target="https://digital-strategy.ec.europa.eu/en/policies/digital-principles" TargetMode="External"/><Relationship Id="rId32" Type="http://schemas.openxmlformats.org/officeDocument/2006/relationships/hyperlink" Target="https://www.nsi.bg/sites/default/files/files/pressreleases/ICT_ent2024_5UX6GMY.pdf?utm_source=chatgpt.com" TargetMode="External"/><Relationship Id="rId37" Type="http://schemas.openxmlformats.org/officeDocument/2006/relationships/hyperlink" Target="https://www.nsi.bg/sites/default/files/files/pressreleases/ICT_ent2023_KF3JA6V.pdf?utm_source=chatgpt.com" TargetMode="External"/><Relationship Id="rId40" Type="http://schemas.openxmlformats.org/officeDocument/2006/relationships/hyperlink" Target="https://digital-strategy.ec.europa.eu/en/library/country-reports-digital-decade-report-2023" TargetMode="External"/><Relationship Id="rId45" Type="http://schemas.openxmlformats.org/officeDocument/2006/relationships/hyperlink" Target="https://egov.bg" TargetMode="External"/><Relationship Id="rId53" Type="http://schemas.openxmlformats.org/officeDocument/2006/relationships/hyperlink" Target="https://publicadministration.un.org/egovkb/en-us/" TargetMode="External"/><Relationship Id="rId58" Type="http://schemas.openxmlformats.org/officeDocument/2006/relationships/hyperlink" Target="https://www.nsi.bg/statistical-data/258" TargetMode="External"/><Relationship Id="rId66" Type="http://schemas.openxmlformats.org/officeDocument/2006/relationships/hyperlink" Target="https://www.mtc.government.bg/bg/category/46/prieti-sa-aktualiziran-plan-za-shirokolentova-infrastruktura-svrzana-blgariya-i-aktualizirana-politika-v-oblastta-na-elektronnite-sobscheniya"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gov.government.bg/wps/portal/ministry-meu/strategies-policies/digital.transformation/itis-national-strategic-documents/national.strategic.document.digital.transformation" TargetMode="External"/><Relationship Id="rId19" Type="http://schemas.openxmlformats.org/officeDocument/2006/relationships/hyperlink" Target="https://digital-strategy.ec.europa.eu/en/library/state-digital-decade-2025-report" TargetMode="External"/><Relationship Id="rId14" Type="http://schemas.openxmlformats.org/officeDocument/2006/relationships/hyperlink" Target="https://publicadministration.un.org/egovkb/en-us/" TargetMode="External"/><Relationship Id="rId22" Type="http://schemas.openxmlformats.org/officeDocument/2006/relationships/hyperlink" Target="https://digital-strategy.ec.europa.eu/en/library/digital-decade-2025-declaration-digital-rights-and-principles-monitoring-report-2025" TargetMode="External"/><Relationship Id="rId27" Type="http://schemas.openxmlformats.org/officeDocument/2006/relationships/hyperlink" Target="https://nra.bg/wps/wcm/connect/nra.bg25863/35154c13-e039-4fa4-9702-8cebf8adad22/%D0%93%D0%BE%D0%B4%D0%B8%D1%88%D0%B5%D0%BD_%D0%BE%D1%82%D1%87%D0%B5%D1%82_%D0%9D%D0%90%D0%9F_2024+-%D0%BE%D0%B4%D0%BE%D0%B1%D1%80%D0%B5%D0%BD+%D1%81+%D0%A0%D0%9C%D0%A4-3-07032025%D0%B3.pdf?MOD=AJPERES&amp;CONVERT_TO=url&amp;CACHEID=ROOTWORKSPACE.Z18_PPGAHG8009LJC0QTR5C2HH30I6-35154c13-e039-4fa4-9702-8cebf8adad22-ppXZSBF" TargetMode="External"/><Relationship Id="rId30" Type="http://schemas.openxmlformats.org/officeDocument/2006/relationships/hyperlink" Target="https://www.nsi.bg/sites/default/files/files/pressreleases/ICT_ent2024_5UX6GMY.pdf?utm_source=chatgpt.com" TargetMode="External"/><Relationship Id="rId35" Type="http://schemas.openxmlformats.org/officeDocument/2006/relationships/hyperlink" Target="https://www.nsi.bg/sites/default/files/files/pressreleases/ICT_ent2023_KF3JA6V.pdf?utm_source=chatgpt.com" TargetMode="External"/><Relationship Id="rId43" Type="http://schemas.openxmlformats.org/officeDocument/2006/relationships/hyperlink" Target="https://parliament.bg/" TargetMode="External"/><Relationship Id="rId48" Type="http://schemas.openxmlformats.org/officeDocument/2006/relationships/hyperlink" Target="http://opendata.government.bg/" TargetMode="External"/><Relationship Id="rId56" Type="http://schemas.openxmlformats.org/officeDocument/2006/relationships/hyperlink" Target="https://data.europa.eu/en/publications/open-data-maturity/2024" TargetMode="External"/><Relationship Id="rId64" Type="http://schemas.openxmlformats.org/officeDocument/2006/relationships/hyperlink" Target="https://egov.government.bg/wps/portal/ministry-meu/strategies-policies/strategic-documents" TargetMode="External"/><Relationship Id="rId69" Type="http://schemas.openxmlformats.org/officeDocument/2006/relationships/hyperlink" Target="https://egov.government.bg/wps/portal/ministry-meu/ministry/ministry-report/ministry-report_filelist/20250428-reportir" TargetMode="External"/><Relationship Id="rId8" Type="http://schemas.openxmlformats.org/officeDocument/2006/relationships/footer" Target="footer1.xml"/><Relationship Id="rId51" Type="http://schemas.openxmlformats.org/officeDocument/2006/relationships/hyperlink" Target="https://digital-decade-desi.digital-strategy.ec.europa.eu/datasets/desi/charts/" TargetMode="External"/><Relationship Id="rId72" Type="http://schemas.openxmlformats.org/officeDocument/2006/relationships/hyperlink" Target="https://www.minfin.bg/upload/60144/Country+report+Bulgaria+2024.pdf" TargetMode="External"/><Relationship Id="rId3" Type="http://schemas.openxmlformats.org/officeDocument/2006/relationships/styles" Target="styles.xml"/><Relationship Id="rId12" Type="http://schemas.openxmlformats.org/officeDocument/2006/relationships/hyperlink" Target="https://digital-strategy.ec.europa.eu/en/library/state-digital-decade-2025-report" TargetMode="External"/><Relationship Id="rId17" Type="http://schemas.openxmlformats.org/officeDocument/2006/relationships/hyperlink" Target="https://digital-strategy.ec.europa.eu/en/library/digital-decade-2025-egovernment-benchmark-2025" TargetMode="External"/><Relationship Id="rId25" Type="http://schemas.openxmlformats.org/officeDocument/2006/relationships/hyperlink" Target="https://egov.government.bg/wps/portal/ministry-meu/home/veod" TargetMode="External"/><Relationship Id="rId33" Type="http://schemas.openxmlformats.org/officeDocument/2006/relationships/hyperlink" Target="https://www.nsi.bg/bg/content/20935/%D0%BF%D1%80%D0%B5%D1%81%D1%81%D1%8A%D0%BE%D0%B1%D1%89%D0%B5%D0%BD%D0%B8%D0%B5/%D0%B8%D0%B7%D0%BF%D0%BE%D0%BB%D0%B7%D0%B2%D0%B0%D0%BD%D0%B5-%D0%BD%D0%B0-%D0%B8%D0%BD%D1%84%D0%BE%D1%80%D0%BC%D0%B0%D1%86%D0%B8%D0%BE%D0%BD%D0%BD%D0%B8-%D0%B8-%D0%BA%D0%BE%D0%BC%D1%83%D0%BD%D0%B8%D0%BA%D0%B0%D1%86%D0%B8%D0%BE%D0%BD%D0%BD%D0%B8-%D1%82%D0%B5%D1%85%D0%BD%D0%BE%D0%BB%D0%BE%D0%B3%D0%B8%D0%B8-%D0%B2-%D0%BF%D1%80%D0%B5%D0%B4%D0%BF%D1%80%D0%B8%D1%8F%D1%82%D0%B8%D1%8F%D1%82%D0%B0-%D0%BF%D1%80%D0%B5%D0%B7-2023-%D0%B3%D0%BE%D0%B4%D0%B8%D0%BD%D0%B0?utm_source=chatgpt.com" TargetMode="External"/><Relationship Id="rId38" Type="http://schemas.openxmlformats.org/officeDocument/2006/relationships/hyperlink" Target="https://www.nsi.bg/sites/default/files/files/pressreleases/ICT_ent2023_KF3JA6V.pdf?utm_source=chatgpt.com" TargetMode="External"/><Relationship Id="rId46" Type="http://schemas.openxmlformats.org/officeDocument/2006/relationships/hyperlink" Target="https://portal.nra.bg/" TargetMode="External"/><Relationship Id="rId59" Type="http://schemas.openxmlformats.org/officeDocument/2006/relationships/hyperlink" Target="https://ec.europa.eu/eurostat/web/main/data/database" TargetMode="External"/><Relationship Id="rId67" Type="http://schemas.openxmlformats.org/officeDocument/2006/relationships/hyperlink" Target="https://www.mtc.government.bg/bg/category/46/prieti-sa-aktualiziran-plan-za-shirokolentova-infrastruktura-svrzana-blgariya-i-aktualizirana-politika-v-oblastta-na-elektronnite-sobscheniya" TargetMode="External"/><Relationship Id="rId20" Type="http://schemas.openxmlformats.org/officeDocument/2006/relationships/hyperlink" Target="https://egov.bg/wps/portal/egov/nachalo" TargetMode="External"/><Relationship Id="rId41" Type="http://schemas.openxmlformats.org/officeDocument/2006/relationships/hyperlink" Target="https://www.insead.edu/faculty-research/research/gtci" TargetMode="External"/><Relationship Id="rId54" Type="http://schemas.openxmlformats.org/officeDocument/2006/relationships/hyperlink" Target="https://download.networkreadinessindex.org/reports/countries/2024/bulgaria.pdf" TargetMode="External"/><Relationship Id="rId62" Type="http://schemas.openxmlformats.org/officeDocument/2006/relationships/hyperlink" Target="https://egov.government.bg/wps/portal/ministry-meu/strategies-policies/digital.transformation/itis-national-strategic-documents/national.strategic.document.digital.transformation" TargetMode="External"/><Relationship Id="rId70" Type="http://schemas.openxmlformats.org/officeDocument/2006/relationships/hyperlink" Target="https://www.mh.government.bg/bg/politiki/strategii-i-kontseptsii/strategii" TargetMode="External"/><Relationship Id="rId75"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wnload.networkreadinessindex.org/reports/countries/2024/bulgaria.pdf" TargetMode="External"/><Relationship Id="rId23" Type="http://schemas.openxmlformats.org/officeDocument/2006/relationships/hyperlink" Target="https://digital-strategy.ec.europa.eu/en/policies/digital-principles" TargetMode="External"/><Relationship Id="rId28" Type="http://schemas.openxmlformats.org/officeDocument/2006/relationships/hyperlink" Target="http://www.archives.government.bg" TargetMode="External"/><Relationship Id="rId36" Type="http://schemas.openxmlformats.org/officeDocument/2006/relationships/hyperlink" Target="https://www.nsi.bg/sites/default/files/files/pressreleases/ICT_ent2023_KF3JA6V.pdf?utm_source=chatgpt.com" TargetMode="External"/><Relationship Id="rId49" Type="http://schemas.openxmlformats.org/officeDocument/2006/relationships/hyperlink" Target="https://inspire.egov.bg/" TargetMode="External"/><Relationship Id="rId57" Type="http://schemas.openxmlformats.org/officeDocument/2006/relationships/hyperlink" Target="https://www.kearney.com/service/digital-analytics/gsli/2023-full-report" TargetMode="External"/><Relationship Id="rId10" Type="http://schemas.openxmlformats.org/officeDocument/2006/relationships/hyperlink" Target="https://www.gov.bg/files/common/upravlenska%20programa.pdf" TargetMode="External"/><Relationship Id="rId31" Type="http://schemas.openxmlformats.org/officeDocument/2006/relationships/hyperlink" Target="https://www.nsi.bg/sites/default/files/files/pressreleases/ICT_ent2024_5UX6GMY.pdf?utm_source=chatgpt.com" TargetMode="External"/><Relationship Id="rId44" Type="http://schemas.openxmlformats.org/officeDocument/2006/relationships/hyperlink" Target="https://publications.jrc.ec.europa.eu/repository/handle/JRC128415" TargetMode="External"/><Relationship Id="rId52" Type="http://schemas.openxmlformats.org/officeDocument/2006/relationships/hyperlink" Target="https://digital-strategy.ec.europa.eu/en/library/digital-decade-2025-egovernment-benchmark-2025" TargetMode="External"/><Relationship Id="rId60" Type="http://schemas.openxmlformats.org/officeDocument/2006/relationships/hyperlink" Target="https://www.strategy.bg/StrategicDocuments/View.aspx?lang=bg-BG&amp;Id=1330" TargetMode="External"/><Relationship Id="rId65" Type="http://schemas.openxmlformats.org/officeDocument/2006/relationships/hyperlink" Target="https://nextgeneration.bg/14"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nfin.bg/bg/1394" TargetMode="External"/><Relationship Id="rId13" Type="http://schemas.openxmlformats.org/officeDocument/2006/relationships/hyperlink" Target="https://www.minfin.bg/upload/60144/Country+report+Bulgaria+2024.pdf" TargetMode="External"/><Relationship Id="rId18" Type="http://schemas.openxmlformats.org/officeDocument/2006/relationships/hyperlink" Target="https://digital-strategy.ec.europa.eu/en/library/digital-decade-2025-desi-methodological-note" TargetMode="External"/><Relationship Id="rId39" Type="http://schemas.openxmlformats.org/officeDocument/2006/relationships/hyperlink" Target="https://www.nsi.bg/sites/default/files/files/pressreleases/ICT_ent2023_KF3JA6V.pdf?utm_source=chatgpt.com" TargetMode="External"/><Relationship Id="rId34" Type="http://schemas.openxmlformats.org/officeDocument/2006/relationships/hyperlink" Target="https://www.nsi.bg/sites/default/files/files/pressreleases/ICT_ent2023_KF3JA6V.pdf?utm_source=chatgpt.com" TargetMode="External"/><Relationship Id="rId50" Type="http://schemas.openxmlformats.org/officeDocument/2006/relationships/hyperlink" Target="https://digital-strategy.ec.europa.eu/en/library/state-digital-decade-2025-report" TargetMode="External"/><Relationship Id="rId55" Type="http://schemas.openxmlformats.org/officeDocument/2006/relationships/hyperlink" Target="https://networkreadinessindex.org/" TargetMode="External"/><Relationship Id="rId76" Type="http://schemas.microsoft.com/office/2016/09/relationships/commentsIds" Target="commentsIds.xml"/><Relationship Id="rId7" Type="http://schemas.openxmlformats.org/officeDocument/2006/relationships/endnotes" Target="endnotes.xml"/><Relationship Id="rId71" Type="http://schemas.openxmlformats.org/officeDocument/2006/relationships/hyperlink" Target="https://nra.bg/wps/portal/nra/za-nap/osnovni-dokumenti/Godishni-otcheti-za-deynostta-na-NAP"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eurostat/databrowser/view/isoc_ske_ittn2/default/table?lang=en&amp;category=isoc.isoc_sk.isoc_skt" TargetMode="External"/><Relationship Id="rId18" Type="http://schemas.openxmlformats.org/officeDocument/2006/relationships/hyperlink" Target="https://bg.wikipedia.org/w/index.php?title=%D0%9A%D0%BE%D0%BC%D0%BF%D1%8E%D1%82%D1%8A%D1%80%D0%BD%D0%B8_%D1%82%D0%B5%D1%85%D0%BD%D0%BE%D0%BB%D0%BE%D0%B3%D0%B8%D0%B8&amp;action=edit&amp;redlink=1" TargetMode="External"/><Relationship Id="rId26" Type="http://schemas.openxmlformats.org/officeDocument/2006/relationships/hyperlink" Target="https://strategy.bg/" TargetMode="External"/><Relationship Id="rId3" Type="http://schemas.openxmlformats.org/officeDocument/2006/relationships/hyperlink" Target="https://www.minfin.bg/upload/60144/Country+report+Bulgaria+2024.pdf" TargetMode="External"/><Relationship Id="rId21" Type="http://schemas.openxmlformats.org/officeDocument/2006/relationships/hyperlink" Target="https://ec.europa.eu/eurostat/databrowser/view/isoc_sks_itspn2/default/map?lang=en&amp;category=isoc.isoc_sk.isoc_sks.isoc_skslf" TargetMode="External"/><Relationship Id="rId34" Type="http://schemas.openxmlformats.org/officeDocument/2006/relationships/hyperlink" Target="https://www.insead.edu/faculty-research/research/gtci" TargetMode="External"/><Relationship Id="rId7" Type="http://schemas.openxmlformats.org/officeDocument/2006/relationships/hyperlink" Target="https://www.archives.government.bg/daa_projects-513-19-%D0%9F%D1%80%D0%BE%D0%B5%D0%BA%D1%82%20%E2%80%9E%D0%A0%D0%B0%D0%B7%D1%80%D0%B0%D0%B1%D0%BE%D1%82%D0%BA%D0%B0%20%D0%B8%20%D0%B2%D0%BD%D0%B5%D0%B4%D1%80%D1%8F%D0%B2%D0%B0%D0%BD%D0%B5%20%D0%BD%D0%B0%20%D1%81%D0%B8%D1%81%D1%82%D0%B5%D0%BC%D0%B0%20%D0%B7%D0%B0%20%D0%B5%D0%BB%D0%B5%D0%BA%D1%82%D1%80%D0%BE" TargetMode="External"/><Relationship Id="rId12" Type="http://schemas.openxmlformats.org/officeDocument/2006/relationships/hyperlink" Target="https://ec.europa.eu/eurostat/databrowser/view/isoc_ske_itspen2/default/table?lang=en&amp;category=isoc.isoc_sk.isoc_sks.isoc_ske" TargetMode="External"/><Relationship Id="rId17" Type="http://schemas.openxmlformats.org/officeDocument/2006/relationships/hyperlink" Target="https://bg.wikipedia.org/wiki/%D0%9E%D0%B1%D1%89%D0%B5%D1%81%D1%82%D0%B2%D0%BE" TargetMode="External"/><Relationship Id="rId25" Type="http://schemas.openxmlformats.org/officeDocument/2006/relationships/hyperlink" Target="https://egov.government.bg/wps/portal/ministry-meu/strategies-policies/digital.transformation/itis-project" TargetMode="External"/><Relationship Id="rId33" Type="http://schemas.openxmlformats.org/officeDocument/2006/relationships/hyperlink" Target="https://www.icann.org/en/blogs/details/relations-between-bulgaria-and-icann-mark-major-milestones-14-10-2014-en" TargetMode="External"/><Relationship Id="rId2" Type="http://schemas.openxmlformats.org/officeDocument/2006/relationships/hyperlink" Target="https://digital-strategy.ec.europa.eu/en/library/state-digital-decade-2025-report" TargetMode="External"/><Relationship Id="rId16" Type="http://schemas.openxmlformats.org/officeDocument/2006/relationships/hyperlink" Target="https://www.insead.edu/faculty-research/research/gtci" TargetMode="External"/><Relationship Id="rId20" Type="http://schemas.openxmlformats.org/officeDocument/2006/relationships/hyperlink" Target="https://bg.wikipedia.org/wiki/%D0%A1%D0%BE%D1%86%D0%B8%D0%B0%D0%BB%D0%BD%D0%B0_%D0%B3%D1%80%D1%83%D0%BF%D0%B0" TargetMode="External"/><Relationship Id="rId29" Type="http://schemas.openxmlformats.org/officeDocument/2006/relationships/hyperlink" Target="https://www.capital.bg/en/event/294-cybersecurity-forum-2024/" TargetMode="External"/><Relationship Id="rId1" Type="http://schemas.openxmlformats.org/officeDocument/2006/relationships/hyperlink" Target="https://commission.europa.eu/strategy-and-policy/priorities-2019-2024/europe-fit-digital-age/europes-digital-decade-digital-targets-2030_en" TargetMode="External"/><Relationship Id="rId6" Type="http://schemas.openxmlformats.org/officeDocument/2006/relationships/hyperlink" Target="https://digital-strategy.ec.europa.eu/en/library/state-digital-decade-2025-report" TargetMode="External"/><Relationship Id="rId11" Type="http://schemas.openxmlformats.org/officeDocument/2006/relationships/hyperlink" Target="https://infostat.nsi.bg/infostat/pages/reports/query.jsf?x_2=2209" TargetMode="External"/><Relationship Id="rId24" Type="http://schemas.openxmlformats.org/officeDocument/2006/relationships/hyperlink" Target="https://ec.europa.eu/eurostat/databrowser/view/isoc_bde15ap/default/table?lang=en&amp;category=isoc.isoc_se" TargetMode="External"/><Relationship Id="rId32" Type="http://schemas.openxmlformats.org/officeDocument/2006/relationships/hyperlink" Target="https://pp22.itu.int/wp-content/uploads/2022/05/bulgaria_council-brochure-e.pdf" TargetMode="External"/><Relationship Id="rId5" Type="http://schemas.openxmlformats.org/officeDocument/2006/relationships/hyperlink" Target="https://networkreadinessindex.org/" TargetMode="External"/><Relationship Id="rId15" Type="http://schemas.openxmlformats.org/officeDocument/2006/relationships/hyperlink" Target="https://ec.europa.eu/eurostat/databrowser/view/isoc_ski_itemp/default/bar?lang=en&amp;category=isoc.isoc_sk.isoc_skt.isoc_skt_" TargetMode="External"/><Relationship Id="rId23" Type="http://schemas.openxmlformats.org/officeDocument/2006/relationships/hyperlink" Target="https://www.kearney.com/service/digital-analytics/gsli/2023-full-report" TargetMode="External"/><Relationship Id="rId28" Type="http://schemas.openxmlformats.org/officeDocument/2006/relationships/hyperlink" Target="https://www.webit.org/festival-europe/index.php" TargetMode="External"/><Relationship Id="rId10" Type="http://schemas.openxmlformats.org/officeDocument/2006/relationships/hyperlink" Target="https://digital-decade-desi.digital-strategy.ec.europa.eu/datasets/desi/charts/compare-countries-progress?period=desi_2024&amp;indicator=desi_dsk_bab&amp;breakdown=ind_total&amp;unit=pc_ind&amp;country=AT,BE,BG,HR,CY,CZ,DK,EE,EU,FI,FR,DE,EL,HU,IE,IT,LV,LT,LU,MT,NL,PL,PT,RO,SK,SI,ES,SE" TargetMode="External"/><Relationship Id="rId19" Type="http://schemas.openxmlformats.org/officeDocument/2006/relationships/hyperlink" Target="https://bg.wikipedia.org/wiki/%D0%98%D0%BD%D1%82%D0%B5%D1%80%D0%BD%D0%B5%D1%82" TargetMode="External"/><Relationship Id="rId31" Type="http://schemas.openxmlformats.org/officeDocument/2006/relationships/hyperlink" Target="https://www.intgovforum.org/en/content/national-and-regional-igf-initiatives" TargetMode="External"/><Relationship Id="rId4" Type="http://schemas.openxmlformats.org/officeDocument/2006/relationships/hyperlink" Target="https://www.oecd.org/en/about/programmes/pisa.html" TargetMode="External"/><Relationship Id="rId9" Type="http://schemas.openxmlformats.org/officeDocument/2006/relationships/hyperlink" Target="https://ec.europa.eu/eurostat/databrowser/view/isoc_sk_dskl_i21/default/table?lang=en&amp;category=isoc.isoc_sk.isoc_sku" TargetMode="External"/><Relationship Id="rId14" Type="http://schemas.openxmlformats.org/officeDocument/2006/relationships/hyperlink" Target="https://ec.europa.eu/eurostat/databrowser/view/ISOC_SKE_ITTN2__custom_6504358/default/table?lang=en" TargetMode="External"/><Relationship Id="rId22" Type="http://schemas.openxmlformats.org/officeDocument/2006/relationships/hyperlink" Target="https://ec.europa.eu/eurostat/databrowser/view/isoc_sks_itsps/default/table?lang=en&amp;category=isoc.isoc_sk.isoc_sks.isoc_skslf" TargetMode="External"/><Relationship Id="rId27" Type="http://schemas.openxmlformats.org/officeDocument/2006/relationships/hyperlink" Target="https://www.digitalkconference.com" TargetMode="External"/><Relationship Id="rId30" Type="http://schemas.openxmlformats.org/officeDocument/2006/relationships/hyperlink" Target="https://ipbulgaria.bg/%D0%BF%D0%BE%D0%BA%D0%B0%D0%BD%D0%B0-%D0%B7%D0%B0-%D1%83%D1%87%D0%B0%D1%81%D1%82%D0%B8%D0%B5-%D0%B2-%D0%B4%D0%BE%D0%BC%D0%B5%D0%B9%D0%BD-%D1%84%D0%BE%D1%80%D1%83%D0%BC/" TargetMode="External"/><Relationship Id="rId8" Type="http://schemas.openxmlformats.org/officeDocument/2006/relationships/hyperlink" Target="https://ec.europa.eu/eurostat/databrowser/view/isoc_sk_dskl_i21/default/table?lang=en&amp;category=isoc.isoc_sk.isoc_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3F06-F076-43AC-A0DF-D82489A6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30875</Words>
  <Characters>175994</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Lazarova</dc:creator>
  <cp:lastModifiedBy>Maya Lazarova</cp:lastModifiedBy>
  <cp:revision>13</cp:revision>
  <dcterms:created xsi:type="dcterms:W3CDTF">2025-09-18T08:29:00Z</dcterms:created>
  <dcterms:modified xsi:type="dcterms:W3CDTF">2025-09-18T08:46:00Z</dcterms:modified>
</cp:coreProperties>
</file>