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C975B4" w:rsidRPr="00F413E2" w14:paraId="667A25CB" w14:textId="77777777" w:rsidTr="002B2268">
        <w:trPr>
          <w:trHeight w:val="958"/>
          <w:jc w:val="center"/>
        </w:trPr>
        <w:tc>
          <w:tcPr>
            <w:tcW w:w="15650" w:type="dxa"/>
            <w:shd w:val="clear" w:color="auto" w:fill="BDD6EE"/>
          </w:tcPr>
          <w:p w14:paraId="59F1AA65" w14:textId="77777777" w:rsidR="00330507" w:rsidRPr="00CD02E0" w:rsidRDefault="00330507" w:rsidP="00CD02E0">
            <w:pPr>
              <w:tabs>
                <w:tab w:val="left" w:pos="2190"/>
              </w:tabs>
              <w:ind w:left="284" w:right="284"/>
              <w:jc w:val="center"/>
              <w:rPr>
                <w:rFonts w:ascii="Verdana" w:hAnsi="Verdana"/>
                <w:b/>
                <w:spacing w:val="-4"/>
                <w:sz w:val="22"/>
                <w:szCs w:val="22"/>
              </w:rPr>
            </w:pPr>
          </w:p>
          <w:p w14:paraId="646FD7FE" w14:textId="57509164" w:rsidR="00C975B4" w:rsidRPr="009B63DE" w:rsidRDefault="00CD02E0" w:rsidP="00BF5D30">
            <w:pPr>
              <w:tabs>
                <w:tab w:val="left" w:pos="2190"/>
              </w:tabs>
              <w:spacing w:line="360" w:lineRule="auto"/>
              <w:jc w:val="center"/>
              <w:rPr>
                <w:rFonts w:ascii="Verdana" w:hAnsi="Verdana"/>
                <w:b/>
                <w:spacing w:val="50"/>
                <w:sz w:val="22"/>
                <w:szCs w:val="22"/>
              </w:rPr>
            </w:pPr>
            <w:r w:rsidRPr="009B63DE">
              <w:rPr>
                <w:rFonts w:ascii="Verdana" w:hAnsi="Verdana"/>
                <w:b/>
                <w:spacing w:val="50"/>
                <w:sz w:val="22"/>
                <w:szCs w:val="22"/>
              </w:rPr>
              <w:t>СПРАВКА</w:t>
            </w:r>
          </w:p>
          <w:p w14:paraId="31BE240F" w14:textId="0822012F" w:rsidR="00E220AD" w:rsidRPr="00ED37FB" w:rsidRDefault="00ED37FB" w:rsidP="009B63DE">
            <w:pPr>
              <w:spacing w:line="360" w:lineRule="auto"/>
              <w:ind w:left="283" w:right="283"/>
              <w:jc w:val="center"/>
              <w:rPr>
                <w:rFonts w:ascii="Verdana" w:hAnsi="Verdana"/>
                <w:b/>
                <w:spacing w:val="-4"/>
                <w:sz w:val="20"/>
                <w:szCs w:val="20"/>
                <w:lang w:val="ru-RU" w:eastAsia="en-US"/>
              </w:rPr>
            </w:pPr>
            <w:r w:rsidRPr="00ED37FB">
              <w:rPr>
                <w:rFonts w:ascii="Verdana" w:hAnsi="Verdana"/>
                <w:b/>
                <w:spacing w:val="-4"/>
                <w:sz w:val="20"/>
                <w:szCs w:val="20"/>
              </w:rPr>
              <w:t xml:space="preserve">ЗА ОТРАЗЯВАНЕ НА ПОСТЪПИЛИТЕ ПРЕДЛОЖЕНИЯ И СТАНОВИЩА ОТ ОБЩЕСТВЕНАТА КОНСУЛТАЦИЯ </w:t>
            </w:r>
            <w:r w:rsidRPr="00ED37FB">
              <w:rPr>
                <w:rFonts w:ascii="Verdana" w:hAnsi="Verdana"/>
                <w:b/>
                <w:spacing w:val="-4"/>
                <w:sz w:val="20"/>
                <w:szCs w:val="20"/>
                <w:lang w:val="ru-RU" w:eastAsia="en-US"/>
              </w:rPr>
              <w:t xml:space="preserve">ПО ПРОЕКТА НА ПОСТАНОВЛЕНИЕ НА МИНИСТЕРСКИЯ СЪВЕТ ЗА ИЗМЕНЕНИЕ И ДОПЪЛНЕНИЕ НА </w:t>
            </w:r>
            <w:r w:rsidR="009B63DE">
              <w:rPr>
                <w:rFonts w:ascii="Verdana" w:hAnsi="Verdana"/>
                <w:b/>
                <w:spacing w:val="-4"/>
                <w:sz w:val="20"/>
                <w:szCs w:val="20"/>
                <w:lang w:eastAsia="en-US"/>
              </w:rPr>
              <w:t>НОРМАТИВНИ АКТОВЕ</w:t>
            </w:r>
            <w:r w:rsidR="009B63DE">
              <w:rPr>
                <w:rFonts w:ascii="Verdana" w:hAnsi="Verdana"/>
                <w:b/>
                <w:spacing w:val="-4"/>
                <w:sz w:val="20"/>
                <w:szCs w:val="20"/>
                <w:lang w:val="ru-RU" w:eastAsia="en-US"/>
              </w:rPr>
              <w:t xml:space="preserve"> МИНИСТЕРСКИЯ СЪВЕТ</w:t>
            </w:r>
          </w:p>
        </w:tc>
      </w:tr>
    </w:tbl>
    <w:p w14:paraId="7708CE7C" w14:textId="77777777" w:rsidR="00230821" w:rsidRPr="00671910" w:rsidRDefault="00230821">
      <w:pPr>
        <w:rPr>
          <w:rFonts w:ascii="Verdana" w:hAnsi="Verdana"/>
          <w:sz w:val="10"/>
          <w:szCs w:val="10"/>
        </w:rPr>
      </w:pPr>
    </w:p>
    <w:tbl>
      <w:tblPr>
        <w:tblW w:w="15649"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569"/>
        <w:gridCol w:w="2692"/>
        <w:gridCol w:w="6237"/>
        <w:gridCol w:w="1629"/>
        <w:gridCol w:w="4522"/>
      </w:tblGrid>
      <w:tr w:rsidR="00E220AD" w:rsidRPr="00F413E2" w14:paraId="1F91426D" w14:textId="77777777" w:rsidTr="00DA41AF">
        <w:trPr>
          <w:tblHeader/>
          <w:jc w:val="center"/>
        </w:trPr>
        <w:tc>
          <w:tcPr>
            <w:tcW w:w="569" w:type="dxa"/>
            <w:tcBorders>
              <w:bottom w:val="single" w:sz="24" w:space="0" w:color="2E74B5"/>
            </w:tcBorders>
            <w:shd w:val="clear" w:color="auto" w:fill="DEEAF6"/>
            <w:vAlign w:val="center"/>
          </w:tcPr>
          <w:p w14:paraId="27E660E9" w14:textId="77777777" w:rsidR="00E220AD" w:rsidRPr="00F413E2" w:rsidRDefault="00E220AD" w:rsidP="00E220AD">
            <w:pPr>
              <w:tabs>
                <w:tab w:val="left" w:pos="192"/>
              </w:tabs>
              <w:jc w:val="center"/>
              <w:rPr>
                <w:rFonts w:ascii="Verdana" w:hAnsi="Verdana"/>
                <w:b/>
                <w:sz w:val="20"/>
                <w:szCs w:val="20"/>
              </w:rPr>
            </w:pPr>
            <w:r w:rsidRPr="00F413E2">
              <w:rPr>
                <w:rFonts w:ascii="Verdana" w:hAnsi="Verdana"/>
                <w:b/>
                <w:sz w:val="20"/>
                <w:szCs w:val="20"/>
              </w:rPr>
              <w:t>№</w:t>
            </w:r>
          </w:p>
        </w:tc>
        <w:tc>
          <w:tcPr>
            <w:tcW w:w="2692" w:type="dxa"/>
            <w:tcBorders>
              <w:bottom w:val="single" w:sz="24" w:space="0" w:color="2E74B5"/>
            </w:tcBorders>
            <w:shd w:val="clear" w:color="auto" w:fill="DEEAF6"/>
            <w:vAlign w:val="center"/>
          </w:tcPr>
          <w:p w14:paraId="4C2099D8" w14:textId="77777777" w:rsidR="00E220AD" w:rsidRPr="00F413E2" w:rsidRDefault="00E220AD" w:rsidP="00C5589F">
            <w:pPr>
              <w:spacing w:before="40"/>
              <w:jc w:val="center"/>
              <w:rPr>
                <w:rFonts w:ascii="Verdana" w:hAnsi="Verdana"/>
                <w:b/>
                <w:sz w:val="20"/>
                <w:szCs w:val="20"/>
              </w:rPr>
            </w:pPr>
            <w:r w:rsidRPr="00F413E2">
              <w:rPr>
                <w:rFonts w:ascii="Verdana" w:hAnsi="Verdana"/>
                <w:b/>
                <w:sz w:val="20"/>
                <w:szCs w:val="20"/>
              </w:rPr>
              <w:t>Организация/</w:t>
            </w:r>
            <w:r w:rsidR="00230821" w:rsidRPr="00F413E2">
              <w:rPr>
                <w:rFonts w:ascii="Verdana" w:hAnsi="Verdana"/>
                <w:b/>
                <w:sz w:val="20"/>
                <w:szCs w:val="20"/>
              </w:rPr>
              <w:br/>
            </w:r>
            <w:r w:rsidRPr="00F413E2">
              <w:rPr>
                <w:rFonts w:ascii="Verdana" w:hAnsi="Verdana"/>
                <w:b/>
                <w:sz w:val="20"/>
                <w:szCs w:val="20"/>
              </w:rPr>
              <w:t>потребител</w:t>
            </w:r>
          </w:p>
          <w:p w14:paraId="19BACD16" w14:textId="77777777" w:rsidR="005424B9" w:rsidRPr="00C5589F" w:rsidRDefault="00291E9B" w:rsidP="00C5589F">
            <w:pPr>
              <w:spacing w:after="40"/>
              <w:jc w:val="center"/>
              <w:rPr>
                <w:rFonts w:ascii="Verdana" w:hAnsi="Verdana"/>
                <w:b/>
                <w:sz w:val="14"/>
                <w:szCs w:val="14"/>
              </w:rPr>
            </w:pPr>
            <w:r w:rsidRPr="00C5589F">
              <w:rPr>
                <w:rFonts w:ascii="Verdana" w:hAnsi="Verdana"/>
                <w:b/>
                <w:sz w:val="14"/>
                <w:szCs w:val="14"/>
              </w:rPr>
              <w:t>(</w:t>
            </w:r>
            <w:r w:rsidR="005424B9" w:rsidRPr="00C5589F">
              <w:rPr>
                <w:rFonts w:ascii="Verdana" w:hAnsi="Verdana"/>
                <w:b/>
                <w:sz w:val="14"/>
                <w:szCs w:val="14"/>
              </w:rPr>
              <w:t>вкл. начина на получаване на предложението</w:t>
            </w:r>
            <w:r w:rsidRPr="00C5589F">
              <w:rPr>
                <w:rFonts w:ascii="Verdana" w:hAnsi="Verdana"/>
                <w:b/>
                <w:sz w:val="14"/>
                <w:szCs w:val="14"/>
              </w:rPr>
              <w:t>)</w:t>
            </w:r>
          </w:p>
        </w:tc>
        <w:tc>
          <w:tcPr>
            <w:tcW w:w="6237" w:type="dxa"/>
            <w:tcBorders>
              <w:bottom w:val="single" w:sz="24" w:space="0" w:color="2E74B5"/>
            </w:tcBorders>
            <w:shd w:val="clear" w:color="auto" w:fill="DEEAF6"/>
            <w:vAlign w:val="center"/>
          </w:tcPr>
          <w:p w14:paraId="2E5A81C3" w14:textId="77777777" w:rsidR="00E220AD" w:rsidRPr="00F413E2" w:rsidRDefault="00E220AD" w:rsidP="00E220AD">
            <w:pPr>
              <w:jc w:val="center"/>
              <w:rPr>
                <w:rFonts w:ascii="Verdana" w:hAnsi="Verdana"/>
                <w:b/>
                <w:sz w:val="20"/>
                <w:szCs w:val="20"/>
              </w:rPr>
            </w:pPr>
            <w:r w:rsidRPr="00F413E2">
              <w:rPr>
                <w:rFonts w:ascii="Verdana" w:hAnsi="Verdana"/>
                <w:b/>
                <w:sz w:val="20"/>
                <w:szCs w:val="20"/>
              </w:rPr>
              <w:t>Бележки и предложения</w:t>
            </w:r>
          </w:p>
        </w:tc>
        <w:tc>
          <w:tcPr>
            <w:tcW w:w="1629" w:type="dxa"/>
            <w:tcBorders>
              <w:bottom w:val="single" w:sz="24" w:space="0" w:color="2E74B5"/>
            </w:tcBorders>
            <w:shd w:val="clear" w:color="auto" w:fill="DEEAF6"/>
            <w:vAlign w:val="center"/>
          </w:tcPr>
          <w:p w14:paraId="6130D53A" w14:textId="77777777" w:rsidR="00E220AD" w:rsidRPr="00F413E2" w:rsidRDefault="00E220AD" w:rsidP="00E220AD">
            <w:pPr>
              <w:jc w:val="center"/>
              <w:rPr>
                <w:rFonts w:ascii="Verdana" w:hAnsi="Verdana"/>
                <w:b/>
                <w:sz w:val="20"/>
                <w:szCs w:val="20"/>
              </w:rPr>
            </w:pPr>
            <w:r w:rsidRPr="00F413E2">
              <w:rPr>
                <w:rFonts w:ascii="Verdana" w:hAnsi="Verdana"/>
                <w:b/>
                <w:sz w:val="20"/>
                <w:szCs w:val="20"/>
              </w:rPr>
              <w:t>Приети/</w:t>
            </w:r>
          </w:p>
          <w:p w14:paraId="29710589" w14:textId="77777777" w:rsidR="00E220AD" w:rsidRPr="00F413E2" w:rsidRDefault="00E220AD" w:rsidP="00E220AD">
            <w:pPr>
              <w:jc w:val="center"/>
              <w:rPr>
                <w:rFonts w:ascii="Verdana" w:hAnsi="Verdana"/>
                <w:b/>
                <w:sz w:val="20"/>
                <w:szCs w:val="20"/>
              </w:rPr>
            </w:pPr>
            <w:r w:rsidRPr="00F413E2">
              <w:rPr>
                <w:rFonts w:ascii="Verdana" w:hAnsi="Verdana"/>
                <w:b/>
                <w:sz w:val="20"/>
                <w:szCs w:val="20"/>
              </w:rPr>
              <w:t>неприети</w:t>
            </w:r>
          </w:p>
        </w:tc>
        <w:tc>
          <w:tcPr>
            <w:tcW w:w="4522" w:type="dxa"/>
            <w:tcBorders>
              <w:bottom w:val="single" w:sz="24" w:space="0" w:color="2E74B5"/>
            </w:tcBorders>
            <w:shd w:val="clear" w:color="auto" w:fill="DEEAF6"/>
            <w:vAlign w:val="center"/>
          </w:tcPr>
          <w:p w14:paraId="6FEE2F16" w14:textId="77777777" w:rsidR="00E220AD" w:rsidRPr="00F413E2" w:rsidRDefault="00E220AD" w:rsidP="00E220AD">
            <w:pPr>
              <w:jc w:val="center"/>
              <w:rPr>
                <w:rFonts w:ascii="Verdana" w:hAnsi="Verdana"/>
                <w:sz w:val="20"/>
                <w:szCs w:val="20"/>
              </w:rPr>
            </w:pPr>
            <w:r w:rsidRPr="00F413E2">
              <w:rPr>
                <w:rFonts w:ascii="Verdana" w:hAnsi="Verdana"/>
                <w:b/>
                <w:sz w:val="20"/>
                <w:szCs w:val="20"/>
              </w:rPr>
              <w:t>Мотиви</w:t>
            </w:r>
          </w:p>
        </w:tc>
      </w:tr>
      <w:tr w:rsidR="00EA1EB8" w:rsidRPr="00F413E2" w14:paraId="7AEBD886" w14:textId="77777777" w:rsidTr="00DA41AF">
        <w:trPr>
          <w:jc w:val="center"/>
        </w:trPr>
        <w:tc>
          <w:tcPr>
            <w:tcW w:w="569" w:type="dxa"/>
            <w:tcBorders>
              <w:bottom w:val="nil"/>
            </w:tcBorders>
            <w:shd w:val="clear" w:color="auto" w:fill="auto"/>
          </w:tcPr>
          <w:p w14:paraId="1271FB7D" w14:textId="61CE19B9" w:rsidR="00EA1EB8" w:rsidRPr="00131B58" w:rsidRDefault="00EA1EB8" w:rsidP="00131B58">
            <w:pPr>
              <w:tabs>
                <w:tab w:val="left" w:pos="192"/>
              </w:tabs>
              <w:spacing w:before="60" w:after="20" w:line="360" w:lineRule="auto"/>
              <w:ind w:left="360"/>
              <w:rPr>
                <w:rFonts w:ascii="Verdana" w:hAnsi="Verdana"/>
                <w:b/>
                <w:sz w:val="20"/>
                <w:szCs w:val="20"/>
              </w:rPr>
            </w:pPr>
          </w:p>
        </w:tc>
        <w:tc>
          <w:tcPr>
            <w:tcW w:w="2692" w:type="dxa"/>
            <w:tcBorders>
              <w:bottom w:val="nil"/>
            </w:tcBorders>
            <w:shd w:val="clear" w:color="auto" w:fill="auto"/>
          </w:tcPr>
          <w:p w14:paraId="388FBBA5" w14:textId="00043F4C" w:rsidR="00606101" w:rsidRDefault="00524D9C" w:rsidP="003C147F">
            <w:pPr>
              <w:spacing w:before="60" w:after="20"/>
              <w:rPr>
                <w:rFonts w:ascii="Verdana" w:hAnsi="Verdana"/>
                <w:spacing w:val="-2"/>
                <w:sz w:val="20"/>
                <w:szCs w:val="20"/>
              </w:rPr>
            </w:pPr>
            <w:r>
              <w:rPr>
                <w:rFonts w:ascii="Verdana" w:hAnsi="Verdana"/>
                <w:spacing w:val="-2"/>
                <w:sz w:val="20"/>
                <w:szCs w:val="20"/>
              </w:rPr>
              <w:t>Ивайло Тонев</w:t>
            </w:r>
          </w:p>
          <w:p w14:paraId="39C9B6C3" w14:textId="743BA85A" w:rsidR="00EA1EB8" w:rsidRPr="006B054D" w:rsidRDefault="00EA1EB8" w:rsidP="00606101">
            <w:pPr>
              <w:spacing w:before="60" w:after="20"/>
              <w:rPr>
                <w:rFonts w:ascii="Verdana" w:hAnsi="Verdana"/>
                <w:spacing w:val="-2"/>
                <w:sz w:val="20"/>
                <w:szCs w:val="20"/>
              </w:rPr>
            </w:pPr>
            <w:r w:rsidRPr="006B054D">
              <w:rPr>
                <w:rFonts w:ascii="Verdana" w:hAnsi="Verdana"/>
                <w:spacing w:val="-2"/>
                <w:sz w:val="20"/>
                <w:szCs w:val="20"/>
              </w:rPr>
              <w:t>(</w:t>
            </w:r>
            <w:r w:rsidR="003C147F">
              <w:rPr>
                <w:rFonts w:ascii="Verdana" w:hAnsi="Verdana"/>
                <w:spacing w:val="-2"/>
                <w:sz w:val="20"/>
                <w:szCs w:val="20"/>
              </w:rPr>
              <w:t>по електронен път</w:t>
            </w:r>
            <w:r w:rsidR="004674B8">
              <w:rPr>
                <w:rFonts w:ascii="Verdana" w:hAnsi="Verdana"/>
                <w:spacing w:val="-2"/>
                <w:sz w:val="20"/>
                <w:szCs w:val="20"/>
                <w:lang w:val="en-US"/>
              </w:rPr>
              <w:t xml:space="preserve"> на</w:t>
            </w:r>
            <w:r w:rsidR="004674B8">
              <w:rPr>
                <w:rFonts w:ascii="Verdana" w:hAnsi="Verdana"/>
                <w:spacing w:val="-2"/>
                <w:sz w:val="20"/>
                <w:szCs w:val="20"/>
              </w:rPr>
              <w:t xml:space="preserve"> </w:t>
            </w:r>
            <w:r w:rsidR="00E90B98">
              <w:rPr>
                <w:rFonts w:ascii="Verdana" w:hAnsi="Verdana"/>
                <w:spacing w:val="-2"/>
                <w:sz w:val="20"/>
                <w:szCs w:val="20"/>
              </w:rPr>
              <w:t>31 дек</w:t>
            </w:r>
            <w:r w:rsidR="00606101">
              <w:rPr>
                <w:rFonts w:ascii="Verdana" w:hAnsi="Verdana"/>
                <w:spacing w:val="-2"/>
                <w:sz w:val="20"/>
                <w:szCs w:val="20"/>
              </w:rPr>
              <w:t>ември</w:t>
            </w:r>
            <w:r w:rsidR="008B229A">
              <w:rPr>
                <w:rFonts w:ascii="Verdana" w:hAnsi="Verdana"/>
                <w:spacing w:val="-2"/>
                <w:sz w:val="20"/>
                <w:szCs w:val="20"/>
              </w:rPr>
              <w:t xml:space="preserve"> </w:t>
            </w:r>
            <w:r w:rsidR="004674B8">
              <w:rPr>
                <w:rFonts w:ascii="Verdana" w:hAnsi="Verdana"/>
                <w:spacing w:val="-2"/>
                <w:sz w:val="20"/>
                <w:szCs w:val="20"/>
              </w:rPr>
              <w:t>2023</w:t>
            </w:r>
            <w:r w:rsidR="00E61871" w:rsidRPr="00E61871">
              <w:rPr>
                <w:rFonts w:ascii="Verdana" w:hAnsi="Verdana"/>
                <w:spacing w:val="-2"/>
                <w:sz w:val="20"/>
                <w:szCs w:val="20"/>
              </w:rPr>
              <w:t xml:space="preserve"> г.</w:t>
            </w:r>
            <w:r w:rsidRPr="006B054D">
              <w:rPr>
                <w:rFonts w:ascii="Verdana" w:hAnsi="Verdana"/>
                <w:spacing w:val="-2"/>
                <w:sz w:val="20"/>
                <w:szCs w:val="20"/>
              </w:rPr>
              <w:t>)</w:t>
            </w:r>
          </w:p>
        </w:tc>
        <w:tc>
          <w:tcPr>
            <w:tcW w:w="6237" w:type="dxa"/>
            <w:tcBorders>
              <w:bottom w:val="nil"/>
            </w:tcBorders>
            <w:shd w:val="clear" w:color="auto" w:fill="auto"/>
          </w:tcPr>
          <w:p w14:paraId="4BFBDEAB" w14:textId="5B47D104" w:rsidR="007F16D2" w:rsidRPr="006A20CC" w:rsidRDefault="00E90B98" w:rsidP="006A20CC">
            <w:pPr>
              <w:spacing w:before="60" w:after="20"/>
              <w:jc w:val="both"/>
              <w:rPr>
                <w:rFonts w:ascii="Verdana" w:hAnsi="Verdana"/>
                <w:spacing w:val="2"/>
                <w:sz w:val="20"/>
                <w:szCs w:val="20"/>
              </w:rPr>
            </w:pPr>
            <w:r w:rsidRPr="00E90B98">
              <w:rPr>
                <w:rFonts w:ascii="Verdana" w:hAnsi="Verdana"/>
                <w:spacing w:val="2"/>
                <w:sz w:val="20"/>
                <w:szCs w:val="20"/>
              </w:rPr>
              <w:t>С проекта на постановление се цели привеждане на нормативните актове,</w:t>
            </w:r>
            <w:r w:rsidR="00791F32">
              <w:rPr>
                <w:rFonts w:ascii="Verdana" w:hAnsi="Verdana"/>
                <w:spacing w:val="2"/>
                <w:sz w:val="20"/>
                <w:szCs w:val="20"/>
              </w:rPr>
              <w:t xml:space="preserve"> в които се уреждат функции на М</w:t>
            </w:r>
            <w:r w:rsidRPr="00E90B98">
              <w:rPr>
                <w:rFonts w:ascii="Verdana" w:hAnsi="Verdana"/>
                <w:spacing w:val="2"/>
                <w:sz w:val="20"/>
                <w:szCs w:val="20"/>
              </w:rPr>
              <w:t>инистерството на земеделието и храните и правомощия на министъра на земеделието и храните, приети от Министерския съвет в съответствие с новата структура на Министерския съвет, както и да се осигури административен капацитет в областта на хидромелиорациите.</w:t>
            </w:r>
          </w:p>
        </w:tc>
        <w:tc>
          <w:tcPr>
            <w:tcW w:w="1629" w:type="dxa"/>
            <w:tcBorders>
              <w:bottom w:val="nil"/>
            </w:tcBorders>
            <w:shd w:val="clear" w:color="auto" w:fill="auto"/>
          </w:tcPr>
          <w:p w14:paraId="4D606ECE" w14:textId="5B7FB2F0" w:rsidR="00EA1EB8" w:rsidRPr="004674B8" w:rsidRDefault="00EA1EB8" w:rsidP="00C135C1">
            <w:pPr>
              <w:spacing w:before="60" w:after="20"/>
              <w:rPr>
                <w:rFonts w:ascii="Verdana" w:hAnsi="Verdana"/>
                <w:sz w:val="20"/>
                <w:szCs w:val="20"/>
              </w:rPr>
            </w:pPr>
          </w:p>
        </w:tc>
        <w:tc>
          <w:tcPr>
            <w:tcW w:w="4522" w:type="dxa"/>
            <w:tcBorders>
              <w:bottom w:val="nil"/>
            </w:tcBorders>
            <w:shd w:val="clear" w:color="auto" w:fill="auto"/>
          </w:tcPr>
          <w:p w14:paraId="0787AC5B" w14:textId="56168960" w:rsidR="00EA1EB8" w:rsidRPr="00621F87" w:rsidRDefault="00EA1EB8" w:rsidP="00621F87">
            <w:pPr>
              <w:spacing w:before="60" w:after="20"/>
              <w:jc w:val="both"/>
              <w:rPr>
                <w:rFonts w:ascii="Verdana" w:hAnsi="Verdana"/>
                <w:sz w:val="20"/>
                <w:szCs w:val="20"/>
              </w:rPr>
            </w:pPr>
          </w:p>
        </w:tc>
      </w:tr>
      <w:tr w:rsidR="00483A6F" w:rsidRPr="00F413E2" w14:paraId="451F006E" w14:textId="77777777" w:rsidTr="00DA41AF">
        <w:trPr>
          <w:jc w:val="center"/>
        </w:trPr>
        <w:tc>
          <w:tcPr>
            <w:tcW w:w="569" w:type="dxa"/>
            <w:tcBorders>
              <w:top w:val="nil"/>
              <w:bottom w:val="nil"/>
            </w:tcBorders>
            <w:shd w:val="clear" w:color="auto" w:fill="auto"/>
          </w:tcPr>
          <w:p w14:paraId="73608A60" w14:textId="77777777" w:rsidR="00483A6F" w:rsidRPr="00483A6F" w:rsidRDefault="00483A6F"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59A97C60" w14:textId="77777777" w:rsidR="00483A6F" w:rsidRDefault="00483A6F"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741A5EAB" w14:textId="1DBEF2BA" w:rsidR="00C11F9F" w:rsidRPr="000D1027" w:rsidRDefault="00C11F9F" w:rsidP="00C11F9F">
            <w:pPr>
              <w:spacing w:before="60" w:after="20"/>
              <w:jc w:val="center"/>
              <w:rPr>
                <w:rFonts w:ascii="Verdana" w:hAnsi="Verdana"/>
                <w:sz w:val="20"/>
                <w:szCs w:val="20"/>
              </w:rPr>
            </w:pPr>
            <w:r>
              <w:rPr>
                <w:rFonts w:ascii="Verdana" w:hAnsi="Verdana"/>
                <w:sz w:val="20"/>
                <w:szCs w:val="20"/>
              </w:rPr>
              <w:t>Концепция</w:t>
            </w:r>
            <w:r w:rsidR="000D1027">
              <w:rPr>
                <w:rFonts w:ascii="Verdana" w:hAnsi="Verdana"/>
                <w:sz w:val="20"/>
                <w:szCs w:val="20"/>
              </w:rPr>
              <w:t xml:space="preserve"> за управление и развите на „Напоителни системи“</w:t>
            </w:r>
          </w:p>
          <w:p w14:paraId="56155500" w14:textId="6FBA8EF8" w:rsidR="00C11F9F" w:rsidRPr="001A1452" w:rsidRDefault="00791F32" w:rsidP="009C5E05">
            <w:pPr>
              <w:spacing w:before="60" w:after="20"/>
              <w:jc w:val="both"/>
              <w:rPr>
                <w:rFonts w:ascii="Verdana" w:hAnsi="Verdana"/>
                <w:sz w:val="20"/>
                <w:szCs w:val="20"/>
              </w:rPr>
            </w:pPr>
            <w:r>
              <w:rPr>
                <w:rFonts w:ascii="Verdana" w:hAnsi="Verdana"/>
                <w:sz w:val="20"/>
                <w:szCs w:val="20"/>
              </w:rPr>
              <w:object w:dxaOrig="1539" w:dyaOrig="997" w14:anchorId="0DD08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8" o:title=""/>
                </v:shape>
                <o:OLEObject Type="Embed" ProgID="Acrobat.Document.DC" ShapeID="_x0000_i1025" DrawAspect="Icon" ObjectID="_1766558264" r:id="rId9"/>
              </w:object>
            </w:r>
          </w:p>
        </w:tc>
        <w:tc>
          <w:tcPr>
            <w:tcW w:w="1629" w:type="dxa"/>
            <w:tcBorders>
              <w:top w:val="nil"/>
              <w:bottom w:val="nil"/>
            </w:tcBorders>
            <w:shd w:val="clear" w:color="auto" w:fill="auto"/>
          </w:tcPr>
          <w:p w14:paraId="0B6AD0F2" w14:textId="044155EA" w:rsidR="00483A6F" w:rsidRPr="001057D6" w:rsidRDefault="00C17436" w:rsidP="00C135C1">
            <w:pPr>
              <w:spacing w:before="60" w:after="20"/>
              <w:rPr>
                <w:rFonts w:ascii="Verdana" w:hAnsi="Verdana"/>
                <w:sz w:val="20"/>
                <w:szCs w:val="20"/>
              </w:rPr>
            </w:pPr>
            <w:r w:rsidRPr="00C17436">
              <w:rPr>
                <w:rFonts w:ascii="Verdana" w:hAnsi="Verdana"/>
                <w:sz w:val="20"/>
                <w:szCs w:val="20"/>
              </w:rPr>
              <w:t>Не се приема</w:t>
            </w:r>
          </w:p>
        </w:tc>
        <w:tc>
          <w:tcPr>
            <w:tcW w:w="4522" w:type="dxa"/>
            <w:tcBorders>
              <w:top w:val="nil"/>
              <w:bottom w:val="nil"/>
            </w:tcBorders>
            <w:shd w:val="clear" w:color="auto" w:fill="auto"/>
          </w:tcPr>
          <w:p w14:paraId="1BDE95A1" w14:textId="274181BB" w:rsidR="00483A6F" w:rsidRPr="004674B8" w:rsidRDefault="00C17436" w:rsidP="00C17436">
            <w:pPr>
              <w:spacing w:before="60" w:after="20"/>
              <w:jc w:val="both"/>
              <w:rPr>
                <w:rFonts w:ascii="Verdana" w:hAnsi="Verdana"/>
                <w:sz w:val="20"/>
                <w:szCs w:val="20"/>
              </w:rPr>
            </w:pPr>
            <w:r w:rsidRPr="00C17436">
              <w:rPr>
                <w:rFonts w:ascii="Verdana" w:hAnsi="Verdana"/>
                <w:sz w:val="20"/>
                <w:szCs w:val="20"/>
              </w:rPr>
              <w:t>Предложената  концепция не е относима към предметния обхват на постановлението. Целта на проекта е привеждане на нормативните актове, в които се уреждат функции на Министерството на земеделието и храните и правомощия на министъра на земеделието и храните, приети от Министерския съвет в съответствие с новата структура на Министерския съвет и осигуряване на административен капацитет в областта на хидромелиорациите чрез съдаване на дирекция „Хидромелиорации“ в структурата на министерството.</w:t>
            </w:r>
          </w:p>
        </w:tc>
      </w:tr>
      <w:tr w:rsidR="005576E3" w:rsidRPr="00F413E2" w14:paraId="6F0FE91F" w14:textId="77777777" w:rsidTr="00DA41AF">
        <w:trPr>
          <w:jc w:val="center"/>
        </w:trPr>
        <w:tc>
          <w:tcPr>
            <w:tcW w:w="569" w:type="dxa"/>
            <w:tcBorders>
              <w:top w:val="nil"/>
              <w:bottom w:val="nil"/>
            </w:tcBorders>
            <w:shd w:val="clear" w:color="auto" w:fill="auto"/>
          </w:tcPr>
          <w:p w14:paraId="5254832D" w14:textId="77777777" w:rsidR="005576E3" w:rsidRPr="00483A6F" w:rsidRDefault="005576E3"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0F39448B" w14:textId="77777777" w:rsidR="005576E3" w:rsidRDefault="005576E3"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73631CE2" w14:textId="48EFE5C2" w:rsidR="00FC71D4" w:rsidRPr="00FC71D4" w:rsidRDefault="00FC71D4" w:rsidP="00FC71D4">
            <w:pPr>
              <w:spacing w:before="60" w:after="20"/>
              <w:jc w:val="both"/>
              <w:rPr>
                <w:rFonts w:ascii="Verdana" w:hAnsi="Verdana"/>
                <w:sz w:val="20"/>
                <w:szCs w:val="20"/>
              </w:rPr>
            </w:pPr>
            <w:r>
              <w:rPr>
                <w:rFonts w:ascii="Verdana" w:hAnsi="Verdana"/>
                <w:sz w:val="20"/>
                <w:szCs w:val="20"/>
              </w:rPr>
              <w:t>Съдържание:</w:t>
            </w:r>
          </w:p>
          <w:p w14:paraId="3C58085B" w14:textId="72FA0818" w:rsidR="00FC71D4" w:rsidRPr="00FC71D4" w:rsidRDefault="00FC71D4" w:rsidP="00FC71D4">
            <w:pPr>
              <w:spacing w:before="60" w:after="20"/>
              <w:jc w:val="both"/>
              <w:rPr>
                <w:rFonts w:ascii="Verdana" w:hAnsi="Verdana"/>
                <w:sz w:val="20"/>
                <w:szCs w:val="20"/>
              </w:rPr>
            </w:pPr>
            <w:r>
              <w:rPr>
                <w:rFonts w:ascii="Verdana" w:hAnsi="Verdana"/>
                <w:sz w:val="20"/>
                <w:szCs w:val="20"/>
              </w:rPr>
              <w:t>Резюме</w:t>
            </w:r>
          </w:p>
          <w:p w14:paraId="68108AFC" w14:textId="3E46DE1A" w:rsidR="00FC71D4" w:rsidRPr="00FC71D4" w:rsidRDefault="00FC71D4" w:rsidP="00FC71D4">
            <w:pPr>
              <w:spacing w:before="60" w:after="20"/>
              <w:jc w:val="both"/>
              <w:rPr>
                <w:rFonts w:ascii="Verdana" w:hAnsi="Verdana"/>
                <w:sz w:val="20"/>
                <w:szCs w:val="20"/>
              </w:rPr>
            </w:pPr>
            <w:r>
              <w:rPr>
                <w:rFonts w:ascii="Verdana" w:hAnsi="Verdana"/>
                <w:sz w:val="20"/>
                <w:szCs w:val="20"/>
              </w:rPr>
              <w:t>- Цели на концепцията.</w:t>
            </w:r>
          </w:p>
          <w:p w14:paraId="5DB0D304" w14:textId="37522EBB" w:rsidR="00FC71D4" w:rsidRPr="00FC71D4" w:rsidRDefault="00FC71D4" w:rsidP="00FC71D4">
            <w:pPr>
              <w:spacing w:before="60" w:after="20"/>
              <w:jc w:val="both"/>
              <w:rPr>
                <w:rFonts w:ascii="Verdana" w:hAnsi="Verdana"/>
                <w:sz w:val="20"/>
                <w:szCs w:val="20"/>
              </w:rPr>
            </w:pPr>
            <w:r>
              <w:rPr>
                <w:rFonts w:ascii="Verdana" w:hAnsi="Verdana"/>
                <w:sz w:val="20"/>
                <w:szCs w:val="20"/>
              </w:rPr>
              <w:t xml:space="preserve">- </w:t>
            </w:r>
            <w:r w:rsidRPr="00FC71D4">
              <w:rPr>
                <w:rFonts w:ascii="Verdana" w:hAnsi="Verdana"/>
                <w:sz w:val="20"/>
                <w:szCs w:val="20"/>
              </w:rPr>
              <w:t>Визия, стратегически и оперативни цели.</w:t>
            </w:r>
          </w:p>
          <w:p w14:paraId="639C28C0" w14:textId="77777777" w:rsidR="00FC71D4" w:rsidRPr="00FC71D4" w:rsidRDefault="00FC71D4" w:rsidP="00FC71D4">
            <w:pPr>
              <w:spacing w:before="60" w:after="20"/>
              <w:jc w:val="both"/>
              <w:rPr>
                <w:rFonts w:ascii="Verdana" w:hAnsi="Verdana"/>
                <w:sz w:val="20"/>
                <w:szCs w:val="20"/>
              </w:rPr>
            </w:pPr>
            <w:r w:rsidRPr="00FC71D4">
              <w:rPr>
                <w:rFonts w:ascii="Verdana" w:hAnsi="Verdana"/>
                <w:sz w:val="20"/>
                <w:szCs w:val="20"/>
              </w:rPr>
              <w:lastRenderedPageBreak/>
              <w:t>- Структура на „Агенция Мелиорации".</w:t>
            </w:r>
          </w:p>
          <w:p w14:paraId="78D447F4" w14:textId="504597BE" w:rsidR="00FC71D4" w:rsidRPr="00FC71D4" w:rsidRDefault="00FC71D4" w:rsidP="00FC71D4">
            <w:pPr>
              <w:spacing w:before="60" w:after="20"/>
              <w:jc w:val="both"/>
              <w:rPr>
                <w:rFonts w:ascii="Verdana" w:hAnsi="Verdana"/>
                <w:sz w:val="20"/>
                <w:szCs w:val="20"/>
              </w:rPr>
            </w:pPr>
            <w:r>
              <w:rPr>
                <w:rFonts w:ascii="Verdana" w:hAnsi="Verdana"/>
                <w:sz w:val="20"/>
                <w:szCs w:val="20"/>
              </w:rPr>
              <w:t xml:space="preserve">- </w:t>
            </w:r>
            <w:r w:rsidRPr="00FC71D4">
              <w:rPr>
                <w:rFonts w:ascii="Verdana" w:hAnsi="Verdana"/>
                <w:sz w:val="20"/>
                <w:szCs w:val="20"/>
              </w:rPr>
              <w:t>Водоснабдителни системи.</w:t>
            </w:r>
          </w:p>
          <w:p w14:paraId="02D965AA" w14:textId="61E00A36" w:rsidR="00FC71D4" w:rsidRPr="00FC71D4" w:rsidRDefault="00FC71D4" w:rsidP="00FC71D4">
            <w:pPr>
              <w:spacing w:before="60" w:after="20"/>
              <w:jc w:val="both"/>
              <w:rPr>
                <w:rFonts w:ascii="Verdana" w:hAnsi="Verdana"/>
                <w:sz w:val="20"/>
                <w:szCs w:val="20"/>
              </w:rPr>
            </w:pPr>
            <w:r>
              <w:rPr>
                <w:rFonts w:ascii="Verdana" w:hAnsi="Verdana"/>
                <w:sz w:val="20"/>
                <w:szCs w:val="20"/>
              </w:rPr>
              <w:t xml:space="preserve">- </w:t>
            </w:r>
            <w:r w:rsidRPr="00FC71D4">
              <w:rPr>
                <w:rFonts w:ascii="Verdana" w:hAnsi="Verdana"/>
                <w:sz w:val="20"/>
                <w:szCs w:val="20"/>
              </w:rPr>
              <w:t>План за финансиране на „Агенция Мелиорации".</w:t>
            </w:r>
          </w:p>
          <w:p w14:paraId="691DCE59" w14:textId="47149E5D" w:rsidR="00FC71D4" w:rsidRPr="00FC71D4" w:rsidRDefault="00FC71D4" w:rsidP="00FC71D4">
            <w:pPr>
              <w:spacing w:before="60" w:after="20"/>
              <w:jc w:val="both"/>
              <w:rPr>
                <w:rFonts w:ascii="Verdana" w:hAnsi="Verdana"/>
                <w:sz w:val="20"/>
                <w:szCs w:val="20"/>
              </w:rPr>
            </w:pPr>
            <w:r>
              <w:rPr>
                <w:rFonts w:ascii="Verdana" w:hAnsi="Verdana"/>
                <w:sz w:val="20"/>
                <w:szCs w:val="20"/>
              </w:rPr>
              <w:t xml:space="preserve">- </w:t>
            </w:r>
            <w:r w:rsidRPr="00FC71D4">
              <w:rPr>
                <w:rFonts w:ascii="Verdana" w:hAnsi="Verdana"/>
                <w:sz w:val="20"/>
                <w:szCs w:val="20"/>
              </w:rPr>
              <w:t>Схема</w:t>
            </w:r>
            <w:r>
              <w:rPr>
                <w:rFonts w:ascii="Verdana" w:hAnsi="Verdana"/>
                <w:sz w:val="20"/>
                <w:szCs w:val="20"/>
              </w:rPr>
              <w:t xml:space="preserve"> – </w:t>
            </w:r>
            <w:r w:rsidRPr="00FC71D4">
              <w:rPr>
                <w:rFonts w:ascii="Verdana" w:hAnsi="Verdana"/>
                <w:sz w:val="20"/>
                <w:szCs w:val="20"/>
              </w:rPr>
              <w:t>движение на парични потоци.</w:t>
            </w:r>
          </w:p>
          <w:p w14:paraId="378210E4" w14:textId="49DBB937" w:rsidR="00FC71D4" w:rsidRPr="00FC71D4" w:rsidRDefault="00FC71D4" w:rsidP="00FC71D4">
            <w:pPr>
              <w:spacing w:before="60" w:after="20"/>
              <w:jc w:val="both"/>
              <w:rPr>
                <w:rFonts w:ascii="Verdana" w:hAnsi="Verdana"/>
                <w:sz w:val="20"/>
                <w:szCs w:val="20"/>
              </w:rPr>
            </w:pPr>
            <w:r>
              <w:rPr>
                <w:rFonts w:ascii="Verdana" w:hAnsi="Verdana"/>
                <w:sz w:val="20"/>
                <w:szCs w:val="20"/>
              </w:rPr>
              <w:t xml:space="preserve">- </w:t>
            </w:r>
            <w:r w:rsidRPr="00FC71D4">
              <w:rPr>
                <w:rFonts w:ascii="Verdana" w:hAnsi="Verdana"/>
                <w:sz w:val="20"/>
                <w:szCs w:val="20"/>
              </w:rPr>
              <w:t>План за финансиране на стратегически инвестиции.</w:t>
            </w:r>
          </w:p>
          <w:p w14:paraId="183C6ECD" w14:textId="77777777" w:rsidR="005576E3" w:rsidRDefault="00FC71D4" w:rsidP="00FC71D4">
            <w:pPr>
              <w:spacing w:before="60" w:after="20"/>
              <w:jc w:val="both"/>
              <w:rPr>
                <w:rFonts w:ascii="Verdana" w:hAnsi="Verdana"/>
                <w:sz w:val="20"/>
                <w:szCs w:val="20"/>
              </w:rPr>
            </w:pPr>
            <w:r>
              <w:rPr>
                <w:rFonts w:ascii="Verdana" w:hAnsi="Verdana"/>
                <w:sz w:val="20"/>
                <w:szCs w:val="20"/>
              </w:rPr>
              <w:t xml:space="preserve">- </w:t>
            </w:r>
            <w:r w:rsidRPr="00FC71D4">
              <w:rPr>
                <w:rFonts w:ascii="Verdana" w:hAnsi="Verdana"/>
                <w:sz w:val="20"/>
                <w:szCs w:val="20"/>
              </w:rPr>
              <w:t>Необходимост от стратегически действия.</w:t>
            </w:r>
          </w:p>
          <w:p w14:paraId="23075141" w14:textId="214B5219" w:rsidR="00686437" w:rsidRPr="00686437" w:rsidRDefault="00686437" w:rsidP="00686437">
            <w:pPr>
              <w:spacing w:before="60" w:after="20"/>
              <w:jc w:val="both"/>
              <w:rPr>
                <w:rFonts w:ascii="Verdana" w:hAnsi="Verdana"/>
                <w:spacing w:val="-2"/>
                <w:sz w:val="20"/>
                <w:szCs w:val="20"/>
              </w:rPr>
            </w:pPr>
            <w:r w:rsidRPr="00686437">
              <w:rPr>
                <w:rFonts w:ascii="Verdana" w:hAnsi="Verdana"/>
                <w:spacing w:val="-2"/>
                <w:sz w:val="20"/>
                <w:szCs w:val="20"/>
              </w:rPr>
              <w:t>Настоящата Концепция е разработена на основата на „Обща стратегия за управление и развитие на хидромелиорациите и защита от вредното въздействие на водите", приета с Решение</w:t>
            </w:r>
            <w:r>
              <w:rPr>
                <w:rFonts w:ascii="Verdana" w:hAnsi="Verdana"/>
                <w:spacing w:val="-2"/>
                <w:sz w:val="20"/>
                <w:szCs w:val="20"/>
              </w:rPr>
              <w:t xml:space="preserve"> № 688</w:t>
            </w:r>
            <w:r w:rsidRPr="00686437">
              <w:rPr>
                <w:rFonts w:ascii="Verdana" w:hAnsi="Verdana"/>
                <w:spacing w:val="-2"/>
                <w:sz w:val="20"/>
                <w:szCs w:val="20"/>
              </w:rPr>
              <w:t xml:space="preserve"> на Министерския съвет от 18.08.2016 година.</w:t>
            </w:r>
          </w:p>
        </w:tc>
        <w:tc>
          <w:tcPr>
            <w:tcW w:w="1629" w:type="dxa"/>
            <w:tcBorders>
              <w:top w:val="nil"/>
              <w:bottom w:val="nil"/>
            </w:tcBorders>
            <w:shd w:val="clear" w:color="auto" w:fill="auto"/>
          </w:tcPr>
          <w:p w14:paraId="6AC4EC66" w14:textId="200C78A8" w:rsidR="005576E3" w:rsidRPr="001057D6" w:rsidRDefault="005576E3" w:rsidP="00C135C1">
            <w:pPr>
              <w:spacing w:before="60" w:after="20"/>
              <w:rPr>
                <w:rFonts w:ascii="Verdana" w:hAnsi="Verdana"/>
                <w:sz w:val="20"/>
                <w:szCs w:val="20"/>
              </w:rPr>
            </w:pPr>
          </w:p>
        </w:tc>
        <w:tc>
          <w:tcPr>
            <w:tcW w:w="4522" w:type="dxa"/>
            <w:tcBorders>
              <w:top w:val="nil"/>
              <w:bottom w:val="nil"/>
            </w:tcBorders>
            <w:shd w:val="clear" w:color="auto" w:fill="auto"/>
          </w:tcPr>
          <w:p w14:paraId="1FADF154" w14:textId="77777777" w:rsidR="005576E3" w:rsidRPr="004674B8" w:rsidRDefault="005576E3" w:rsidP="00E86A7C">
            <w:pPr>
              <w:spacing w:before="60" w:after="20"/>
              <w:rPr>
                <w:rFonts w:ascii="Verdana" w:hAnsi="Verdana"/>
                <w:sz w:val="20"/>
                <w:szCs w:val="20"/>
              </w:rPr>
            </w:pPr>
          </w:p>
        </w:tc>
      </w:tr>
      <w:tr w:rsidR="00E90B98" w:rsidRPr="00F413E2" w14:paraId="53F1FBEC" w14:textId="77777777" w:rsidTr="00DA41AF">
        <w:trPr>
          <w:jc w:val="center"/>
        </w:trPr>
        <w:tc>
          <w:tcPr>
            <w:tcW w:w="569" w:type="dxa"/>
            <w:tcBorders>
              <w:top w:val="nil"/>
              <w:bottom w:val="nil"/>
            </w:tcBorders>
            <w:shd w:val="clear" w:color="auto" w:fill="auto"/>
          </w:tcPr>
          <w:p w14:paraId="18A6D832" w14:textId="77777777" w:rsidR="00E90B98" w:rsidRPr="00483A6F" w:rsidRDefault="00E90B98"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53C0C7C3" w14:textId="77777777" w:rsidR="00E90B98" w:rsidRDefault="00E90B98"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49512584" w14:textId="77777777" w:rsidR="004908B7" w:rsidRPr="004908B7" w:rsidRDefault="004908B7" w:rsidP="004908B7">
            <w:pPr>
              <w:spacing w:before="60" w:after="20"/>
              <w:jc w:val="center"/>
              <w:rPr>
                <w:rFonts w:ascii="Verdana" w:hAnsi="Verdana"/>
                <w:b/>
                <w:sz w:val="20"/>
                <w:szCs w:val="20"/>
                <w:u w:val="single"/>
              </w:rPr>
            </w:pPr>
            <w:r w:rsidRPr="004908B7">
              <w:rPr>
                <w:rFonts w:ascii="Verdana" w:hAnsi="Verdana"/>
                <w:b/>
                <w:sz w:val="20"/>
                <w:szCs w:val="20"/>
                <w:u w:val="single"/>
              </w:rPr>
              <w:t>Резюме</w:t>
            </w:r>
          </w:p>
          <w:p w14:paraId="27E15CF0" w14:textId="77777777" w:rsidR="004908B7" w:rsidRPr="004908B7" w:rsidRDefault="004908B7" w:rsidP="004908B7">
            <w:pPr>
              <w:spacing w:before="60" w:after="20"/>
              <w:jc w:val="both"/>
              <w:rPr>
                <w:rFonts w:ascii="Verdana" w:hAnsi="Verdana"/>
                <w:sz w:val="20"/>
                <w:szCs w:val="20"/>
              </w:rPr>
            </w:pPr>
            <w:r w:rsidRPr="004908B7">
              <w:rPr>
                <w:rFonts w:ascii="Verdana" w:hAnsi="Verdana"/>
                <w:sz w:val="20"/>
                <w:szCs w:val="20"/>
              </w:rPr>
              <w:t xml:space="preserve">1. Поминъкът на близо една трета от българското население е свързан пряко със селското стопанство и бъдещото им благоденствие зависи от устойчивото управление на почвените и водни ресурси. Страната разполага и със значителна по мащаби хидромелиоративна инфраструктура, която в недалечното минало е била основа за ускорено развитие на селскостопанския сектор. След края на комунистическия период през 1989 г. хидромелиоративните системи западат значително, в резултат на което напоявани в миналото площи се използват за неполивно земеделие. Съществуващите сега земеделски стопанства се основават предимно на производството на зърнено-житни култури и слънчоглед, които или завършват вегетацията си рано, преди началото на горещото и сухо лято, или са издръжливи на продължителна суша и недостиг на вода. Докато някои овощни насаждения са умерено издръжливи на воден дефицит, то зеленчукопроизводството в България изцяло зависи от напояването, за да бъде конкурентноспособно. При вземането на решение дали да се възползват от </w:t>
            </w:r>
            <w:r w:rsidRPr="004908B7">
              <w:rPr>
                <w:rFonts w:ascii="Verdana" w:hAnsi="Verdana"/>
                <w:sz w:val="20"/>
                <w:szCs w:val="20"/>
              </w:rPr>
              <w:lastRenderedPageBreak/>
              <w:t xml:space="preserve">напояване земеделските стопани прилагат подхода „да изчакаме и да видим“. Когато валежите са достатъчни те предпочитат да не напояват, в резултат на което могат да понесат намаляване на добивите, но в същото време спестяват допълнителни разходи за напояване. При продължително засушаване, когато наличната в почвата влага намалява, земеделските стопани напояват, ако имат налична поливна техника. В резултат на това търсенето на напоителни услуги в районите, обслужвани от дружество „Напоителни системи” ЕАД, е непостоянно, търпи промени всяка година, или с други думи е в съответствие с климатичните условия. </w:t>
            </w:r>
          </w:p>
          <w:p w14:paraId="0BB73C22" w14:textId="1AC22A10" w:rsidR="004908B7" w:rsidRPr="004F09D8" w:rsidRDefault="004908B7" w:rsidP="004908B7">
            <w:pPr>
              <w:spacing w:before="60" w:after="20"/>
              <w:jc w:val="both"/>
              <w:rPr>
                <w:rFonts w:ascii="Verdana" w:hAnsi="Verdana"/>
                <w:spacing w:val="-2"/>
                <w:sz w:val="20"/>
                <w:szCs w:val="20"/>
              </w:rPr>
            </w:pPr>
            <w:r w:rsidRPr="004F09D8">
              <w:rPr>
                <w:rFonts w:ascii="Verdana" w:hAnsi="Verdana"/>
                <w:spacing w:val="-2"/>
                <w:sz w:val="20"/>
                <w:szCs w:val="20"/>
              </w:rPr>
              <w:t xml:space="preserve">2. В средносрочен и дългосрочен план се очаква климатичните промени все повече да влияят върху българското селско стопанство. Подобно на прогнозите за Европа и в зависимост от глобалния сценарий, в България може да се очаква повишаване на средните годишни температури, което би могло да варира между 0,5°C и 1,5°C до 2029 и между 2,0°C и 5,0°C до края на века. Предвид очакваните промени в моделите на валежите, това също ще доведе до диференцирани въздействия върху регионалните добиви на българското земеделско производство според съответните култури. Като се има предвид, че земеделието има по-голяма тежест в българското селско стопанство, изменението на климата би могло да има по-силно въздействие именно върху този сегмент. Разработването на дългосрочна визия за поливното земеделие отдавна е осъзнато като необходимост. Пътя е към Европейския модел на земеделие, приет още през 1997 г., когато Съветът на министрите на земеделието определя няколко общи основни принципа: конкурентоспособност, устойчивост, мултифункционалност и приложимост във всички региони на Европейския съюз. Освен това, моделът поставя поливното земеделие в контекста на </w:t>
            </w:r>
            <w:r w:rsidRPr="004F09D8">
              <w:rPr>
                <w:rFonts w:ascii="Verdana" w:hAnsi="Verdana"/>
                <w:spacing w:val="-2"/>
                <w:sz w:val="20"/>
                <w:szCs w:val="20"/>
              </w:rPr>
              <w:lastRenderedPageBreak/>
              <w:t>адаптирането към климатичн</w:t>
            </w:r>
            <w:r w:rsidR="004F09D8" w:rsidRPr="004F09D8">
              <w:rPr>
                <w:rFonts w:ascii="Verdana" w:hAnsi="Verdana"/>
                <w:spacing w:val="-2"/>
                <w:sz w:val="20"/>
                <w:szCs w:val="20"/>
              </w:rPr>
              <w:t>ите изменения.</w:t>
            </w:r>
          </w:p>
          <w:p w14:paraId="25BC5643" w14:textId="1236DB65" w:rsidR="00E90B98" w:rsidRPr="009C5E05" w:rsidRDefault="004908B7" w:rsidP="004908B7">
            <w:pPr>
              <w:spacing w:before="60" w:after="20"/>
              <w:jc w:val="both"/>
              <w:rPr>
                <w:rFonts w:ascii="Verdana" w:hAnsi="Verdana"/>
                <w:sz w:val="20"/>
                <w:szCs w:val="20"/>
              </w:rPr>
            </w:pPr>
            <w:r w:rsidRPr="004908B7">
              <w:rPr>
                <w:rFonts w:ascii="Verdana" w:hAnsi="Verdana"/>
                <w:sz w:val="20"/>
                <w:szCs w:val="20"/>
              </w:rPr>
              <w:t xml:space="preserve">3. Хидромелиоративната инфраструктура в България е сериозно увредена. Средствата получавани от „НС” ЕАД, чрез търговската дейност – напояване /извън ОПВВВ/ са недостатъчни дори за основна поддръжка. Загубите на воден ресурс по канализационната напоителна мрежа достигат 80%. Площта със селскостопанско предназначение през 2021 г. в РБ е 50 227 350 декара, което представлява около 47 % от територията на страната. От тях около 39 000 000 декара се обработват.  По данни на Аграрния доклад за 2022 г., през 2021 г. от „Напоителни системи” ЕАД са полети общо 283 462 дка, като за това са подадени водни маси в размер на 305 886 хил. м³, в т.ч. 118 553 дка ориз с 283 102 хил. м³ водни маси, което съставлява 0.7 % от обработваемите площи, за съпоставка в Румъния този процент е 34 % към 2019 г. а в съседна Гърция 47 % към 2019 г..  Земеделските стопани както в рамките на системите, обслужвани от „НС” ЕАД, така и извън тях инвестират в нови технологии за напояване в стопанството, без да имат ясно разбиране за възможните алтернативи, разходите и изискванията за експлоатация и поддръжка. Отводнителните системи  и системите за защита от наводнения, включително язовирите, са изправени пред сходни предизвикателства. Последните наводнения показаха, че язовирите имат изключително значение в извънредни ситуации. Язовирите представляват невидима част от хидрологията на даден речен басейн и трябва да се възприемат и управляват като критични елементи на хидротехническите системи, в които има двупосочни взаимодействия между селските и градските райони. Все по-ясно се осъзнава, че ако бъде възстановена и модернизирана, съществуващата хидромелиоративна инфраструктура ще бъде критично важен елемент за намаляване на произтичащите от изменението на </w:t>
            </w:r>
            <w:r w:rsidRPr="004908B7">
              <w:rPr>
                <w:rFonts w:ascii="Verdana" w:hAnsi="Verdana"/>
                <w:sz w:val="20"/>
                <w:szCs w:val="20"/>
              </w:rPr>
              <w:lastRenderedPageBreak/>
              <w:t>климата рискове по отношение на производителността, устойчивото развитие на селското стопанство и управлението на земята. Очакваните в бъдеще продължителни периоди на засушаване, в съчетание с все по-чести и потежки наводнения, ще доведат до нарастваща несигурност на селскостопанската дейност в България. В тези условия напоителната инфраструктура ще се използва за задоволяването на нарасналите нужди на селскостопанските култури от вода, докато инфраструктурата за отводняване и за защита от наводнения, както и корекциите на реки биха осигурили защита на обработваемата земя от вредните въздействия, свързани с климатичните рискове. По този начин хидромелиоративният сектор ще генерира значителни ползи както за селскостопанската общност, така и за по-широки кръгове от обществото.</w:t>
            </w:r>
          </w:p>
        </w:tc>
        <w:tc>
          <w:tcPr>
            <w:tcW w:w="1629" w:type="dxa"/>
            <w:tcBorders>
              <w:top w:val="nil"/>
              <w:bottom w:val="nil"/>
            </w:tcBorders>
            <w:shd w:val="clear" w:color="auto" w:fill="auto"/>
          </w:tcPr>
          <w:p w14:paraId="45461AB0" w14:textId="5C698B61" w:rsidR="00E90B98" w:rsidRPr="00606101" w:rsidRDefault="00E90B98" w:rsidP="00C135C1">
            <w:pPr>
              <w:spacing w:before="60" w:after="20"/>
              <w:rPr>
                <w:rFonts w:ascii="Verdana" w:hAnsi="Verdana"/>
                <w:color w:val="FF0000"/>
                <w:sz w:val="20"/>
                <w:szCs w:val="20"/>
              </w:rPr>
            </w:pPr>
          </w:p>
        </w:tc>
        <w:tc>
          <w:tcPr>
            <w:tcW w:w="4522" w:type="dxa"/>
            <w:tcBorders>
              <w:top w:val="nil"/>
              <w:bottom w:val="nil"/>
            </w:tcBorders>
            <w:shd w:val="clear" w:color="auto" w:fill="auto"/>
          </w:tcPr>
          <w:p w14:paraId="2D7A9D51" w14:textId="77777777" w:rsidR="00E90B98" w:rsidRPr="004674B8" w:rsidRDefault="00E90B98" w:rsidP="00E86A7C">
            <w:pPr>
              <w:spacing w:before="60" w:after="20"/>
              <w:rPr>
                <w:rFonts w:ascii="Verdana" w:hAnsi="Verdana"/>
                <w:sz w:val="20"/>
                <w:szCs w:val="20"/>
              </w:rPr>
            </w:pPr>
          </w:p>
        </w:tc>
      </w:tr>
      <w:tr w:rsidR="00E90B98" w:rsidRPr="00F413E2" w14:paraId="5F8DADDD" w14:textId="77777777" w:rsidTr="00DA41AF">
        <w:trPr>
          <w:jc w:val="center"/>
        </w:trPr>
        <w:tc>
          <w:tcPr>
            <w:tcW w:w="569" w:type="dxa"/>
            <w:tcBorders>
              <w:top w:val="nil"/>
              <w:bottom w:val="nil"/>
            </w:tcBorders>
            <w:shd w:val="clear" w:color="auto" w:fill="auto"/>
          </w:tcPr>
          <w:p w14:paraId="61A64025" w14:textId="77777777" w:rsidR="00E90B98" w:rsidRPr="00483A6F" w:rsidRDefault="00E90B98"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41F7C2CD" w14:textId="77777777" w:rsidR="00E90B98" w:rsidRDefault="00E90B98"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3311D98B" w14:textId="77777777" w:rsidR="001C4C76" w:rsidRPr="001C4C76" w:rsidRDefault="001C4C76" w:rsidP="001C4C76">
            <w:pPr>
              <w:spacing w:before="60" w:after="20"/>
              <w:jc w:val="center"/>
              <w:rPr>
                <w:rFonts w:ascii="Verdana" w:hAnsi="Verdana"/>
                <w:b/>
                <w:sz w:val="20"/>
                <w:szCs w:val="20"/>
                <w:u w:val="single"/>
              </w:rPr>
            </w:pPr>
            <w:r w:rsidRPr="001C4C76">
              <w:rPr>
                <w:rFonts w:ascii="Verdana" w:hAnsi="Verdana"/>
                <w:b/>
                <w:sz w:val="20"/>
                <w:szCs w:val="20"/>
                <w:u w:val="single"/>
              </w:rPr>
              <w:t>Цели на концепцията.</w:t>
            </w:r>
          </w:p>
          <w:p w14:paraId="0A183B09" w14:textId="77777777" w:rsidR="00E90B98" w:rsidRDefault="001C4C76" w:rsidP="001C4C76">
            <w:pPr>
              <w:spacing w:before="60" w:after="20"/>
              <w:jc w:val="both"/>
              <w:rPr>
                <w:rFonts w:ascii="Verdana" w:hAnsi="Verdana"/>
                <w:b/>
                <w:sz w:val="20"/>
                <w:szCs w:val="20"/>
              </w:rPr>
            </w:pPr>
            <w:r w:rsidRPr="001C4C76">
              <w:rPr>
                <w:rFonts w:ascii="Verdana" w:hAnsi="Verdana"/>
                <w:sz w:val="20"/>
                <w:szCs w:val="20"/>
              </w:rPr>
              <w:t xml:space="preserve">Концепцията предвижда след серия от промени, сектор „Хидромелиорации“ да управлява инфраструктурата за предоставяне на напоителни и отводнителни услуги и да надзирава инфраструктурата за защита от наводнения и корекциите на реки, която предпазва земеделските земи от вредното въздействие на водите. Един добре представящ се подсектор по напояване и отводняване предлага значителни възможности за насърчаване на конкурентоспособността на селското стопанство, тъй като подобрява производителността и същевременно води до намаляване на загубите на доход за фермерите в години с по-неблагоприятни климатични условия. Ето защо напояването е важно за справяне с нестабилността на цените, тъй като до голяма степен защитава земеделските стопани от значителен спад в производството и осигурява сравнително стабилни добиви в периоди на лоши метеорологични условия и променливи цени. </w:t>
            </w:r>
            <w:r w:rsidRPr="001C4C76">
              <w:rPr>
                <w:rFonts w:ascii="Verdana" w:hAnsi="Verdana"/>
                <w:b/>
                <w:sz w:val="20"/>
                <w:szCs w:val="20"/>
              </w:rPr>
              <w:t xml:space="preserve">Три милиарда кубични метра </w:t>
            </w:r>
            <w:r w:rsidRPr="001C4C76">
              <w:rPr>
                <w:rFonts w:ascii="Verdana" w:hAnsi="Verdana"/>
                <w:b/>
                <w:sz w:val="20"/>
                <w:szCs w:val="20"/>
              </w:rPr>
              <w:lastRenderedPageBreak/>
              <w:t>воден обем във 181 язовира стопанисвани от „НС“ ЕАД, да се отблокират и използват за развитието на икономиката на страната.</w:t>
            </w:r>
          </w:p>
          <w:p w14:paraId="090119EE" w14:textId="2B1755F7" w:rsidR="0041144E" w:rsidRPr="0041144E" w:rsidRDefault="0041144E" w:rsidP="0041144E">
            <w:pPr>
              <w:spacing w:before="60" w:after="20"/>
              <w:jc w:val="both"/>
              <w:rPr>
                <w:rFonts w:ascii="Verdana" w:hAnsi="Verdana"/>
                <w:b/>
                <w:sz w:val="20"/>
                <w:szCs w:val="20"/>
              </w:rPr>
            </w:pPr>
            <w:r w:rsidRPr="0041144E">
              <w:rPr>
                <w:rFonts w:ascii="Verdana" w:hAnsi="Verdana"/>
                <w:b/>
                <w:sz w:val="20"/>
                <w:szCs w:val="20"/>
              </w:rPr>
              <w:t>В основата на промените в сектор „Хидромелиорации“ стоят, три основни и задължителни промени в досегашният модел на управление на напояването в държавата:</w:t>
            </w:r>
          </w:p>
          <w:p w14:paraId="33915F76" w14:textId="2AC0155D" w:rsidR="0041144E" w:rsidRPr="0041144E" w:rsidRDefault="0041144E" w:rsidP="0041144E">
            <w:pPr>
              <w:spacing w:before="60" w:after="20"/>
              <w:jc w:val="both"/>
              <w:rPr>
                <w:rFonts w:ascii="Verdana" w:hAnsi="Verdana"/>
                <w:b/>
                <w:sz w:val="20"/>
                <w:szCs w:val="20"/>
                <w:u w:val="single"/>
              </w:rPr>
            </w:pPr>
            <w:r>
              <w:rPr>
                <w:rFonts w:ascii="Verdana" w:hAnsi="Verdana"/>
                <w:b/>
                <w:sz w:val="20"/>
                <w:szCs w:val="20"/>
                <w:u w:val="single"/>
              </w:rPr>
              <w:t xml:space="preserve">1. </w:t>
            </w:r>
            <w:r w:rsidRPr="0041144E">
              <w:rPr>
                <w:rFonts w:ascii="Verdana" w:hAnsi="Verdana"/>
                <w:b/>
                <w:sz w:val="20"/>
                <w:szCs w:val="20"/>
                <w:u w:val="single"/>
              </w:rPr>
              <w:t>Преобразуване на „Напоителни системи“ ЕАД в Агенция „Мелиорации“.</w:t>
            </w:r>
          </w:p>
          <w:p w14:paraId="6B0806E9" w14:textId="2C1BDD49" w:rsidR="0041144E" w:rsidRPr="0041144E" w:rsidRDefault="0041144E" w:rsidP="0041144E">
            <w:pPr>
              <w:spacing w:before="60" w:after="20"/>
              <w:jc w:val="both"/>
              <w:rPr>
                <w:rFonts w:ascii="Verdana" w:hAnsi="Verdana"/>
                <w:b/>
                <w:sz w:val="20"/>
                <w:szCs w:val="20"/>
                <w:u w:val="single"/>
              </w:rPr>
            </w:pPr>
            <w:r>
              <w:rPr>
                <w:rFonts w:ascii="Verdana" w:hAnsi="Verdana"/>
                <w:b/>
                <w:sz w:val="20"/>
                <w:szCs w:val="20"/>
                <w:u w:val="single"/>
              </w:rPr>
              <w:t xml:space="preserve">2. </w:t>
            </w:r>
            <w:r w:rsidRPr="0041144E">
              <w:rPr>
                <w:rFonts w:ascii="Verdana" w:hAnsi="Verdana"/>
                <w:b/>
                <w:sz w:val="20"/>
                <w:szCs w:val="20"/>
                <w:u w:val="single"/>
              </w:rPr>
              <w:t>Приемането на „Закон за Хидромелиорациите“ и като част от него „Фонд Мелиорации“.</w:t>
            </w:r>
          </w:p>
          <w:p w14:paraId="58F919DF" w14:textId="739E038E" w:rsidR="0041144E" w:rsidRPr="009C5E05" w:rsidRDefault="0041144E" w:rsidP="0041144E">
            <w:pPr>
              <w:spacing w:before="60" w:after="20"/>
              <w:jc w:val="both"/>
              <w:rPr>
                <w:rFonts w:ascii="Verdana" w:hAnsi="Verdana"/>
                <w:sz w:val="20"/>
                <w:szCs w:val="20"/>
              </w:rPr>
            </w:pPr>
            <w:r>
              <w:rPr>
                <w:rFonts w:ascii="Verdana" w:hAnsi="Verdana"/>
                <w:b/>
                <w:sz w:val="20"/>
                <w:szCs w:val="20"/>
                <w:u w:val="single"/>
              </w:rPr>
              <w:t xml:space="preserve">3. </w:t>
            </w:r>
            <w:r w:rsidRPr="0041144E">
              <w:rPr>
                <w:rFonts w:ascii="Verdana" w:hAnsi="Verdana"/>
                <w:b/>
                <w:sz w:val="20"/>
                <w:szCs w:val="20"/>
                <w:u w:val="single"/>
              </w:rPr>
              <w:t>Субсидиране 100% водата за напояване.</w:t>
            </w:r>
          </w:p>
        </w:tc>
        <w:tc>
          <w:tcPr>
            <w:tcW w:w="1629" w:type="dxa"/>
            <w:tcBorders>
              <w:top w:val="nil"/>
              <w:bottom w:val="nil"/>
            </w:tcBorders>
            <w:shd w:val="clear" w:color="auto" w:fill="auto"/>
          </w:tcPr>
          <w:p w14:paraId="67627353" w14:textId="65FC5CBD" w:rsidR="00E90B98" w:rsidRPr="00606101" w:rsidRDefault="00E90B98" w:rsidP="00C135C1">
            <w:pPr>
              <w:spacing w:before="60" w:after="20"/>
              <w:rPr>
                <w:rFonts w:ascii="Verdana" w:hAnsi="Verdana"/>
                <w:color w:val="FF0000"/>
                <w:sz w:val="20"/>
                <w:szCs w:val="20"/>
              </w:rPr>
            </w:pPr>
          </w:p>
        </w:tc>
        <w:tc>
          <w:tcPr>
            <w:tcW w:w="4522" w:type="dxa"/>
            <w:tcBorders>
              <w:top w:val="nil"/>
              <w:bottom w:val="nil"/>
            </w:tcBorders>
            <w:shd w:val="clear" w:color="auto" w:fill="auto"/>
          </w:tcPr>
          <w:p w14:paraId="46EF25E5" w14:textId="77777777" w:rsidR="00E90B98" w:rsidRPr="004674B8" w:rsidRDefault="00E90B98" w:rsidP="00E86A7C">
            <w:pPr>
              <w:spacing w:before="60" w:after="20"/>
              <w:rPr>
                <w:rFonts w:ascii="Verdana" w:hAnsi="Verdana"/>
                <w:sz w:val="20"/>
                <w:szCs w:val="20"/>
              </w:rPr>
            </w:pPr>
          </w:p>
        </w:tc>
      </w:tr>
      <w:tr w:rsidR="00E90B98" w:rsidRPr="00F413E2" w14:paraId="2E6103A9" w14:textId="77777777" w:rsidTr="00DA41AF">
        <w:trPr>
          <w:jc w:val="center"/>
        </w:trPr>
        <w:tc>
          <w:tcPr>
            <w:tcW w:w="569" w:type="dxa"/>
            <w:tcBorders>
              <w:top w:val="nil"/>
              <w:bottom w:val="nil"/>
            </w:tcBorders>
            <w:shd w:val="clear" w:color="auto" w:fill="auto"/>
          </w:tcPr>
          <w:p w14:paraId="415C7252" w14:textId="77777777" w:rsidR="00E90B98" w:rsidRPr="00483A6F" w:rsidRDefault="00E90B98"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129A93A0" w14:textId="77777777" w:rsidR="00E90B98" w:rsidRDefault="00E90B98"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1D916ED7" w14:textId="77777777" w:rsidR="00BC2E43" w:rsidRPr="00BC2E43" w:rsidRDefault="00BC2E43" w:rsidP="00BC2E43">
            <w:pPr>
              <w:spacing w:before="60" w:after="20"/>
              <w:jc w:val="center"/>
              <w:rPr>
                <w:rFonts w:ascii="Verdana" w:hAnsi="Verdana"/>
                <w:b/>
                <w:sz w:val="20"/>
                <w:szCs w:val="20"/>
              </w:rPr>
            </w:pPr>
            <w:r w:rsidRPr="00BC2E43">
              <w:rPr>
                <w:rFonts w:ascii="Verdana" w:hAnsi="Verdana"/>
                <w:b/>
                <w:sz w:val="20"/>
                <w:szCs w:val="20"/>
              </w:rPr>
              <w:t>Визия, стратегически и оперативни цели.</w:t>
            </w:r>
          </w:p>
          <w:p w14:paraId="507BF79B" w14:textId="77777777" w:rsidR="00BC2E43" w:rsidRPr="00BC2E43" w:rsidRDefault="00BC2E43" w:rsidP="00BC2E43">
            <w:pPr>
              <w:spacing w:before="60" w:after="20"/>
              <w:jc w:val="both"/>
              <w:rPr>
                <w:rFonts w:ascii="Verdana" w:hAnsi="Verdana"/>
                <w:sz w:val="20"/>
                <w:szCs w:val="20"/>
              </w:rPr>
            </w:pPr>
            <w:r w:rsidRPr="00BC2E43">
              <w:rPr>
                <w:rFonts w:ascii="Verdana" w:hAnsi="Verdana"/>
                <w:b/>
                <w:sz w:val="20"/>
                <w:szCs w:val="20"/>
              </w:rPr>
              <w:t>Визия:</w:t>
            </w:r>
            <w:r w:rsidRPr="00BC2E43">
              <w:rPr>
                <w:rFonts w:ascii="Verdana" w:hAnsi="Verdana"/>
                <w:sz w:val="20"/>
                <w:szCs w:val="20"/>
              </w:rPr>
              <w:t xml:space="preserve"> Възстановяване на ефективен и ефикасен хидромелиоративен сектор за икономически жизнеспособно, конкурентно земеделие, устойчиво на въздействията от изменението на климата и осигуряващо защита от вредното въздействие на водите.</w:t>
            </w:r>
          </w:p>
          <w:p w14:paraId="5276AF3C" w14:textId="078A4035" w:rsidR="00BC2E43" w:rsidRDefault="00BC2E43" w:rsidP="00BC2E43">
            <w:pPr>
              <w:spacing w:before="60" w:after="20"/>
              <w:jc w:val="both"/>
              <w:rPr>
                <w:rFonts w:ascii="Verdana" w:hAnsi="Verdana"/>
                <w:sz w:val="20"/>
                <w:szCs w:val="20"/>
              </w:rPr>
            </w:pPr>
            <w:r w:rsidRPr="00BC2E43">
              <w:rPr>
                <w:rFonts w:ascii="Verdana" w:hAnsi="Verdana"/>
                <w:b/>
                <w:sz w:val="20"/>
                <w:szCs w:val="20"/>
              </w:rPr>
              <w:t>Стратегическа цел 1</w:t>
            </w:r>
            <w:r w:rsidRPr="00BC2E43">
              <w:rPr>
                <w:rFonts w:ascii="Verdana" w:hAnsi="Verdana"/>
                <w:sz w:val="20"/>
                <w:szCs w:val="20"/>
              </w:rPr>
              <w:t>: Изграждане на правен и институционален капацитет, който да проправи път към автономни организации за управление на финансово устой</w:t>
            </w:r>
            <w:r>
              <w:rPr>
                <w:rFonts w:ascii="Verdana" w:hAnsi="Verdana"/>
                <w:sz w:val="20"/>
                <w:szCs w:val="20"/>
              </w:rPr>
              <w:t>чиви хидромелиоративни системи.</w:t>
            </w:r>
          </w:p>
          <w:p w14:paraId="2E2D6997" w14:textId="5A22D626" w:rsidR="00BC2E43" w:rsidRDefault="00BC2E43" w:rsidP="00BC2E43">
            <w:pPr>
              <w:spacing w:before="60" w:after="20"/>
              <w:jc w:val="both"/>
              <w:rPr>
                <w:rFonts w:ascii="Verdana" w:hAnsi="Verdana"/>
                <w:sz w:val="20"/>
                <w:szCs w:val="20"/>
              </w:rPr>
            </w:pPr>
            <w:r w:rsidRPr="00BC2E43">
              <w:rPr>
                <w:rFonts w:ascii="Verdana" w:hAnsi="Verdana"/>
                <w:b/>
                <w:sz w:val="20"/>
                <w:szCs w:val="20"/>
              </w:rPr>
              <w:t>Цел към 2024 г.</w:t>
            </w:r>
            <w:r w:rsidRPr="00BC2E43">
              <w:rPr>
                <w:rFonts w:ascii="Verdana" w:hAnsi="Verdana"/>
                <w:sz w:val="20"/>
                <w:szCs w:val="20"/>
              </w:rPr>
              <w:t xml:space="preserve">: До края на 2024 г. Първият етап на правната и институционалната реформа е завършен, в това число е приет  Закон за хидромелиорациите и изменение на Закона за сдружения за напояване, „НС” ЕАД е преобразувано в Агенция „Мелиорации“, като през нейните клонове в страната, отговаря за експлоатацията, поддръжката и управлението на хидромелиоративната инфраструктура. В първата година  Агенция „Мелиорации“ е второстепенен разпоредител на бюджетни средства в състава на Министерство на земеделието. През първата година </w:t>
            </w:r>
            <w:r w:rsidRPr="00BC2E43">
              <w:rPr>
                <w:rFonts w:ascii="Verdana" w:hAnsi="Verdana"/>
                <w:sz w:val="20"/>
                <w:szCs w:val="20"/>
              </w:rPr>
              <w:lastRenderedPageBreak/>
              <w:t>след извършен подробен анализ на текущото състояние на хидромелиоративният фонд, съвместно с представители на Българската аграрна камара, Българската агрохранителна камара и Българския фермерски съюз, се изготвя План за възстановяване на хидромелиоративната инфраструктура. Водата за напояване се предоставя като 100 % субсидия – обвързана подкрепа /вода срещу продукция/. Агенцията изпълнява дейностите по ОПВВВ.</w:t>
            </w:r>
          </w:p>
          <w:p w14:paraId="1F3882B3" w14:textId="50774102" w:rsidR="00BC2E43" w:rsidRDefault="00BC2E43" w:rsidP="00BC2E43">
            <w:pPr>
              <w:spacing w:before="60" w:after="20"/>
              <w:jc w:val="both"/>
              <w:rPr>
                <w:rFonts w:ascii="Verdana" w:hAnsi="Verdana"/>
                <w:sz w:val="20"/>
                <w:szCs w:val="20"/>
              </w:rPr>
            </w:pPr>
            <w:r w:rsidRPr="00BC2E43">
              <w:rPr>
                <w:rFonts w:ascii="Verdana" w:hAnsi="Verdana"/>
                <w:b/>
                <w:sz w:val="20"/>
                <w:szCs w:val="20"/>
              </w:rPr>
              <w:t>Цел към 2025 г.</w:t>
            </w:r>
            <w:r w:rsidRPr="00BC2E43">
              <w:rPr>
                <w:rFonts w:ascii="Verdana" w:hAnsi="Verdana"/>
                <w:sz w:val="20"/>
                <w:szCs w:val="20"/>
              </w:rPr>
              <w:t>: До края на 2025 г. Агенция „Мелиорации“ изпълнява План за възстановяване на хидромелиоративната инфраструктура. Подготвени са проекти на 11 броя замразени през 1997 година язовира с допълнителен воден капацитет от около 400 милиона м³. Агенция „Мелиорации“ и сдруженията за напояване и отводняване са достатъчно укрепнали, за да управляват системите в сътрудничество. Напояваните площи от агенцията достигат 600 000 дка.</w:t>
            </w:r>
          </w:p>
          <w:p w14:paraId="55FAD362" w14:textId="77777777" w:rsidR="00BC2E43" w:rsidRPr="00BC2E43" w:rsidRDefault="00BC2E43" w:rsidP="00BC2E43">
            <w:pPr>
              <w:spacing w:before="60" w:after="20"/>
              <w:jc w:val="both"/>
              <w:rPr>
                <w:rFonts w:ascii="Verdana" w:hAnsi="Verdana"/>
                <w:sz w:val="20"/>
                <w:szCs w:val="20"/>
              </w:rPr>
            </w:pPr>
            <w:r w:rsidRPr="00BC2E43">
              <w:rPr>
                <w:rFonts w:ascii="Verdana" w:hAnsi="Verdana"/>
                <w:b/>
                <w:sz w:val="20"/>
                <w:szCs w:val="20"/>
              </w:rPr>
              <w:t>Цел към 2034 г.:</w:t>
            </w:r>
            <w:r w:rsidRPr="00BC2E43">
              <w:rPr>
                <w:rFonts w:ascii="Verdana" w:hAnsi="Verdana"/>
                <w:sz w:val="20"/>
                <w:szCs w:val="20"/>
              </w:rPr>
              <w:t xml:space="preserve"> До края на 2034 г. Вторият етап на правната и институционалната реформа е завършен, Агенция „Мелиорации“ постепенно се е развила, покрила е цялата площ, в която се предлагат хидромелиоративни услуги в България и предоставя такива услуги на редица участници, включително съответните сдружения за напояване. Напояваните площи от агенцията достигат 7 000 000 дка., което е 18 % от обработваемите площи в страната.</w:t>
            </w:r>
          </w:p>
          <w:p w14:paraId="5FE9B937" w14:textId="165CDCDC" w:rsidR="00BC2E43" w:rsidRPr="00BC2E43" w:rsidRDefault="00BC2E43" w:rsidP="00BC2E43">
            <w:pPr>
              <w:spacing w:before="60" w:after="20"/>
              <w:jc w:val="both"/>
              <w:rPr>
                <w:rFonts w:ascii="Verdana" w:hAnsi="Verdana"/>
                <w:sz w:val="20"/>
                <w:szCs w:val="20"/>
              </w:rPr>
            </w:pPr>
            <w:r w:rsidRPr="00BC2E43">
              <w:rPr>
                <w:rFonts w:ascii="Verdana" w:hAnsi="Verdana"/>
                <w:b/>
                <w:sz w:val="20"/>
                <w:szCs w:val="20"/>
              </w:rPr>
              <w:t>Стратегическа цел 2:</w:t>
            </w:r>
            <w:r w:rsidRPr="00BC2E43">
              <w:rPr>
                <w:rFonts w:ascii="Verdana" w:hAnsi="Verdana"/>
                <w:sz w:val="20"/>
                <w:szCs w:val="20"/>
              </w:rPr>
              <w:t xml:space="preserve"> Засилване на конкурентоспособността на селскостопанския сектор  и възстановяване на достъпа до хидромелиоративната инфраструктура на земеделските земи и нейното устойчиво използване чрез инвестиции във възстановяване и модернизация: </w:t>
            </w:r>
          </w:p>
          <w:p w14:paraId="7936C4DA" w14:textId="4E6A4CA2" w:rsidR="00BC2E43" w:rsidRDefault="00BC2E43" w:rsidP="00BC2E43">
            <w:pPr>
              <w:spacing w:before="60" w:after="20"/>
              <w:jc w:val="both"/>
              <w:rPr>
                <w:rFonts w:ascii="Verdana" w:hAnsi="Verdana"/>
                <w:sz w:val="20"/>
                <w:szCs w:val="20"/>
              </w:rPr>
            </w:pPr>
            <w:r w:rsidRPr="00BC2E43">
              <w:rPr>
                <w:rFonts w:ascii="Verdana" w:hAnsi="Verdana"/>
                <w:b/>
                <w:sz w:val="20"/>
                <w:szCs w:val="20"/>
              </w:rPr>
              <w:t>Цел към 2024 г.:</w:t>
            </w:r>
            <w:r>
              <w:rPr>
                <w:rFonts w:ascii="Verdana" w:hAnsi="Verdana"/>
                <w:sz w:val="20"/>
                <w:szCs w:val="20"/>
              </w:rPr>
              <w:t xml:space="preserve"> </w:t>
            </w:r>
            <w:r w:rsidRPr="00BC2E43">
              <w:rPr>
                <w:rFonts w:ascii="Verdana" w:hAnsi="Verdana"/>
                <w:sz w:val="20"/>
                <w:szCs w:val="20"/>
              </w:rPr>
              <w:t xml:space="preserve">До края на 2024 г. . Водата за напояване се предоставя като 100 % субсидия – </w:t>
            </w:r>
            <w:r w:rsidRPr="00BC2E43">
              <w:rPr>
                <w:rFonts w:ascii="Verdana" w:hAnsi="Verdana"/>
                <w:sz w:val="20"/>
                <w:szCs w:val="20"/>
              </w:rPr>
              <w:lastRenderedPageBreak/>
              <w:t>обвързана подкрепа /вода срещу прод</w:t>
            </w:r>
            <w:r>
              <w:rPr>
                <w:rFonts w:ascii="Verdana" w:hAnsi="Verdana"/>
                <w:sz w:val="20"/>
                <w:szCs w:val="20"/>
              </w:rPr>
              <w:t>укция/ на земеделските стопани.</w:t>
            </w:r>
          </w:p>
          <w:p w14:paraId="452ACBC4" w14:textId="634F949D" w:rsidR="00BC2E43" w:rsidRDefault="00BC2E43" w:rsidP="00BC2E43">
            <w:pPr>
              <w:spacing w:before="60" w:after="20"/>
              <w:jc w:val="both"/>
              <w:rPr>
                <w:rFonts w:ascii="Verdana" w:hAnsi="Verdana"/>
                <w:sz w:val="20"/>
                <w:szCs w:val="20"/>
              </w:rPr>
            </w:pPr>
            <w:r w:rsidRPr="00BC2E43">
              <w:rPr>
                <w:rFonts w:ascii="Verdana" w:hAnsi="Verdana"/>
                <w:b/>
                <w:sz w:val="20"/>
                <w:szCs w:val="20"/>
              </w:rPr>
              <w:t>Цел към 2025 г.:</w:t>
            </w:r>
            <w:r w:rsidRPr="00BC2E43">
              <w:rPr>
                <w:rFonts w:ascii="Verdana" w:hAnsi="Verdana"/>
                <w:sz w:val="20"/>
                <w:szCs w:val="20"/>
              </w:rPr>
              <w:t xml:space="preserve"> До края на 2025 г. В изпълнение на Плана за възстановяване на хидромелиоративната инфраструктура и с финансовата подкрепа и на Европейския земеделски фонд за развитие на селските райони, под управлението на Агенция „Мелиорации“ се извършва приоритетно възстановяване на хидромелиоративната инфраструктура, обслужвайки 600 000 декара напоявана площ. Водата за напояване се предоставя като 100 % субсидия – обвързана подкрепа /вода срещу продукция/ на земеделските стопани.</w:t>
            </w:r>
          </w:p>
          <w:p w14:paraId="15D7FFB0" w14:textId="77777777" w:rsidR="00BC2E43" w:rsidRPr="00BC2E43" w:rsidRDefault="00BC2E43" w:rsidP="00BC2E43">
            <w:pPr>
              <w:spacing w:before="60" w:after="20"/>
              <w:jc w:val="both"/>
              <w:rPr>
                <w:rFonts w:ascii="Verdana" w:hAnsi="Verdana"/>
                <w:sz w:val="20"/>
                <w:szCs w:val="20"/>
              </w:rPr>
            </w:pPr>
            <w:r w:rsidRPr="00BC2E43">
              <w:rPr>
                <w:rFonts w:ascii="Verdana" w:hAnsi="Verdana"/>
                <w:b/>
                <w:sz w:val="20"/>
                <w:szCs w:val="20"/>
              </w:rPr>
              <w:t>Цел към 2034 г.:</w:t>
            </w:r>
            <w:r w:rsidRPr="00BC2E43">
              <w:rPr>
                <w:rFonts w:ascii="Verdana" w:hAnsi="Verdana"/>
                <w:sz w:val="20"/>
                <w:szCs w:val="20"/>
              </w:rPr>
              <w:t xml:space="preserve"> До края на 2034 г. 70% от хидромелиоративната инфраструктура под управлението на Агенция „Мелиорации“ е възстановена и модернизирана. Напояваните площи от агенцията достигат 7 000 000 дка., което е 18 % от обработваемите площи в страната. Изготвен е подземен воден кадастър. Агенция Мелиорации предоставя на земеделските стопани съвременна техника за напояване с цел пестене на ресурс, както и повторното му използване в съотведствие с европейските практики.</w:t>
            </w:r>
          </w:p>
          <w:p w14:paraId="1A78C27B" w14:textId="68B6CBC9" w:rsidR="00BC2E43" w:rsidRDefault="00BC2E43" w:rsidP="00BC2E43">
            <w:pPr>
              <w:spacing w:before="60" w:after="20"/>
              <w:jc w:val="both"/>
              <w:rPr>
                <w:rFonts w:ascii="Verdana" w:hAnsi="Verdana"/>
                <w:sz w:val="20"/>
                <w:szCs w:val="20"/>
              </w:rPr>
            </w:pPr>
            <w:r w:rsidRPr="00BC2E43">
              <w:rPr>
                <w:rFonts w:ascii="Verdana" w:hAnsi="Verdana"/>
                <w:b/>
                <w:sz w:val="20"/>
                <w:szCs w:val="20"/>
              </w:rPr>
              <w:t>Стратегическа цел 3:</w:t>
            </w:r>
            <w:r w:rsidRPr="00BC2E43">
              <w:rPr>
                <w:rFonts w:ascii="Verdana" w:hAnsi="Verdana"/>
                <w:sz w:val="20"/>
                <w:szCs w:val="20"/>
              </w:rPr>
              <w:t xml:space="preserve"> Възстановяване на функциониращата инфраструктура за защита от вредното въздействие на водите (напр. корекции на речни корита, оказващи влияние върху хидроморфологичните характеристики), високи нива на подпочвени води и други вредни въздействия на водите.</w:t>
            </w:r>
          </w:p>
          <w:p w14:paraId="25C99D5C" w14:textId="13997D32" w:rsidR="00BC2E43" w:rsidRDefault="00BC2E43" w:rsidP="00BC2E43">
            <w:pPr>
              <w:spacing w:before="60" w:after="20"/>
              <w:jc w:val="both"/>
              <w:rPr>
                <w:rFonts w:ascii="Verdana" w:hAnsi="Verdana"/>
                <w:sz w:val="20"/>
                <w:szCs w:val="20"/>
              </w:rPr>
            </w:pPr>
            <w:r w:rsidRPr="00753B57">
              <w:rPr>
                <w:rFonts w:ascii="Verdana" w:hAnsi="Verdana"/>
                <w:b/>
                <w:sz w:val="20"/>
                <w:szCs w:val="20"/>
              </w:rPr>
              <w:t>Цел към 2024 г.:</w:t>
            </w:r>
            <w:r w:rsidRPr="00BC2E43">
              <w:rPr>
                <w:rFonts w:ascii="Verdana" w:hAnsi="Verdana"/>
                <w:sz w:val="20"/>
                <w:szCs w:val="20"/>
              </w:rPr>
              <w:t xml:space="preserve"> До края на 2024 г. е завършен пълният опис на съоръженията за ЗВВВ (включително тези за защита от наводнения и корекциите на реки), инвестиционните проекти са идентифицирани, категоризирани и оценени за финансиране, включително зелените инфраструктурни проекти за </w:t>
            </w:r>
            <w:r w:rsidRPr="00BC2E43">
              <w:rPr>
                <w:rFonts w:ascii="Verdana" w:hAnsi="Verdana"/>
                <w:sz w:val="20"/>
                <w:szCs w:val="20"/>
              </w:rPr>
              <w:lastRenderedPageBreak/>
              <w:t>ускорено финансиране, които да се подкрепят по линията на Европейския земеделски фонд за развитие на сел</w:t>
            </w:r>
            <w:r w:rsidR="00753B57">
              <w:rPr>
                <w:rFonts w:ascii="Verdana" w:hAnsi="Verdana"/>
                <w:sz w:val="20"/>
                <w:szCs w:val="20"/>
              </w:rPr>
              <w:t>ските райони.</w:t>
            </w:r>
          </w:p>
          <w:p w14:paraId="42A6A07F" w14:textId="0141FAED" w:rsidR="00BC2E43" w:rsidRDefault="00BC2E43" w:rsidP="00BC2E43">
            <w:pPr>
              <w:spacing w:before="60" w:after="20"/>
              <w:jc w:val="both"/>
              <w:rPr>
                <w:rFonts w:ascii="Verdana" w:hAnsi="Verdana"/>
                <w:sz w:val="20"/>
                <w:szCs w:val="20"/>
              </w:rPr>
            </w:pPr>
            <w:r w:rsidRPr="00753B57">
              <w:rPr>
                <w:rFonts w:ascii="Verdana" w:hAnsi="Verdana"/>
                <w:b/>
                <w:sz w:val="20"/>
                <w:szCs w:val="20"/>
              </w:rPr>
              <w:t>Цел към 2025 г.:</w:t>
            </w:r>
            <w:r w:rsidRPr="00BC2E43">
              <w:rPr>
                <w:rFonts w:ascii="Verdana" w:hAnsi="Verdana"/>
                <w:sz w:val="20"/>
                <w:szCs w:val="20"/>
              </w:rPr>
              <w:t xml:space="preserve"> До края на 2025 г. приоритетните зелени инфраструктурни проекти са изпълнени в рамките на водещи проекти и с</w:t>
            </w:r>
            <w:r w:rsidR="00753B57">
              <w:rPr>
                <w:rFonts w:ascii="Verdana" w:hAnsi="Verdana"/>
                <w:sz w:val="20"/>
                <w:szCs w:val="20"/>
              </w:rPr>
              <w:t xml:space="preserve"> финансиране от фонд на ЕЗФРСР;</w:t>
            </w:r>
          </w:p>
          <w:p w14:paraId="6BAD53A5" w14:textId="1F38D844" w:rsidR="00BC2E43" w:rsidRPr="00BC2E43" w:rsidRDefault="00BC2E43" w:rsidP="00BC2E43">
            <w:pPr>
              <w:spacing w:before="60" w:after="20"/>
              <w:jc w:val="both"/>
              <w:rPr>
                <w:rFonts w:ascii="Verdana" w:hAnsi="Verdana"/>
                <w:sz w:val="20"/>
                <w:szCs w:val="20"/>
              </w:rPr>
            </w:pPr>
            <w:r w:rsidRPr="00753B57">
              <w:rPr>
                <w:rFonts w:ascii="Verdana" w:hAnsi="Verdana"/>
                <w:b/>
                <w:sz w:val="20"/>
                <w:szCs w:val="20"/>
              </w:rPr>
              <w:t>Цел към 2034 г.:</w:t>
            </w:r>
            <w:r w:rsidRPr="00BC2E43">
              <w:rPr>
                <w:rFonts w:ascii="Verdana" w:hAnsi="Verdana"/>
                <w:sz w:val="20"/>
                <w:szCs w:val="20"/>
              </w:rPr>
              <w:t xml:space="preserve"> До края на 2034 г. 50% от приоритетните инвестиции за защита от вредното въздействие на водите са осъществени с подкрепата на финансиране от ЕЗФРСР и в пълно съответствие с плановете за управление на риска от наводнения.</w:t>
            </w:r>
          </w:p>
          <w:p w14:paraId="736EC112" w14:textId="77777777" w:rsidR="00BC2E43" w:rsidRPr="00753B57" w:rsidRDefault="00BC2E43" w:rsidP="00753B57">
            <w:pPr>
              <w:spacing w:before="60" w:after="20"/>
              <w:jc w:val="center"/>
              <w:rPr>
                <w:rFonts w:ascii="Verdana" w:hAnsi="Verdana"/>
                <w:b/>
                <w:sz w:val="20"/>
                <w:szCs w:val="20"/>
                <w:u w:val="single"/>
              </w:rPr>
            </w:pPr>
            <w:r w:rsidRPr="00753B57">
              <w:rPr>
                <w:rFonts w:ascii="Verdana" w:hAnsi="Verdana"/>
                <w:b/>
                <w:sz w:val="20"/>
                <w:szCs w:val="20"/>
                <w:u w:val="single"/>
              </w:rPr>
              <w:t>Структура на „Агенция Мелиорации“.</w:t>
            </w:r>
          </w:p>
          <w:p w14:paraId="7AF1D189" w14:textId="4DA0EB2B"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Централно управление гр. Соф</w:t>
            </w:r>
            <w:r w:rsidR="00753B57">
              <w:rPr>
                <w:rFonts w:ascii="Verdana" w:hAnsi="Verdana"/>
                <w:sz w:val="20"/>
                <w:szCs w:val="20"/>
              </w:rPr>
              <w:t xml:space="preserve">ия, бул. „Цар Борис III" № 136 </w:t>
            </w:r>
            <w:r w:rsidRPr="00BC2E43">
              <w:rPr>
                <w:rFonts w:ascii="Verdana" w:hAnsi="Verdana"/>
                <w:sz w:val="20"/>
                <w:szCs w:val="20"/>
              </w:rPr>
              <w:t>и 14 клона в страната, чрез които осъществява предмета си на дейност:</w:t>
            </w:r>
          </w:p>
          <w:p w14:paraId="2A007AAB" w14:textId="08335697"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 xml:space="preserve">Клон Черно море -гр. Варна 9000, район р-н Одесос, ул. </w:t>
            </w:r>
            <w:r w:rsidR="00901B11">
              <w:rPr>
                <w:rFonts w:ascii="Verdana" w:hAnsi="Verdana"/>
                <w:sz w:val="20"/>
                <w:szCs w:val="20"/>
              </w:rPr>
              <w:t>„</w:t>
            </w:r>
            <w:r w:rsidRPr="00BC2E43">
              <w:rPr>
                <w:rFonts w:ascii="Verdana" w:hAnsi="Verdana"/>
                <w:sz w:val="20"/>
                <w:szCs w:val="20"/>
              </w:rPr>
              <w:t>Христо Ботев” № 10</w:t>
            </w:r>
            <w:r w:rsidR="00B15896">
              <w:rPr>
                <w:rFonts w:ascii="Verdana" w:hAnsi="Verdana"/>
                <w:sz w:val="20"/>
                <w:szCs w:val="20"/>
              </w:rPr>
              <w:t>.</w:t>
            </w:r>
          </w:p>
          <w:p w14:paraId="6F6EBC5F" w14:textId="1BC111CC"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Тополница - гр. Пазарджик 4400, ул. “Пловдивска” № 3</w:t>
            </w:r>
            <w:r w:rsidR="00B15896">
              <w:rPr>
                <w:rFonts w:ascii="Verdana" w:hAnsi="Verdana"/>
                <w:sz w:val="20"/>
                <w:szCs w:val="20"/>
              </w:rPr>
              <w:t>.</w:t>
            </w:r>
          </w:p>
          <w:p w14:paraId="063D88F1" w14:textId="2B682C9A"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Среден Дунав- гр. Плевен 5800, ул. “Дойран” № 136</w:t>
            </w:r>
            <w:r w:rsidR="00B15896">
              <w:rPr>
                <w:rFonts w:ascii="Verdana" w:hAnsi="Verdana"/>
                <w:sz w:val="20"/>
                <w:szCs w:val="20"/>
              </w:rPr>
              <w:t>.</w:t>
            </w:r>
          </w:p>
          <w:p w14:paraId="01BB45EB" w14:textId="5530252C"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Марица - гр. Пловдив 4000,район р-н Централен, бул. “Марица” № 122</w:t>
            </w:r>
            <w:r w:rsidR="00B15896">
              <w:rPr>
                <w:rFonts w:ascii="Verdana" w:hAnsi="Verdana"/>
                <w:sz w:val="20"/>
                <w:szCs w:val="20"/>
              </w:rPr>
              <w:t>.</w:t>
            </w:r>
          </w:p>
          <w:p w14:paraId="0875FCF9" w14:textId="20EB067C"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Долен Дунав, - гр. Русе 7012,ул. “Борисова” № 52, ет. 1</w:t>
            </w:r>
            <w:r w:rsidR="00B15896">
              <w:rPr>
                <w:rFonts w:ascii="Verdana" w:hAnsi="Verdana"/>
                <w:sz w:val="20"/>
                <w:szCs w:val="20"/>
              </w:rPr>
              <w:t>.</w:t>
            </w:r>
          </w:p>
          <w:p w14:paraId="3176A391" w14:textId="1D61E2BA"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Средна Тунджа, - гр. Сливен 8800, ул. “Д. Пехливанов” № 10</w:t>
            </w:r>
            <w:r w:rsidR="00B15896">
              <w:rPr>
                <w:rFonts w:ascii="Verdana" w:hAnsi="Verdana"/>
                <w:sz w:val="20"/>
                <w:szCs w:val="20"/>
              </w:rPr>
              <w:t>.</w:t>
            </w:r>
          </w:p>
          <w:p w14:paraId="2F6DCA9C" w14:textId="04697852"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София, гр. София, - гр. Елин Пелин 2100, пл. “Независимост” № 18</w:t>
            </w:r>
            <w:r w:rsidR="00B15896">
              <w:rPr>
                <w:rFonts w:ascii="Verdana" w:hAnsi="Verdana"/>
                <w:sz w:val="20"/>
                <w:szCs w:val="20"/>
              </w:rPr>
              <w:t>.</w:t>
            </w:r>
          </w:p>
          <w:p w14:paraId="22027E34" w14:textId="4732155B"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Горна Тунджа - гр. Стара Загора 6000, бул. Митрополит МетодииКусев № 2</w:t>
            </w:r>
            <w:r w:rsidR="00B15896">
              <w:rPr>
                <w:rFonts w:ascii="Verdana" w:hAnsi="Verdana"/>
                <w:sz w:val="20"/>
                <w:szCs w:val="20"/>
              </w:rPr>
              <w:t>.</w:t>
            </w:r>
          </w:p>
          <w:p w14:paraId="54B06393" w14:textId="00F3F434"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 xml:space="preserve">Клон Струма-Места - гр. Дупница 2600, ул. “Св. Ив. </w:t>
            </w:r>
            <w:r w:rsidRPr="00BC2E43">
              <w:rPr>
                <w:rFonts w:ascii="Verdana" w:hAnsi="Verdana"/>
                <w:sz w:val="20"/>
                <w:szCs w:val="20"/>
              </w:rPr>
              <w:lastRenderedPageBreak/>
              <w:t>Рилски” № 20</w:t>
            </w:r>
            <w:r w:rsidR="00B15896">
              <w:rPr>
                <w:rFonts w:ascii="Verdana" w:hAnsi="Verdana"/>
                <w:sz w:val="20"/>
                <w:szCs w:val="20"/>
              </w:rPr>
              <w:t>.</w:t>
            </w:r>
          </w:p>
          <w:p w14:paraId="0DE8D5F6" w14:textId="0F1D1C8F"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Мизия – гр. Враца 3000, бул. „Христо Ботев“ № 178</w:t>
            </w:r>
            <w:r w:rsidR="00B15896">
              <w:rPr>
                <w:rFonts w:ascii="Verdana" w:hAnsi="Verdana"/>
                <w:sz w:val="20"/>
                <w:szCs w:val="20"/>
              </w:rPr>
              <w:t>.</w:t>
            </w:r>
          </w:p>
          <w:p w14:paraId="3864E82E" w14:textId="7361E2A8"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Видин – гр. Видин 3700, ул. „Цар Александър“ 13</w:t>
            </w:r>
            <w:r w:rsidR="00B15896">
              <w:rPr>
                <w:rFonts w:ascii="Verdana" w:hAnsi="Verdana"/>
                <w:sz w:val="20"/>
                <w:szCs w:val="20"/>
              </w:rPr>
              <w:t>.</w:t>
            </w:r>
          </w:p>
          <w:p w14:paraId="122BEDD4" w14:textId="19262B23"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Хасково – гр. Хасково бул. „Раковски” № 1</w:t>
            </w:r>
            <w:r w:rsidR="00B15896">
              <w:rPr>
                <w:rFonts w:ascii="Verdana" w:hAnsi="Verdana"/>
                <w:sz w:val="20"/>
                <w:szCs w:val="20"/>
              </w:rPr>
              <w:t>.</w:t>
            </w:r>
          </w:p>
          <w:p w14:paraId="3A4F8B93" w14:textId="3A03AF31" w:rsidR="00BC2E43" w:rsidRPr="00BC2E43" w:rsidRDefault="00BC2E43" w:rsidP="00BC2E43">
            <w:pPr>
              <w:spacing w:before="60" w:after="20"/>
              <w:jc w:val="both"/>
              <w:rPr>
                <w:rFonts w:ascii="Verdana" w:hAnsi="Verdana"/>
                <w:sz w:val="20"/>
                <w:szCs w:val="20"/>
              </w:rPr>
            </w:pPr>
            <w:r w:rsidRPr="00BC2E43">
              <w:rPr>
                <w:rFonts w:ascii="Verdana" w:hAnsi="Verdana"/>
                <w:sz w:val="20"/>
                <w:szCs w:val="20"/>
              </w:rPr>
              <w:t>Клон Шумен – гр. Шумен ул. „Пета” № 1</w:t>
            </w:r>
            <w:r w:rsidR="00B15896">
              <w:rPr>
                <w:rFonts w:ascii="Verdana" w:hAnsi="Verdana"/>
                <w:sz w:val="20"/>
                <w:szCs w:val="20"/>
              </w:rPr>
              <w:t>.</w:t>
            </w:r>
          </w:p>
          <w:p w14:paraId="4F1E20D0" w14:textId="3DEFE580" w:rsidR="00E90B98" w:rsidRPr="009C5E05" w:rsidRDefault="00BC2E43" w:rsidP="00BC2E43">
            <w:pPr>
              <w:spacing w:before="60" w:after="20"/>
              <w:jc w:val="both"/>
              <w:rPr>
                <w:rFonts w:ascii="Verdana" w:hAnsi="Verdana"/>
                <w:sz w:val="20"/>
                <w:szCs w:val="20"/>
              </w:rPr>
            </w:pPr>
            <w:r w:rsidRPr="00BC2E43">
              <w:rPr>
                <w:rFonts w:ascii="Verdana" w:hAnsi="Verdana"/>
                <w:sz w:val="20"/>
                <w:szCs w:val="20"/>
              </w:rPr>
              <w:t>Клон Бургас – гр. Бургас ул. „Фердинандова” № 3</w:t>
            </w:r>
            <w:r w:rsidR="00B15896">
              <w:rPr>
                <w:rFonts w:ascii="Verdana" w:hAnsi="Verdana"/>
                <w:sz w:val="20"/>
                <w:szCs w:val="20"/>
              </w:rPr>
              <w:t>.</w:t>
            </w:r>
          </w:p>
        </w:tc>
        <w:tc>
          <w:tcPr>
            <w:tcW w:w="1629" w:type="dxa"/>
            <w:tcBorders>
              <w:top w:val="nil"/>
              <w:bottom w:val="nil"/>
            </w:tcBorders>
            <w:shd w:val="clear" w:color="auto" w:fill="auto"/>
          </w:tcPr>
          <w:p w14:paraId="51DDB489" w14:textId="4A402D8F" w:rsidR="00E90B98" w:rsidRPr="00606101" w:rsidRDefault="00E90B98" w:rsidP="00C135C1">
            <w:pPr>
              <w:spacing w:before="60" w:after="20"/>
              <w:rPr>
                <w:rFonts w:ascii="Verdana" w:hAnsi="Verdana"/>
                <w:color w:val="FF0000"/>
                <w:sz w:val="20"/>
                <w:szCs w:val="20"/>
              </w:rPr>
            </w:pPr>
          </w:p>
        </w:tc>
        <w:tc>
          <w:tcPr>
            <w:tcW w:w="4522" w:type="dxa"/>
            <w:tcBorders>
              <w:top w:val="nil"/>
              <w:bottom w:val="nil"/>
            </w:tcBorders>
            <w:shd w:val="clear" w:color="auto" w:fill="auto"/>
          </w:tcPr>
          <w:p w14:paraId="4163D7F7" w14:textId="77777777" w:rsidR="00E90B98" w:rsidRPr="004674B8" w:rsidRDefault="00E90B98" w:rsidP="00E86A7C">
            <w:pPr>
              <w:spacing w:before="60" w:after="20"/>
              <w:rPr>
                <w:rFonts w:ascii="Verdana" w:hAnsi="Verdana"/>
                <w:sz w:val="20"/>
                <w:szCs w:val="20"/>
              </w:rPr>
            </w:pPr>
          </w:p>
        </w:tc>
      </w:tr>
      <w:tr w:rsidR="00E90B98" w:rsidRPr="00F413E2" w14:paraId="506BD3BC" w14:textId="77777777" w:rsidTr="00DA41AF">
        <w:trPr>
          <w:jc w:val="center"/>
        </w:trPr>
        <w:tc>
          <w:tcPr>
            <w:tcW w:w="569" w:type="dxa"/>
            <w:tcBorders>
              <w:top w:val="nil"/>
              <w:bottom w:val="nil"/>
            </w:tcBorders>
            <w:shd w:val="clear" w:color="auto" w:fill="auto"/>
          </w:tcPr>
          <w:p w14:paraId="69725CE4" w14:textId="77777777" w:rsidR="00E90B98" w:rsidRPr="00483A6F" w:rsidRDefault="00E90B98"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63628D96" w14:textId="77777777" w:rsidR="00E90B98" w:rsidRDefault="00E90B98"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0EC25F71" w14:textId="77777777" w:rsidR="00074AA3" w:rsidRPr="00074AA3" w:rsidRDefault="00074AA3" w:rsidP="00074AA3">
            <w:pPr>
              <w:spacing w:before="60" w:after="20"/>
              <w:jc w:val="center"/>
              <w:rPr>
                <w:rFonts w:ascii="Verdana" w:hAnsi="Verdana"/>
                <w:b/>
                <w:sz w:val="20"/>
                <w:szCs w:val="20"/>
                <w:u w:val="single"/>
              </w:rPr>
            </w:pPr>
            <w:r w:rsidRPr="00074AA3">
              <w:rPr>
                <w:rFonts w:ascii="Verdana" w:hAnsi="Verdana"/>
                <w:b/>
                <w:sz w:val="20"/>
                <w:szCs w:val="20"/>
                <w:u w:val="single"/>
              </w:rPr>
              <w:t>Водоснабдителни системи.</w:t>
            </w:r>
          </w:p>
          <w:p w14:paraId="54570AB4" w14:textId="77777777"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„Агенция Мелиорации“ е В и К оператор по смисъла на чл. 2, ал. 3 от Закона за регулиране на водоснабдителните и канализационните услуги (ЗРВКУ) доколкото в предмета на дейност е включено и част от приходите на агенцията се формират от доставяне на вода за водоползватели с издадени от МОСВ или басейновите дирекции разрешителни - други В и К оператори, на които се доставя условно чиста вода за нуждите на питейно - битовото водоснабдяване.</w:t>
            </w:r>
          </w:p>
          <w:p w14:paraId="2A427CCD" w14:textId="77777777"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 xml:space="preserve">При предоставянето на услугата доставяне на вода на друг В и К оператор „Агенция Мелиорации“ са обособени 7 водоснабдителни системи, както следва: </w:t>
            </w:r>
          </w:p>
          <w:p w14:paraId="53BA7D0B" w14:textId="2DC86923"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Клон Струма-Места - области Перник, Кюстендил и Благоевград ВС В и К Дупница-Кюстендилска вода – доставяне на вода на „В и К – Дупница“ ЕООД, гр. Дупница и „Кюстенди</w:t>
            </w:r>
            <w:r w:rsidR="00901B11">
              <w:rPr>
                <w:rFonts w:ascii="Verdana" w:hAnsi="Verdana"/>
                <w:sz w:val="20"/>
                <w:szCs w:val="20"/>
              </w:rPr>
              <w:t>лска вода“ ЕООД, гр. Кюстендил;</w:t>
            </w:r>
          </w:p>
          <w:p w14:paraId="345BEE28" w14:textId="24D1E1FC"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Клон Тополница - област Пазарджик ВС В и К Белово – доставяне на вода на „В и</w:t>
            </w:r>
            <w:r w:rsidR="00901B11">
              <w:rPr>
                <w:rFonts w:ascii="Verdana" w:hAnsi="Verdana"/>
                <w:sz w:val="20"/>
                <w:szCs w:val="20"/>
              </w:rPr>
              <w:t xml:space="preserve"> К – Белово“ ЕООД, гр. Белово;</w:t>
            </w:r>
          </w:p>
          <w:p w14:paraId="45CC423B" w14:textId="03BCDC7B"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Клон Среден Дунав - области Плевен, Ловеч и Велико Търново ВС В и К Плевен – доставяне на во</w:t>
            </w:r>
            <w:r w:rsidR="00901B11">
              <w:rPr>
                <w:rFonts w:ascii="Verdana" w:hAnsi="Verdana"/>
                <w:sz w:val="20"/>
                <w:szCs w:val="20"/>
              </w:rPr>
              <w:t>да на „В и К“ ЕООД, гр. Плевен;</w:t>
            </w:r>
          </w:p>
          <w:p w14:paraId="4815B922" w14:textId="307B92AA"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ВС В и К Йовковци - доставяне на вода на „В и К Йовковци“ ООД, гр. Велико Търно</w:t>
            </w:r>
            <w:r w:rsidR="00901B11">
              <w:rPr>
                <w:rFonts w:ascii="Verdana" w:hAnsi="Verdana"/>
                <w:sz w:val="20"/>
                <w:szCs w:val="20"/>
              </w:rPr>
              <w:t>во;</w:t>
            </w:r>
          </w:p>
          <w:p w14:paraId="046C362E" w14:textId="1EDB6145"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 xml:space="preserve">Клон Долен Дунав - области Русе, Търговище, Разград и </w:t>
            </w:r>
            <w:r w:rsidRPr="00074AA3">
              <w:rPr>
                <w:rFonts w:ascii="Verdana" w:hAnsi="Verdana"/>
                <w:sz w:val="20"/>
                <w:szCs w:val="20"/>
              </w:rPr>
              <w:lastRenderedPageBreak/>
              <w:t>Силистра ВС Долен Дунав – доставяне на вода на „Туз</w:t>
            </w:r>
            <w:r w:rsidR="00901B11">
              <w:rPr>
                <w:rFonts w:ascii="Verdana" w:hAnsi="Verdana"/>
                <w:sz w:val="20"/>
                <w:szCs w:val="20"/>
              </w:rPr>
              <w:t>лушка гора“ ЕООД, гр. Антоново;</w:t>
            </w:r>
          </w:p>
          <w:p w14:paraId="46673A9B" w14:textId="20DF7B28"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Клон София - област София ВС Източно Софийско поле – доставяне на вода на</w:t>
            </w:r>
            <w:r w:rsidR="00901B11">
              <w:rPr>
                <w:rFonts w:ascii="Verdana" w:hAnsi="Verdana"/>
                <w:sz w:val="20"/>
                <w:szCs w:val="20"/>
              </w:rPr>
              <w:t xml:space="preserve"> „Софийска вода“ АД, гр. София;</w:t>
            </w:r>
          </w:p>
          <w:p w14:paraId="0140397C" w14:textId="77777777"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ВС В и К Бебреш - доставяне на вода на „В и К - Бебреш“ ЕООД, гр. Ботевград;</w:t>
            </w:r>
          </w:p>
          <w:p w14:paraId="17E9F01D" w14:textId="7ACFFD5B" w:rsidR="00074AA3" w:rsidRPr="00074AA3" w:rsidRDefault="00074AA3" w:rsidP="00074AA3">
            <w:pPr>
              <w:spacing w:before="60" w:after="20"/>
              <w:jc w:val="both"/>
              <w:rPr>
                <w:rFonts w:ascii="Verdana" w:hAnsi="Verdana"/>
                <w:sz w:val="20"/>
                <w:szCs w:val="20"/>
              </w:rPr>
            </w:pPr>
            <w:r w:rsidRPr="00074AA3">
              <w:rPr>
                <w:rFonts w:ascii="Verdana" w:hAnsi="Verdana"/>
                <w:sz w:val="20"/>
                <w:szCs w:val="20"/>
              </w:rPr>
              <w:t>Клон Черно Море - области Варна, Добрич и Бургас ВС В и К Добрич – доставяне на во</w:t>
            </w:r>
            <w:r w:rsidR="00901B11">
              <w:rPr>
                <w:rFonts w:ascii="Verdana" w:hAnsi="Verdana"/>
                <w:sz w:val="20"/>
                <w:szCs w:val="20"/>
              </w:rPr>
              <w:t>да на „В и К“ ЕООД, гр. Добрич;</w:t>
            </w:r>
          </w:p>
          <w:p w14:paraId="56DEAFDF" w14:textId="5737C858" w:rsidR="00E90B98" w:rsidRPr="009C5E05" w:rsidRDefault="00074AA3" w:rsidP="00074AA3">
            <w:pPr>
              <w:spacing w:before="60" w:after="20"/>
              <w:jc w:val="both"/>
              <w:rPr>
                <w:rFonts w:ascii="Verdana" w:hAnsi="Verdana"/>
                <w:sz w:val="20"/>
                <w:szCs w:val="20"/>
              </w:rPr>
            </w:pPr>
            <w:r w:rsidRPr="00074AA3">
              <w:rPr>
                <w:rFonts w:ascii="Verdana" w:hAnsi="Verdana"/>
                <w:sz w:val="20"/>
                <w:szCs w:val="20"/>
              </w:rPr>
              <w:t>Клон Шумен ВС В и К Шумен-Търговище – доставяне на вода на „В и К – Шумен“ ООД, гр. Шумен и „В и К“ ООД, гр. Търговище</w:t>
            </w:r>
            <w:r w:rsidR="00B15896">
              <w:rPr>
                <w:rFonts w:ascii="Verdana" w:hAnsi="Verdana"/>
                <w:sz w:val="20"/>
                <w:szCs w:val="20"/>
              </w:rPr>
              <w:t>.</w:t>
            </w:r>
          </w:p>
        </w:tc>
        <w:tc>
          <w:tcPr>
            <w:tcW w:w="1629" w:type="dxa"/>
            <w:tcBorders>
              <w:top w:val="nil"/>
              <w:bottom w:val="nil"/>
            </w:tcBorders>
            <w:shd w:val="clear" w:color="auto" w:fill="auto"/>
          </w:tcPr>
          <w:p w14:paraId="380DEBEF" w14:textId="0F81A0CE" w:rsidR="00E90B98" w:rsidRPr="00606101" w:rsidRDefault="00E90B98" w:rsidP="00C135C1">
            <w:pPr>
              <w:spacing w:before="60" w:after="20"/>
              <w:rPr>
                <w:rFonts w:ascii="Verdana" w:hAnsi="Verdana"/>
                <w:color w:val="FF0000"/>
                <w:sz w:val="20"/>
                <w:szCs w:val="20"/>
              </w:rPr>
            </w:pPr>
          </w:p>
        </w:tc>
        <w:tc>
          <w:tcPr>
            <w:tcW w:w="4522" w:type="dxa"/>
            <w:tcBorders>
              <w:top w:val="nil"/>
              <w:bottom w:val="nil"/>
            </w:tcBorders>
            <w:shd w:val="clear" w:color="auto" w:fill="auto"/>
          </w:tcPr>
          <w:p w14:paraId="0920F536" w14:textId="77777777" w:rsidR="00E90B98" w:rsidRPr="004674B8" w:rsidRDefault="00E90B98" w:rsidP="00E86A7C">
            <w:pPr>
              <w:spacing w:before="60" w:after="20"/>
              <w:rPr>
                <w:rFonts w:ascii="Verdana" w:hAnsi="Verdana"/>
                <w:sz w:val="20"/>
                <w:szCs w:val="20"/>
              </w:rPr>
            </w:pPr>
          </w:p>
        </w:tc>
      </w:tr>
      <w:tr w:rsidR="00C135C1" w:rsidRPr="00F413E2" w14:paraId="02A207E3" w14:textId="77777777" w:rsidTr="00DA41AF">
        <w:trPr>
          <w:jc w:val="center"/>
        </w:trPr>
        <w:tc>
          <w:tcPr>
            <w:tcW w:w="569" w:type="dxa"/>
            <w:tcBorders>
              <w:top w:val="nil"/>
              <w:bottom w:val="nil"/>
            </w:tcBorders>
            <w:shd w:val="clear" w:color="auto" w:fill="auto"/>
          </w:tcPr>
          <w:p w14:paraId="594566C7" w14:textId="77777777" w:rsidR="00C135C1" w:rsidRPr="00483A6F" w:rsidRDefault="00C135C1"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5684CF56" w14:textId="77777777" w:rsidR="00C135C1" w:rsidRDefault="00C135C1"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16725CD5" w14:textId="15A73DA3" w:rsidR="00E07DBE" w:rsidRPr="00E07DBE" w:rsidRDefault="00E07DBE" w:rsidP="00E07DBE">
            <w:pPr>
              <w:spacing w:before="60" w:after="20"/>
              <w:jc w:val="center"/>
              <w:rPr>
                <w:rFonts w:ascii="Verdana" w:hAnsi="Verdana"/>
                <w:b/>
                <w:sz w:val="20"/>
                <w:szCs w:val="20"/>
                <w:u w:val="single"/>
              </w:rPr>
            </w:pPr>
            <w:r w:rsidRPr="00E07DBE">
              <w:rPr>
                <w:rFonts w:ascii="Verdana" w:hAnsi="Verdana"/>
                <w:b/>
                <w:sz w:val="20"/>
                <w:szCs w:val="20"/>
                <w:u w:val="single"/>
              </w:rPr>
              <w:t>План за финансиране на „Агенция Мелиорации“.</w:t>
            </w:r>
          </w:p>
          <w:p w14:paraId="4A4593F9" w14:textId="77777777" w:rsidR="00E07DBE" w:rsidRPr="00E07DBE" w:rsidRDefault="00E07DBE" w:rsidP="00E07DBE">
            <w:pPr>
              <w:spacing w:before="60" w:after="20"/>
              <w:jc w:val="both"/>
              <w:rPr>
                <w:rFonts w:ascii="Verdana" w:hAnsi="Verdana"/>
                <w:sz w:val="20"/>
                <w:szCs w:val="20"/>
              </w:rPr>
            </w:pPr>
            <w:r w:rsidRPr="00E07DBE">
              <w:rPr>
                <w:rFonts w:ascii="Verdana" w:hAnsi="Verdana"/>
                <w:sz w:val="20"/>
                <w:szCs w:val="20"/>
              </w:rPr>
              <w:t>„Агенция Мелиорации“ ще се финансира след приемане на Закона за хидромелиорациите по следните направления:</w:t>
            </w:r>
          </w:p>
          <w:p w14:paraId="4B0DD2C3" w14:textId="6E53FF99" w:rsidR="00E07DBE" w:rsidRPr="00E07DBE" w:rsidRDefault="001948C6" w:rsidP="00E07DBE">
            <w:pPr>
              <w:spacing w:before="60" w:after="20"/>
              <w:jc w:val="both"/>
              <w:rPr>
                <w:rFonts w:ascii="Verdana" w:hAnsi="Verdana"/>
                <w:sz w:val="20"/>
                <w:szCs w:val="20"/>
              </w:rPr>
            </w:pPr>
            <w:r>
              <w:rPr>
                <w:rFonts w:ascii="Verdana" w:hAnsi="Verdana"/>
                <w:sz w:val="20"/>
                <w:szCs w:val="20"/>
              </w:rPr>
              <w:t>1. Фонд „Мелиорации“</w:t>
            </w:r>
            <w:r w:rsidR="00E07DBE" w:rsidRPr="00E07DBE">
              <w:rPr>
                <w:rFonts w:ascii="Verdana" w:hAnsi="Verdana"/>
                <w:sz w:val="20"/>
                <w:szCs w:val="20"/>
              </w:rPr>
              <w:t xml:space="preserve"> 5 – 7 % от общите земеделски субсидии.</w:t>
            </w:r>
          </w:p>
          <w:p w14:paraId="6C5B606C" w14:textId="59C8B1D7" w:rsidR="00E07DBE" w:rsidRPr="00E07DBE" w:rsidRDefault="001948C6" w:rsidP="00E07DBE">
            <w:pPr>
              <w:spacing w:before="60" w:after="20"/>
              <w:jc w:val="both"/>
              <w:rPr>
                <w:rFonts w:ascii="Verdana" w:hAnsi="Verdana"/>
                <w:sz w:val="20"/>
                <w:szCs w:val="20"/>
              </w:rPr>
            </w:pPr>
            <w:r>
              <w:rPr>
                <w:rFonts w:ascii="Verdana" w:hAnsi="Verdana"/>
                <w:sz w:val="20"/>
                <w:szCs w:val="20"/>
              </w:rPr>
              <w:t xml:space="preserve">2. </w:t>
            </w:r>
            <w:r w:rsidR="00E07DBE" w:rsidRPr="00E07DBE">
              <w:rPr>
                <w:rFonts w:ascii="Verdana" w:hAnsi="Verdana"/>
                <w:sz w:val="20"/>
                <w:szCs w:val="20"/>
              </w:rPr>
              <w:t>Европейски земеделски фонд за развитие на селските райони.</w:t>
            </w:r>
          </w:p>
          <w:p w14:paraId="088F0A6C" w14:textId="53EC9EC7" w:rsidR="00E07DBE" w:rsidRPr="00E07DBE" w:rsidRDefault="001948C6" w:rsidP="00E07DBE">
            <w:pPr>
              <w:spacing w:before="60" w:after="20"/>
              <w:jc w:val="both"/>
              <w:rPr>
                <w:rFonts w:ascii="Verdana" w:hAnsi="Verdana"/>
                <w:sz w:val="20"/>
                <w:szCs w:val="20"/>
              </w:rPr>
            </w:pPr>
            <w:r>
              <w:rPr>
                <w:rFonts w:ascii="Verdana" w:hAnsi="Verdana"/>
                <w:sz w:val="20"/>
                <w:szCs w:val="20"/>
              </w:rPr>
              <w:t xml:space="preserve">3. </w:t>
            </w:r>
            <w:r w:rsidR="00E07DBE" w:rsidRPr="00E07DBE">
              <w:rPr>
                <w:rFonts w:ascii="Verdana" w:hAnsi="Verdana"/>
                <w:sz w:val="20"/>
                <w:szCs w:val="20"/>
              </w:rPr>
              <w:t>Програма за развитие на селските райони.</w:t>
            </w:r>
          </w:p>
          <w:p w14:paraId="728F7605" w14:textId="56A40B22" w:rsidR="00E07DBE" w:rsidRPr="00E07DBE" w:rsidRDefault="001948C6" w:rsidP="00E07DBE">
            <w:pPr>
              <w:spacing w:before="60" w:after="20"/>
              <w:jc w:val="both"/>
              <w:rPr>
                <w:rFonts w:ascii="Verdana" w:hAnsi="Verdana"/>
                <w:sz w:val="20"/>
                <w:szCs w:val="20"/>
              </w:rPr>
            </w:pPr>
            <w:r>
              <w:rPr>
                <w:rFonts w:ascii="Verdana" w:hAnsi="Verdana"/>
                <w:sz w:val="20"/>
                <w:szCs w:val="20"/>
              </w:rPr>
              <w:t xml:space="preserve">4. </w:t>
            </w:r>
            <w:r w:rsidR="00E07DBE" w:rsidRPr="00E07DBE">
              <w:rPr>
                <w:rFonts w:ascii="Verdana" w:hAnsi="Verdana"/>
                <w:sz w:val="20"/>
                <w:szCs w:val="20"/>
              </w:rPr>
              <w:t>Самофинансиране.</w:t>
            </w:r>
          </w:p>
          <w:p w14:paraId="04AFA524" w14:textId="77777777" w:rsidR="00E07DBE" w:rsidRPr="00E07DBE" w:rsidRDefault="00E07DBE" w:rsidP="00E07DBE">
            <w:pPr>
              <w:spacing w:before="60" w:after="20"/>
              <w:jc w:val="both"/>
              <w:rPr>
                <w:rFonts w:ascii="Verdana" w:hAnsi="Verdana"/>
                <w:sz w:val="20"/>
                <w:szCs w:val="20"/>
              </w:rPr>
            </w:pPr>
            <w:r w:rsidRPr="00E07DBE">
              <w:rPr>
                <w:rFonts w:ascii="Verdana" w:hAnsi="Verdana"/>
                <w:sz w:val="20"/>
                <w:szCs w:val="20"/>
              </w:rPr>
              <w:t xml:space="preserve">Обезщетение за услуги свързани с ЗВВВ. Услуги за защита от вредното въздействие на водите (ЗВВВ) ще продължат да бъдат предоставяни под формата на публична услуга от общ икономически интерес. Предоставящите такива услуги субекти ще бъдат обезщетявани въз основа на общи условия, постановени със заповед на Министерски съвет. Съответно, размерът на обезщетението за съответната година следва да покрива нетните разходи на доставчика на услугата за предоставянето на обществената услуга, размера на направените инвестиции и марж на печалба до пет </w:t>
            </w:r>
            <w:r w:rsidRPr="00E07DBE">
              <w:rPr>
                <w:rFonts w:ascii="Verdana" w:hAnsi="Verdana"/>
                <w:sz w:val="20"/>
                <w:szCs w:val="20"/>
              </w:rPr>
              <w:lastRenderedPageBreak/>
              <w:t>процента от нетните разходи. Максималният годишен размер на обезщетение, което следва да се преведе на Агенция „Мелиорации“, е фиксиран на 15 мил. евро.</w:t>
            </w:r>
          </w:p>
          <w:p w14:paraId="615F0B5A" w14:textId="77777777" w:rsidR="00E07DBE" w:rsidRPr="00E07DBE" w:rsidRDefault="00E07DBE" w:rsidP="00E07DBE">
            <w:pPr>
              <w:spacing w:before="60" w:after="20"/>
              <w:jc w:val="both"/>
              <w:rPr>
                <w:rFonts w:ascii="Verdana" w:hAnsi="Verdana"/>
                <w:sz w:val="20"/>
                <w:szCs w:val="20"/>
              </w:rPr>
            </w:pPr>
            <w:r w:rsidRPr="00E07DBE">
              <w:rPr>
                <w:rFonts w:ascii="Verdana" w:hAnsi="Verdana"/>
                <w:sz w:val="20"/>
                <w:szCs w:val="20"/>
              </w:rPr>
              <w:t xml:space="preserve">Финансови източници на ЕС ще играят важна роля в бъдещите мерки за ефективно предотвратяване, защита от вредното въздействие на водите. Понастоящем ЕС разполага с различни структурни фондове на европейско ниво, които предоставят на държавитечленки алтернатива на националните фондове: </w:t>
            </w:r>
          </w:p>
          <w:p w14:paraId="16435B28" w14:textId="77777777" w:rsidR="00E07DBE" w:rsidRPr="00E07DBE" w:rsidRDefault="00E07DBE" w:rsidP="00E07DBE">
            <w:pPr>
              <w:spacing w:before="60" w:after="20"/>
              <w:jc w:val="both"/>
              <w:rPr>
                <w:rFonts w:ascii="Verdana" w:hAnsi="Verdana"/>
                <w:sz w:val="20"/>
                <w:szCs w:val="20"/>
              </w:rPr>
            </w:pPr>
            <w:r w:rsidRPr="00E07DBE">
              <w:rPr>
                <w:rFonts w:ascii="Verdana" w:hAnsi="Verdana"/>
                <w:sz w:val="20"/>
                <w:szCs w:val="20"/>
              </w:rPr>
              <w:t xml:space="preserve">1. Европейският фонд за ориентиране и гарантиране на земеделието (ЕФОГЗ) подкрепя политиката за икономическо и социално сближаване, развитието на селските райони и подобряване на земеделската структура; </w:t>
            </w:r>
          </w:p>
          <w:p w14:paraId="4012F76D" w14:textId="310CD0BE" w:rsidR="00C135C1" w:rsidRPr="001A1452" w:rsidRDefault="00E07DBE" w:rsidP="00E07DBE">
            <w:pPr>
              <w:spacing w:before="60" w:after="20"/>
              <w:jc w:val="both"/>
              <w:rPr>
                <w:rFonts w:ascii="Verdana" w:hAnsi="Verdana"/>
                <w:sz w:val="20"/>
                <w:szCs w:val="20"/>
              </w:rPr>
            </w:pPr>
            <w:r w:rsidRPr="00E07DBE">
              <w:rPr>
                <w:rFonts w:ascii="Verdana" w:hAnsi="Verdana"/>
                <w:sz w:val="20"/>
                <w:szCs w:val="20"/>
              </w:rPr>
              <w:t>2. Фонд "Солидарност" на Европейския съюз (ФСЕС) е създаден през 2002 г. и предоставя бърза финансова помощ в случай на големи бедствия, в това число наводнения.</w:t>
            </w:r>
          </w:p>
        </w:tc>
        <w:tc>
          <w:tcPr>
            <w:tcW w:w="1629" w:type="dxa"/>
            <w:tcBorders>
              <w:top w:val="nil"/>
              <w:bottom w:val="nil"/>
            </w:tcBorders>
            <w:shd w:val="clear" w:color="auto" w:fill="auto"/>
          </w:tcPr>
          <w:p w14:paraId="32AADAA1" w14:textId="38FA1945" w:rsidR="00C135C1" w:rsidRPr="00C135C1" w:rsidRDefault="00C135C1" w:rsidP="00DD0B05">
            <w:pPr>
              <w:spacing w:before="60" w:after="20"/>
              <w:rPr>
                <w:rFonts w:ascii="Verdana" w:hAnsi="Verdana"/>
                <w:color w:val="FF0000"/>
                <w:sz w:val="20"/>
                <w:szCs w:val="20"/>
              </w:rPr>
            </w:pPr>
          </w:p>
        </w:tc>
        <w:tc>
          <w:tcPr>
            <w:tcW w:w="4522" w:type="dxa"/>
            <w:tcBorders>
              <w:top w:val="nil"/>
              <w:bottom w:val="nil"/>
            </w:tcBorders>
            <w:shd w:val="clear" w:color="auto" w:fill="auto"/>
          </w:tcPr>
          <w:p w14:paraId="5F9217A5" w14:textId="77777777" w:rsidR="00C135C1" w:rsidRPr="004674B8" w:rsidRDefault="00C135C1" w:rsidP="00E86A7C">
            <w:pPr>
              <w:spacing w:before="60" w:after="20"/>
              <w:rPr>
                <w:rFonts w:ascii="Verdana" w:hAnsi="Verdana"/>
                <w:sz w:val="20"/>
                <w:szCs w:val="20"/>
              </w:rPr>
            </w:pPr>
          </w:p>
        </w:tc>
      </w:tr>
      <w:tr w:rsidR="00DD0B05" w:rsidRPr="00F413E2" w14:paraId="5073ABB5" w14:textId="77777777" w:rsidTr="00DA41AF">
        <w:trPr>
          <w:jc w:val="center"/>
        </w:trPr>
        <w:tc>
          <w:tcPr>
            <w:tcW w:w="569" w:type="dxa"/>
            <w:tcBorders>
              <w:top w:val="nil"/>
              <w:bottom w:val="nil"/>
            </w:tcBorders>
            <w:shd w:val="clear" w:color="auto" w:fill="auto"/>
          </w:tcPr>
          <w:p w14:paraId="505B044A" w14:textId="77777777" w:rsidR="00DD0B05" w:rsidRPr="00483A6F" w:rsidRDefault="00DD0B05"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4EC0682B" w14:textId="77777777" w:rsidR="00DD0B05" w:rsidRDefault="00DD0B05"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3CAA3675" w14:textId="1BD64CB3" w:rsidR="00430CA1" w:rsidRDefault="00430CA1" w:rsidP="00430CA1">
            <w:pPr>
              <w:spacing w:before="60" w:after="20"/>
              <w:jc w:val="both"/>
              <w:rPr>
                <w:rFonts w:ascii="Verdana" w:hAnsi="Verdana"/>
                <w:b/>
                <w:sz w:val="20"/>
                <w:szCs w:val="20"/>
              </w:rPr>
            </w:pPr>
            <w:r w:rsidRPr="00430CA1">
              <w:rPr>
                <w:rFonts w:ascii="Verdana" w:hAnsi="Verdana"/>
                <w:b/>
                <w:sz w:val="20"/>
                <w:szCs w:val="20"/>
              </w:rPr>
              <w:t>Схема - движение на парични потоци.</w:t>
            </w:r>
          </w:p>
          <w:p w14:paraId="4536D7EC" w14:textId="4A9C31C2" w:rsidR="00430CA1" w:rsidRDefault="00311131" w:rsidP="00430CA1">
            <w:pPr>
              <w:spacing w:before="60" w:after="20"/>
              <w:jc w:val="both"/>
              <w:rPr>
                <w:rFonts w:ascii="Verdana" w:hAnsi="Verdana"/>
                <w:b/>
                <w:sz w:val="20"/>
                <w:szCs w:val="20"/>
              </w:rPr>
            </w:pPr>
            <w:r w:rsidRPr="00311131">
              <w:rPr>
                <w:rFonts w:ascii="Verdana" w:hAnsi="Verdana"/>
                <w:b/>
                <w:noProof/>
                <w:sz w:val="20"/>
                <w:szCs w:val="20"/>
                <w:lang w:val="en-US" w:eastAsia="en-US"/>
              </w:rPr>
              <w:drawing>
                <wp:anchor distT="0" distB="0" distL="114300" distR="114300" simplePos="0" relativeHeight="251658240" behindDoc="1" locked="0" layoutInCell="1" allowOverlap="1" wp14:anchorId="55771C27" wp14:editId="43D33ED4">
                  <wp:simplePos x="0" y="0"/>
                  <wp:positionH relativeFrom="column">
                    <wp:posOffset>265927</wp:posOffset>
                  </wp:positionH>
                  <wp:positionV relativeFrom="paragraph">
                    <wp:posOffset>112395</wp:posOffset>
                  </wp:positionV>
                  <wp:extent cx="3360965" cy="2115047"/>
                  <wp:effectExtent l="0" t="0" r="0" b="0"/>
                  <wp:wrapTight wrapText="bothSides">
                    <wp:wrapPolygon edited="0">
                      <wp:start x="0" y="0"/>
                      <wp:lineTo x="0" y="778"/>
                      <wp:lineTo x="10408" y="3308"/>
                      <wp:lineTo x="8571" y="5449"/>
                      <wp:lineTo x="8571" y="6227"/>
                      <wp:lineTo x="10408" y="6422"/>
                      <wp:lineTo x="8694" y="9146"/>
                      <wp:lineTo x="0" y="10314"/>
                      <wp:lineTo x="0" y="11092"/>
                      <wp:lineTo x="612" y="12649"/>
                      <wp:lineTo x="5020" y="21016"/>
                      <wp:lineTo x="15306" y="21016"/>
                      <wp:lineTo x="15918" y="20627"/>
                      <wp:lineTo x="16163" y="19849"/>
                      <wp:lineTo x="15918" y="18876"/>
                      <wp:lineTo x="17020" y="15762"/>
                      <wp:lineTo x="17510" y="15762"/>
                      <wp:lineTo x="18367" y="13622"/>
                      <wp:lineTo x="18245" y="12649"/>
                      <wp:lineTo x="21429" y="10897"/>
                      <wp:lineTo x="21429" y="10314"/>
                      <wp:lineTo x="9429" y="9535"/>
                      <wp:lineTo x="10776" y="6422"/>
                      <wp:lineTo x="12857" y="6032"/>
                      <wp:lineTo x="12857" y="5449"/>
                      <wp:lineTo x="10898" y="3308"/>
                      <wp:lineTo x="15184" y="2335"/>
                      <wp:lineTo x="14694" y="389"/>
                      <wp:lineTo x="36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0965" cy="2115047"/>
                          </a:xfrm>
                          <a:prstGeom prst="rect">
                            <a:avLst/>
                          </a:prstGeom>
                        </pic:spPr>
                      </pic:pic>
                    </a:graphicData>
                  </a:graphic>
                </wp:anchor>
              </w:drawing>
            </w:r>
          </w:p>
          <w:p w14:paraId="009F5889" w14:textId="67FF5CE8" w:rsidR="00311131" w:rsidRDefault="00311131" w:rsidP="00430CA1">
            <w:pPr>
              <w:spacing w:before="60" w:after="20"/>
              <w:jc w:val="both"/>
              <w:rPr>
                <w:rFonts w:ascii="Verdana" w:hAnsi="Verdana"/>
                <w:b/>
                <w:sz w:val="20"/>
                <w:szCs w:val="20"/>
              </w:rPr>
            </w:pPr>
          </w:p>
          <w:p w14:paraId="12318226" w14:textId="0E111BC2" w:rsidR="00311131" w:rsidRDefault="00311131" w:rsidP="00430CA1">
            <w:pPr>
              <w:spacing w:before="60" w:after="20"/>
              <w:jc w:val="both"/>
              <w:rPr>
                <w:rFonts w:ascii="Verdana" w:hAnsi="Verdana"/>
                <w:b/>
                <w:sz w:val="20"/>
                <w:szCs w:val="20"/>
              </w:rPr>
            </w:pPr>
          </w:p>
          <w:p w14:paraId="4162A151" w14:textId="5E55AF2D" w:rsidR="00311131" w:rsidRDefault="00311131" w:rsidP="00430CA1">
            <w:pPr>
              <w:spacing w:before="60" w:after="20"/>
              <w:jc w:val="both"/>
              <w:rPr>
                <w:rFonts w:ascii="Verdana" w:hAnsi="Verdana"/>
                <w:b/>
                <w:sz w:val="20"/>
                <w:szCs w:val="20"/>
              </w:rPr>
            </w:pPr>
          </w:p>
          <w:p w14:paraId="182E3887" w14:textId="77777777" w:rsidR="00311131" w:rsidRPr="00901B11" w:rsidRDefault="00311131" w:rsidP="00430CA1">
            <w:pPr>
              <w:spacing w:before="60" w:after="20"/>
              <w:jc w:val="both"/>
              <w:rPr>
                <w:rFonts w:ascii="Verdana" w:hAnsi="Verdana"/>
                <w:b/>
                <w:sz w:val="20"/>
                <w:szCs w:val="20"/>
              </w:rPr>
            </w:pPr>
          </w:p>
          <w:p w14:paraId="6999C32E" w14:textId="202DA8BD" w:rsidR="00430CA1" w:rsidRPr="00901B11" w:rsidRDefault="00430CA1" w:rsidP="00D4710C">
            <w:pPr>
              <w:spacing w:before="60" w:after="20"/>
              <w:rPr>
                <w:rFonts w:ascii="Verdana" w:hAnsi="Verdana"/>
                <w:b/>
                <w:sz w:val="20"/>
                <w:szCs w:val="20"/>
              </w:rPr>
            </w:pPr>
          </w:p>
          <w:p w14:paraId="3312E277" w14:textId="2EDFAE23" w:rsidR="00430CA1" w:rsidRDefault="00430CA1" w:rsidP="00D4710C">
            <w:pPr>
              <w:spacing w:before="60" w:after="20"/>
              <w:rPr>
                <w:rFonts w:ascii="Verdana" w:hAnsi="Verdana"/>
                <w:b/>
                <w:sz w:val="20"/>
                <w:szCs w:val="20"/>
              </w:rPr>
            </w:pPr>
          </w:p>
          <w:p w14:paraId="562847F6" w14:textId="64281308" w:rsidR="00D4710C" w:rsidRDefault="00D4710C" w:rsidP="00D4710C">
            <w:pPr>
              <w:spacing w:before="60" w:after="20"/>
              <w:rPr>
                <w:rFonts w:ascii="Verdana" w:hAnsi="Verdana"/>
                <w:b/>
                <w:sz w:val="20"/>
                <w:szCs w:val="20"/>
              </w:rPr>
            </w:pPr>
          </w:p>
          <w:p w14:paraId="706F1935" w14:textId="06FEB81A" w:rsidR="00D4710C" w:rsidRDefault="00D4710C" w:rsidP="00D4710C">
            <w:pPr>
              <w:spacing w:before="60" w:after="20"/>
              <w:rPr>
                <w:rFonts w:ascii="Verdana" w:hAnsi="Verdana"/>
                <w:b/>
                <w:sz w:val="20"/>
                <w:szCs w:val="20"/>
              </w:rPr>
            </w:pPr>
          </w:p>
          <w:p w14:paraId="74E96827" w14:textId="2EE9BFD9" w:rsidR="00D4710C" w:rsidRDefault="00D4710C" w:rsidP="00D4710C">
            <w:pPr>
              <w:spacing w:before="60" w:after="20"/>
              <w:rPr>
                <w:rFonts w:ascii="Verdana" w:hAnsi="Verdana"/>
                <w:b/>
                <w:sz w:val="20"/>
                <w:szCs w:val="20"/>
              </w:rPr>
            </w:pPr>
          </w:p>
          <w:p w14:paraId="5871AD24" w14:textId="601070FD" w:rsidR="00D4710C" w:rsidRDefault="00D4710C" w:rsidP="00D4710C">
            <w:pPr>
              <w:spacing w:before="60" w:after="20"/>
              <w:rPr>
                <w:rFonts w:ascii="Verdana" w:hAnsi="Verdana"/>
                <w:b/>
                <w:sz w:val="20"/>
                <w:szCs w:val="20"/>
              </w:rPr>
            </w:pPr>
          </w:p>
          <w:p w14:paraId="71CB897A" w14:textId="77777777" w:rsidR="00D4710C" w:rsidRDefault="00D4710C" w:rsidP="00D4710C">
            <w:pPr>
              <w:spacing w:before="60" w:after="20"/>
              <w:rPr>
                <w:rFonts w:ascii="Verdana" w:hAnsi="Verdana"/>
                <w:b/>
                <w:sz w:val="20"/>
                <w:szCs w:val="20"/>
              </w:rPr>
            </w:pPr>
          </w:p>
          <w:p w14:paraId="1DF85BF1" w14:textId="20A701C9" w:rsidR="00430CA1" w:rsidRDefault="00430CA1" w:rsidP="00430CA1">
            <w:pPr>
              <w:spacing w:before="60" w:after="20"/>
              <w:jc w:val="both"/>
              <w:rPr>
                <w:rFonts w:ascii="Verdana" w:hAnsi="Verdana"/>
                <w:b/>
                <w:sz w:val="20"/>
                <w:szCs w:val="20"/>
              </w:rPr>
            </w:pPr>
            <w:r w:rsidRPr="00430CA1">
              <w:rPr>
                <w:rFonts w:ascii="Verdana" w:hAnsi="Verdana"/>
                <w:b/>
                <w:sz w:val="20"/>
                <w:szCs w:val="20"/>
              </w:rPr>
              <w:lastRenderedPageBreak/>
              <w:t>100 % субсидиране на поливна вода за земеделски производители – вода срещу продукция.</w:t>
            </w:r>
          </w:p>
          <w:p w14:paraId="466918EE" w14:textId="4E624535" w:rsidR="00DD0B05" w:rsidRDefault="00430CA1" w:rsidP="00430CA1">
            <w:pPr>
              <w:spacing w:before="60" w:after="20"/>
              <w:jc w:val="both"/>
              <w:rPr>
                <w:rFonts w:ascii="Verdana" w:hAnsi="Verdana"/>
                <w:sz w:val="20"/>
                <w:szCs w:val="20"/>
              </w:rPr>
            </w:pPr>
            <w:r w:rsidRPr="00430CA1">
              <w:rPr>
                <w:rFonts w:ascii="Verdana" w:hAnsi="Verdana"/>
                <w:sz w:val="20"/>
                <w:szCs w:val="20"/>
              </w:rPr>
              <w:t>Европейският фонд за ориентиране и гарантиране на земеделието (ЕФОГЗ), Фонд "Солидарност" на Европейския съюз (ФСЕС), Европейски земеделски фонд за развитие на селските райони (ЕЗФРСР), Програма за развитие на селските райони (ПРСР). Европейски средства (ЕС), Земеделски субсидии(ЗС). Защита от вредното въздействие на водите (ЗВВВ).</w:t>
            </w:r>
          </w:p>
        </w:tc>
        <w:tc>
          <w:tcPr>
            <w:tcW w:w="1629" w:type="dxa"/>
            <w:tcBorders>
              <w:top w:val="nil"/>
              <w:bottom w:val="nil"/>
            </w:tcBorders>
            <w:shd w:val="clear" w:color="auto" w:fill="auto"/>
          </w:tcPr>
          <w:p w14:paraId="48EE3E19" w14:textId="40A88623" w:rsidR="00DD0B05" w:rsidRPr="00245536" w:rsidRDefault="00DD0B05" w:rsidP="00DD0B05">
            <w:pPr>
              <w:spacing w:before="60" w:after="20"/>
              <w:rPr>
                <w:rFonts w:ascii="Verdana" w:hAnsi="Verdana"/>
                <w:color w:val="FF0000"/>
                <w:sz w:val="20"/>
                <w:szCs w:val="20"/>
              </w:rPr>
            </w:pPr>
          </w:p>
        </w:tc>
        <w:tc>
          <w:tcPr>
            <w:tcW w:w="4522" w:type="dxa"/>
            <w:tcBorders>
              <w:top w:val="nil"/>
              <w:bottom w:val="nil"/>
            </w:tcBorders>
            <w:shd w:val="clear" w:color="auto" w:fill="auto"/>
          </w:tcPr>
          <w:p w14:paraId="76D1248A" w14:textId="77777777" w:rsidR="00DD0B05" w:rsidRPr="004674B8" w:rsidRDefault="00DD0B05" w:rsidP="00E86A7C">
            <w:pPr>
              <w:spacing w:before="60" w:after="20"/>
              <w:rPr>
                <w:rFonts w:ascii="Verdana" w:hAnsi="Verdana"/>
                <w:sz w:val="20"/>
                <w:szCs w:val="20"/>
              </w:rPr>
            </w:pPr>
          </w:p>
        </w:tc>
      </w:tr>
      <w:tr w:rsidR="00245536" w:rsidRPr="00F413E2" w14:paraId="7D76492A" w14:textId="77777777" w:rsidTr="00DA41AF">
        <w:trPr>
          <w:jc w:val="center"/>
        </w:trPr>
        <w:tc>
          <w:tcPr>
            <w:tcW w:w="569" w:type="dxa"/>
            <w:tcBorders>
              <w:top w:val="nil"/>
              <w:bottom w:val="nil"/>
            </w:tcBorders>
            <w:shd w:val="clear" w:color="auto" w:fill="auto"/>
          </w:tcPr>
          <w:p w14:paraId="714FCF48" w14:textId="77777777" w:rsidR="00245536" w:rsidRPr="00483A6F" w:rsidRDefault="00245536"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1DCFE8AE" w14:textId="77777777" w:rsidR="00245536" w:rsidRDefault="00245536"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22F92E45" w14:textId="70EC9F1E" w:rsidR="00483244" w:rsidRPr="00D4710C" w:rsidRDefault="00483244" w:rsidP="00071CD7">
            <w:pPr>
              <w:spacing w:before="60" w:after="20"/>
              <w:jc w:val="center"/>
              <w:rPr>
                <w:rFonts w:ascii="Verdana" w:hAnsi="Verdana"/>
                <w:b/>
                <w:sz w:val="20"/>
                <w:szCs w:val="20"/>
              </w:rPr>
            </w:pPr>
            <w:r w:rsidRPr="00D4710C">
              <w:rPr>
                <w:rFonts w:ascii="Verdana" w:hAnsi="Verdana"/>
                <w:b/>
                <w:sz w:val="20"/>
                <w:szCs w:val="20"/>
              </w:rPr>
              <w:t>План за финансиране на стратегически инвестиции.</w:t>
            </w:r>
          </w:p>
          <w:p w14:paraId="1CE222CF" w14:textId="78F68AAB" w:rsidR="00483244" w:rsidRPr="00483244" w:rsidRDefault="00483244" w:rsidP="00483244">
            <w:pPr>
              <w:spacing w:before="60" w:after="20"/>
              <w:jc w:val="both"/>
              <w:rPr>
                <w:rFonts w:ascii="Verdana" w:hAnsi="Verdana"/>
                <w:sz w:val="20"/>
                <w:szCs w:val="20"/>
              </w:rPr>
            </w:pPr>
            <w:r w:rsidRPr="00483244">
              <w:rPr>
                <w:rFonts w:ascii="Verdana" w:hAnsi="Verdana"/>
                <w:sz w:val="20"/>
                <w:szCs w:val="20"/>
              </w:rPr>
              <w:t xml:space="preserve">В национален мащаб, капиталовите разходи за инвестиции в рехабилитация и модернизация на основната инфраструктура възлизат на над един милиард евро. Посочените средства са резултат на анализ и са препоръчителни (при необходимост от възстановяване на цялата инфасруктура), но не са задължителни. Последното следва от факта, че към момента не съществува интерес от страна на водопотребителите към всеки един от съществуващите елементи на действащата преди 1989 г. инфраструктура. В този смисъл рехабилитацията и модернизацията ще се изгражда там където съществува интерес, респективно където е необходимо, след обсъждане с БАК и БФС. От тук следва да се предположи, че средствата за възстановяването ще се очакват от Фонд „Мелиорации“ и от Европейските фондове. Капиталовите разходи за инвенстиции в рехабилитация и модернизация на основната инфраструктура нямат времово ограничение, те са аналитични и не са обвързани както с времевия дипазон на настоящата концепция така и с действащия програмен период 2021-2027 г. от ПРС. Основните инвестиционни нужди са набелязани в три основни </w:t>
            </w:r>
            <w:r w:rsidRPr="00483244">
              <w:rPr>
                <w:rFonts w:ascii="Verdana" w:hAnsi="Verdana"/>
                <w:sz w:val="20"/>
                <w:szCs w:val="20"/>
              </w:rPr>
              <w:lastRenderedPageBreak/>
              <w:t>категории напоителни системи:</w:t>
            </w:r>
          </w:p>
          <w:p w14:paraId="2A5E1A2B" w14:textId="67E2EF3A" w:rsidR="00483244" w:rsidRPr="00483244" w:rsidRDefault="00483244" w:rsidP="00483244">
            <w:pPr>
              <w:spacing w:before="60" w:after="20"/>
              <w:jc w:val="both"/>
              <w:rPr>
                <w:rFonts w:ascii="Verdana" w:hAnsi="Verdana"/>
                <w:sz w:val="20"/>
                <w:szCs w:val="20"/>
              </w:rPr>
            </w:pPr>
            <w:r w:rsidRPr="00483244">
              <w:rPr>
                <w:rFonts w:ascii="Verdana" w:hAnsi="Verdana"/>
                <w:sz w:val="20"/>
                <w:szCs w:val="20"/>
              </w:rPr>
              <w:t xml:space="preserve">Категория I: гравитачни напоителни системи, които отклоняват води от повърхностни водни тела посредством открити канали и доставят водата чрез транспортно-разпределителна мрежа (ТРМ) до водовземанията на напоителните полета (НП), които представляват вътрешноканалната напоителна мрежа; </w:t>
            </w:r>
          </w:p>
          <w:p w14:paraId="771EBB95" w14:textId="77777777" w:rsidR="00483244" w:rsidRPr="00483244" w:rsidRDefault="00483244" w:rsidP="00483244">
            <w:pPr>
              <w:spacing w:before="60" w:after="20"/>
              <w:jc w:val="both"/>
              <w:rPr>
                <w:rFonts w:ascii="Verdana" w:hAnsi="Verdana"/>
                <w:sz w:val="20"/>
                <w:szCs w:val="20"/>
              </w:rPr>
            </w:pPr>
            <w:r w:rsidRPr="00483244">
              <w:rPr>
                <w:rFonts w:ascii="Verdana" w:hAnsi="Verdana"/>
                <w:sz w:val="20"/>
                <w:szCs w:val="20"/>
              </w:rPr>
              <w:t xml:space="preserve">Категория II: напоителни системи с помпено захранване, които черпят вода от повърхностни водни тела и я повдигат на необходимата кота в открити канали (тип II); и </w:t>
            </w:r>
          </w:p>
          <w:p w14:paraId="710F4CC5" w14:textId="77777777" w:rsidR="00483244" w:rsidRPr="00483244" w:rsidRDefault="00483244" w:rsidP="00483244">
            <w:pPr>
              <w:spacing w:before="60" w:after="20"/>
              <w:jc w:val="both"/>
              <w:rPr>
                <w:rFonts w:ascii="Verdana" w:hAnsi="Verdana"/>
                <w:sz w:val="20"/>
                <w:szCs w:val="20"/>
              </w:rPr>
            </w:pPr>
            <w:r w:rsidRPr="00483244">
              <w:rPr>
                <w:rFonts w:ascii="Verdana" w:hAnsi="Verdana"/>
                <w:sz w:val="20"/>
                <w:szCs w:val="20"/>
              </w:rPr>
              <w:t xml:space="preserve">Категория III: напорни системи, обикновено са подсистеми на системите от категория I и II, които черпят вода от река или канал и я подават под налягане в тръбна водоразпределителна мрежа до напоителната система „в земеделските стопанства“. </w:t>
            </w:r>
          </w:p>
          <w:p w14:paraId="73011554" w14:textId="253D4E73" w:rsidR="00483244" w:rsidRPr="005B194F" w:rsidRDefault="00483244" w:rsidP="00483244">
            <w:pPr>
              <w:spacing w:before="60" w:after="20"/>
              <w:jc w:val="both"/>
              <w:rPr>
                <w:rFonts w:ascii="Verdana" w:hAnsi="Verdana"/>
                <w:spacing w:val="4"/>
                <w:sz w:val="20"/>
                <w:szCs w:val="20"/>
              </w:rPr>
            </w:pPr>
            <w:r w:rsidRPr="005B194F">
              <w:rPr>
                <w:rFonts w:ascii="Verdana" w:hAnsi="Verdana"/>
                <w:spacing w:val="4"/>
                <w:sz w:val="20"/>
                <w:szCs w:val="20"/>
              </w:rPr>
              <w:t>Предложените инженерни интервенции за възстановяване и модернизация на каналната мрежа представляват най-голямата инвестиция от близо 605 мил. евро, от които 411 мил. евро са необходими за категория I, а 187 мил. евро - за категория II. Общите разходи за възстановяване и модернизация на каналната мрежа включват следните елементи: облицовки на каналите;  съоръжения за поддържане на водното ниво (преливници с удължен преливан ръб);  монтаж на нови водовземания;  водомерни устройства (само за главните канали) и разходи за ремонт на други съоръжения като дюкери, тунели, мост-канали, водостоци, различни видове шахти, както и изпускатели. Инвестиционните разходи за язовирите са в две пера:  за комплексни и значими язовири (съгласно Закона за водите) и  за други язовири, включително за израв</w:t>
            </w:r>
            <w:r w:rsidR="005B194F" w:rsidRPr="005B194F">
              <w:rPr>
                <w:rFonts w:ascii="Verdana" w:hAnsi="Verdana"/>
                <w:spacing w:val="4"/>
                <w:sz w:val="20"/>
                <w:szCs w:val="20"/>
              </w:rPr>
              <w:t>нители, изградени като язовири.</w:t>
            </w:r>
          </w:p>
          <w:p w14:paraId="4C1E27DD" w14:textId="0F5DE26F" w:rsidR="00245536" w:rsidRDefault="00483244" w:rsidP="00483244">
            <w:pPr>
              <w:spacing w:before="60" w:after="20"/>
              <w:jc w:val="both"/>
              <w:rPr>
                <w:rFonts w:ascii="Verdana" w:hAnsi="Verdana"/>
                <w:sz w:val="20"/>
                <w:szCs w:val="20"/>
              </w:rPr>
            </w:pPr>
            <w:r w:rsidRPr="00483244">
              <w:rPr>
                <w:rFonts w:ascii="Verdana" w:hAnsi="Verdana"/>
                <w:sz w:val="20"/>
                <w:szCs w:val="20"/>
              </w:rPr>
              <w:t xml:space="preserve">Инвестициите в системи от категория II включват още и </w:t>
            </w:r>
            <w:r w:rsidRPr="00483244">
              <w:rPr>
                <w:rFonts w:ascii="Verdana" w:hAnsi="Verdana"/>
                <w:sz w:val="20"/>
                <w:szCs w:val="20"/>
              </w:rPr>
              <w:lastRenderedPageBreak/>
              <w:t>помпите в повдигателните помпени станции, подмяна на тръби и основни кранове, както и водовземните съоръжения, крановете на изходните съоръжения и т.н. Включени са също и разходите за водомерни съоръжения (за помпи), облицовка на канали, регулиращи съоръжения, монтаж на водовземания и други съоръжения (дюкери, тунели, мост-канали и пр.). Инвестициите в помпени системи за подмяна на помпени агрегати водят до значително подобрение на енергийната ефективност и свързаната с нея икономия на енергия. Важно е, че подобрението на енергийната ефективност в комбинация с икономията на вода предлагат отлични възможности за намаляване на потреблението на енергия и на разходите. Подмяната на тръбопроводи и кранове предлага значителни предимства по отношение на непрекъснатостта на системата и икономията на вода.</w:t>
            </w:r>
          </w:p>
        </w:tc>
        <w:tc>
          <w:tcPr>
            <w:tcW w:w="1629" w:type="dxa"/>
            <w:tcBorders>
              <w:top w:val="nil"/>
              <w:bottom w:val="nil"/>
            </w:tcBorders>
            <w:shd w:val="clear" w:color="auto" w:fill="auto"/>
          </w:tcPr>
          <w:p w14:paraId="3BEC1C28" w14:textId="6A86AA83" w:rsidR="00245536" w:rsidRPr="00245536" w:rsidRDefault="00245536" w:rsidP="00C135C1">
            <w:pPr>
              <w:spacing w:before="60" w:after="20"/>
              <w:rPr>
                <w:rFonts w:ascii="Verdana" w:hAnsi="Verdana"/>
                <w:color w:val="FF0000"/>
                <w:sz w:val="20"/>
                <w:szCs w:val="20"/>
              </w:rPr>
            </w:pPr>
          </w:p>
        </w:tc>
        <w:tc>
          <w:tcPr>
            <w:tcW w:w="4522" w:type="dxa"/>
            <w:tcBorders>
              <w:top w:val="nil"/>
              <w:bottom w:val="nil"/>
            </w:tcBorders>
            <w:shd w:val="clear" w:color="auto" w:fill="auto"/>
          </w:tcPr>
          <w:p w14:paraId="6C010052" w14:textId="77777777" w:rsidR="00245536" w:rsidRPr="004674B8" w:rsidRDefault="00245536" w:rsidP="00E86A7C">
            <w:pPr>
              <w:spacing w:before="60" w:after="20"/>
              <w:rPr>
                <w:rFonts w:ascii="Verdana" w:hAnsi="Verdana"/>
                <w:sz w:val="20"/>
                <w:szCs w:val="20"/>
              </w:rPr>
            </w:pPr>
          </w:p>
        </w:tc>
      </w:tr>
      <w:tr w:rsidR="00245536" w:rsidRPr="00F413E2" w14:paraId="48AC8D2F" w14:textId="77777777" w:rsidTr="00131B58">
        <w:trPr>
          <w:jc w:val="center"/>
        </w:trPr>
        <w:tc>
          <w:tcPr>
            <w:tcW w:w="569" w:type="dxa"/>
            <w:tcBorders>
              <w:top w:val="nil"/>
              <w:bottom w:val="nil"/>
            </w:tcBorders>
            <w:shd w:val="clear" w:color="auto" w:fill="auto"/>
          </w:tcPr>
          <w:p w14:paraId="656B1053" w14:textId="77777777" w:rsidR="00245536" w:rsidRPr="00483A6F" w:rsidRDefault="00245536" w:rsidP="00483A6F">
            <w:pPr>
              <w:tabs>
                <w:tab w:val="left" w:pos="192"/>
              </w:tabs>
              <w:spacing w:before="60" w:after="20" w:line="360" w:lineRule="auto"/>
              <w:ind w:left="57"/>
              <w:rPr>
                <w:rFonts w:ascii="Verdana" w:hAnsi="Verdana"/>
                <w:b/>
                <w:sz w:val="20"/>
                <w:szCs w:val="20"/>
              </w:rPr>
            </w:pPr>
          </w:p>
        </w:tc>
        <w:tc>
          <w:tcPr>
            <w:tcW w:w="2692" w:type="dxa"/>
            <w:tcBorders>
              <w:top w:val="nil"/>
              <w:bottom w:val="nil"/>
            </w:tcBorders>
            <w:shd w:val="clear" w:color="auto" w:fill="auto"/>
          </w:tcPr>
          <w:p w14:paraId="575E29A6" w14:textId="77777777" w:rsidR="00245536" w:rsidRDefault="00245536" w:rsidP="003C147F">
            <w:pPr>
              <w:spacing w:before="60" w:after="20"/>
              <w:rPr>
                <w:rFonts w:ascii="Verdana" w:hAnsi="Verdana"/>
                <w:spacing w:val="-2"/>
                <w:sz w:val="20"/>
                <w:szCs w:val="20"/>
              </w:rPr>
            </w:pPr>
          </w:p>
        </w:tc>
        <w:tc>
          <w:tcPr>
            <w:tcW w:w="6237" w:type="dxa"/>
            <w:tcBorders>
              <w:top w:val="nil"/>
              <w:bottom w:val="nil"/>
            </w:tcBorders>
            <w:shd w:val="clear" w:color="auto" w:fill="auto"/>
          </w:tcPr>
          <w:p w14:paraId="149B2F2C" w14:textId="6A4054EF" w:rsidR="00DE47AE" w:rsidRPr="00D4710C" w:rsidRDefault="00DE47AE" w:rsidP="00483244">
            <w:pPr>
              <w:spacing w:before="60" w:after="20"/>
              <w:jc w:val="center"/>
              <w:rPr>
                <w:rFonts w:ascii="Verdana" w:hAnsi="Verdana"/>
                <w:b/>
                <w:sz w:val="20"/>
                <w:szCs w:val="20"/>
              </w:rPr>
            </w:pPr>
            <w:r w:rsidRPr="00D4710C">
              <w:rPr>
                <w:rFonts w:ascii="Verdana" w:hAnsi="Verdana"/>
                <w:b/>
                <w:sz w:val="20"/>
                <w:szCs w:val="20"/>
              </w:rPr>
              <w:t>Необходимост от стратегически действия.</w:t>
            </w:r>
          </w:p>
          <w:p w14:paraId="2209814C" w14:textId="6113556A" w:rsidR="00DE47AE" w:rsidRPr="00DE47AE" w:rsidRDefault="00DE47AE" w:rsidP="00DE47AE">
            <w:pPr>
              <w:spacing w:before="60" w:after="20"/>
              <w:jc w:val="both"/>
              <w:rPr>
                <w:rFonts w:ascii="Verdana" w:hAnsi="Verdana"/>
                <w:sz w:val="20"/>
                <w:szCs w:val="20"/>
              </w:rPr>
            </w:pPr>
            <w:r w:rsidRPr="00DE47AE">
              <w:rPr>
                <w:rFonts w:ascii="Verdana" w:hAnsi="Verdana"/>
                <w:sz w:val="20"/>
                <w:szCs w:val="20"/>
              </w:rPr>
              <w:t>Настоящата Концепция за хидромелиоративния сектор има за цел да предостави краткосрочна, средносрочна и дългосрочна визия за развитието на хидромелиоративния сектор в България. Концепцията очертава рамка на правни и институционални реформи, която ще има съществено отражение върху настоящата организационна структура – „Напоителни системи“ ЕАД. Концепцията предвижда и времева рамка, даваща възможност да се развие технически капацитет и увереност в начина, по който България ще управлява хидромелиоративната си инфраструктура. Концепцията подхожда към проблематиката от перспектива в национален мащаб и се стреми към постигане на следните цели:</w:t>
            </w:r>
          </w:p>
          <w:p w14:paraId="61B1F608" w14:textId="77777777" w:rsidR="00DE47AE" w:rsidRPr="00DE47AE" w:rsidRDefault="00DE47AE" w:rsidP="00DE47AE">
            <w:pPr>
              <w:spacing w:before="60" w:after="20"/>
              <w:jc w:val="both"/>
              <w:rPr>
                <w:rFonts w:ascii="Verdana" w:hAnsi="Verdana"/>
                <w:sz w:val="20"/>
                <w:szCs w:val="20"/>
              </w:rPr>
            </w:pPr>
            <w:r w:rsidRPr="00DE47AE">
              <w:rPr>
                <w:rFonts w:ascii="Verdana" w:hAnsi="Verdana"/>
                <w:sz w:val="20"/>
                <w:szCs w:val="20"/>
              </w:rPr>
              <w:t xml:space="preserve">1. Възстановяване на потенциално обслужваните от хидромелиоративна инфраструктура поливни площи. </w:t>
            </w:r>
          </w:p>
          <w:p w14:paraId="03387E4E" w14:textId="77777777" w:rsidR="00DE47AE" w:rsidRPr="00DE47AE" w:rsidRDefault="00DE47AE" w:rsidP="00DE47AE">
            <w:pPr>
              <w:spacing w:before="60" w:after="20"/>
              <w:jc w:val="both"/>
              <w:rPr>
                <w:rFonts w:ascii="Verdana" w:hAnsi="Verdana"/>
                <w:sz w:val="20"/>
                <w:szCs w:val="20"/>
              </w:rPr>
            </w:pPr>
            <w:r w:rsidRPr="00DE47AE">
              <w:rPr>
                <w:rFonts w:ascii="Verdana" w:hAnsi="Verdana"/>
                <w:sz w:val="20"/>
                <w:szCs w:val="20"/>
              </w:rPr>
              <w:t xml:space="preserve">2. Защита на плодородни земеделски земи, </w:t>
            </w:r>
            <w:r w:rsidRPr="00DE47AE">
              <w:rPr>
                <w:rFonts w:ascii="Verdana" w:hAnsi="Verdana"/>
                <w:sz w:val="20"/>
                <w:szCs w:val="20"/>
              </w:rPr>
              <w:lastRenderedPageBreak/>
              <w:t>възстановяване и поддържане на инфраструктура за защита от наводнения и корекции на реки на договорени нива.</w:t>
            </w:r>
          </w:p>
          <w:p w14:paraId="2952314E" w14:textId="77777777" w:rsidR="00DE47AE" w:rsidRPr="00DE47AE" w:rsidRDefault="00DE47AE" w:rsidP="00DE47AE">
            <w:pPr>
              <w:spacing w:before="60" w:after="20"/>
              <w:jc w:val="both"/>
              <w:rPr>
                <w:rFonts w:ascii="Verdana" w:hAnsi="Verdana"/>
                <w:sz w:val="20"/>
                <w:szCs w:val="20"/>
              </w:rPr>
            </w:pPr>
            <w:r w:rsidRPr="00DE47AE">
              <w:rPr>
                <w:rFonts w:ascii="Verdana" w:hAnsi="Verdana"/>
                <w:sz w:val="20"/>
                <w:szCs w:val="20"/>
              </w:rPr>
              <w:t>3. Увеличаване на нетните ползи, произтичащи от поливното производство на култури и защитата от вредното въздействие на водите.</w:t>
            </w:r>
          </w:p>
          <w:p w14:paraId="513A554E" w14:textId="77777777" w:rsidR="00DE47AE" w:rsidRPr="00DE47AE" w:rsidRDefault="00DE47AE" w:rsidP="00DE47AE">
            <w:pPr>
              <w:spacing w:before="60" w:after="20"/>
              <w:jc w:val="both"/>
              <w:rPr>
                <w:rFonts w:ascii="Verdana" w:hAnsi="Verdana"/>
                <w:sz w:val="20"/>
                <w:szCs w:val="20"/>
              </w:rPr>
            </w:pPr>
            <w:r w:rsidRPr="00DE47AE">
              <w:rPr>
                <w:rFonts w:ascii="Verdana" w:hAnsi="Verdana"/>
                <w:sz w:val="20"/>
                <w:szCs w:val="20"/>
              </w:rPr>
              <w:t>4. Поддържане на добро състояние на засегнатите водни тела в количествен и качествен аспект, в рамките на четирите района на басейново управление</w:t>
            </w:r>
          </w:p>
          <w:p w14:paraId="5270BBEA" w14:textId="45E76541" w:rsidR="00245536" w:rsidRDefault="00DE47AE" w:rsidP="00DE47AE">
            <w:pPr>
              <w:spacing w:before="60" w:after="20"/>
              <w:jc w:val="both"/>
              <w:rPr>
                <w:rFonts w:ascii="Verdana" w:hAnsi="Verdana"/>
                <w:sz w:val="20"/>
                <w:szCs w:val="20"/>
              </w:rPr>
            </w:pPr>
            <w:r w:rsidRPr="00DE47AE">
              <w:rPr>
                <w:rFonts w:ascii="Verdana" w:hAnsi="Verdana"/>
                <w:sz w:val="20"/>
                <w:szCs w:val="20"/>
              </w:rPr>
              <w:t>Докато дългосрочната перспектива акцентира върху аспекти, свързани с устойчивостта по отношение на технически, икономически и екологични резултати, акцентът на краткосрочната до средносрочна перспектива пада върху предприемането на твърди действия за секторна реформа и развитие на технически капацитет, с които държавата може да се ангажира. Концепцията насърчава ключови заинтересовани лица да работят заедно за развитието на хидромелиоративни системи, които са в полза на общия икономически интерес. Краткосрочната перспектива цели да осигури средствата към Фонд „Мелиорации“ и от фондовете на Европейския съюз (ЕС) да се усвоят за подпомагане на инвестициите в съживяването на хидромелиоративната инфраструктура и услуги.</w:t>
            </w:r>
          </w:p>
        </w:tc>
        <w:tc>
          <w:tcPr>
            <w:tcW w:w="1629" w:type="dxa"/>
            <w:tcBorders>
              <w:top w:val="nil"/>
              <w:bottom w:val="nil"/>
            </w:tcBorders>
            <w:shd w:val="clear" w:color="auto" w:fill="auto"/>
          </w:tcPr>
          <w:p w14:paraId="49E5EE74" w14:textId="17C16BA9" w:rsidR="00245536" w:rsidRPr="00245536" w:rsidRDefault="00245536" w:rsidP="00C135C1">
            <w:pPr>
              <w:spacing w:before="60" w:after="20"/>
              <w:rPr>
                <w:rFonts w:ascii="Verdana" w:hAnsi="Verdana"/>
                <w:color w:val="FF0000"/>
                <w:sz w:val="20"/>
                <w:szCs w:val="20"/>
              </w:rPr>
            </w:pPr>
          </w:p>
        </w:tc>
        <w:tc>
          <w:tcPr>
            <w:tcW w:w="4522" w:type="dxa"/>
            <w:tcBorders>
              <w:top w:val="nil"/>
              <w:bottom w:val="nil"/>
            </w:tcBorders>
            <w:shd w:val="clear" w:color="auto" w:fill="auto"/>
          </w:tcPr>
          <w:p w14:paraId="14F9A7F1" w14:textId="77777777" w:rsidR="00245536" w:rsidRPr="004674B8" w:rsidRDefault="00245536" w:rsidP="00E86A7C">
            <w:pPr>
              <w:spacing w:before="60" w:after="20"/>
              <w:rPr>
                <w:rFonts w:ascii="Verdana" w:hAnsi="Verdana"/>
                <w:sz w:val="20"/>
                <w:szCs w:val="20"/>
              </w:rPr>
            </w:pPr>
          </w:p>
        </w:tc>
      </w:tr>
      <w:tr w:rsidR="00483244" w:rsidRPr="00F413E2" w14:paraId="0A4FD996" w14:textId="77777777" w:rsidTr="00131B58">
        <w:trPr>
          <w:jc w:val="center"/>
        </w:trPr>
        <w:tc>
          <w:tcPr>
            <w:tcW w:w="569" w:type="dxa"/>
            <w:tcBorders>
              <w:top w:val="nil"/>
              <w:bottom w:val="single" w:sz="24" w:space="0" w:color="2E74B5"/>
            </w:tcBorders>
            <w:shd w:val="clear" w:color="auto" w:fill="auto"/>
          </w:tcPr>
          <w:p w14:paraId="3F1E288D" w14:textId="77777777" w:rsidR="00483244" w:rsidRPr="00483A6F" w:rsidRDefault="00483244" w:rsidP="00483A6F">
            <w:pPr>
              <w:tabs>
                <w:tab w:val="left" w:pos="192"/>
              </w:tabs>
              <w:spacing w:before="60" w:after="20" w:line="360" w:lineRule="auto"/>
              <w:ind w:left="57"/>
              <w:rPr>
                <w:rFonts w:ascii="Verdana" w:hAnsi="Verdana"/>
                <w:b/>
                <w:sz w:val="20"/>
                <w:szCs w:val="20"/>
              </w:rPr>
            </w:pPr>
          </w:p>
        </w:tc>
        <w:tc>
          <w:tcPr>
            <w:tcW w:w="2692" w:type="dxa"/>
            <w:tcBorders>
              <w:top w:val="nil"/>
              <w:bottom w:val="single" w:sz="24" w:space="0" w:color="2E74B5"/>
            </w:tcBorders>
            <w:shd w:val="clear" w:color="auto" w:fill="auto"/>
          </w:tcPr>
          <w:p w14:paraId="030682C4" w14:textId="77777777" w:rsidR="00483244" w:rsidRDefault="00483244" w:rsidP="003C147F">
            <w:pPr>
              <w:spacing w:before="60" w:after="20"/>
              <w:rPr>
                <w:rFonts w:ascii="Verdana" w:hAnsi="Verdana"/>
                <w:spacing w:val="-2"/>
                <w:sz w:val="20"/>
                <w:szCs w:val="20"/>
              </w:rPr>
            </w:pPr>
          </w:p>
        </w:tc>
        <w:tc>
          <w:tcPr>
            <w:tcW w:w="6237" w:type="dxa"/>
            <w:tcBorders>
              <w:top w:val="nil"/>
              <w:bottom w:val="single" w:sz="24" w:space="0" w:color="2E74B5"/>
            </w:tcBorders>
            <w:shd w:val="clear" w:color="auto" w:fill="auto"/>
          </w:tcPr>
          <w:p w14:paraId="331FDFAB" w14:textId="0352C323" w:rsidR="00483244" w:rsidRDefault="00483244" w:rsidP="00483244">
            <w:pPr>
              <w:spacing w:before="60" w:after="20"/>
              <w:jc w:val="both"/>
              <w:rPr>
                <w:rFonts w:ascii="Verdana" w:hAnsi="Verdana"/>
                <w:b/>
                <w:sz w:val="20"/>
                <w:szCs w:val="20"/>
              </w:rPr>
            </w:pPr>
            <w:r w:rsidRPr="00483244">
              <w:rPr>
                <w:rFonts w:ascii="Verdana" w:hAnsi="Verdana"/>
                <w:b/>
                <w:sz w:val="20"/>
                <w:szCs w:val="20"/>
              </w:rPr>
              <w:t>Развитието и изграждането на системи за хидромелиорации – в миналото повод за гордост за цяло поколение инженери по напояването и отводняването от световен ранг – сега е сведено до най-ниското възможно ниво на ефективност, като достига 0,7% от обработваемите площи в страната, като за сведение през 80-те години на миналия век този процент е бил над 30%. През далечната 1930 година Воден синцикат „Марица“ е напоявал повече от „Напоителни</w:t>
            </w:r>
            <w:r>
              <w:rPr>
                <w:rFonts w:ascii="Verdana" w:hAnsi="Verdana"/>
                <w:b/>
                <w:sz w:val="20"/>
                <w:szCs w:val="20"/>
              </w:rPr>
              <w:t xml:space="preserve"> системи“ ЕАД </w:t>
            </w:r>
            <w:r>
              <w:rPr>
                <w:rFonts w:ascii="Verdana" w:hAnsi="Verdana"/>
                <w:b/>
                <w:sz w:val="20"/>
                <w:szCs w:val="20"/>
              </w:rPr>
              <w:lastRenderedPageBreak/>
              <w:t>през 2023 година.</w:t>
            </w:r>
          </w:p>
          <w:p w14:paraId="68D47E3B" w14:textId="77777777" w:rsidR="00483244" w:rsidRPr="00483244" w:rsidRDefault="00483244" w:rsidP="00483244">
            <w:pPr>
              <w:spacing w:before="60" w:after="20"/>
              <w:jc w:val="both"/>
              <w:rPr>
                <w:rFonts w:ascii="Verdana" w:hAnsi="Verdana"/>
                <w:sz w:val="20"/>
                <w:szCs w:val="20"/>
              </w:rPr>
            </w:pPr>
            <w:r w:rsidRPr="00483244">
              <w:rPr>
                <w:rFonts w:ascii="Verdana" w:hAnsi="Verdana"/>
                <w:sz w:val="20"/>
                <w:szCs w:val="20"/>
              </w:rPr>
              <w:t>С учредяването на „НС” ЕАД през 1993 г., българското правителство създаде търговско дружество за хидромелиоративния сектор, на което се възлагат допълнителни задължения за обществена услуга, свързани със защитата от вредното въздействие на водите. По това време надеждата е, че търговски дейности по напояване ще бъдат достатъчно печеливши, за да компенсират поне отчасти загубите, понесени при изпълнението на другите дейности. Търговската дейност на „НС” ЕАД обаче се оказва далеч не толкова печеливша, колкото се очаква, три милиарда кубични метра воден обем във 181 язовира стопанисвани от „НС“ ЕАД не се използва. През годините стана ясно, че търговията с водния ресурс за напояване, убива поливното земеделие в държавата, което превръща РБ в производител единствено на зърнени култури. Това от своя страна води до създаване на монополисти зърнопроизводители, за които поливното земеделие не е приоритет.</w:t>
            </w:r>
          </w:p>
          <w:p w14:paraId="2BD34F01" w14:textId="3AFB98D7" w:rsidR="00483244" w:rsidRPr="00DE47AE" w:rsidRDefault="00483244" w:rsidP="00483244">
            <w:pPr>
              <w:spacing w:before="60" w:after="20"/>
              <w:jc w:val="both"/>
              <w:rPr>
                <w:rFonts w:ascii="Verdana" w:hAnsi="Verdana"/>
                <w:sz w:val="20"/>
                <w:szCs w:val="20"/>
              </w:rPr>
            </w:pPr>
            <w:r w:rsidRPr="00483244">
              <w:rPr>
                <w:rFonts w:ascii="Verdana" w:hAnsi="Verdana"/>
                <w:sz w:val="20"/>
                <w:szCs w:val="20"/>
              </w:rPr>
              <w:t>Създаването на „Агенция Мелиорации“, която може да прави политика в напояването, обезпечена финансово от „Фонд Мелиорации“, който няма алтернатива и 100 % субсидиране водата за напояване /както е в Румъния и Гърция/, ще даде място на държавата ни сред развитите в земеделско отношение европейски държави, като сектор напояване ще носи преки и косвени приходи в бюджета на държавата от около 2 милиарда лева на година.</w:t>
            </w:r>
          </w:p>
        </w:tc>
        <w:tc>
          <w:tcPr>
            <w:tcW w:w="1629" w:type="dxa"/>
            <w:tcBorders>
              <w:top w:val="nil"/>
              <w:bottom w:val="single" w:sz="24" w:space="0" w:color="2E74B5"/>
            </w:tcBorders>
            <w:shd w:val="clear" w:color="auto" w:fill="auto"/>
          </w:tcPr>
          <w:p w14:paraId="648A9CE0" w14:textId="2F49E1A3" w:rsidR="00483244" w:rsidRPr="00245536" w:rsidRDefault="00483244" w:rsidP="00C135C1">
            <w:pPr>
              <w:spacing w:before="60" w:after="20"/>
              <w:rPr>
                <w:rFonts w:ascii="Verdana" w:hAnsi="Verdana"/>
                <w:color w:val="FF0000"/>
                <w:sz w:val="20"/>
                <w:szCs w:val="20"/>
              </w:rPr>
            </w:pPr>
          </w:p>
        </w:tc>
        <w:tc>
          <w:tcPr>
            <w:tcW w:w="4522" w:type="dxa"/>
            <w:tcBorders>
              <w:top w:val="nil"/>
              <w:bottom w:val="single" w:sz="24" w:space="0" w:color="2E74B5"/>
            </w:tcBorders>
            <w:shd w:val="clear" w:color="auto" w:fill="auto"/>
          </w:tcPr>
          <w:p w14:paraId="34B1211B" w14:textId="77777777" w:rsidR="00483244" w:rsidRPr="004674B8" w:rsidRDefault="00483244" w:rsidP="00E86A7C">
            <w:pPr>
              <w:spacing w:before="60" w:after="20"/>
              <w:rPr>
                <w:rFonts w:ascii="Verdana" w:hAnsi="Verdana"/>
                <w:sz w:val="20"/>
                <w:szCs w:val="20"/>
              </w:rPr>
            </w:pPr>
          </w:p>
        </w:tc>
      </w:tr>
    </w:tbl>
    <w:p w14:paraId="6CE72DF8" w14:textId="0998CBDD" w:rsidR="00C17436" w:rsidRDefault="00C17436" w:rsidP="00A03963">
      <w:pPr>
        <w:widowControl w:val="0"/>
        <w:autoSpaceDE w:val="0"/>
        <w:autoSpaceDN w:val="0"/>
        <w:adjustRightInd w:val="0"/>
        <w:rPr>
          <w:rFonts w:ascii="Verdana" w:hAnsi="Verdana" w:cs="Verdana"/>
          <w:b/>
          <w:bCs/>
          <w:caps/>
          <w:color w:val="000000" w:themeColor="text1"/>
          <w:sz w:val="20"/>
          <w:szCs w:val="20"/>
        </w:rPr>
      </w:pPr>
      <w:bookmarkStart w:id="0" w:name="_GoBack"/>
      <w:bookmarkEnd w:id="0"/>
    </w:p>
    <w:sectPr w:rsidR="00C17436" w:rsidSect="00BE4037">
      <w:footerReference w:type="even" r:id="rId11"/>
      <w:footerReference w:type="default" r:id="rId12"/>
      <w:headerReference w:type="first" r:id="rId13"/>
      <w:pgSz w:w="16838" w:h="11906" w:orient="landscape" w:code="9"/>
      <w:pgMar w:top="1134"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20F35" w14:textId="77777777" w:rsidR="00A12D7D" w:rsidRDefault="00A12D7D">
      <w:r>
        <w:separator/>
      </w:r>
    </w:p>
  </w:endnote>
  <w:endnote w:type="continuationSeparator" w:id="0">
    <w:p w14:paraId="03A24480" w14:textId="77777777" w:rsidR="00A12D7D" w:rsidRDefault="00A1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CC75" w14:textId="77777777" w:rsidR="008869FA" w:rsidRDefault="008869FA"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B4D91" w14:textId="77777777" w:rsidR="008869FA" w:rsidRDefault="008869FA"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14:paraId="03CA8827" w14:textId="11547893" w:rsidR="008869FA" w:rsidRPr="00AF12B7" w:rsidRDefault="008869FA"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A03963">
          <w:rPr>
            <w:noProof/>
            <w:sz w:val="18"/>
            <w:szCs w:val="18"/>
          </w:rPr>
          <w:t>17</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AE1A2" w14:textId="77777777" w:rsidR="00A12D7D" w:rsidRDefault="00A12D7D">
      <w:r>
        <w:separator/>
      </w:r>
    </w:p>
  </w:footnote>
  <w:footnote w:type="continuationSeparator" w:id="0">
    <w:p w14:paraId="0E297DCD" w14:textId="77777777" w:rsidR="00A12D7D" w:rsidRDefault="00A1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3622" w14:textId="77777777" w:rsidR="004674B8" w:rsidRPr="004674B8" w:rsidRDefault="004674B8" w:rsidP="004674B8">
    <w:pPr>
      <w:tabs>
        <w:tab w:val="center" w:pos="4320"/>
        <w:tab w:val="right" w:pos="8640"/>
      </w:tabs>
      <w:overflowPunct w:val="0"/>
      <w:autoSpaceDE w:val="0"/>
      <w:autoSpaceDN w:val="0"/>
      <w:adjustRightInd w:val="0"/>
      <w:jc w:val="right"/>
      <w:textAlignment w:val="baseline"/>
      <w:rPr>
        <w:rFonts w:ascii="Verdana" w:hAnsi="Verdana"/>
        <w:sz w:val="18"/>
        <w:szCs w:val="18"/>
        <w:lang w:eastAsia="en-US"/>
      </w:rPr>
    </w:pPr>
    <w:r w:rsidRPr="004674B8">
      <w:rPr>
        <w:rFonts w:ascii="Verdana" w:hAnsi="Verdana"/>
        <w:sz w:val="18"/>
        <w:szCs w:val="18"/>
        <w:lang w:eastAsia="en-US"/>
      </w:rPr>
      <w:t>Класификация на информацията:</w:t>
    </w:r>
  </w:p>
  <w:p w14:paraId="73C59B47" w14:textId="77777777" w:rsidR="004674B8" w:rsidRPr="004674B8" w:rsidRDefault="004674B8" w:rsidP="004674B8">
    <w:pPr>
      <w:tabs>
        <w:tab w:val="center" w:pos="4320"/>
        <w:tab w:val="right" w:pos="8640"/>
      </w:tabs>
      <w:overflowPunct w:val="0"/>
      <w:autoSpaceDE w:val="0"/>
      <w:autoSpaceDN w:val="0"/>
      <w:adjustRightInd w:val="0"/>
      <w:jc w:val="right"/>
      <w:textAlignment w:val="baseline"/>
      <w:rPr>
        <w:rFonts w:ascii="Verdana" w:hAnsi="Verdana"/>
        <w:sz w:val="18"/>
        <w:szCs w:val="18"/>
        <w:lang w:eastAsia="en-US"/>
      </w:rPr>
    </w:pPr>
    <w:r w:rsidRPr="004674B8">
      <w:rPr>
        <w:rFonts w:ascii="Verdana" w:hAnsi="Verdana"/>
        <w:sz w:val="18"/>
        <w:szCs w:val="18"/>
        <w:lang w:eastAsia="en-US"/>
      </w:rPr>
      <w:t>Ниво 0, TLP-</w:t>
    </w:r>
    <w:r w:rsidRPr="004674B8">
      <w:rPr>
        <w:rFonts w:ascii="Verdana" w:hAnsi="Verdana"/>
        <w:sz w:val="18"/>
        <w:szCs w:val="18"/>
        <w:lang w:val="en-US" w:eastAsia="en-US"/>
      </w:rPr>
      <w:t>WHITE</w:t>
    </w:r>
  </w:p>
  <w:p w14:paraId="3E82FE5A" w14:textId="77777777" w:rsidR="004674B8" w:rsidRDefault="00467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15:restartNumberingAfterBreak="0">
    <w:nsid w:val="1BAC4B01"/>
    <w:multiLevelType w:val="hybridMultilevel"/>
    <w:tmpl w:val="14D0CF0A"/>
    <w:lvl w:ilvl="0" w:tplc="49B29C2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FFD42A7"/>
    <w:multiLevelType w:val="multilevel"/>
    <w:tmpl w:val="3CB68318"/>
    <w:lvl w:ilvl="0">
      <w:start w:val="1"/>
      <w:numFmt w:val="decimal"/>
      <w:suff w:val="space"/>
      <w:lvlText w:val="%1."/>
      <w:lvlJc w:val="right"/>
      <w:pPr>
        <w:ind w:left="340" w:firstLine="57"/>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8"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1"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2" w15:restartNumberingAfterBreak="0">
    <w:nsid w:val="393E2C3A"/>
    <w:multiLevelType w:val="singleLevel"/>
    <w:tmpl w:val="CF882D90"/>
    <w:lvl w:ilvl="0">
      <w:start w:val="1"/>
      <w:numFmt w:val="russianLower"/>
      <w:lvlText w:val="%1)"/>
      <w:lvlJc w:val="left"/>
    </w:lvl>
  </w:abstractNum>
  <w:abstractNum w:abstractNumId="13" w15:restartNumberingAfterBreak="0">
    <w:nsid w:val="3BC37A8C"/>
    <w:multiLevelType w:val="singleLevel"/>
    <w:tmpl w:val="596280AA"/>
    <w:lvl w:ilvl="0">
      <w:start w:val="3"/>
      <w:numFmt w:val="russianLower"/>
      <w:lvlText w:val="%1)"/>
      <w:lvlJc w:val="left"/>
    </w:lvl>
  </w:abstractNum>
  <w:abstractNum w:abstractNumId="14"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B1A87"/>
    <w:multiLevelType w:val="hybridMultilevel"/>
    <w:tmpl w:val="E09EA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056EE"/>
    <w:multiLevelType w:val="hybridMultilevel"/>
    <w:tmpl w:val="B34C0A94"/>
    <w:lvl w:ilvl="0" w:tplc="5FCA52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9"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43A0C1B"/>
    <w:multiLevelType w:val="multilevel"/>
    <w:tmpl w:val="2EC251DE"/>
    <w:lvl w:ilvl="0">
      <w:start w:val="1"/>
      <w:numFmt w:val="decimal"/>
      <w:suff w:val="space"/>
      <w:lvlText w:val="%1."/>
      <w:lvlJc w:val="right"/>
      <w:pPr>
        <w:ind w:left="340" w:firstLine="0"/>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1"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2"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37797"/>
    <w:multiLevelType w:val="hybridMultilevel"/>
    <w:tmpl w:val="4BE02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5"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6"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7"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29"/>
  </w:num>
  <w:num w:numId="5">
    <w:abstractNumId w:val="20"/>
  </w:num>
  <w:num w:numId="6">
    <w:abstractNumId w:val="9"/>
  </w:num>
  <w:num w:numId="7">
    <w:abstractNumId w:val="22"/>
  </w:num>
  <w:num w:numId="8">
    <w:abstractNumId w:val="28"/>
  </w:num>
  <w:num w:numId="9">
    <w:abstractNumId w:val="5"/>
  </w:num>
  <w:num w:numId="10">
    <w:abstractNumId w:val="12"/>
  </w:num>
  <w:num w:numId="11">
    <w:abstractNumId w:val="13"/>
  </w:num>
  <w:num w:numId="12">
    <w:abstractNumId w:val="8"/>
  </w:num>
  <w:num w:numId="13">
    <w:abstractNumId w:val="4"/>
  </w:num>
  <w:num w:numId="14">
    <w:abstractNumId w:val="14"/>
  </w:num>
  <w:num w:numId="15">
    <w:abstractNumId w:val="15"/>
  </w:num>
  <w:num w:numId="16">
    <w:abstractNumId w:val="26"/>
  </w:num>
  <w:num w:numId="17">
    <w:abstractNumId w:val="1"/>
  </w:num>
  <w:num w:numId="18">
    <w:abstractNumId w:val="10"/>
  </w:num>
  <w:num w:numId="19">
    <w:abstractNumId w:val="24"/>
  </w:num>
  <w:num w:numId="20">
    <w:abstractNumId w:val="18"/>
  </w:num>
  <w:num w:numId="21">
    <w:abstractNumId w:val="2"/>
  </w:num>
  <w:num w:numId="22">
    <w:abstractNumId w:val="25"/>
  </w:num>
  <w:num w:numId="23">
    <w:abstractNumId w:val="0"/>
  </w:num>
  <w:num w:numId="24">
    <w:abstractNumId w:val="11"/>
  </w:num>
  <w:num w:numId="25">
    <w:abstractNumId w:val="21"/>
  </w:num>
  <w:num w:numId="26">
    <w:abstractNumId w:val="3"/>
  </w:num>
  <w:num w:numId="27">
    <w:abstractNumId w:val="17"/>
  </w:num>
  <w:num w:numId="28">
    <w:abstractNumId w:val="7"/>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209C"/>
    <w:rsid w:val="00002A98"/>
    <w:rsid w:val="000042F6"/>
    <w:rsid w:val="0000470F"/>
    <w:rsid w:val="00004862"/>
    <w:rsid w:val="00004AE6"/>
    <w:rsid w:val="00005688"/>
    <w:rsid w:val="00005B26"/>
    <w:rsid w:val="000101A6"/>
    <w:rsid w:val="00010282"/>
    <w:rsid w:val="000115D5"/>
    <w:rsid w:val="00012CAB"/>
    <w:rsid w:val="00014439"/>
    <w:rsid w:val="00016086"/>
    <w:rsid w:val="000200AF"/>
    <w:rsid w:val="00020416"/>
    <w:rsid w:val="00022060"/>
    <w:rsid w:val="00024421"/>
    <w:rsid w:val="0002454D"/>
    <w:rsid w:val="0002513E"/>
    <w:rsid w:val="000252C0"/>
    <w:rsid w:val="0002544E"/>
    <w:rsid w:val="000257AA"/>
    <w:rsid w:val="00025A23"/>
    <w:rsid w:val="00025DD3"/>
    <w:rsid w:val="00027271"/>
    <w:rsid w:val="000279C9"/>
    <w:rsid w:val="00033183"/>
    <w:rsid w:val="00033713"/>
    <w:rsid w:val="000357B4"/>
    <w:rsid w:val="00040AE0"/>
    <w:rsid w:val="00040F76"/>
    <w:rsid w:val="000414AB"/>
    <w:rsid w:val="000414B6"/>
    <w:rsid w:val="00043D50"/>
    <w:rsid w:val="00043ECF"/>
    <w:rsid w:val="000446AF"/>
    <w:rsid w:val="00044E65"/>
    <w:rsid w:val="0004610E"/>
    <w:rsid w:val="00046AB8"/>
    <w:rsid w:val="00046C3E"/>
    <w:rsid w:val="00051CC2"/>
    <w:rsid w:val="00052350"/>
    <w:rsid w:val="0005435E"/>
    <w:rsid w:val="0005470C"/>
    <w:rsid w:val="00055D5F"/>
    <w:rsid w:val="000572CA"/>
    <w:rsid w:val="0006038C"/>
    <w:rsid w:val="0006091E"/>
    <w:rsid w:val="000622EF"/>
    <w:rsid w:val="00062907"/>
    <w:rsid w:val="00062A4B"/>
    <w:rsid w:val="00062ADE"/>
    <w:rsid w:val="00062CE5"/>
    <w:rsid w:val="00062F02"/>
    <w:rsid w:val="000632EC"/>
    <w:rsid w:val="00063709"/>
    <w:rsid w:val="00063E4B"/>
    <w:rsid w:val="000673CE"/>
    <w:rsid w:val="00067C92"/>
    <w:rsid w:val="00070496"/>
    <w:rsid w:val="000708B1"/>
    <w:rsid w:val="000718C7"/>
    <w:rsid w:val="00071CD7"/>
    <w:rsid w:val="000737E5"/>
    <w:rsid w:val="000741C8"/>
    <w:rsid w:val="00074AA3"/>
    <w:rsid w:val="00075594"/>
    <w:rsid w:val="0007570E"/>
    <w:rsid w:val="000757FC"/>
    <w:rsid w:val="000769B1"/>
    <w:rsid w:val="0008079F"/>
    <w:rsid w:val="00081D6F"/>
    <w:rsid w:val="00082171"/>
    <w:rsid w:val="000836C6"/>
    <w:rsid w:val="00084700"/>
    <w:rsid w:val="0008525A"/>
    <w:rsid w:val="00085345"/>
    <w:rsid w:val="00086434"/>
    <w:rsid w:val="000902D1"/>
    <w:rsid w:val="00090401"/>
    <w:rsid w:val="000937D4"/>
    <w:rsid w:val="00093F30"/>
    <w:rsid w:val="00094AB2"/>
    <w:rsid w:val="000953A8"/>
    <w:rsid w:val="00096C33"/>
    <w:rsid w:val="00097783"/>
    <w:rsid w:val="000A084C"/>
    <w:rsid w:val="000A1017"/>
    <w:rsid w:val="000A2286"/>
    <w:rsid w:val="000A228F"/>
    <w:rsid w:val="000A3E16"/>
    <w:rsid w:val="000A509C"/>
    <w:rsid w:val="000A78A5"/>
    <w:rsid w:val="000B279A"/>
    <w:rsid w:val="000B298E"/>
    <w:rsid w:val="000B2EB1"/>
    <w:rsid w:val="000B354E"/>
    <w:rsid w:val="000B3D5F"/>
    <w:rsid w:val="000B64C2"/>
    <w:rsid w:val="000B6D57"/>
    <w:rsid w:val="000B7061"/>
    <w:rsid w:val="000B7EFE"/>
    <w:rsid w:val="000C036A"/>
    <w:rsid w:val="000C0D7A"/>
    <w:rsid w:val="000C1697"/>
    <w:rsid w:val="000C46A7"/>
    <w:rsid w:val="000C5247"/>
    <w:rsid w:val="000C5E61"/>
    <w:rsid w:val="000C65D0"/>
    <w:rsid w:val="000D0414"/>
    <w:rsid w:val="000D1027"/>
    <w:rsid w:val="000D1E2E"/>
    <w:rsid w:val="000D2F9F"/>
    <w:rsid w:val="000D31EF"/>
    <w:rsid w:val="000D3F6C"/>
    <w:rsid w:val="000D3F7C"/>
    <w:rsid w:val="000D4198"/>
    <w:rsid w:val="000E145B"/>
    <w:rsid w:val="000E3570"/>
    <w:rsid w:val="000E38E0"/>
    <w:rsid w:val="000E6A80"/>
    <w:rsid w:val="000F02C5"/>
    <w:rsid w:val="000F1019"/>
    <w:rsid w:val="000F31C8"/>
    <w:rsid w:val="000F3490"/>
    <w:rsid w:val="000F4E61"/>
    <w:rsid w:val="000F57E9"/>
    <w:rsid w:val="000F5EC8"/>
    <w:rsid w:val="000F73D3"/>
    <w:rsid w:val="000F7A3E"/>
    <w:rsid w:val="001012EC"/>
    <w:rsid w:val="0010283F"/>
    <w:rsid w:val="001057D6"/>
    <w:rsid w:val="0010687D"/>
    <w:rsid w:val="00110FB3"/>
    <w:rsid w:val="001143E4"/>
    <w:rsid w:val="001146B4"/>
    <w:rsid w:val="0011484F"/>
    <w:rsid w:val="0011552E"/>
    <w:rsid w:val="00115EDD"/>
    <w:rsid w:val="00116995"/>
    <w:rsid w:val="00116FC6"/>
    <w:rsid w:val="001171CC"/>
    <w:rsid w:val="00120ABA"/>
    <w:rsid w:val="00121BA5"/>
    <w:rsid w:val="001251BE"/>
    <w:rsid w:val="00125F9E"/>
    <w:rsid w:val="001311AD"/>
    <w:rsid w:val="00131B58"/>
    <w:rsid w:val="00131D33"/>
    <w:rsid w:val="00131DA5"/>
    <w:rsid w:val="00133A14"/>
    <w:rsid w:val="001345AD"/>
    <w:rsid w:val="00134E1D"/>
    <w:rsid w:val="001353E6"/>
    <w:rsid w:val="0013629D"/>
    <w:rsid w:val="00140C69"/>
    <w:rsid w:val="00141BFB"/>
    <w:rsid w:val="00144034"/>
    <w:rsid w:val="001440FE"/>
    <w:rsid w:val="0014437A"/>
    <w:rsid w:val="00150E61"/>
    <w:rsid w:val="00150EA4"/>
    <w:rsid w:val="00152D3A"/>
    <w:rsid w:val="001551C4"/>
    <w:rsid w:val="00155A70"/>
    <w:rsid w:val="00155CAF"/>
    <w:rsid w:val="0016097E"/>
    <w:rsid w:val="00162248"/>
    <w:rsid w:val="001668E1"/>
    <w:rsid w:val="00167D39"/>
    <w:rsid w:val="00167F77"/>
    <w:rsid w:val="00170505"/>
    <w:rsid w:val="0017183E"/>
    <w:rsid w:val="00172CCB"/>
    <w:rsid w:val="00175004"/>
    <w:rsid w:val="00177AA6"/>
    <w:rsid w:val="00177CAC"/>
    <w:rsid w:val="00177D2B"/>
    <w:rsid w:val="001808B4"/>
    <w:rsid w:val="0018509E"/>
    <w:rsid w:val="0019192E"/>
    <w:rsid w:val="00192D6A"/>
    <w:rsid w:val="001948B0"/>
    <w:rsid w:val="001948C6"/>
    <w:rsid w:val="00195AD0"/>
    <w:rsid w:val="00195DA3"/>
    <w:rsid w:val="00196671"/>
    <w:rsid w:val="001A02C9"/>
    <w:rsid w:val="001A0680"/>
    <w:rsid w:val="001A1452"/>
    <w:rsid w:val="001A29AE"/>
    <w:rsid w:val="001A3975"/>
    <w:rsid w:val="001A3D29"/>
    <w:rsid w:val="001B1760"/>
    <w:rsid w:val="001B4CD8"/>
    <w:rsid w:val="001C23BF"/>
    <w:rsid w:val="001C4C76"/>
    <w:rsid w:val="001C5BF3"/>
    <w:rsid w:val="001C6E95"/>
    <w:rsid w:val="001D23F0"/>
    <w:rsid w:val="001D2756"/>
    <w:rsid w:val="001D362A"/>
    <w:rsid w:val="001D4243"/>
    <w:rsid w:val="001D60F3"/>
    <w:rsid w:val="001E13F5"/>
    <w:rsid w:val="001E174B"/>
    <w:rsid w:val="001E317C"/>
    <w:rsid w:val="001E4FB9"/>
    <w:rsid w:val="001E4FE9"/>
    <w:rsid w:val="001E4FEC"/>
    <w:rsid w:val="001E64F2"/>
    <w:rsid w:val="001F0567"/>
    <w:rsid w:val="001F0866"/>
    <w:rsid w:val="001F1BB7"/>
    <w:rsid w:val="001F1F60"/>
    <w:rsid w:val="001F22A3"/>
    <w:rsid w:val="001F2736"/>
    <w:rsid w:val="001F29C3"/>
    <w:rsid w:val="001F314D"/>
    <w:rsid w:val="001F4710"/>
    <w:rsid w:val="001F6BC2"/>
    <w:rsid w:val="001F718C"/>
    <w:rsid w:val="00200292"/>
    <w:rsid w:val="0020103A"/>
    <w:rsid w:val="00201455"/>
    <w:rsid w:val="00201739"/>
    <w:rsid w:val="002033C8"/>
    <w:rsid w:val="0020584E"/>
    <w:rsid w:val="00206678"/>
    <w:rsid w:val="00210233"/>
    <w:rsid w:val="0021035B"/>
    <w:rsid w:val="00212D43"/>
    <w:rsid w:val="0021436C"/>
    <w:rsid w:val="00214427"/>
    <w:rsid w:val="00214B75"/>
    <w:rsid w:val="00215178"/>
    <w:rsid w:val="00216466"/>
    <w:rsid w:val="00220442"/>
    <w:rsid w:val="00221143"/>
    <w:rsid w:val="00221445"/>
    <w:rsid w:val="002217C0"/>
    <w:rsid w:val="00221B68"/>
    <w:rsid w:val="00223947"/>
    <w:rsid w:val="00223F2E"/>
    <w:rsid w:val="00225E6A"/>
    <w:rsid w:val="00226B29"/>
    <w:rsid w:val="00226E69"/>
    <w:rsid w:val="00227D14"/>
    <w:rsid w:val="0023062F"/>
    <w:rsid w:val="00230821"/>
    <w:rsid w:val="00230E0E"/>
    <w:rsid w:val="00231D0F"/>
    <w:rsid w:val="00233C04"/>
    <w:rsid w:val="002348DC"/>
    <w:rsid w:val="00235708"/>
    <w:rsid w:val="002366C8"/>
    <w:rsid w:val="002369C8"/>
    <w:rsid w:val="002375B3"/>
    <w:rsid w:val="00237A17"/>
    <w:rsid w:val="00241F4C"/>
    <w:rsid w:val="00243442"/>
    <w:rsid w:val="002440AF"/>
    <w:rsid w:val="0024444A"/>
    <w:rsid w:val="00245536"/>
    <w:rsid w:val="00245FCD"/>
    <w:rsid w:val="002472CF"/>
    <w:rsid w:val="0024734A"/>
    <w:rsid w:val="002500BD"/>
    <w:rsid w:val="002536A8"/>
    <w:rsid w:val="00254CE4"/>
    <w:rsid w:val="002552EF"/>
    <w:rsid w:val="00257983"/>
    <w:rsid w:val="00260E4E"/>
    <w:rsid w:val="00260F55"/>
    <w:rsid w:val="002614AB"/>
    <w:rsid w:val="002632C1"/>
    <w:rsid w:val="00263E76"/>
    <w:rsid w:val="002640E1"/>
    <w:rsid w:val="00264B95"/>
    <w:rsid w:val="0027210E"/>
    <w:rsid w:val="00272EE3"/>
    <w:rsid w:val="00273219"/>
    <w:rsid w:val="00273678"/>
    <w:rsid w:val="00273CAC"/>
    <w:rsid w:val="0027620A"/>
    <w:rsid w:val="002804CF"/>
    <w:rsid w:val="002808F3"/>
    <w:rsid w:val="002820C6"/>
    <w:rsid w:val="00282A08"/>
    <w:rsid w:val="002840D4"/>
    <w:rsid w:val="002854C9"/>
    <w:rsid w:val="002900C5"/>
    <w:rsid w:val="00290725"/>
    <w:rsid w:val="00291E9B"/>
    <w:rsid w:val="002939DA"/>
    <w:rsid w:val="00293CA6"/>
    <w:rsid w:val="0029482B"/>
    <w:rsid w:val="00295B2B"/>
    <w:rsid w:val="002961A2"/>
    <w:rsid w:val="002964C1"/>
    <w:rsid w:val="00297DB0"/>
    <w:rsid w:val="002A0706"/>
    <w:rsid w:val="002A0A9B"/>
    <w:rsid w:val="002A0C5D"/>
    <w:rsid w:val="002A3B76"/>
    <w:rsid w:val="002A50DD"/>
    <w:rsid w:val="002A5290"/>
    <w:rsid w:val="002A59D9"/>
    <w:rsid w:val="002A5A11"/>
    <w:rsid w:val="002A67D5"/>
    <w:rsid w:val="002A7C77"/>
    <w:rsid w:val="002B15C2"/>
    <w:rsid w:val="002B2268"/>
    <w:rsid w:val="002B4A91"/>
    <w:rsid w:val="002C03AF"/>
    <w:rsid w:val="002C1BB7"/>
    <w:rsid w:val="002C2EEA"/>
    <w:rsid w:val="002C3BA2"/>
    <w:rsid w:val="002C475B"/>
    <w:rsid w:val="002C5843"/>
    <w:rsid w:val="002C65BA"/>
    <w:rsid w:val="002C7F10"/>
    <w:rsid w:val="002D083C"/>
    <w:rsid w:val="002D18C3"/>
    <w:rsid w:val="002D2176"/>
    <w:rsid w:val="002D4904"/>
    <w:rsid w:val="002D629F"/>
    <w:rsid w:val="002E0082"/>
    <w:rsid w:val="002E03DD"/>
    <w:rsid w:val="002E4664"/>
    <w:rsid w:val="002E4EDB"/>
    <w:rsid w:val="002E4EF9"/>
    <w:rsid w:val="002E537C"/>
    <w:rsid w:val="002E558C"/>
    <w:rsid w:val="002E57D4"/>
    <w:rsid w:val="002E5E3F"/>
    <w:rsid w:val="002E6ADF"/>
    <w:rsid w:val="002E73FF"/>
    <w:rsid w:val="002F0752"/>
    <w:rsid w:val="002F4AF6"/>
    <w:rsid w:val="002F7B2A"/>
    <w:rsid w:val="003009B2"/>
    <w:rsid w:val="00300B99"/>
    <w:rsid w:val="00300D63"/>
    <w:rsid w:val="003034CD"/>
    <w:rsid w:val="003039A5"/>
    <w:rsid w:val="003041CC"/>
    <w:rsid w:val="00306298"/>
    <w:rsid w:val="00311131"/>
    <w:rsid w:val="00312FB3"/>
    <w:rsid w:val="00314B98"/>
    <w:rsid w:val="00314F63"/>
    <w:rsid w:val="003154C2"/>
    <w:rsid w:val="00316618"/>
    <w:rsid w:val="00321BD0"/>
    <w:rsid w:val="00322547"/>
    <w:rsid w:val="00323382"/>
    <w:rsid w:val="0032394D"/>
    <w:rsid w:val="003246BD"/>
    <w:rsid w:val="00326B58"/>
    <w:rsid w:val="003302BD"/>
    <w:rsid w:val="00330507"/>
    <w:rsid w:val="00330936"/>
    <w:rsid w:val="00331CF9"/>
    <w:rsid w:val="003336CE"/>
    <w:rsid w:val="00333BD7"/>
    <w:rsid w:val="00340212"/>
    <w:rsid w:val="00344138"/>
    <w:rsid w:val="00345060"/>
    <w:rsid w:val="00345B9F"/>
    <w:rsid w:val="00346318"/>
    <w:rsid w:val="00346856"/>
    <w:rsid w:val="00351063"/>
    <w:rsid w:val="00351EC7"/>
    <w:rsid w:val="00352461"/>
    <w:rsid w:val="003555CD"/>
    <w:rsid w:val="00356131"/>
    <w:rsid w:val="003628A2"/>
    <w:rsid w:val="003640F0"/>
    <w:rsid w:val="003645F1"/>
    <w:rsid w:val="00367DA5"/>
    <w:rsid w:val="0037191E"/>
    <w:rsid w:val="00371937"/>
    <w:rsid w:val="003737F2"/>
    <w:rsid w:val="00377A96"/>
    <w:rsid w:val="00377FE2"/>
    <w:rsid w:val="00382966"/>
    <w:rsid w:val="003845BB"/>
    <w:rsid w:val="00384B8B"/>
    <w:rsid w:val="00387130"/>
    <w:rsid w:val="00387162"/>
    <w:rsid w:val="003903E2"/>
    <w:rsid w:val="00390D8E"/>
    <w:rsid w:val="0039116F"/>
    <w:rsid w:val="00395655"/>
    <w:rsid w:val="003A060F"/>
    <w:rsid w:val="003A48EE"/>
    <w:rsid w:val="003A7841"/>
    <w:rsid w:val="003B4449"/>
    <w:rsid w:val="003B629A"/>
    <w:rsid w:val="003C12C5"/>
    <w:rsid w:val="003C147F"/>
    <w:rsid w:val="003C1F1E"/>
    <w:rsid w:val="003C2DC3"/>
    <w:rsid w:val="003C3996"/>
    <w:rsid w:val="003C557F"/>
    <w:rsid w:val="003C563D"/>
    <w:rsid w:val="003C5C7B"/>
    <w:rsid w:val="003C7D91"/>
    <w:rsid w:val="003D0C7F"/>
    <w:rsid w:val="003D138A"/>
    <w:rsid w:val="003D29B2"/>
    <w:rsid w:val="003D49CF"/>
    <w:rsid w:val="003D6231"/>
    <w:rsid w:val="003D70E0"/>
    <w:rsid w:val="003E111B"/>
    <w:rsid w:val="003E140F"/>
    <w:rsid w:val="003E1677"/>
    <w:rsid w:val="003E361D"/>
    <w:rsid w:val="003F2026"/>
    <w:rsid w:val="003F29BC"/>
    <w:rsid w:val="003F3728"/>
    <w:rsid w:val="003F6D22"/>
    <w:rsid w:val="003F7612"/>
    <w:rsid w:val="003F7CD4"/>
    <w:rsid w:val="00400DC8"/>
    <w:rsid w:val="004027A6"/>
    <w:rsid w:val="0040510D"/>
    <w:rsid w:val="00407815"/>
    <w:rsid w:val="0041144E"/>
    <w:rsid w:val="004145DF"/>
    <w:rsid w:val="00414F26"/>
    <w:rsid w:val="00415D7B"/>
    <w:rsid w:val="00417315"/>
    <w:rsid w:val="00420A7D"/>
    <w:rsid w:val="00420F8B"/>
    <w:rsid w:val="00420FA6"/>
    <w:rsid w:val="0042418B"/>
    <w:rsid w:val="0042440B"/>
    <w:rsid w:val="00426AC8"/>
    <w:rsid w:val="004275A4"/>
    <w:rsid w:val="00427EF4"/>
    <w:rsid w:val="004300D6"/>
    <w:rsid w:val="00430245"/>
    <w:rsid w:val="00430323"/>
    <w:rsid w:val="00430CA1"/>
    <w:rsid w:val="00430FB2"/>
    <w:rsid w:val="00435BAC"/>
    <w:rsid w:val="004361F2"/>
    <w:rsid w:val="004376C2"/>
    <w:rsid w:val="004427B2"/>
    <w:rsid w:val="00442824"/>
    <w:rsid w:val="004444E8"/>
    <w:rsid w:val="004444F4"/>
    <w:rsid w:val="00446865"/>
    <w:rsid w:val="00446B9E"/>
    <w:rsid w:val="00446EC1"/>
    <w:rsid w:val="00450BCC"/>
    <w:rsid w:val="0045180F"/>
    <w:rsid w:val="00452217"/>
    <w:rsid w:val="00453C28"/>
    <w:rsid w:val="00453E7F"/>
    <w:rsid w:val="00453E85"/>
    <w:rsid w:val="004546B0"/>
    <w:rsid w:val="00455D0B"/>
    <w:rsid w:val="00456843"/>
    <w:rsid w:val="004604F1"/>
    <w:rsid w:val="00461920"/>
    <w:rsid w:val="004646DE"/>
    <w:rsid w:val="004674B8"/>
    <w:rsid w:val="0046759A"/>
    <w:rsid w:val="00467C52"/>
    <w:rsid w:val="00470D89"/>
    <w:rsid w:val="004719B1"/>
    <w:rsid w:val="0047261C"/>
    <w:rsid w:val="004739BA"/>
    <w:rsid w:val="004739E7"/>
    <w:rsid w:val="004741D2"/>
    <w:rsid w:val="00475298"/>
    <w:rsid w:val="00483244"/>
    <w:rsid w:val="00483378"/>
    <w:rsid w:val="00483594"/>
    <w:rsid w:val="00483A6F"/>
    <w:rsid w:val="00487E51"/>
    <w:rsid w:val="00490845"/>
    <w:rsid w:val="004908B7"/>
    <w:rsid w:val="00493B7A"/>
    <w:rsid w:val="004942CA"/>
    <w:rsid w:val="0049486D"/>
    <w:rsid w:val="00496618"/>
    <w:rsid w:val="004972E2"/>
    <w:rsid w:val="004A0A82"/>
    <w:rsid w:val="004A207E"/>
    <w:rsid w:val="004A27CC"/>
    <w:rsid w:val="004A285F"/>
    <w:rsid w:val="004A55AC"/>
    <w:rsid w:val="004A5E2A"/>
    <w:rsid w:val="004A6AE4"/>
    <w:rsid w:val="004A70C4"/>
    <w:rsid w:val="004B047B"/>
    <w:rsid w:val="004B290C"/>
    <w:rsid w:val="004B2E13"/>
    <w:rsid w:val="004B413F"/>
    <w:rsid w:val="004B4FC8"/>
    <w:rsid w:val="004B5B51"/>
    <w:rsid w:val="004B735F"/>
    <w:rsid w:val="004C0598"/>
    <w:rsid w:val="004C0606"/>
    <w:rsid w:val="004C0F07"/>
    <w:rsid w:val="004C1080"/>
    <w:rsid w:val="004C2F1C"/>
    <w:rsid w:val="004C420B"/>
    <w:rsid w:val="004C6279"/>
    <w:rsid w:val="004C77FA"/>
    <w:rsid w:val="004C7869"/>
    <w:rsid w:val="004D24E9"/>
    <w:rsid w:val="004D3191"/>
    <w:rsid w:val="004D5FF9"/>
    <w:rsid w:val="004E0260"/>
    <w:rsid w:val="004E16EE"/>
    <w:rsid w:val="004E3F49"/>
    <w:rsid w:val="004E3F53"/>
    <w:rsid w:val="004E4897"/>
    <w:rsid w:val="004E6D10"/>
    <w:rsid w:val="004F09D8"/>
    <w:rsid w:val="004F09FD"/>
    <w:rsid w:val="004F11C4"/>
    <w:rsid w:val="004F17EA"/>
    <w:rsid w:val="004F275F"/>
    <w:rsid w:val="004F2B1B"/>
    <w:rsid w:val="004F4B94"/>
    <w:rsid w:val="004F70FF"/>
    <w:rsid w:val="004F77AB"/>
    <w:rsid w:val="004F7953"/>
    <w:rsid w:val="0050084D"/>
    <w:rsid w:val="00501E0F"/>
    <w:rsid w:val="00501E65"/>
    <w:rsid w:val="00504D1C"/>
    <w:rsid w:val="00506006"/>
    <w:rsid w:val="005061E4"/>
    <w:rsid w:val="005073E1"/>
    <w:rsid w:val="0050754B"/>
    <w:rsid w:val="00507B53"/>
    <w:rsid w:val="005121ED"/>
    <w:rsid w:val="005128EA"/>
    <w:rsid w:val="005130D6"/>
    <w:rsid w:val="00514AC6"/>
    <w:rsid w:val="00515FEC"/>
    <w:rsid w:val="0051624B"/>
    <w:rsid w:val="00517A62"/>
    <w:rsid w:val="00520109"/>
    <w:rsid w:val="00520903"/>
    <w:rsid w:val="00521850"/>
    <w:rsid w:val="00522F73"/>
    <w:rsid w:val="005236C1"/>
    <w:rsid w:val="00524038"/>
    <w:rsid w:val="0052467D"/>
    <w:rsid w:val="00524AA8"/>
    <w:rsid w:val="00524D9C"/>
    <w:rsid w:val="005260B9"/>
    <w:rsid w:val="00527393"/>
    <w:rsid w:val="0053103C"/>
    <w:rsid w:val="00532E4B"/>
    <w:rsid w:val="005335CB"/>
    <w:rsid w:val="00534E66"/>
    <w:rsid w:val="005354D0"/>
    <w:rsid w:val="00540693"/>
    <w:rsid w:val="005408A3"/>
    <w:rsid w:val="00540C53"/>
    <w:rsid w:val="00540EEE"/>
    <w:rsid w:val="00541692"/>
    <w:rsid w:val="005417F3"/>
    <w:rsid w:val="005424B9"/>
    <w:rsid w:val="00543E05"/>
    <w:rsid w:val="005462B1"/>
    <w:rsid w:val="00550BC0"/>
    <w:rsid w:val="005525EA"/>
    <w:rsid w:val="005531AA"/>
    <w:rsid w:val="00554B28"/>
    <w:rsid w:val="00554CC1"/>
    <w:rsid w:val="005576E3"/>
    <w:rsid w:val="00560A43"/>
    <w:rsid w:val="00563FA3"/>
    <w:rsid w:val="005644C8"/>
    <w:rsid w:val="00564500"/>
    <w:rsid w:val="00564E98"/>
    <w:rsid w:val="00565E93"/>
    <w:rsid w:val="00566018"/>
    <w:rsid w:val="00572F83"/>
    <w:rsid w:val="00573E06"/>
    <w:rsid w:val="00574A05"/>
    <w:rsid w:val="005778C6"/>
    <w:rsid w:val="00577AC1"/>
    <w:rsid w:val="005818DD"/>
    <w:rsid w:val="00583A7E"/>
    <w:rsid w:val="00586A0B"/>
    <w:rsid w:val="00586CF4"/>
    <w:rsid w:val="005913D0"/>
    <w:rsid w:val="00591B69"/>
    <w:rsid w:val="00592911"/>
    <w:rsid w:val="00597BAA"/>
    <w:rsid w:val="00597D5D"/>
    <w:rsid w:val="005A1896"/>
    <w:rsid w:val="005A224A"/>
    <w:rsid w:val="005A28D2"/>
    <w:rsid w:val="005A338B"/>
    <w:rsid w:val="005A3AC5"/>
    <w:rsid w:val="005A3BFE"/>
    <w:rsid w:val="005A407D"/>
    <w:rsid w:val="005A4A9A"/>
    <w:rsid w:val="005A5DAE"/>
    <w:rsid w:val="005A6A09"/>
    <w:rsid w:val="005A6C42"/>
    <w:rsid w:val="005B194F"/>
    <w:rsid w:val="005B19E3"/>
    <w:rsid w:val="005B3673"/>
    <w:rsid w:val="005B6646"/>
    <w:rsid w:val="005B7002"/>
    <w:rsid w:val="005C2DFD"/>
    <w:rsid w:val="005C3CEF"/>
    <w:rsid w:val="005C43C6"/>
    <w:rsid w:val="005C4BE7"/>
    <w:rsid w:val="005C61F4"/>
    <w:rsid w:val="005C7A87"/>
    <w:rsid w:val="005D00DB"/>
    <w:rsid w:val="005D0610"/>
    <w:rsid w:val="005D06F0"/>
    <w:rsid w:val="005D094A"/>
    <w:rsid w:val="005D0F46"/>
    <w:rsid w:val="005D1127"/>
    <w:rsid w:val="005D276C"/>
    <w:rsid w:val="005D3B47"/>
    <w:rsid w:val="005D5B4B"/>
    <w:rsid w:val="005D72C5"/>
    <w:rsid w:val="005D733F"/>
    <w:rsid w:val="005E08BD"/>
    <w:rsid w:val="005E0F94"/>
    <w:rsid w:val="005E3261"/>
    <w:rsid w:val="005E36D5"/>
    <w:rsid w:val="005E3A50"/>
    <w:rsid w:val="005E4874"/>
    <w:rsid w:val="005E4C23"/>
    <w:rsid w:val="005E4CF0"/>
    <w:rsid w:val="005E507D"/>
    <w:rsid w:val="005E5B1D"/>
    <w:rsid w:val="005F0236"/>
    <w:rsid w:val="005F0C39"/>
    <w:rsid w:val="005F421E"/>
    <w:rsid w:val="005F53D2"/>
    <w:rsid w:val="005F630F"/>
    <w:rsid w:val="005F69DF"/>
    <w:rsid w:val="0060094C"/>
    <w:rsid w:val="00600B63"/>
    <w:rsid w:val="00601137"/>
    <w:rsid w:val="006040E1"/>
    <w:rsid w:val="006047B5"/>
    <w:rsid w:val="006047CE"/>
    <w:rsid w:val="0060491C"/>
    <w:rsid w:val="00604A61"/>
    <w:rsid w:val="00606101"/>
    <w:rsid w:val="00610231"/>
    <w:rsid w:val="006124CF"/>
    <w:rsid w:val="00617D55"/>
    <w:rsid w:val="00617F06"/>
    <w:rsid w:val="00621F87"/>
    <w:rsid w:val="006222B2"/>
    <w:rsid w:val="006240D8"/>
    <w:rsid w:val="00624738"/>
    <w:rsid w:val="00626132"/>
    <w:rsid w:val="006310A1"/>
    <w:rsid w:val="006317AC"/>
    <w:rsid w:val="0063318F"/>
    <w:rsid w:val="00633884"/>
    <w:rsid w:val="00634DDD"/>
    <w:rsid w:val="006361E3"/>
    <w:rsid w:val="00636320"/>
    <w:rsid w:val="0063730A"/>
    <w:rsid w:val="00641DE7"/>
    <w:rsid w:val="00641EF4"/>
    <w:rsid w:val="00642470"/>
    <w:rsid w:val="00642D90"/>
    <w:rsid w:val="00645DFC"/>
    <w:rsid w:val="0065019C"/>
    <w:rsid w:val="006539A6"/>
    <w:rsid w:val="00653E67"/>
    <w:rsid w:val="00656642"/>
    <w:rsid w:val="00656BDA"/>
    <w:rsid w:val="0066109E"/>
    <w:rsid w:val="00661A0C"/>
    <w:rsid w:val="00662188"/>
    <w:rsid w:val="00662BFF"/>
    <w:rsid w:val="00663337"/>
    <w:rsid w:val="006712A6"/>
    <w:rsid w:val="00671910"/>
    <w:rsid w:val="00671E4E"/>
    <w:rsid w:val="00673257"/>
    <w:rsid w:val="0067456E"/>
    <w:rsid w:val="00675133"/>
    <w:rsid w:val="00676037"/>
    <w:rsid w:val="006773A2"/>
    <w:rsid w:val="00677D9A"/>
    <w:rsid w:val="006802C1"/>
    <w:rsid w:val="006810DD"/>
    <w:rsid w:val="006818E8"/>
    <w:rsid w:val="00681C2B"/>
    <w:rsid w:val="00682E63"/>
    <w:rsid w:val="00685E6E"/>
    <w:rsid w:val="00686437"/>
    <w:rsid w:val="00686496"/>
    <w:rsid w:val="00690FE6"/>
    <w:rsid w:val="00691BD4"/>
    <w:rsid w:val="00692346"/>
    <w:rsid w:val="006940E7"/>
    <w:rsid w:val="00694141"/>
    <w:rsid w:val="006941C8"/>
    <w:rsid w:val="00697863"/>
    <w:rsid w:val="006A0CE3"/>
    <w:rsid w:val="006A0D8A"/>
    <w:rsid w:val="006A20CC"/>
    <w:rsid w:val="006A343F"/>
    <w:rsid w:val="006A36D7"/>
    <w:rsid w:val="006A3AD5"/>
    <w:rsid w:val="006A512F"/>
    <w:rsid w:val="006A5395"/>
    <w:rsid w:val="006A6D9B"/>
    <w:rsid w:val="006A70E2"/>
    <w:rsid w:val="006B054D"/>
    <w:rsid w:val="006B0FEE"/>
    <w:rsid w:val="006B20EC"/>
    <w:rsid w:val="006B4070"/>
    <w:rsid w:val="006B5E2B"/>
    <w:rsid w:val="006B6B69"/>
    <w:rsid w:val="006C1B92"/>
    <w:rsid w:val="006C1FAA"/>
    <w:rsid w:val="006C33EC"/>
    <w:rsid w:val="006C5DD9"/>
    <w:rsid w:val="006C605F"/>
    <w:rsid w:val="006C6A82"/>
    <w:rsid w:val="006D1DF2"/>
    <w:rsid w:val="006D1F20"/>
    <w:rsid w:val="006D2BDD"/>
    <w:rsid w:val="006D389B"/>
    <w:rsid w:val="006D4254"/>
    <w:rsid w:val="006D5F6F"/>
    <w:rsid w:val="006D6C3E"/>
    <w:rsid w:val="006D6CEA"/>
    <w:rsid w:val="006D70A7"/>
    <w:rsid w:val="006D745F"/>
    <w:rsid w:val="006D7881"/>
    <w:rsid w:val="006D7E56"/>
    <w:rsid w:val="006E01F0"/>
    <w:rsid w:val="006E23DE"/>
    <w:rsid w:val="006E31CC"/>
    <w:rsid w:val="006E32E7"/>
    <w:rsid w:val="006E3D3C"/>
    <w:rsid w:val="006E46A3"/>
    <w:rsid w:val="006E4DC3"/>
    <w:rsid w:val="006E52C5"/>
    <w:rsid w:val="006E58C1"/>
    <w:rsid w:val="006E7B3B"/>
    <w:rsid w:val="006F282A"/>
    <w:rsid w:val="006F33DD"/>
    <w:rsid w:val="006F35F8"/>
    <w:rsid w:val="006F4526"/>
    <w:rsid w:val="006F5502"/>
    <w:rsid w:val="006F5CE3"/>
    <w:rsid w:val="006F6420"/>
    <w:rsid w:val="006F6923"/>
    <w:rsid w:val="006F6ABC"/>
    <w:rsid w:val="00702B18"/>
    <w:rsid w:val="007030A8"/>
    <w:rsid w:val="007038DB"/>
    <w:rsid w:val="00704988"/>
    <w:rsid w:val="00705659"/>
    <w:rsid w:val="00707A8E"/>
    <w:rsid w:val="007106FE"/>
    <w:rsid w:val="00712F24"/>
    <w:rsid w:val="0071354E"/>
    <w:rsid w:val="00715FC7"/>
    <w:rsid w:val="007160B3"/>
    <w:rsid w:val="00716B72"/>
    <w:rsid w:val="00717394"/>
    <w:rsid w:val="00717743"/>
    <w:rsid w:val="007201DC"/>
    <w:rsid w:val="00720625"/>
    <w:rsid w:val="0072098B"/>
    <w:rsid w:val="00723D89"/>
    <w:rsid w:val="00724DC0"/>
    <w:rsid w:val="007261CF"/>
    <w:rsid w:val="00731B88"/>
    <w:rsid w:val="00732DEB"/>
    <w:rsid w:val="00735B16"/>
    <w:rsid w:val="007362EB"/>
    <w:rsid w:val="00736B76"/>
    <w:rsid w:val="00736C03"/>
    <w:rsid w:val="007377F2"/>
    <w:rsid w:val="00737BC4"/>
    <w:rsid w:val="00737D3E"/>
    <w:rsid w:val="0074014A"/>
    <w:rsid w:val="007423F8"/>
    <w:rsid w:val="007431DE"/>
    <w:rsid w:val="00743EFE"/>
    <w:rsid w:val="00745349"/>
    <w:rsid w:val="0074534D"/>
    <w:rsid w:val="007511D5"/>
    <w:rsid w:val="007516D1"/>
    <w:rsid w:val="00751E85"/>
    <w:rsid w:val="0075213E"/>
    <w:rsid w:val="00752B84"/>
    <w:rsid w:val="00753049"/>
    <w:rsid w:val="00753B57"/>
    <w:rsid w:val="00756242"/>
    <w:rsid w:val="00756290"/>
    <w:rsid w:val="00756A19"/>
    <w:rsid w:val="0076108C"/>
    <w:rsid w:val="00761B5E"/>
    <w:rsid w:val="0076408A"/>
    <w:rsid w:val="0076648E"/>
    <w:rsid w:val="00773DD9"/>
    <w:rsid w:val="00774BE7"/>
    <w:rsid w:val="00775304"/>
    <w:rsid w:val="00776A84"/>
    <w:rsid w:val="00777754"/>
    <w:rsid w:val="007806A8"/>
    <w:rsid w:val="00781306"/>
    <w:rsid w:val="00781635"/>
    <w:rsid w:val="007836C8"/>
    <w:rsid w:val="007851BB"/>
    <w:rsid w:val="00790ADA"/>
    <w:rsid w:val="00791F32"/>
    <w:rsid w:val="007934F1"/>
    <w:rsid w:val="00794229"/>
    <w:rsid w:val="00795A1B"/>
    <w:rsid w:val="007970F0"/>
    <w:rsid w:val="007971F3"/>
    <w:rsid w:val="00797C76"/>
    <w:rsid w:val="007A1BCA"/>
    <w:rsid w:val="007A30DD"/>
    <w:rsid w:val="007A3401"/>
    <w:rsid w:val="007A4157"/>
    <w:rsid w:val="007B1141"/>
    <w:rsid w:val="007B24F7"/>
    <w:rsid w:val="007B3D33"/>
    <w:rsid w:val="007B47A9"/>
    <w:rsid w:val="007B4CFC"/>
    <w:rsid w:val="007B5C10"/>
    <w:rsid w:val="007B6FFE"/>
    <w:rsid w:val="007C0484"/>
    <w:rsid w:val="007C393A"/>
    <w:rsid w:val="007C6C8E"/>
    <w:rsid w:val="007D09DC"/>
    <w:rsid w:val="007D4566"/>
    <w:rsid w:val="007D6B06"/>
    <w:rsid w:val="007D6FD8"/>
    <w:rsid w:val="007D76D7"/>
    <w:rsid w:val="007E11C0"/>
    <w:rsid w:val="007E249E"/>
    <w:rsid w:val="007E4DF7"/>
    <w:rsid w:val="007E5ED7"/>
    <w:rsid w:val="007E6242"/>
    <w:rsid w:val="007E633B"/>
    <w:rsid w:val="007E6AD6"/>
    <w:rsid w:val="007F130B"/>
    <w:rsid w:val="007F135A"/>
    <w:rsid w:val="007F16D2"/>
    <w:rsid w:val="007F1CED"/>
    <w:rsid w:val="007F4563"/>
    <w:rsid w:val="007F5275"/>
    <w:rsid w:val="00800079"/>
    <w:rsid w:val="0080232E"/>
    <w:rsid w:val="00803CA0"/>
    <w:rsid w:val="008053FB"/>
    <w:rsid w:val="008059AC"/>
    <w:rsid w:val="00807EF1"/>
    <w:rsid w:val="008125C1"/>
    <w:rsid w:val="00812789"/>
    <w:rsid w:val="00813EBF"/>
    <w:rsid w:val="00816EA1"/>
    <w:rsid w:val="00817D17"/>
    <w:rsid w:val="00821662"/>
    <w:rsid w:val="00824BA3"/>
    <w:rsid w:val="00825F4B"/>
    <w:rsid w:val="00826F86"/>
    <w:rsid w:val="00827624"/>
    <w:rsid w:val="00827C86"/>
    <w:rsid w:val="00831124"/>
    <w:rsid w:val="00831D3C"/>
    <w:rsid w:val="00831E9A"/>
    <w:rsid w:val="008327F5"/>
    <w:rsid w:val="00833124"/>
    <w:rsid w:val="0083397B"/>
    <w:rsid w:val="0083418B"/>
    <w:rsid w:val="008360E0"/>
    <w:rsid w:val="0083623B"/>
    <w:rsid w:val="00841854"/>
    <w:rsid w:val="00842C8D"/>
    <w:rsid w:val="008434D2"/>
    <w:rsid w:val="00844CC3"/>
    <w:rsid w:val="00845BC3"/>
    <w:rsid w:val="00846E8D"/>
    <w:rsid w:val="008476BF"/>
    <w:rsid w:val="00847CFC"/>
    <w:rsid w:val="008508D5"/>
    <w:rsid w:val="0085319B"/>
    <w:rsid w:val="00853C0E"/>
    <w:rsid w:val="00854E7C"/>
    <w:rsid w:val="00855317"/>
    <w:rsid w:val="00855962"/>
    <w:rsid w:val="00857187"/>
    <w:rsid w:val="00860921"/>
    <w:rsid w:val="00860FE7"/>
    <w:rsid w:val="00861994"/>
    <w:rsid w:val="00861CE5"/>
    <w:rsid w:val="0086226E"/>
    <w:rsid w:val="00864193"/>
    <w:rsid w:val="0086505F"/>
    <w:rsid w:val="00865EE3"/>
    <w:rsid w:val="0086600C"/>
    <w:rsid w:val="00872A86"/>
    <w:rsid w:val="00873354"/>
    <w:rsid w:val="00874481"/>
    <w:rsid w:val="00875D88"/>
    <w:rsid w:val="00881967"/>
    <w:rsid w:val="008835B5"/>
    <w:rsid w:val="0088605D"/>
    <w:rsid w:val="008869FA"/>
    <w:rsid w:val="00887913"/>
    <w:rsid w:val="00890675"/>
    <w:rsid w:val="0089123B"/>
    <w:rsid w:val="00891BE7"/>
    <w:rsid w:val="00893267"/>
    <w:rsid w:val="00894526"/>
    <w:rsid w:val="00894946"/>
    <w:rsid w:val="0089506D"/>
    <w:rsid w:val="008968DF"/>
    <w:rsid w:val="00896ECC"/>
    <w:rsid w:val="00897F84"/>
    <w:rsid w:val="008A00BC"/>
    <w:rsid w:val="008A0B79"/>
    <w:rsid w:val="008A1687"/>
    <w:rsid w:val="008A2346"/>
    <w:rsid w:val="008A2DF5"/>
    <w:rsid w:val="008A3A73"/>
    <w:rsid w:val="008A43AD"/>
    <w:rsid w:val="008A4DBD"/>
    <w:rsid w:val="008A52D8"/>
    <w:rsid w:val="008A5E27"/>
    <w:rsid w:val="008A6FF9"/>
    <w:rsid w:val="008A721D"/>
    <w:rsid w:val="008B229A"/>
    <w:rsid w:val="008B48E6"/>
    <w:rsid w:val="008B6A6F"/>
    <w:rsid w:val="008C01F4"/>
    <w:rsid w:val="008C0503"/>
    <w:rsid w:val="008C09DD"/>
    <w:rsid w:val="008C4A55"/>
    <w:rsid w:val="008C4E10"/>
    <w:rsid w:val="008C5E5E"/>
    <w:rsid w:val="008D08F5"/>
    <w:rsid w:val="008D0DDB"/>
    <w:rsid w:val="008D2350"/>
    <w:rsid w:val="008D3FD0"/>
    <w:rsid w:val="008D56D6"/>
    <w:rsid w:val="008D579B"/>
    <w:rsid w:val="008D583E"/>
    <w:rsid w:val="008D7657"/>
    <w:rsid w:val="008E1CC8"/>
    <w:rsid w:val="008E24D8"/>
    <w:rsid w:val="008E2B39"/>
    <w:rsid w:val="008E3970"/>
    <w:rsid w:val="008E3AC0"/>
    <w:rsid w:val="008E51F3"/>
    <w:rsid w:val="008E6946"/>
    <w:rsid w:val="008E6E39"/>
    <w:rsid w:val="008E7705"/>
    <w:rsid w:val="008E77F4"/>
    <w:rsid w:val="008E7AF3"/>
    <w:rsid w:val="008E7E4D"/>
    <w:rsid w:val="008F07CF"/>
    <w:rsid w:val="008F1D1A"/>
    <w:rsid w:val="008F3218"/>
    <w:rsid w:val="008F35DB"/>
    <w:rsid w:val="008F39D3"/>
    <w:rsid w:val="008F4969"/>
    <w:rsid w:val="008F5129"/>
    <w:rsid w:val="008F540F"/>
    <w:rsid w:val="008F6393"/>
    <w:rsid w:val="008F6748"/>
    <w:rsid w:val="00901B11"/>
    <w:rsid w:val="00901E19"/>
    <w:rsid w:val="00901F49"/>
    <w:rsid w:val="00902FF9"/>
    <w:rsid w:val="00904B60"/>
    <w:rsid w:val="00905EB8"/>
    <w:rsid w:val="00905F3A"/>
    <w:rsid w:val="009066B0"/>
    <w:rsid w:val="0090679B"/>
    <w:rsid w:val="0090782D"/>
    <w:rsid w:val="00912765"/>
    <w:rsid w:val="00913A84"/>
    <w:rsid w:val="0091523F"/>
    <w:rsid w:val="0091558A"/>
    <w:rsid w:val="009167F2"/>
    <w:rsid w:val="00917058"/>
    <w:rsid w:val="00923C45"/>
    <w:rsid w:val="00924F7D"/>
    <w:rsid w:val="0092693D"/>
    <w:rsid w:val="0093024B"/>
    <w:rsid w:val="00931102"/>
    <w:rsid w:val="009312BE"/>
    <w:rsid w:val="00932D4A"/>
    <w:rsid w:val="00936B7F"/>
    <w:rsid w:val="00937544"/>
    <w:rsid w:val="009415CD"/>
    <w:rsid w:val="0094334A"/>
    <w:rsid w:val="00943E2F"/>
    <w:rsid w:val="00944EC7"/>
    <w:rsid w:val="00950B10"/>
    <w:rsid w:val="00952D0A"/>
    <w:rsid w:val="00953FD7"/>
    <w:rsid w:val="00954732"/>
    <w:rsid w:val="009551F9"/>
    <w:rsid w:val="00956BD2"/>
    <w:rsid w:val="0096092A"/>
    <w:rsid w:val="00962715"/>
    <w:rsid w:val="00963058"/>
    <w:rsid w:val="00963AE2"/>
    <w:rsid w:val="00963E96"/>
    <w:rsid w:val="00964667"/>
    <w:rsid w:val="00966C16"/>
    <w:rsid w:val="00966D12"/>
    <w:rsid w:val="00972F4C"/>
    <w:rsid w:val="00975F5E"/>
    <w:rsid w:val="00977612"/>
    <w:rsid w:val="009827FE"/>
    <w:rsid w:val="0098370A"/>
    <w:rsid w:val="00983B09"/>
    <w:rsid w:val="00984646"/>
    <w:rsid w:val="0098541A"/>
    <w:rsid w:val="00990860"/>
    <w:rsid w:val="00990FC4"/>
    <w:rsid w:val="00991FDD"/>
    <w:rsid w:val="00992009"/>
    <w:rsid w:val="00992B9B"/>
    <w:rsid w:val="0099450E"/>
    <w:rsid w:val="0099513B"/>
    <w:rsid w:val="00995D64"/>
    <w:rsid w:val="009965B4"/>
    <w:rsid w:val="00996B48"/>
    <w:rsid w:val="009A1269"/>
    <w:rsid w:val="009A19C4"/>
    <w:rsid w:val="009A453C"/>
    <w:rsid w:val="009B1744"/>
    <w:rsid w:val="009B1EE9"/>
    <w:rsid w:val="009B3DAC"/>
    <w:rsid w:val="009B568A"/>
    <w:rsid w:val="009B5B29"/>
    <w:rsid w:val="009B63DE"/>
    <w:rsid w:val="009C08B5"/>
    <w:rsid w:val="009C4545"/>
    <w:rsid w:val="009C4DFC"/>
    <w:rsid w:val="009C5E05"/>
    <w:rsid w:val="009D0944"/>
    <w:rsid w:val="009D281A"/>
    <w:rsid w:val="009D6D2E"/>
    <w:rsid w:val="009D753B"/>
    <w:rsid w:val="009E0CEB"/>
    <w:rsid w:val="009E206F"/>
    <w:rsid w:val="009E24BE"/>
    <w:rsid w:val="009E4BD8"/>
    <w:rsid w:val="009E60E1"/>
    <w:rsid w:val="009E6C5E"/>
    <w:rsid w:val="009E7717"/>
    <w:rsid w:val="009E7FF1"/>
    <w:rsid w:val="009F142B"/>
    <w:rsid w:val="009F23CB"/>
    <w:rsid w:val="009F399F"/>
    <w:rsid w:val="009F5722"/>
    <w:rsid w:val="009F70C7"/>
    <w:rsid w:val="009F7176"/>
    <w:rsid w:val="00A02072"/>
    <w:rsid w:val="00A0334B"/>
    <w:rsid w:val="00A03963"/>
    <w:rsid w:val="00A04A98"/>
    <w:rsid w:val="00A11D46"/>
    <w:rsid w:val="00A12D7D"/>
    <w:rsid w:val="00A153F6"/>
    <w:rsid w:val="00A163D9"/>
    <w:rsid w:val="00A16F07"/>
    <w:rsid w:val="00A23452"/>
    <w:rsid w:val="00A24376"/>
    <w:rsid w:val="00A24AF0"/>
    <w:rsid w:val="00A2601C"/>
    <w:rsid w:val="00A2613D"/>
    <w:rsid w:val="00A26499"/>
    <w:rsid w:val="00A27F81"/>
    <w:rsid w:val="00A30636"/>
    <w:rsid w:val="00A30F0D"/>
    <w:rsid w:val="00A31338"/>
    <w:rsid w:val="00A32258"/>
    <w:rsid w:val="00A3356F"/>
    <w:rsid w:val="00A33B43"/>
    <w:rsid w:val="00A33C15"/>
    <w:rsid w:val="00A34220"/>
    <w:rsid w:val="00A34264"/>
    <w:rsid w:val="00A342A5"/>
    <w:rsid w:val="00A34F9A"/>
    <w:rsid w:val="00A3568B"/>
    <w:rsid w:val="00A377AE"/>
    <w:rsid w:val="00A426CE"/>
    <w:rsid w:val="00A428B2"/>
    <w:rsid w:val="00A42D10"/>
    <w:rsid w:val="00A4509D"/>
    <w:rsid w:val="00A46303"/>
    <w:rsid w:val="00A50CD4"/>
    <w:rsid w:val="00A52FAE"/>
    <w:rsid w:val="00A53909"/>
    <w:rsid w:val="00A54A4A"/>
    <w:rsid w:val="00A5623C"/>
    <w:rsid w:val="00A57A10"/>
    <w:rsid w:val="00A57F06"/>
    <w:rsid w:val="00A600FC"/>
    <w:rsid w:val="00A6068D"/>
    <w:rsid w:val="00A606F7"/>
    <w:rsid w:val="00A60884"/>
    <w:rsid w:val="00A610CB"/>
    <w:rsid w:val="00A63BA3"/>
    <w:rsid w:val="00A643D6"/>
    <w:rsid w:val="00A64DC1"/>
    <w:rsid w:val="00A6623B"/>
    <w:rsid w:val="00A669EE"/>
    <w:rsid w:val="00A67068"/>
    <w:rsid w:val="00A7058C"/>
    <w:rsid w:val="00A70B39"/>
    <w:rsid w:val="00A71585"/>
    <w:rsid w:val="00A72224"/>
    <w:rsid w:val="00A72662"/>
    <w:rsid w:val="00A76B61"/>
    <w:rsid w:val="00A85598"/>
    <w:rsid w:val="00A856B0"/>
    <w:rsid w:val="00A8607A"/>
    <w:rsid w:val="00A86D8D"/>
    <w:rsid w:val="00A90530"/>
    <w:rsid w:val="00A917A9"/>
    <w:rsid w:val="00A919EA"/>
    <w:rsid w:val="00A91A2A"/>
    <w:rsid w:val="00A94977"/>
    <w:rsid w:val="00A94B87"/>
    <w:rsid w:val="00A95EA9"/>
    <w:rsid w:val="00A9750F"/>
    <w:rsid w:val="00AA138C"/>
    <w:rsid w:val="00AA599A"/>
    <w:rsid w:val="00AA5E2F"/>
    <w:rsid w:val="00AB2360"/>
    <w:rsid w:val="00AB33F2"/>
    <w:rsid w:val="00AB5812"/>
    <w:rsid w:val="00AB5BFC"/>
    <w:rsid w:val="00AB66D3"/>
    <w:rsid w:val="00AB7845"/>
    <w:rsid w:val="00AC135D"/>
    <w:rsid w:val="00AC2072"/>
    <w:rsid w:val="00AC40DC"/>
    <w:rsid w:val="00AC4ECB"/>
    <w:rsid w:val="00AD3F9D"/>
    <w:rsid w:val="00AD42EA"/>
    <w:rsid w:val="00AD4746"/>
    <w:rsid w:val="00AD5010"/>
    <w:rsid w:val="00AE14CA"/>
    <w:rsid w:val="00AE1D8E"/>
    <w:rsid w:val="00AE20C4"/>
    <w:rsid w:val="00AE2731"/>
    <w:rsid w:val="00AE3244"/>
    <w:rsid w:val="00AE4C05"/>
    <w:rsid w:val="00AE564E"/>
    <w:rsid w:val="00AE6725"/>
    <w:rsid w:val="00AE6BE8"/>
    <w:rsid w:val="00AE6FA9"/>
    <w:rsid w:val="00AF12B7"/>
    <w:rsid w:val="00AF2498"/>
    <w:rsid w:val="00AF4D26"/>
    <w:rsid w:val="00AF4F2E"/>
    <w:rsid w:val="00AF73A4"/>
    <w:rsid w:val="00B00BAD"/>
    <w:rsid w:val="00B00DA4"/>
    <w:rsid w:val="00B03860"/>
    <w:rsid w:val="00B04D19"/>
    <w:rsid w:val="00B05A10"/>
    <w:rsid w:val="00B06524"/>
    <w:rsid w:val="00B0677C"/>
    <w:rsid w:val="00B0691A"/>
    <w:rsid w:val="00B07C49"/>
    <w:rsid w:val="00B10FCB"/>
    <w:rsid w:val="00B11252"/>
    <w:rsid w:val="00B1153E"/>
    <w:rsid w:val="00B1358E"/>
    <w:rsid w:val="00B145B3"/>
    <w:rsid w:val="00B152AE"/>
    <w:rsid w:val="00B15896"/>
    <w:rsid w:val="00B15A62"/>
    <w:rsid w:val="00B16649"/>
    <w:rsid w:val="00B17C41"/>
    <w:rsid w:val="00B17FDB"/>
    <w:rsid w:val="00B24B51"/>
    <w:rsid w:val="00B26A8E"/>
    <w:rsid w:val="00B2760F"/>
    <w:rsid w:val="00B31B92"/>
    <w:rsid w:val="00B320D9"/>
    <w:rsid w:val="00B32135"/>
    <w:rsid w:val="00B321D4"/>
    <w:rsid w:val="00B32676"/>
    <w:rsid w:val="00B330B9"/>
    <w:rsid w:val="00B33559"/>
    <w:rsid w:val="00B341A3"/>
    <w:rsid w:val="00B3495F"/>
    <w:rsid w:val="00B34AF6"/>
    <w:rsid w:val="00B34CBF"/>
    <w:rsid w:val="00B3632A"/>
    <w:rsid w:val="00B36F24"/>
    <w:rsid w:val="00B37C7C"/>
    <w:rsid w:val="00B40DAD"/>
    <w:rsid w:val="00B42361"/>
    <w:rsid w:val="00B429D4"/>
    <w:rsid w:val="00B433E4"/>
    <w:rsid w:val="00B458D2"/>
    <w:rsid w:val="00B46541"/>
    <w:rsid w:val="00B4660F"/>
    <w:rsid w:val="00B5167A"/>
    <w:rsid w:val="00B5191C"/>
    <w:rsid w:val="00B51F46"/>
    <w:rsid w:val="00B52067"/>
    <w:rsid w:val="00B54833"/>
    <w:rsid w:val="00B556DA"/>
    <w:rsid w:val="00B560AF"/>
    <w:rsid w:val="00B5758A"/>
    <w:rsid w:val="00B6338C"/>
    <w:rsid w:val="00B6355E"/>
    <w:rsid w:val="00B64471"/>
    <w:rsid w:val="00B65B84"/>
    <w:rsid w:val="00B67AE2"/>
    <w:rsid w:val="00B7272A"/>
    <w:rsid w:val="00B728C8"/>
    <w:rsid w:val="00B73133"/>
    <w:rsid w:val="00B74629"/>
    <w:rsid w:val="00B75F90"/>
    <w:rsid w:val="00B8036D"/>
    <w:rsid w:val="00B803D5"/>
    <w:rsid w:val="00B8191D"/>
    <w:rsid w:val="00B82C78"/>
    <w:rsid w:val="00B84A5C"/>
    <w:rsid w:val="00B87124"/>
    <w:rsid w:val="00B92D10"/>
    <w:rsid w:val="00B93671"/>
    <w:rsid w:val="00B93841"/>
    <w:rsid w:val="00B948D2"/>
    <w:rsid w:val="00B94908"/>
    <w:rsid w:val="00B95598"/>
    <w:rsid w:val="00BA302B"/>
    <w:rsid w:val="00BA34A2"/>
    <w:rsid w:val="00BA3657"/>
    <w:rsid w:val="00BA4635"/>
    <w:rsid w:val="00BA478A"/>
    <w:rsid w:val="00BA66F5"/>
    <w:rsid w:val="00BA726F"/>
    <w:rsid w:val="00BB5958"/>
    <w:rsid w:val="00BC09A4"/>
    <w:rsid w:val="00BC2111"/>
    <w:rsid w:val="00BC2E43"/>
    <w:rsid w:val="00BC61FD"/>
    <w:rsid w:val="00BC6272"/>
    <w:rsid w:val="00BD0FA0"/>
    <w:rsid w:val="00BD0FD6"/>
    <w:rsid w:val="00BD284B"/>
    <w:rsid w:val="00BD2B98"/>
    <w:rsid w:val="00BD2F6E"/>
    <w:rsid w:val="00BD7382"/>
    <w:rsid w:val="00BD7BD3"/>
    <w:rsid w:val="00BE0D0E"/>
    <w:rsid w:val="00BE0FE1"/>
    <w:rsid w:val="00BE1037"/>
    <w:rsid w:val="00BE379A"/>
    <w:rsid w:val="00BE395D"/>
    <w:rsid w:val="00BE4037"/>
    <w:rsid w:val="00BE482D"/>
    <w:rsid w:val="00BE5DB7"/>
    <w:rsid w:val="00BE6BFB"/>
    <w:rsid w:val="00BF0159"/>
    <w:rsid w:val="00BF3308"/>
    <w:rsid w:val="00BF4B9B"/>
    <w:rsid w:val="00BF5B8B"/>
    <w:rsid w:val="00BF5D30"/>
    <w:rsid w:val="00BF6075"/>
    <w:rsid w:val="00C00CF3"/>
    <w:rsid w:val="00C01B41"/>
    <w:rsid w:val="00C02FA6"/>
    <w:rsid w:val="00C03495"/>
    <w:rsid w:val="00C104FE"/>
    <w:rsid w:val="00C118F2"/>
    <w:rsid w:val="00C11946"/>
    <w:rsid w:val="00C11F9F"/>
    <w:rsid w:val="00C135C1"/>
    <w:rsid w:val="00C1385A"/>
    <w:rsid w:val="00C17436"/>
    <w:rsid w:val="00C20CDA"/>
    <w:rsid w:val="00C20DC3"/>
    <w:rsid w:val="00C216FA"/>
    <w:rsid w:val="00C221F5"/>
    <w:rsid w:val="00C2421A"/>
    <w:rsid w:val="00C274E7"/>
    <w:rsid w:val="00C27D33"/>
    <w:rsid w:val="00C31286"/>
    <w:rsid w:val="00C31A5B"/>
    <w:rsid w:val="00C32478"/>
    <w:rsid w:val="00C34C0E"/>
    <w:rsid w:val="00C35EF2"/>
    <w:rsid w:val="00C403B4"/>
    <w:rsid w:val="00C406DE"/>
    <w:rsid w:val="00C411FE"/>
    <w:rsid w:val="00C416F7"/>
    <w:rsid w:val="00C41B61"/>
    <w:rsid w:val="00C434F9"/>
    <w:rsid w:val="00C447AD"/>
    <w:rsid w:val="00C45CC3"/>
    <w:rsid w:val="00C45CCE"/>
    <w:rsid w:val="00C46170"/>
    <w:rsid w:val="00C4634D"/>
    <w:rsid w:val="00C467CA"/>
    <w:rsid w:val="00C467D4"/>
    <w:rsid w:val="00C46941"/>
    <w:rsid w:val="00C47381"/>
    <w:rsid w:val="00C47FAD"/>
    <w:rsid w:val="00C5278E"/>
    <w:rsid w:val="00C52B9D"/>
    <w:rsid w:val="00C538D8"/>
    <w:rsid w:val="00C550EA"/>
    <w:rsid w:val="00C5589F"/>
    <w:rsid w:val="00C569AB"/>
    <w:rsid w:val="00C57F0D"/>
    <w:rsid w:val="00C6176A"/>
    <w:rsid w:val="00C6242D"/>
    <w:rsid w:val="00C63AA7"/>
    <w:rsid w:val="00C666AF"/>
    <w:rsid w:val="00C711DA"/>
    <w:rsid w:val="00C71863"/>
    <w:rsid w:val="00C718DA"/>
    <w:rsid w:val="00C72BBA"/>
    <w:rsid w:val="00C73873"/>
    <w:rsid w:val="00C75FCC"/>
    <w:rsid w:val="00C80322"/>
    <w:rsid w:val="00C8433A"/>
    <w:rsid w:val="00C85C00"/>
    <w:rsid w:val="00C86431"/>
    <w:rsid w:val="00C907DB"/>
    <w:rsid w:val="00C91224"/>
    <w:rsid w:val="00C9316D"/>
    <w:rsid w:val="00C9387E"/>
    <w:rsid w:val="00C948FD"/>
    <w:rsid w:val="00C975B4"/>
    <w:rsid w:val="00C97FB9"/>
    <w:rsid w:val="00CA031B"/>
    <w:rsid w:val="00CA155E"/>
    <w:rsid w:val="00CA1E20"/>
    <w:rsid w:val="00CA2E10"/>
    <w:rsid w:val="00CA3668"/>
    <w:rsid w:val="00CA3D9D"/>
    <w:rsid w:val="00CA6A60"/>
    <w:rsid w:val="00CA7999"/>
    <w:rsid w:val="00CB14EE"/>
    <w:rsid w:val="00CB2252"/>
    <w:rsid w:val="00CB28AF"/>
    <w:rsid w:val="00CB4E0C"/>
    <w:rsid w:val="00CB6814"/>
    <w:rsid w:val="00CB7943"/>
    <w:rsid w:val="00CC0DD8"/>
    <w:rsid w:val="00CC233B"/>
    <w:rsid w:val="00CC749B"/>
    <w:rsid w:val="00CD02E0"/>
    <w:rsid w:val="00CD056E"/>
    <w:rsid w:val="00CD0B50"/>
    <w:rsid w:val="00CD1405"/>
    <w:rsid w:val="00CD518F"/>
    <w:rsid w:val="00CE192F"/>
    <w:rsid w:val="00CE2A7F"/>
    <w:rsid w:val="00CE3610"/>
    <w:rsid w:val="00CE5CE6"/>
    <w:rsid w:val="00CF00CF"/>
    <w:rsid w:val="00CF24CD"/>
    <w:rsid w:val="00CF2922"/>
    <w:rsid w:val="00CF3D00"/>
    <w:rsid w:val="00CF4EF2"/>
    <w:rsid w:val="00CF5221"/>
    <w:rsid w:val="00CF5822"/>
    <w:rsid w:val="00CF5841"/>
    <w:rsid w:val="00CF5A9B"/>
    <w:rsid w:val="00CF61A2"/>
    <w:rsid w:val="00CF6672"/>
    <w:rsid w:val="00D01B92"/>
    <w:rsid w:val="00D03A5F"/>
    <w:rsid w:val="00D03C40"/>
    <w:rsid w:val="00D049A7"/>
    <w:rsid w:val="00D04F6A"/>
    <w:rsid w:val="00D07E6A"/>
    <w:rsid w:val="00D11E74"/>
    <w:rsid w:val="00D11FEB"/>
    <w:rsid w:val="00D13DED"/>
    <w:rsid w:val="00D144A4"/>
    <w:rsid w:val="00D20423"/>
    <w:rsid w:val="00D20698"/>
    <w:rsid w:val="00D20F99"/>
    <w:rsid w:val="00D22308"/>
    <w:rsid w:val="00D22435"/>
    <w:rsid w:val="00D23711"/>
    <w:rsid w:val="00D25823"/>
    <w:rsid w:val="00D2649F"/>
    <w:rsid w:val="00D2742F"/>
    <w:rsid w:val="00D309E0"/>
    <w:rsid w:val="00D34D79"/>
    <w:rsid w:val="00D36CA4"/>
    <w:rsid w:val="00D37896"/>
    <w:rsid w:val="00D400D4"/>
    <w:rsid w:val="00D4181C"/>
    <w:rsid w:val="00D41A30"/>
    <w:rsid w:val="00D469E3"/>
    <w:rsid w:val="00D4710C"/>
    <w:rsid w:val="00D50A41"/>
    <w:rsid w:val="00D52ABB"/>
    <w:rsid w:val="00D5313C"/>
    <w:rsid w:val="00D532DC"/>
    <w:rsid w:val="00D53C2C"/>
    <w:rsid w:val="00D53C62"/>
    <w:rsid w:val="00D6078A"/>
    <w:rsid w:val="00D62F5A"/>
    <w:rsid w:val="00D63557"/>
    <w:rsid w:val="00D63B71"/>
    <w:rsid w:val="00D63E4A"/>
    <w:rsid w:val="00D63E9B"/>
    <w:rsid w:val="00D71C75"/>
    <w:rsid w:val="00D74A70"/>
    <w:rsid w:val="00D76AAD"/>
    <w:rsid w:val="00D76DCC"/>
    <w:rsid w:val="00D82A70"/>
    <w:rsid w:val="00D82B55"/>
    <w:rsid w:val="00D83702"/>
    <w:rsid w:val="00D838C4"/>
    <w:rsid w:val="00D85B99"/>
    <w:rsid w:val="00D863D3"/>
    <w:rsid w:val="00D96355"/>
    <w:rsid w:val="00D9659F"/>
    <w:rsid w:val="00D96BC4"/>
    <w:rsid w:val="00D96DF5"/>
    <w:rsid w:val="00D97D6D"/>
    <w:rsid w:val="00DA01F4"/>
    <w:rsid w:val="00DA0F8B"/>
    <w:rsid w:val="00DA41AF"/>
    <w:rsid w:val="00DA4C8E"/>
    <w:rsid w:val="00DA704B"/>
    <w:rsid w:val="00DB4FE0"/>
    <w:rsid w:val="00DB5EFB"/>
    <w:rsid w:val="00DB75E1"/>
    <w:rsid w:val="00DC60E2"/>
    <w:rsid w:val="00DC61A2"/>
    <w:rsid w:val="00DD0B05"/>
    <w:rsid w:val="00DD0B73"/>
    <w:rsid w:val="00DD139E"/>
    <w:rsid w:val="00DD4DA6"/>
    <w:rsid w:val="00DD5BC5"/>
    <w:rsid w:val="00DD7AA4"/>
    <w:rsid w:val="00DE0BB6"/>
    <w:rsid w:val="00DE1C7B"/>
    <w:rsid w:val="00DE33B8"/>
    <w:rsid w:val="00DE370C"/>
    <w:rsid w:val="00DE47AE"/>
    <w:rsid w:val="00DE48BE"/>
    <w:rsid w:val="00DE4ACD"/>
    <w:rsid w:val="00DE5489"/>
    <w:rsid w:val="00DF25A4"/>
    <w:rsid w:val="00DF2820"/>
    <w:rsid w:val="00DF32C0"/>
    <w:rsid w:val="00DF40F8"/>
    <w:rsid w:val="00DF4AC7"/>
    <w:rsid w:val="00DF568A"/>
    <w:rsid w:val="00DF5E31"/>
    <w:rsid w:val="00DF5EF4"/>
    <w:rsid w:val="00DF72F3"/>
    <w:rsid w:val="00E00230"/>
    <w:rsid w:val="00E003B7"/>
    <w:rsid w:val="00E00442"/>
    <w:rsid w:val="00E015B8"/>
    <w:rsid w:val="00E02445"/>
    <w:rsid w:val="00E02F88"/>
    <w:rsid w:val="00E043C4"/>
    <w:rsid w:val="00E047E9"/>
    <w:rsid w:val="00E0521D"/>
    <w:rsid w:val="00E067C5"/>
    <w:rsid w:val="00E074E3"/>
    <w:rsid w:val="00E07DBE"/>
    <w:rsid w:val="00E12CA3"/>
    <w:rsid w:val="00E13B7B"/>
    <w:rsid w:val="00E142EC"/>
    <w:rsid w:val="00E146EF"/>
    <w:rsid w:val="00E158DF"/>
    <w:rsid w:val="00E16C3B"/>
    <w:rsid w:val="00E2037B"/>
    <w:rsid w:val="00E2091D"/>
    <w:rsid w:val="00E219F5"/>
    <w:rsid w:val="00E2203D"/>
    <w:rsid w:val="00E220AD"/>
    <w:rsid w:val="00E222BB"/>
    <w:rsid w:val="00E22517"/>
    <w:rsid w:val="00E23F30"/>
    <w:rsid w:val="00E26258"/>
    <w:rsid w:val="00E26A33"/>
    <w:rsid w:val="00E27FFC"/>
    <w:rsid w:val="00E335F8"/>
    <w:rsid w:val="00E33CB4"/>
    <w:rsid w:val="00E3454D"/>
    <w:rsid w:val="00E352D8"/>
    <w:rsid w:val="00E36D56"/>
    <w:rsid w:val="00E377AA"/>
    <w:rsid w:val="00E404A7"/>
    <w:rsid w:val="00E41613"/>
    <w:rsid w:val="00E4166F"/>
    <w:rsid w:val="00E41BB3"/>
    <w:rsid w:val="00E42966"/>
    <w:rsid w:val="00E47313"/>
    <w:rsid w:val="00E47E16"/>
    <w:rsid w:val="00E52B88"/>
    <w:rsid w:val="00E53B43"/>
    <w:rsid w:val="00E53BC4"/>
    <w:rsid w:val="00E54558"/>
    <w:rsid w:val="00E55296"/>
    <w:rsid w:val="00E603BE"/>
    <w:rsid w:val="00E61871"/>
    <w:rsid w:val="00E61C1E"/>
    <w:rsid w:val="00E61E3D"/>
    <w:rsid w:val="00E61F16"/>
    <w:rsid w:val="00E65C58"/>
    <w:rsid w:val="00E66186"/>
    <w:rsid w:val="00E6688E"/>
    <w:rsid w:val="00E67755"/>
    <w:rsid w:val="00E67830"/>
    <w:rsid w:val="00E67A45"/>
    <w:rsid w:val="00E721A2"/>
    <w:rsid w:val="00E72CDA"/>
    <w:rsid w:val="00E76BD1"/>
    <w:rsid w:val="00E77098"/>
    <w:rsid w:val="00E7793E"/>
    <w:rsid w:val="00E7794B"/>
    <w:rsid w:val="00E77A8F"/>
    <w:rsid w:val="00E804F0"/>
    <w:rsid w:val="00E845EB"/>
    <w:rsid w:val="00E8474D"/>
    <w:rsid w:val="00E86A7C"/>
    <w:rsid w:val="00E87046"/>
    <w:rsid w:val="00E87FB2"/>
    <w:rsid w:val="00E90B98"/>
    <w:rsid w:val="00E932E8"/>
    <w:rsid w:val="00E9569E"/>
    <w:rsid w:val="00E959BD"/>
    <w:rsid w:val="00E96851"/>
    <w:rsid w:val="00EA0351"/>
    <w:rsid w:val="00EA151B"/>
    <w:rsid w:val="00EA1694"/>
    <w:rsid w:val="00EA1EB8"/>
    <w:rsid w:val="00EA28DD"/>
    <w:rsid w:val="00EA2ADC"/>
    <w:rsid w:val="00EA3777"/>
    <w:rsid w:val="00EA3B04"/>
    <w:rsid w:val="00EA45A4"/>
    <w:rsid w:val="00EA528F"/>
    <w:rsid w:val="00EA55C2"/>
    <w:rsid w:val="00EA759A"/>
    <w:rsid w:val="00EA7FE4"/>
    <w:rsid w:val="00EB06DD"/>
    <w:rsid w:val="00EB11E2"/>
    <w:rsid w:val="00EB59D0"/>
    <w:rsid w:val="00EB648A"/>
    <w:rsid w:val="00EB6C95"/>
    <w:rsid w:val="00EB6E90"/>
    <w:rsid w:val="00EB71B3"/>
    <w:rsid w:val="00EC103F"/>
    <w:rsid w:val="00EC10EC"/>
    <w:rsid w:val="00EC18A9"/>
    <w:rsid w:val="00EC1E11"/>
    <w:rsid w:val="00EC2608"/>
    <w:rsid w:val="00EC2DD4"/>
    <w:rsid w:val="00EC2FD2"/>
    <w:rsid w:val="00EC388A"/>
    <w:rsid w:val="00EC3C48"/>
    <w:rsid w:val="00EC4A7C"/>
    <w:rsid w:val="00EC4CF4"/>
    <w:rsid w:val="00EC5DBC"/>
    <w:rsid w:val="00EC6B89"/>
    <w:rsid w:val="00ED1496"/>
    <w:rsid w:val="00ED2F3F"/>
    <w:rsid w:val="00ED343A"/>
    <w:rsid w:val="00ED364A"/>
    <w:rsid w:val="00ED37FB"/>
    <w:rsid w:val="00ED38DD"/>
    <w:rsid w:val="00ED3FA9"/>
    <w:rsid w:val="00ED3FB1"/>
    <w:rsid w:val="00ED6823"/>
    <w:rsid w:val="00ED68C9"/>
    <w:rsid w:val="00ED68F5"/>
    <w:rsid w:val="00ED7690"/>
    <w:rsid w:val="00EE137A"/>
    <w:rsid w:val="00EE1A08"/>
    <w:rsid w:val="00EE22E1"/>
    <w:rsid w:val="00EE3199"/>
    <w:rsid w:val="00EE34D1"/>
    <w:rsid w:val="00EE5C17"/>
    <w:rsid w:val="00EF142F"/>
    <w:rsid w:val="00EF21BC"/>
    <w:rsid w:val="00EF22DA"/>
    <w:rsid w:val="00EF3B04"/>
    <w:rsid w:val="00EF431B"/>
    <w:rsid w:val="00EF4920"/>
    <w:rsid w:val="00EF4D25"/>
    <w:rsid w:val="00EF72B0"/>
    <w:rsid w:val="00EF7E8F"/>
    <w:rsid w:val="00F00C40"/>
    <w:rsid w:val="00F00CD5"/>
    <w:rsid w:val="00F010D9"/>
    <w:rsid w:val="00F01245"/>
    <w:rsid w:val="00F03EE5"/>
    <w:rsid w:val="00F04A79"/>
    <w:rsid w:val="00F05DE8"/>
    <w:rsid w:val="00F06310"/>
    <w:rsid w:val="00F12F9E"/>
    <w:rsid w:val="00F138D2"/>
    <w:rsid w:val="00F15297"/>
    <w:rsid w:val="00F20448"/>
    <w:rsid w:val="00F20732"/>
    <w:rsid w:val="00F21CF6"/>
    <w:rsid w:val="00F228CA"/>
    <w:rsid w:val="00F23427"/>
    <w:rsid w:val="00F26EAA"/>
    <w:rsid w:val="00F30D37"/>
    <w:rsid w:val="00F334DB"/>
    <w:rsid w:val="00F338AF"/>
    <w:rsid w:val="00F37E2C"/>
    <w:rsid w:val="00F413E2"/>
    <w:rsid w:val="00F426EE"/>
    <w:rsid w:val="00F43176"/>
    <w:rsid w:val="00F43699"/>
    <w:rsid w:val="00F440D6"/>
    <w:rsid w:val="00F4413E"/>
    <w:rsid w:val="00F4439D"/>
    <w:rsid w:val="00F44CFD"/>
    <w:rsid w:val="00F456C2"/>
    <w:rsid w:val="00F4570D"/>
    <w:rsid w:val="00F45B0C"/>
    <w:rsid w:val="00F5180C"/>
    <w:rsid w:val="00F51B36"/>
    <w:rsid w:val="00F521F4"/>
    <w:rsid w:val="00F54121"/>
    <w:rsid w:val="00F548F8"/>
    <w:rsid w:val="00F54AC6"/>
    <w:rsid w:val="00F57008"/>
    <w:rsid w:val="00F57B09"/>
    <w:rsid w:val="00F6176E"/>
    <w:rsid w:val="00F61E91"/>
    <w:rsid w:val="00F73987"/>
    <w:rsid w:val="00F75DFC"/>
    <w:rsid w:val="00F7694A"/>
    <w:rsid w:val="00F80721"/>
    <w:rsid w:val="00F80CD3"/>
    <w:rsid w:val="00F80FDF"/>
    <w:rsid w:val="00F86B8A"/>
    <w:rsid w:val="00F86FC4"/>
    <w:rsid w:val="00F8787B"/>
    <w:rsid w:val="00F87E94"/>
    <w:rsid w:val="00F87F9C"/>
    <w:rsid w:val="00F910E1"/>
    <w:rsid w:val="00F91229"/>
    <w:rsid w:val="00F916F6"/>
    <w:rsid w:val="00F92145"/>
    <w:rsid w:val="00F93CB3"/>
    <w:rsid w:val="00F94C2A"/>
    <w:rsid w:val="00F94E39"/>
    <w:rsid w:val="00F95CFC"/>
    <w:rsid w:val="00F96E87"/>
    <w:rsid w:val="00F97925"/>
    <w:rsid w:val="00F97DD0"/>
    <w:rsid w:val="00FA15F2"/>
    <w:rsid w:val="00FA26A0"/>
    <w:rsid w:val="00FA2D8D"/>
    <w:rsid w:val="00FA3B4C"/>
    <w:rsid w:val="00FA424D"/>
    <w:rsid w:val="00FA54B3"/>
    <w:rsid w:val="00FA59CF"/>
    <w:rsid w:val="00FA5DC5"/>
    <w:rsid w:val="00FA6E4F"/>
    <w:rsid w:val="00FA70A7"/>
    <w:rsid w:val="00FB0D80"/>
    <w:rsid w:val="00FB1992"/>
    <w:rsid w:val="00FB1F67"/>
    <w:rsid w:val="00FB4BB4"/>
    <w:rsid w:val="00FB55BD"/>
    <w:rsid w:val="00FC3975"/>
    <w:rsid w:val="00FC4E86"/>
    <w:rsid w:val="00FC53F3"/>
    <w:rsid w:val="00FC6F59"/>
    <w:rsid w:val="00FC71D4"/>
    <w:rsid w:val="00FD0C75"/>
    <w:rsid w:val="00FD0C89"/>
    <w:rsid w:val="00FD125F"/>
    <w:rsid w:val="00FD188C"/>
    <w:rsid w:val="00FD2E83"/>
    <w:rsid w:val="00FD3305"/>
    <w:rsid w:val="00FD49E9"/>
    <w:rsid w:val="00FD593C"/>
    <w:rsid w:val="00FD6185"/>
    <w:rsid w:val="00FE05A8"/>
    <w:rsid w:val="00FE09D2"/>
    <w:rsid w:val="00FE49AA"/>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F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paragraph" w:styleId="BodyTextIndent2">
    <w:name w:val="Body Text Indent 2"/>
    <w:basedOn w:val="Normal"/>
    <w:link w:val="BodyTextIndent2Char"/>
    <w:semiHidden/>
    <w:unhideWhenUsed/>
    <w:rsid w:val="000F57E9"/>
    <w:pPr>
      <w:spacing w:after="120" w:line="480" w:lineRule="auto"/>
      <w:ind w:left="283"/>
    </w:pPr>
  </w:style>
  <w:style w:type="character" w:customStyle="1" w:styleId="BodyTextIndent2Char">
    <w:name w:val="Body Text Indent 2 Char"/>
    <w:basedOn w:val="DefaultParagraphFont"/>
    <w:link w:val="BodyTextIndent2"/>
    <w:semiHidden/>
    <w:rsid w:val="000F57E9"/>
    <w:rPr>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81147444">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90182299">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36491239">
      <w:bodyDiv w:val="1"/>
      <w:marLeft w:val="390"/>
      <w:marRight w:val="390"/>
      <w:marTop w:val="0"/>
      <w:marBottom w:val="0"/>
      <w:divBdr>
        <w:top w:val="none" w:sz="0" w:space="0" w:color="auto"/>
        <w:left w:val="none" w:sz="0" w:space="0" w:color="auto"/>
        <w:bottom w:val="none" w:sz="0" w:space="0" w:color="auto"/>
        <w:right w:val="none" w:sz="0" w:space="0" w:color="auto"/>
      </w:divBdr>
      <w:divsChild>
        <w:div w:id="23603168">
          <w:marLeft w:val="0"/>
          <w:marRight w:val="0"/>
          <w:marTop w:val="0"/>
          <w:marBottom w:val="120"/>
          <w:divBdr>
            <w:top w:val="none" w:sz="0" w:space="0" w:color="auto"/>
            <w:left w:val="none" w:sz="0" w:space="0" w:color="auto"/>
            <w:bottom w:val="none" w:sz="0" w:space="0" w:color="auto"/>
            <w:right w:val="none" w:sz="0" w:space="0" w:color="auto"/>
          </w:divBdr>
          <w:divsChild>
            <w:div w:id="1047336914">
              <w:marLeft w:val="0"/>
              <w:marRight w:val="0"/>
              <w:marTop w:val="0"/>
              <w:marBottom w:val="0"/>
              <w:divBdr>
                <w:top w:val="none" w:sz="0" w:space="0" w:color="auto"/>
                <w:left w:val="none" w:sz="0" w:space="0" w:color="auto"/>
                <w:bottom w:val="none" w:sz="0" w:space="0" w:color="auto"/>
                <w:right w:val="none" w:sz="0" w:space="0" w:color="auto"/>
              </w:divBdr>
            </w:div>
            <w:div w:id="18282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428885956">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50833148">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C253-0651-4A52-9A1A-1EBFF98E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25501</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2022-05-03T07:57:00Z</dcterms:created>
  <dcterms:modified xsi:type="dcterms:W3CDTF">2024-01-12T07:51:00Z</dcterms:modified>
</cp:coreProperties>
</file>