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header5.xml" ContentType="application/vnd.openxmlformats-officedocument.wordprocessingml.header+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theme/themeOverride6.xml" ContentType="application/vnd.openxmlformats-officedocument.themeOverride+xml"/>
  <Override PartName="/word/drawings/drawing1.xml" ContentType="application/vnd.openxmlformats-officedocument.drawingml.chartshapes+xml"/>
  <Override PartName="/word/charts/chart14.xml" ContentType="application/vnd.openxmlformats-officedocument.drawingml.chart+xml"/>
  <Override PartName="/word/theme/themeOverride7.xml" ContentType="application/vnd.openxmlformats-officedocument.themeOverride+xml"/>
  <Override PartName="/word/drawings/drawing2.xml" ContentType="application/vnd.openxmlformats-officedocument.drawingml.chartshapes+xml"/>
  <Override PartName="/word/charts/chart1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6.xml" ContentType="application/vnd.openxmlformats-officedocument.drawingml.chart+xml"/>
  <Override PartName="/word/charts/style5.xml" ContentType="application/vnd.ms-office.chartstyle+xml"/>
  <Override PartName="/word/charts/colors5.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1236EB" w14:textId="77777777" w:rsidR="008E2EC4" w:rsidRPr="005B2032" w:rsidRDefault="00E66B3E" w:rsidP="00D62D45">
      <w:pPr>
        <w:pStyle w:val="tabletextleft"/>
        <w:rPr>
          <w:rFonts w:asciiTheme="minorHAnsi" w:hAnsiTheme="minorHAnsi" w:cstheme="minorHAnsi"/>
          <w:lang w:val="en-US"/>
        </w:rPr>
      </w:pPr>
      <w:bookmarkStart w:id="0" w:name="_Toc352315179"/>
      <w:bookmarkStart w:id="1" w:name="_Toc290063474"/>
      <w:bookmarkStart w:id="2" w:name="_Toc285898261"/>
      <w:r w:rsidRPr="005B2032">
        <w:rPr>
          <w:rFonts w:asciiTheme="minorHAnsi" w:hAnsiTheme="minorHAnsi" w:cstheme="minorHAnsi"/>
          <w:noProof/>
        </w:rPr>
        <w:drawing>
          <wp:anchor distT="0" distB="0" distL="114300" distR="114300" simplePos="0" relativeHeight="251654144" behindDoc="0" locked="0" layoutInCell="1" allowOverlap="1" wp14:anchorId="04912CEA" wp14:editId="7C97640E">
            <wp:simplePos x="0" y="0"/>
            <wp:positionH relativeFrom="column">
              <wp:posOffset>57150</wp:posOffset>
            </wp:positionH>
            <wp:positionV relativeFrom="paragraph">
              <wp:posOffset>-347980</wp:posOffset>
            </wp:positionV>
            <wp:extent cx="2999206" cy="900000"/>
            <wp:effectExtent l="0" t="0" r="0" b="0"/>
            <wp:wrapNone/>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99206" cy="9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D183FA" w14:textId="5E3F3DFF" w:rsidR="00FD5BD4" w:rsidRPr="005B2032" w:rsidRDefault="00232E48">
      <w:pPr>
        <w:spacing w:after="0"/>
        <w:jc w:val="left"/>
        <w:rPr>
          <w:rFonts w:asciiTheme="minorHAnsi" w:hAnsiTheme="minorHAnsi" w:cstheme="minorHAnsi"/>
          <w:sz w:val="18"/>
          <w:szCs w:val="20"/>
        </w:rPr>
      </w:pPr>
      <w:r w:rsidRPr="005B2032">
        <w:rPr>
          <w:rFonts w:asciiTheme="minorHAnsi" w:hAnsiTheme="minorHAnsi" w:cstheme="minorHAnsi"/>
          <w:noProof/>
        </w:rPr>
        <mc:AlternateContent>
          <mc:Choice Requires="wps">
            <w:drawing>
              <wp:anchor distT="0" distB="0" distL="114300" distR="114300" simplePos="0" relativeHeight="251658240" behindDoc="0" locked="0" layoutInCell="1" allowOverlap="1" wp14:anchorId="0202529B" wp14:editId="56E65875">
                <wp:simplePos x="0" y="0"/>
                <wp:positionH relativeFrom="column">
                  <wp:posOffset>57150</wp:posOffset>
                </wp:positionH>
                <wp:positionV relativeFrom="paragraph">
                  <wp:posOffset>1469390</wp:posOffset>
                </wp:positionV>
                <wp:extent cx="5911215" cy="3249295"/>
                <wp:effectExtent l="0" t="0" r="0" b="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11215" cy="3249295"/>
                        </a:xfrm>
                        <a:prstGeom prst="rect">
                          <a:avLst/>
                        </a:prstGeom>
                        <a:noFill/>
                        <a:ln w="6350">
                          <a:noFill/>
                        </a:ln>
                        <a:effectLst/>
                      </wps:spPr>
                      <wps:txbx>
                        <w:txbxContent>
                          <w:p w14:paraId="0F739968" w14:textId="77777777" w:rsidR="00B2222A" w:rsidRPr="004C3B04" w:rsidRDefault="00B2222A" w:rsidP="00E860CB">
                            <w:pPr>
                              <w:pStyle w:val="Subtitle"/>
                              <w:numPr>
                                <w:ilvl w:val="0"/>
                                <w:numId w:val="0"/>
                              </w:numPr>
                              <w:spacing w:after="360"/>
                              <w:rPr>
                                <w:rFonts w:asciiTheme="minorHAnsi" w:hAnsiTheme="minorHAnsi" w:cstheme="minorHAnsi"/>
                                <w:color w:val="FFFFFF" w:themeColor="background1"/>
                                <w:spacing w:val="20"/>
                                <w:w w:val="90"/>
                                <w:sz w:val="84"/>
                                <w:szCs w:val="84"/>
                                <w:lang w:val="x-none" w:eastAsia="x-none"/>
                              </w:rPr>
                            </w:pPr>
                            <w:r w:rsidRPr="004C3B04">
                              <w:rPr>
                                <w:rFonts w:asciiTheme="minorHAnsi" w:hAnsiTheme="minorHAnsi" w:cstheme="minorHAnsi"/>
                                <w:color w:val="FFFFFF" w:themeColor="background1"/>
                                <w:spacing w:val="20"/>
                                <w:w w:val="90"/>
                                <w:sz w:val="84"/>
                                <w:szCs w:val="84"/>
                                <w:lang w:val="x-none" w:eastAsia="x-none"/>
                              </w:rPr>
                              <w:t xml:space="preserve">КОНВЕРГЕНТНА </w:t>
                            </w:r>
                            <w:r w:rsidRPr="004C3B04">
                              <w:rPr>
                                <w:rFonts w:asciiTheme="minorHAnsi" w:hAnsiTheme="minorHAnsi" w:cstheme="minorHAnsi"/>
                                <w:color w:val="FFFFFF" w:themeColor="background1"/>
                                <w:spacing w:val="20"/>
                                <w:w w:val="90"/>
                                <w:sz w:val="84"/>
                                <w:szCs w:val="84"/>
                                <w:lang w:val="x-none" w:eastAsia="x-none"/>
                              </w:rPr>
                              <w:br/>
                              <w:t>ПРОГРАМА</w:t>
                            </w:r>
                          </w:p>
                          <w:p w14:paraId="717E81C6" w14:textId="106818B5" w:rsidR="00B2222A" w:rsidRPr="004C3B04" w:rsidRDefault="00B2222A" w:rsidP="00E860CB">
                            <w:pPr>
                              <w:pStyle w:val="Subtitle"/>
                              <w:numPr>
                                <w:ilvl w:val="0"/>
                                <w:numId w:val="0"/>
                              </w:numPr>
                              <w:spacing w:after="360"/>
                              <w:rPr>
                                <w:rFonts w:asciiTheme="minorHAnsi" w:hAnsiTheme="minorHAnsi" w:cstheme="minorHAnsi"/>
                                <w:color w:val="FFFFFF" w:themeColor="background1"/>
                                <w:spacing w:val="20"/>
                                <w:w w:val="90"/>
                                <w:sz w:val="84"/>
                                <w:szCs w:val="84"/>
                                <w:lang w:val="bg-BG" w:eastAsia="x-none"/>
                              </w:rPr>
                            </w:pPr>
                            <w:r>
                              <w:rPr>
                                <w:rFonts w:asciiTheme="minorHAnsi" w:hAnsiTheme="minorHAnsi" w:cstheme="minorHAnsi"/>
                                <w:color w:val="FFFFFF" w:themeColor="background1"/>
                                <w:spacing w:val="20"/>
                                <w:w w:val="90"/>
                                <w:sz w:val="84"/>
                                <w:szCs w:val="84"/>
                                <w:lang w:val="bg-BG" w:eastAsia="x-none"/>
                              </w:rPr>
                              <w:t>(</w:t>
                            </w:r>
                            <w:r w:rsidRPr="004C3B04">
                              <w:rPr>
                                <w:rFonts w:asciiTheme="minorHAnsi" w:hAnsiTheme="minorHAnsi" w:cstheme="minorHAnsi"/>
                                <w:color w:val="FFFFFF" w:themeColor="background1"/>
                                <w:spacing w:val="20"/>
                                <w:w w:val="90"/>
                                <w:sz w:val="84"/>
                                <w:szCs w:val="84"/>
                                <w:lang w:val="x-none" w:eastAsia="x-none"/>
                              </w:rPr>
                              <w:t>202</w:t>
                            </w:r>
                            <w:r>
                              <w:rPr>
                                <w:rFonts w:asciiTheme="minorHAnsi" w:hAnsiTheme="minorHAnsi" w:cstheme="minorHAnsi"/>
                                <w:color w:val="FFFFFF" w:themeColor="background1"/>
                                <w:spacing w:val="20"/>
                                <w:w w:val="90"/>
                                <w:sz w:val="84"/>
                                <w:szCs w:val="84"/>
                                <w:lang w:val="en-US" w:eastAsia="x-none"/>
                              </w:rPr>
                              <w:t>3</w:t>
                            </w:r>
                            <w:r w:rsidRPr="004C3B04">
                              <w:rPr>
                                <w:rFonts w:asciiTheme="minorHAnsi" w:hAnsiTheme="minorHAnsi" w:cstheme="minorHAnsi"/>
                                <w:color w:val="FFFFFF" w:themeColor="background1"/>
                                <w:spacing w:val="20"/>
                                <w:w w:val="90"/>
                                <w:sz w:val="84"/>
                                <w:szCs w:val="84"/>
                                <w:lang w:val="x-none" w:eastAsia="x-none"/>
                              </w:rPr>
                              <w:t>–202</w:t>
                            </w:r>
                            <w:r>
                              <w:rPr>
                                <w:rFonts w:asciiTheme="minorHAnsi" w:hAnsiTheme="minorHAnsi" w:cstheme="minorHAnsi"/>
                                <w:color w:val="FFFFFF" w:themeColor="background1"/>
                                <w:spacing w:val="20"/>
                                <w:w w:val="90"/>
                                <w:sz w:val="84"/>
                                <w:szCs w:val="84"/>
                                <w:lang w:val="en-US" w:eastAsia="x-none"/>
                              </w:rPr>
                              <w:t>6</w:t>
                            </w:r>
                            <w:r>
                              <w:rPr>
                                <w:rFonts w:asciiTheme="minorHAnsi" w:hAnsiTheme="minorHAnsi" w:cstheme="minorHAnsi"/>
                                <w:color w:val="FFFFFF" w:themeColor="background1"/>
                                <w:spacing w:val="20"/>
                                <w:w w:val="90"/>
                                <w:sz w:val="84"/>
                                <w:szCs w:val="84"/>
                                <w:lang w:val="bg-BG" w:eastAsia="x-none"/>
                              </w:rPr>
                              <w:t>)</w:t>
                            </w:r>
                          </w:p>
                          <w:p w14:paraId="1D458324" w14:textId="77777777" w:rsidR="00B2222A" w:rsidRPr="00E153D6" w:rsidRDefault="00B2222A" w:rsidP="00C15D07">
                            <w:pPr>
                              <w:rPr>
                                <w:color w:val="5ECCF3" w:themeColor="accent2"/>
                                <w:sz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02529B" id="_x0000_t202" coordsize="21600,21600" o:spt="202" path="m,l,21600r21600,l21600,xe">
                <v:stroke joinstyle="miter"/>
                <v:path gradientshapeok="t" o:connecttype="rect"/>
              </v:shapetype>
              <v:shape id="Text Box 7" o:spid="_x0000_s1026" type="#_x0000_t202" style="position:absolute;margin-left:4.5pt;margin-top:115.7pt;width:465.45pt;height:255.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" filled="f" stroked="f" strokeweight=".5pt">
                <v:path arrowok="t"/>
                <v:textbox>
                  <w:txbxContent>
                    <w:p w14:paraId="0F739968" w14:textId="77777777" w:rsidR="00B2222A" w:rsidRPr="004C3B04" w:rsidRDefault="00B2222A" w:rsidP="00E860CB">
                      <w:pPr>
                        <w:pStyle w:val="Subtitle"/>
                        <w:numPr>
                          <w:ilvl w:val="0"/>
                          <w:numId w:val="0"/>
                        </w:numPr>
                        <w:spacing w:after="360"/>
                        <w:rPr>
                          <w:rFonts w:asciiTheme="minorHAnsi" w:hAnsiTheme="minorHAnsi" w:cstheme="minorHAnsi"/>
                          <w:color w:val="FFFFFF" w:themeColor="background1"/>
                          <w:spacing w:val="20"/>
                          <w:w w:val="90"/>
                          <w:sz w:val="84"/>
                          <w:szCs w:val="84"/>
                          <w:lang w:val="x-none" w:eastAsia="x-none"/>
                        </w:rPr>
                      </w:pPr>
                      <w:r w:rsidRPr="004C3B04">
                        <w:rPr>
                          <w:rFonts w:asciiTheme="minorHAnsi" w:hAnsiTheme="minorHAnsi" w:cstheme="minorHAnsi"/>
                          <w:color w:val="FFFFFF" w:themeColor="background1"/>
                          <w:spacing w:val="20"/>
                          <w:w w:val="90"/>
                          <w:sz w:val="84"/>
                          <w:szCs w:val="84"/>
                          <w:lang w:val="x-none" w:eastAsia="x-none"/>
                        </w:rPr>
                        <w:t xml:space="preserve">КОНВЕРГЕНТНА </w:t>
                      </w:r>
                      <w:r w:rsidRPr="004C3B04">
                        <w:rPr>
                          <w:rFonts w:asciiTheme="minorHAnsi" w:hAnsiTheme="minorHAnsi" w:cstheme="minorHAnsi"/>
                          <w:color w:val="FFFFFF" w:themeColor="background1"/>
                          <w:spacing w:val="20"/>
                          <w:w w:val="90"/>
                          <w:sz w:val="84"/>
                          <w:szCs w:val="84"/>
                          <w:lang w:val="x-none" w:eastAsia="x-none"/>
                        </w:rPr>
                        <w:br/>
                        <w:t>ПРОГРАМА</w:t>
                      </w:r>
                    </w:p>
                    <w:p w14:paraId="717E81C6" w14:textId="106818B5" w:rsidR="00B2222A" w:rsidRPr="004C3B04" w:rsidRDefault="00B2222A" w:rsidP="00E860CB">
                      <w:pPr>
                        <w:pStyle w:val="Subtitle"/>
                        <w:numPr>
                          <w:ilvl w:val="0"/>
                          <w:numId w:val="0"/>
                        </w:numPr>
                        <w:spacing w:after="360"/>
                        <w:rPr>
                          <w:rFonts w:asciiTheme="minorHAnsi" w:hAnsiTheme="minorHAnsi" w:cstheme="minorHAnsi"/>
                          <w:color w:val="FFFFFF" w:themeColor="background1"/>
                          <w:spacing w:val="20"/>
                          <w:w w:val="90"/>
                          <w:sz w:val="84"/>
                          <w:szCs w:val="84"/>
                          <w:lang w:val="bg-BG" w:eastAsia="x-none"/>
                        </w:rPr>
                      </w:pPr>
                      <w:r>
                        <w:rPr>
                          <w:rFonts w:asciiTheme="minorHAnsi" w:hAnsiTheme="minorHAnsi" w:cstheme="minorHAnsi"/>
                          <w:color w:val="FFFFFF" w:themeColor="background1"/>
                          <w:spacing w:val="20"/>
                          <w:w w:val="90"/>
                          <w:sz w:val="84"/>
                          <w:szCs w:val="84"/>
                          <w:lang w:val="bg-BG" w:eastAsia="x-none"/>
                        </w:rPr>
                        <w:t>(</w:t>
                      </w:r>
                      <w:r w:rsidRPr="004C3B04">
                        <w:rPr>
                          <w:rFonts w:asciiTheme="minorHAnsi" w:hAnsiTheme="minorHAnsi" w:cstheme="minorHAnsi"/>
                          <w:color w:val="FFFFFF" w:themeColor="background1"/>
                          <w:spacing w:val="20"/>
                          <w:w w:val="90"/>
                          <w:sz w:val="84"/>
                          <w:szCs w:val="84"/>
                          <w:lang w:val="x-none" w:eastAsia="x-none"/>
                        </w:rPr>
                        <w:t>202</w:t>
                      </w:r>
                      <w:r>
                        <w:rPr>
                          <w:rFonts w:asciiTheme="minorHAnsi" w:hAnsiTheme="minorHAnsi" w:cstheme="minorHAnsi"/>
                          <w:color w:val="FFFFFF" w:themeColor="background1"/>
                          <w:spacing w:val="20"/>
                          <w:w w:val="90"/>
                          <w:sz w:val="84"/>
                          <w:szCs w:val="84"/>
                          <w:lang w:val="en-US" w:eastAsia="x-none"/>
                        </w:rPr>
                        <w:t>3</w:t>
                      </w:r>
                      <w:r w:rsidRPr="004C3B04">
                        <w:rPr>
                          <w:rFonts w:asciiTheme="minorHAnsi" w:hAnsiTheme="minorHAnsi" w:cstheme="minorHAnsi"/>
                          <w:color w:val="FFFFFF" w:themeColor="background1"/>
                          <w:spacing w:val="20"/>
                          <w:w w:val="90"/>
                          <w:sz w:val="84"/>
                          <w:szCs w:val="84"/>
                          <w:lang w:val="x-none" w:eastAsia="x-none"/>
                        </w:rPr>
                        <w:t>–202</w:t>
                      </w:r>
                      <w:r>
                        <w:rPr>
                          <w:rFonts w:asciiTheme="minorHAnsi" w:hAnsiTheme="minorHAnsi" w:cstheme="minorHAnsi"/>
                          <w:color w:val="FFFFFF" w:themeColor="background1"/>
                          <w:spacing w:val="20"/>
                          <w:w w:val="90"/>
                          <w:sz w:val="84"/>
                          <w:szCs w:val="84"/>
                          <w:lang w:val="en-US" w:eastAsia="x-none"/>
                        </w:rPr>
                        <w:t>6</w:t>
                      </w:r>
                      <w:r>
                        <w:rPr>
                          <w:rFonts w:asciiTheme="minorHAnsi" w:hAnsiTheme="minorHAnsi" w:cstheme="minorHAnsi"/>
                          <w:color w:val="FFFFFF" w:themeColor="background1"/>
                          <w:spacing w:val="20"/>
                          <w:w w:val="90"/>
                          <w:sz w:val="84"/>
                          <w:szCs w:val="84"/>
                          <w:lang w:val="bg-BG" w:eastAsia="x-none"/>
                        </w:rPr>
                        <w:t>)</w:t>
                      </w:r>
                    </w:p>
                    <w:p w14:paraId="1D458324" w14:textId="77777777" w:rsidR="00B2222A" w:rsidRPr="00E153D6" w:rsidRDefault="00B2222A" w:rsidP="00C15D07">
                      <w:pPr>
                        <w:rPr>
                          <w:color w:val="5ECCF3" w:themeColor="accent2"/>
                          <w:sz w:val="12"/>
                        </w:rPr>
                      </w:pPr>
                    </w:p>
                  </w:txbxContent>
                </v:textbox>
              </v:shape>
            </w:pict>
          </mc:Fallback>
        </mc:AlternateContent>
      </w:r>
      <w:r w:rsidRPr="005B2032">
        <w:rPr>
          <w:rFonts w:asciiTheme="minorHAnsi" w:hAnsiTheme="minorHAnsi" w:cstheme="minorHAnsi"/>
          <w:noProof/>
        </w:rPr>
        <mc:AlternateContent>
          <mc:Choice Requires="wps">
            <w:drawing>
              <wp:anchor distT="0" distB="0" distL="114300" distR="114300" simplePos="0" relativeHeight="251660288" behindDoc="0" locked="0" layoutInCell="1" allowOverlap="1" wp14:anchorId="1494DEC8" wp14:editId="2366EACD">
                <wp:simplePos x="0" y="0"/>
                <wp:positionH relativeFrom="column">
                  <wp:posOffset>-904240</wp:posOffset>
                </wp:positionH>
                <wp:positionV relativeFrom="paragraph">
                  <wp:posOffset>1022350</wp:posOffset>
                </wp:positionV>
                <wp:extent cx="7560310" cy="23495"/>
                <wp:effectExtent l="0" t="19050" r="40640" b="52705"/>
                <wp:wrapNone/>
                <wp:docPr id="32" name="Straight Connector 32"/>
                <wp:cNvGraphicFramePr/>
                <a:graphic xmlns:a="http://schemas.openxmlformats.org/drawingml/2006/main">
                  <a:graphicData uri="http://schemas.microsoft.com/office/word/2010/wordprocessingShape">
                    <wps:wsp>
                      <wps:cNvCnPr/>
                      <wps:spPr>
                        <a:xfrm>
                          <a:off x="0" y="0"/>
                          <a:ext cx="7560310" cy="23495"/>
                        </a:xfrm>
                        <a:prstGeom prst="line">
                          <a:avLst/>
                        </a:prstGeom>
                        <a:ln w="571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826E75" id="Straight Connector 3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2pt,80.5pt" to="524.1pt,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" strokecolor="#ff8021 [3208]" strokeweight="4.5pt"/>
            </w:pict>
          </mc:Fallback>
        </mc:AlternateContent>
      </w:r>
      <w:r w:rsidR="009602B2" w:rsidRPr="005B2032">
        <w:rPr>
          <w:rFonts w:asciiTheme="minorHAnsi" w:hAnsiTheme="minorHAnsi" w:cstheme="minorHAnsi"/>
          <w:noProof/>
        </w:rPr>
        <mc:AlternateContent>
          <mc:Choice Requires="wps">
            <w:drawing>
              <wp:anchor distT="0" distB="0" distL="114300" distR="114300" simplePos="0" relativeHeight="251656192" behindDoc="0" locked="0" layoutInCell="1" allowOverlap="1" wp14:anchorId="43A5D87F" wp14:editId="6B31E03D">
                <wp:simplePos x="0" y="0"/>
                <wp:positionH relativeFrom="column">
                  <wp:posOffset>57150</wp:posOffset>
                </wp:positionH>
                <wp:positionV relativeFrom="paragraph">
                  <wp:posOffset>8404225</wp:posOffset>
                </wp:positionV>
                <wp:extent cx="2606040" cy="603885"/>
                <wp:effectExtent l="0" t="0" r="0" b="5715"/>
                <wp:wrapNone/>
                <wp:docPr id="58"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6040" cy="603885"/>
                        </a:xfrm>
                        <a:prstGeom prst="rect">
                          <a:avLst/>
                        </a:prstGeom>
                        <a:noFill/>
                        <a:ln w="6350">
                          <a:noFill/>
                        </a:ln>
                        <a:effectLst/>
                      </wps:spPr>
                      <wps:txbx>
                        <w:txbxContent>
                          <w:p w14:paraId="2C0B1B30" w14:textId="67FA70A0" w:rsidR="00B2222A" w:rsidRPr="00E37D99" w:rsidRDefault="00B2222A" w:rsidP="00C15D07">
                            <w:pPr>
                              <w:spacing w:after="0"/>
                              <w:jc w:val="left"/>
                              <w:rPr>
                                <w:rFonts w:cs="Calibri"/>
                                <w:color w:val="FFFFFF" w:themeColor="background1"/>
                                <w:sz w:val="32"/>
                                <w:szCs w:val="36"/>
                              </w:rPr>
                            </w:pPr>
                            <w:r w:rsidRPr="00E37D99">
                              <w:rPr>
                                <w:rFonts w:cs="Calibri"/>
                                <w:color w:val="FFFFFF" w:themeColor="background1"/>
                                <w:sz w:val="32"/>
                                <w:szCs w:val="36"/>
                              </w:rPr>
                              <w:t>20</w:t>
                            </w:r>
                            <w:r w:rsidRPr="00E37D99">
                              <w:rPr>
                                <w:rFonts w:cs="Calibri"/>
                                <w:color w:val="FFFFFF" w:themeColor="background1"/>
                                <w:sz w:val="32"/>
                                <w:szCs w:val="36"/>
                                <w:lang w:val="en-US"/>
                              </w:rPr>
                              <w:t>2</w:t>
                            </w:r>
                            <w:r>
                              <w:rPr>
                                <w:rFonts w:cs="Calibri"/>
                                <w:color w:val="FFFFFF" w:themeColor="background1"/>
                                <w:sz w:val="32"/>
                                <w:szCs w:val="36"/>
                                <w:lang w:val="en-US"/>
                              </w:rPr>
                              <w:t>3</w:t>
                            </w:r>
                            <w:r w:rsidRPr="00E37D99">
                              <w:rPr>
                                <w:rFonts w:cs="Calibri"/>
                                <w:color w:val="FFFFFF" w:themeColor="background1"/>
                                <w:sz w:val="32"/>
                                <w:szCs w:val="36"/>
                                <w:lang w:val="en-US"/>
                              </w:rPr>
                              <w:t> г.</w:t>
                            </w:r>
                            <w:r w:rsidRPr="00E37D99">
                              <w:rPr>
                                <w:rFonts w:cs="Calibri"/>
                                <w:color w:val="FFFFFF" w:themeColor="background1"/>
                                <w:sz w:val="32"/>
                                <w:szCs w:val="36"/>
                              </w:rPr>
                              <w:br/>
                              <w:t>София, България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5D87F" id="Text Box 681" o:spid="_x0000_s1027" type="#_x0000_t202" style="position:absolute;margin-left:4.5pt;margin-top:661.75pt;width:205.2pt;height:47.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" filled="f" stroked="f" strokeweight=".5pt">
                <v:path arrowok="t"/>
                <v:textbox>
                  <w:txbxContent>
                    <w:p w14:paraId="2C0B1B30" w14:textId="67FA70A0" w:rsidR="00B2222A" w:rsidRPr="00E37D99" w:rsidRDefault="00B2222A" w:rsidP="00C15D07">
                      <w:pPr>
                        <w:spacing w:after="0"/>
                        <w:jc w:val="left"/>
                        <w:rPr>
                          <w:rFonts w:cs="Calibri"/>
                          <w:color w:val="FFFFFF" w:themeColor="background1"/>
                          <w:sz w:val="32"/>
                          <w:szCs w:val="36"/>
                        </w:rPr>
                      </w:pPr>
                      <w:r w:rsidRPr="00E37D99">
                        <w:rPr>
                          <w:rFonts w:cs="Calibri"/>
                          <w:color w:val="FFFFFF" w:themeColor="background1"/>
                          <w:sz w:val="32"/>
                          <w:szCs w:val="36"/>
                        </w:rPr>
                        <w:t>20</w:t>
                      </w:r>
                      <w:r w:rsidRPr="00E37D99">
                        <w:rPr>
                          <w:rFonts w:cs="Calibri"/>
                          <w:color w:val="FFFFFF" w:themeColor="background1"/>
                          <w:sz w:val="32"/>
                          <w:szCs w:val="36"/>
                          <w:lang w:val="en-US"/>
                        </w:rPr>
                        <w:t>2</w:t>
                      </w:r>
                      <w:r>
                        <w:rPr>
                          <w:rFonts w:cs="Calibri"/>
                          <w:color w:val="FFFFFF" w:themeColor="background1"/>
                          <w:sz w:val="32"/>
                          <w:szCs w:val="36"/>
                          <w:lang w:val="en-US"/>
                        </w:rPr>
                        <w:t>3</w:t>
                      </w:r>
                      <w:r w:rsidRPr="00E37D99">
                        <w:rPr>
                          <w:rFonts w:cs="Calibri"/>
                          <w:color w:val="FFFFFF" w:themeColor="background1"/>
                          <w:sz w:val="32"/>
                          <w:szCs w:val="36"/>
                          <w:lang w:val="en-US"/>
                        </w:rPr>
                        <w:t> г.</w:t>
                      </w:r>
                      <w:r w:rsidRPr="00E37D99">
                        <w:rPr>
                          <w:rFonts w:cs="Calibri"/>
                          <w:color w:val="FFFFFF" w:themeColor="background1"/>
                          <w:sz w:val="32"/>
                          <w:szCs w:val="36"/>
                        </w:rPr>
                        <w:br/>
                        <w:t>София, България</w:t>
                      </w:r>
                    </w:p>
                  </w:txbxContent>
                </v:textbox>
              </v:shape>
            </w:pict>
          </mc:Fallback>
        </mc:AlternateContent>
      </w:r>
      <w:r w:rsidR="00EC2B93" w:rsidRPr="005B2032">
        <w:rPr>
          <w:rFonts w:asciiTheme="minorHAnsi" w:hAnsiTheme="minorHAnsi" w:cstheme="minorHAnsi"/>
          <w:noProof/>
        </w:rPr>
        <mc:AlternateContent>
          <mc:Choice Requires="wps">
            <w:drawing>
              <wp:anchor distT="0" distB="0" distL="114300" distR="114300" simplePos="0" relativeHeight="251653119" behindDoc="0" locked="0" layoutInCell="1" allowOverlap="1" wp14:anchorId="276B64DA" wp14:editId="73747F90">
                <wp:simplePos x="0" y="0"/>
                <wp:positionH relativeFrom="column">
                  <wp:posOffset>-900430</wp:posOffset>
                </wp:positionH>
                <wp:positionV relativeFrom="paragraph">
                  <wp:posOffset>1038225</wp:posOffset>
                </wp:positionV>
                <wp:extent cx="7560310" cy="8625840"/>
                <wp:effectExtent l="0" t="0" r="2540" b="3810"/>
                <wp:wrapNone/>
                <wp:docPr id="14" name="Rectangle 14"/>
                <wp:cNvGraphicFramePr/>
                <a:graphic xmlns:a="http://schemas.openxmlformats.org/drawingml/2006/main">
                  <a:graphicData uri="http://schemas.microsoft.com/office/word/2010/wordprocessingShape">
                    <wps:wsp>
                      <wps:cNvSpPr/>
                      <wps:spPr>
                        <a:xfrm>
                          <a:off x="0" y="0"/>
                          <a:ext cx="7560310" cy="8625840"/>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80AF07" w14:textId="37B6BFFE" w:rsidR="00B2222A" w:rsidRDefault="00B2222A" w:rsidP="00C93A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6B64DA" id="Rectangle 14" o:spid="_x0000_s1028" style="position:absolute;margin-left:-70.9pt;margin-top:81.75pt;width:595.3pt;height:679.2pt;z-index:2516531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" fillcolor="#0d77c8 [1614]" stroked="f" strokeweight="1.25pt">
                <v:textbox>
                  <w:txbxContent>
                    <w:p w14:paraId="5B80AF07" w14:textId="37B6BFFE" w:rsidR="00B2222A" w:rsidRDefault="00B2222A" w:rsidP="00C93A45">
                      <w:pPr>
                        <w:jc w:val="center"/>
                      </w:pPr>
                    </w:p>
                  </w:txbxContent>
                </v:textbox>
              </v:rect>
            </w:pict>
          </mc:Fallback>
        </mc:AlternateContent>
      </w:r>
      <w:r w:rsidR="00FD5BD4" w:rsidRPr="005B2032">
        <w:rPr>
          <w:rFonts w:asciiTheme="minorHAnsi" w:hAnsiTheme="minorHAnsi" w:cstheme="minorHAnsi"/>
        </w:rPr>
        <w:br w:type="page"/>
      </w:r>
    </w:p>
    <w:p w14:paraId="04C0E6EA" w14:textId="77777777" w:rsidR="0047731D" w:rsidRPr="005B2032" w:rsidRDefault="0047731D" w:rsidP="00D62D45">
      <w:pPr>
        <w:pStyle w:val="tabletextleft"/>
        <w:rPr>
          <w:rFonts w:asciiTheme="minorHAnsi" w:hAnsiTheme="minorHAnsi" w:cstheme="minorHAnsi"/>
        </w:rPr>
      </w:pPr>
    </w:p>
    <w:p w14:paraId="7767515B" w14:textId="77777777" w:rsidR="00333269" w:rsidRPr="00450C56" w:rsidRDefault="00333269" w:rsidP="007E2D71">
      <w:pPr>
        <w:pStyle w:val="Title"/>
        <w:spacing w:before="3600"/>
        <w:contextualSpacing w:val="0"/>
        <w:rPr>
          <w:rFonts w:asciiTheme="minorHAnsi" w:hAnsiTheme="minorHAnsi" w:cstheme="minorHAnsi"/>
          <w:color w:val="0172B6"/>
          <w:sz w:val="72"/>
          <w:szCs w:val="20"/>
          <w:lang w:val="x-none" w:eastAsia="x-none"/>
        </w:rPr>
      </w:pPr>
      <w:r w:rsidRPr="00450C56">
        <w:rPr>
          <w:rFonts w:asciiTheme="minorHAnsi" w:hAnsiTheme="minorHAnsi" w:cstheme="minorHAnsi"/>
          <w:color w:val="0172B6"/>
          <w:sz w:val="72"/>
          <w:szCs w:val="20"/>
          <w:lang w:val="x-none" w:eastAsia="x-none"/>
        </w:rPr>
        <w:t>Конвергентна</w:t>
      </w:r>
      <w:r w:rsidRPr="00450C56">
        <w:rPr>
          <w:rFonts w:asciiTheme="minorHAnsi" w:hAnsiTheme="minorHAnsi" w:cstheme="minorHAnsi"/>
          <w:color w:val="0172B6"/>
          <w:sz w:val="72"/>
          <w:szCs w:val="20"/>
          <w:lang w:val="x-none" w:eastAsia="x-none"/>
        </w:rPr>
        <w:br/>
        <w:t>програма</w:t>
      </w:r>
    </w:p>
    <w:p w14:paraId="51A912A8" w14:textId="77777777" w:rsidR="00333269" w:rsidRPr="00EC2B93" w:rsidRDefault="00333269" w:rsidP="00D62D45">
      <w:pPr>
        <w:pStyle w:val="tabletextleft"/>
        <w:rPr>
          <w:rFonts w:asciiTheme="minorHAnsi" w:hAnsiTheme="minorHAnsi" w:cstheme="minorHAnsi"/>
          <w:color w:val="6768AB"/>
        </w:rPr>
      </w:pPr>
    </w:p>
    <w:p w14:paraId="5E3DA7F2" w14:textId="066ABF76" w:rsidR="002A6724" w:rsidRPr="00752796" w:rsidRDefault="002A6724" w:rsidP="00802FC3">
      <w:pPr>
        <w:pStyle w:val="Subtitle"/>
        <w:numPr>
          <w:ilvl w:val="0"/>
          <w:numId w:val="0"/>
        </w:numPr>
        <w:rPr>
          <w:rFonts w:asciiTheme="minorHAnsi" w:hAnsiTheme="minorHAnsi" w:cstheme="minorHAnsi"/>
          <w:color w:val="auto"/>
          <w:sz w:val="44"/>
          <w:lang w:val="en-US"/>
        </w:rPr>
      </w:pPr>
      <w:r w:rsidRPr="005B2032">
        <w:rPr>
          <w:rFonts w:asciiTheme="minorHAnsi" w:hAnsiTheme="minorHAnsi" w:cstheme="minorHAnsi"/>
          <w:color w:val="auto"/>
          <w:sz w:val="44"/>
          <w:lang w:val="ru-RU"/>
        </w:rPr>
        <w:t>НА РЕПУБЛИКА БЪЛГАРИЯ</w:t>
      </w:r>
      <w:r w:rsidR="009D026E" w:rsidRPr="005B2032">
        <w:rPr>
          <w:rFonts w:asciiTheme="minorHAnsi" w:hAnsiTheme="minorHAnsi" w:cstheme="minorHAnsi"/>
          <w:color w:val="auto"/>
          <w:sz w:val="44"/>
          <w:lang w:val="ru-RU"/>
        </w:rPr>
        <w:br/>
      </w:r>
      <w:r w:rsidR="009D026E" w:rsidRPr="005B2032">
        <w:rPr>
          <w:rFonts w:asciiTheme="minorHAnsi" w:hAnsiTheme="minorHAnsi" w:cstheme="minorHAnsi"/>
          <w:color w:val="auto"/>
          <w:sz w:val="44"/>
          <w:lang w:val="bg-BG"/>
        </w:rPr>
        <w:t>20</w:t>
      </w:r>
      <w:r w:rsidR="00AB2263" w:rsidRPr="005B2032">
        <w:rPr>
          <w:rFonts w:asciiTheme="minorHAnsi" w:hAnsiTheme="minorHAnsi" w:cstheme="minorHAnsi"/>
          <w:color w:val="auto"/>
          <w:sz w:val="44"/>
          <w:lang w:val="en-US"/>
        </w:rPr>
        <w:t>2</w:t>
      </w:r>
      <w:r w:rsidR="00752796">
        <w:rPr>
          <w:rFonts w:asciiTheme="minorHAnsi" w:hAnsiTheme="minorHAnsi" w:cstheme="minorHAnsi"/>
          <w:color w:val="auto"/>
          <w:sz w:val="44"/>
          <w:lang w:val="en-US"/>
        </w:rPr>
        <w:t>3</w:t>
      </w:r>
      <w:r w:rsidR="004935DD" w:rsidRPr="005B2032">
        <w:rPr>
          <w:rFonts w:asciiTheme="minorHAnsi" w:hAnsiTheme="minorHAnsi" w:cstheme="minorHAnsi"/>
          <w:color w:val="auto"/>
          <w:sz w:val="44"/>
          <w:lang w:val="bg-BG"/>
        </w:rPr>
        <w:t>–</w:t>
      </w:r>
      <w:r w:rsidR="008F0A6C" w:rsidRPr="005B2032">
        <w:rPr>
          <w:rFonts w:asciiTheme="minorHAnsi" w:hAnsiTheme="minorHAnsi" w:cstheme="minorHAnsi"/>
          <w:color w:val="auto"/>
          <w:sz w:val="44"/>
          <w:lang w:val="bg-BG"/>
        </w:rPr>
        <w:t>202</w:t>
      </w:r>
      <w:r w:rsidR="00752796">
        <w:rPr>
          <w:rFonts w:asciiTheme="minorHAnsi" w:hAnsiTheme="minorHAnsi" w:cstheme="minorHAnsi"/>
          <w:color w:val="auto"/>
          <w:sz w:val="44"/>
          <w:lang w:val="en-US"/>
        </w:rPr>
        <w:t>6</w:t>
      </w:r>
    </w:p>
    <w:p w14:paraId="7E60E4D9" w14:textId="77777777" w:rsidR="00333269" w:rsidRPr="005B2032" w:rsidRDefault="00333269" w:rsidP="00D62D45">
      <w:pPr>
        <w:rPr>
          <w:rFonts w:asciiTheme="minorHAnsi" w:hAnsiTheme="minorHAnsi" w:cstheme="minorHAnsi"/>
        </w:rPr>
      </w:pPr>
    </w:p>
    <w:p w14:paraId="66385549" w14:textId="77777777" w:rsidR="00333269" w:rsidRPr="005B2032" w:rsidRDefault="00333269" w:rsidP="00D62D45">
      <w:pPr>
        <w:rPr>
          <w:rFonts w:asciiTheme="minorHAnsi" w:hAnsiTheme="minorHAnsi" w:cstheme="minorHAnsi"/>
        </w:rPr>
      </w:pPr>
    </w:p>
    <w:p w14:paraId="1A2CC67C" w14:textId="77777777" w:rsidR="00333269" w:rsidRPr="005B2032" w:rsidRDefault="00333269" w:rsidP="00D62D45">
      <w:pPr>
        <w:rPr>
          <w:rFonts w:asciiTheme="minorHAnsi" w:hAnsiTheme="minorHAnsi" w:cstheme="minorHAnsi"/>
        </w:rPr>
      </w:pPr>
    </w:p>
    <w:p w14:paraId="42C74B47" w14:textId="77777777" w:rsidR="00333269" w:rsidRPr="005B2032" w:rsidRDefault="00333269" w:rsidP="00D62D45">
      <w:pPr>
        <w:rPr>
          <w:rFonts w:asciiTheme="minorHAnsi" w:hAnsiTheme="minorHAnsi" w:cstheme="minorHAnsi"/>
        </w:rPr>
      </w:pPr>
    </w:p>
    <w:p w14:paraId="729FC087" w14:textId="77777777" w:rsidR="00333269" w:rsidRPr="005B2032" w:rsidRDefault="00333269" w:rsidP="00D62D45">
      <w:pPr>
        <w:rPr>
          <w:rFonts w:asciiTheme="minorHAnsi" w:hAnsiTheme="minorHAnsi" w:cstheme="minorHAnsi"/>
        </w:rPr>
      </w:pPr>
    </w:p>
    <w:p w14:paraId="75A9DDCC" w14:textId="77777777" w:rsidR="00425C5F" w:rsidRPr="005B2032" w:rsidRDefault="00425C5F" w:rsidP="00D62D45">
      <w:pPr>
        <w:rPr>
          <w:rFonts w:asciiTheme="minorHAnsi" w:hAnsiTheme="minorHAnsi" w:cstheme="minorHAnsi"/>
        </w:rPr>
      </w:pPr>
    </w:p>
    <w:p w14:paraId="10AEC489" w14:textId="77777777" w:rsidR="00425C5F" w:rsidRPr="005B2032" w:rsidRDefault="00425C5F" w:rsidP="00D62D45">
      <w:pPr>
        <w:rPr>
          <w:rFonts w:asciiTheme="minorHAnsi" w:hAnsiTheme="minorHAnsi" w:cstheme="minorHAnsi"/>
        </w:rPr>
      </w:pPr>
    </w:p>
    <w:p w14:paraId="1BB68520" w14:textId="77777777" w:rsidR="004E7B7F" w:rsidRPr="005B2032" w:rsidRDefault="004E7B7F" w:rsidP="00AF3683">
      <w:pPr>
        <w:rPr>
          <w:rFonts w:asciiTheme="minorHAnsi" w:hAnsiTheme="minorHAnsi" w:cstheme="minorHAnsi"/>
        </w:rPr>
      </w:pPr>
    </w:p>
    <w:p w14:paraId="441DEFCC" w14:textId="77777777" w:rsidR="00333269" w:rsidRPr="005B2032" w:rsidRDefault="00333269" w:rsidP="00D62D45">
      <w:pPr>
        <w:rPr>
          <w:rFonts w:asciiTheme="minorHAnsi" w:hAnsiTheme="minorHAnsi" w:cstheme="minorHAnsi"/>
        </w:rPr>
      </w:pPr>
    </w:p>
    <w:p w14:paraId="4B853069" w14:textId="77777777" w:rsidR="006657CD" w:rsidRPr="005B2032" w:rsidRDefault="006657CD" w:rsidP="00D62D45">
      <w:pPr>
        <w:rPr>
          <w:rFonts w:asciiTheme="minorHAnsi" w:hAnsiTheme="minorHAnsi" w:cstheme="minorHAnsi"/>
        </w:rPr>
      </w:pPr>
    </w:p>
    <w:p w14:paraId="4F9F1B0A" w14:textId="77777777" w:rsidR="006657CD" w:rsidRPr="005B2032" w:rsidRDefault="006657CD" w:rsidP="00D62D45">
      <w:pPr>
        <w:rPr>
          <w:rFonts w:asciiTheme="minorHAnsi" w:hAnsiTheme="minorHAnsi" w:cstheme="minorHAnsi"/>
        </w:rPr>
      </w:pPr>
    </w:p>
    <w:p w14:paraId="25DD21E1" w14:textId="77777777" w:rsidR="006657CD" w:rsidRPr="005B2032" w:rsidRDefault="006657CD" w:rsidP="00D62D45">
      <w:pPr>
        <w:rPr>
          <w:rFonts w:asciiTheme="minorHAnsi" w:hAnsiTheme="minorHAnsi" w:cstheme="minorHAnsi"/>
        </w:rPr>
      </w:pPr>
    </w:p>
    <w:p w14:paraId="2F698703" w14:textId="42270FF9" w:rsidR="006657CD" w:rsidRDefault="006657CD" w:rsidP="00D62D45">
      <w:pPr>
        <w:rPr>
          <w:rFonts w:asciiTheme="minorHAnsi" w:hAnsiTheme="minorHAnsi" w:cstheme="minorHAnsi"/>
        </w:rPr>
      </w:pPr>
    </w:p>
    <w:p w14:paraId="6F9C8A56" w14:textId="77777777" w:rsidR="00EC2B93" w:rsidRPr="005B2032" w:rsidRDefault="00EC2B93" w:rsidP="00D62D45">
      <w:pPr>
        <w:rPr>
          <w:rFonts w:asciiTheme="minorHAnsi" w:hAnsiTheme="minorHAnsi" w:cstheme="minorHAnsi"/>
        </w:rPr>
      </w:pPr>
    </w:p>
    <w:p w14:paraId="7E6D427F" w14:textId="77777777" w:rsidR="00EB01AE" w:rsidRPr="005B2032" w:rsidRDefault="00EB01AE" w:rsidP="00D62D45">
      <w:pPr>
        <w:rPr>
          <w:rFonts w:asciiTheme="minorHAnsi" w:hAnsiTheme="minorHAnsi" w:cstheme="minorHAnsi"/>
        </w:rPr>
      </w:pPr>
    </w:p>
    <w:p w14:paraId="409CFC1F" w14:textId="77777777" w:rsidR="00EB01AE" w:rsidRPr="005B2032" w:rsidRDefault="00EB01AE" w:rsidP="00D62D45">
      <w:pPr>
        <w:rPr>
          <w:rFonts w:asciiTheme="minorHAnsi" w:hAnsiTheme="minorHAnsi" w:cstheme="minorHAnsi"/>
        </w:rPr>
      </w:pPr>
    </w:p>
    <w:p w14:paraId="61810002" w14:textId="77777777" w:rsidR="00333269" w:rsidRPr="005B2032" w:rsidRDefault="00333269" w:rsidP="00D62D45">
      <w:pPr>
        <w:rPr>
          <w:rFonts w:asciiTheme="minorHAnsi" w:hAnsiTheme="minorHAnsi" w:cstheme="minorHAnsi"/>
        </w:rPr>
      </w:pPr>
    </w:p>
    <w:p w14:paraId="2CEA4942" w14:textId="0F274E9F" w:rsidR="002F2980" w:rsidRPr="005B2032" w:rsidRDefault="00B8453F" w:rsidP="00802FC3">
      <w:pPr>
        <w:jc w:val="left"/>
        <w:rPr>
          <w:rFonts w:asciiTheme="minorHAnsi" w:hAnsiTheme="minorHAnsi" w:cstheme="minorHAnsi"/>
          <w:spacing w:val="20"/>
          <w:sz w:val="28"/>
          <w:szCs w:val="28"/>
        </w:rPr>
      </w:pPr>
      <w:r w:rsidRPr="005B2032">
        <w:rPr>
          <w:rFonts w:asciiTheme="minorHAnsi" w:hAnsiTheme="minorHAnsi" w:cstheme="minorHAnsi"/>
          <w:spacing w:val="20"/>
          <w:sz w:val="28"/>
          <w:szCs w:val="28"/>
        </w:rPr>
        <w:t>София,</w:t>
      </w:r>
      <w:r w:rsidR="008A2E23" w:rsidRPr="005B2032">
        <w:rPr>
          <w:rFonts w:asciiTheme="minorHAnsi" w:hAnsiTheme="minorHAnsi" w:cstheme="minorHAnsi"/>
          <w:spacing w:val="20"/>
          <w:sz w:val="28"/>
          <w:szCs w:val="28"/>
        </w:rPr>
        <w:t xml:space="preserve"> </w:t>
      </w:r>
      <w:r w:rsidR="00333269" w:rsidRPr="005B2032">
        <w:rPr>
          <w:rFonts w:asciiTheme="minorHAnsi" w:hAnsiTheme="minorHAnsi" w:cstheme="minorHAnsi"/>
          <w:spacing w:val="20"/>
          <w:sz w:val="28"/>
          <w:szCs w:val="28"/>
        </w:rPr>
        <w:t>20</w:t>
      </w:r>
      <w:r w:rsidR="006414F9" w:rsidRPr="005B2032">
        <w:rPr>
          <w:rFonts w:asciiTheme="minorHAnsi" w:hAnsiTheme="minorHAnsi" w:cstheme="minorHAnsi"/>
          <w:spacing w:val="20"/>
          <w:sz w:val="28"/>
          <w:szCs w:val="28"/>
          <w:lang w:val="en-US"/>
        </w:rPr>
        <w:t>2</w:t>
      </w:r>
      <w:r w:rsidR="00752796">
        <w:rPr>
          <w:rFonts w:asciiTheme="minorHAnsi" w:hAnsiTheme="minorHAnsi" w:cstheme="minorHAnsi"/>
          <w:spacing w:val="20"/>
          <w:sz w:val="28"/>
          <w:szCs w:val="28"/>
          <w:lang w:val="en-US"/>
        </w:rPr>
        <w:t>3</w:t>
      </w:r>
      <w:r w:rsidR="00B552D5">
        <w:rPr>
          <w:rFonts w:asciiTheme="minorHAnsi" w:hAnsiTheme="minorHAnsi" w:cstheme="minorHAnsi"/>
          <w:spacing w:val="20"/>
          <w:sz w:val="28"/>
          <w:szCs w:val="28"/>
        </w:rPr>
        <w:t> г.</w:t>
      </w:r>
      <w:r w:rsidR="00802FC3" w:rsidRPr="005B2032">
        <w:rPr>
          <w:rFonts w:asciiTheme="minorHAnsi" w:hAnsiTheme="minorHAnsi" w:cstheme="minorHAnsi"/>
          <w:spacing w:val="20"/>
          <w:sz w:val="28"/>
          <w:szCs w:val="28"/>
        </w:rPr>
        <w:br/>
      </w:r>
      <w:r w:rsidR="00EB01AE" w:rsidRPr="005B2032">
        <w:rPr>
          <w:rFonts w:asciiTheme="minorHAnsi" w:hAnsiTheme="minorHAnsi" w:cstheme="minorHAnsi"/>
          <w:spacing w:val="20"/>
          <w:sz w:val="28"/>
          <w:szCs w:val="28"/>
        </w:rPr>
        <w:t>Министерство на финансите</w:t>
      </w:r>
    </w:p>
    <w:p w14:paraId="33093E79" w14:textId="77777777" w:rsidR="002F2980" w:rsidRPr="005B2032" w:rsidRDefault="002F2980" w:rsidP="00802FC3">
      <w:pPr>
        <w:jc w:val="left"/>
        <w:rPr>
          <w:rFonts w:asciiTheme="minorHAnsi" w:hAnsiTheme="minorHAnsi" w:cstheme="minorHAnsi"/>
          <w:spacing w:val="20"/>
          <w:sz w:val="20"/>
        </w:rPr>
        <w:sectPr w:rsidR="002F2980" w:rsidRPr="005B2032" w:rsidSect="00202EFA">
          <w:footerReference w:type="even" r:id="rId35"/>
          <w:footerReference w:type="default" r:id="rId36"/>
          <w:type w:val="continuous"/>
          <w:pgSz w:w="11906" w:h="16838" w:code="9"/>
          <w:pgMar w:top="1418" w:right="1418" w:bottom="851" w:left="1418" w:header="680" w:footer="680" w:gutter="0"/>
          <w:cols w:space="708"/>
          <w:docGrid w:linePitch="360"/>
        </w:sectPr>
      </w:pPr>
    </w:p>
    <w:p w14:paraId="04AE651A" w14:textId="77777777" w:rsidR="00C445AB" w:rsidRPr="00F6194C" w:rsidRDefault="00C445AB" w:rsidP="00637F00">
      <w:pPr>
        <w:pStyle w:val="Heading2"/>
        <w:numPr>
          <w:ilvl w:val="0"/>
          <w:numId w:val="0"/>
        </w:numPr>
        <w:spacing w:after="480"/>
      </w:pPr>
      <w:bookmarkStart w:id="3" w:name="_Toc353537647"/>
      <w:bookmarkStart w:id="4" w:name="_Toc353544924"/>
      <w:bookmarkStart w:id="5" w:name="_Toc382388425"/>
      <w:bookmarkStart w:id="6" w:name="_Toc382472281"/>
      <w:bookmarkStart w:id="7" w:name="_Toc385006941"/>
      <w:bookmarkStart w:id="8" w:name="_Toc417634602"/>
      <w:bookmarkStart w:id="9" w:name="_Toc448137405"/>
      <w:bookmarkStart w:id="10" w:name="_Toc448137531"/>
      <w:bookmarkStart w:id="11" w:name="_Toc448227256"/>
      <w:bookmarkStart w:id="12" w:name="_Toc479332405"/>
      <w:bookmarkStart w:id="13" w:name="_Toc479332491"/>
      <w:bookmarkStart w:id="14" w:name="_Toc511379680"/>
      <w:bookmarkStart w:id="15" w:name="_Toc70001129"/>
      <w:bookmarkStart w:id="16" w:name="_Toc70082985"/>
      <w:bookmarkStart w:id="17" w:name="_Toc100906059"/>
      <w:bookmarkStart w:id="18" w:name="_Toc132727692"/>
      <w:bookmarkStart w:id="19" w:name="_Toc133597261"/>
      <w:r w:rsidRPr="00F6194C">
        <w:lastRenderedPageBreak/>
        <w:t>Съдържание</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14:paraId="6C7E0366" w14:textId="1A531A03" w:rsidR="006E2768" w:rsidRDefault="002B6574">
      <w:pPr>
        <w:pStyle w:val="TOC2"/>
        <w:rPr>
          <w:rFonts w:asciiTheme="minorHAnsi" w:eastAsiaTheme="minorEastAsia" w:hAnsiTheme="minorHAnsi" w:cstheme="minorBidi"/>
          <w:sz w:val="22"/>
          <w:szCs w:val="22"/>
          <w:lang w:val="bg-BG"/>
        </w:rPr>
      </w:pPr>
      <w:r w:rsidRPr="005B2032">
        <w:rPr>
          <w:rStyle w:val="Hyperlink"/>
          <w:rFonts w:asciiTheme="minorHAnsi" w:hAnsiTheme="minorHAnsi" w:cstheme="minorHAnsi"/>
          <w:b/>
          <w:bCs/>
          <w:caps/>
          <w:color w:val="auto"/>
          <w:kern w:val="32"/>
          <w:highlight w:val="yellow"/>
          <w:lang w:eastAsia="en-US"/>
        </w:rPr>
        <w:fldChar w:fldCharType="begin"/>
      </w:r>
      <w:r w:rsidRPr="005B2032">
        <w:rPr>
          <w:rStyle w:val="Hyperlink"/>
          <w:rFonts w:asciiTheme="minorHAnsi" w:hAnsiTheme="minorHAnsi" w:cstheme="minorHAnsi"/>
          <w:caps/>
          <w:color w:val="auto"/>
          <w:highlight w:val="yellow"/>
        </w:rPr>
        <w:instrText xml:space="preserve"> TOC \o "1-2" \h \z \u </w:instrText>
      </w:r>
      <w:r w:rsidRPr="005B2032">
        <w:rPr>
          <w:rStyle w:val="Hyperlink"/>
          <w:rFonts w:asciiTheme="minorHAnsi" w:hAnsiTheme="minorHAnsi" w:cstheme="minorHAnsi"/>
          <w:b/>
          <w:bCs/>
          <w:caps/>
          <w:color w:val="auto"/>
          <w:kern w:val="32"/>
          <w:highlight w:val="yellow"/>
          <w:lang w:eastAsia="en-US"/>
        </w:rPr>
        <w:fldChar w:fldCharType="separate"/>
      </w:r>
    </w:p>
    <w:p w14:paraId="194F6D43" w14:textId="6DE8A49A" w:rsidR="006E2768" w:rsidRDefault="00031455">
      <w:pPr>
        <w:pStyle w:val="TOC1"/>
        <w:rPr>
          <w:rFonts w:asciiTheme="minorHAnsi" w:eastAsiaTheme="minorEastAsia" w:hAnsiTheme="minorHAnsi" w:cstheme="minorBidi"/>
          <w:b w:val="0"/>
          <w:bCs w:val="0"/>
          <w:color w:val="auto"/>
          <w:kern w:val="0"/>
          <w:sz w:val="22"/>
          <w:szCs w:val="22"/>
        </w:rPr>
      </w:pPr>
      <w:hyperlink w:anchor="_Toc133597263" w:history="1">
        <w:r w:rsidR="006E2768" w:rsidRPr="00533072">
          <w:rPr>
            <w:rStyle w:val="Hyperlink"/>
          </w:rPr>
          <w:t>1.</w:t>
        </w:r>
        <w:r w:rsidR="006E2768">
          <w:rPr>
            <w:rFonts w:asciiTheme="minorHAnsi" w:eastAsiaTheme="minorEastAsia" w:hAnsiTheme="minorHAnsi" w:cstheme="minorBidi"/>
            <w:b w:val="0"/>
            <w:bCs w:val="0"/>
            <w:color w:val="auto"/>
            <w:kern w:val="0"/>
            <w:sz w:val="22"/>
            <w:szCs w:val="22"/>
          </w:rPr>
          <w:tab/>
        </w:r>
        <w:r w:rsidR="006E2768" w:rsidRPr="00533072">
          <w:rPr>
            <w:rStyle w:val="Hyperlink"/>
          </w:rPr>
          <w:t>Обща рамка на  политиките и цели</w:t>
        </w:r>
        <w:r w:rsidR="006E2768">
          <w:rPr>
            <w:webHidden/>
          </w:rPr>
          <w:tab/>
        </w:r>
        <w:r w:rsidR="006E2768">
          <w:rPr>
            <w:webHidden/>
          </w:rPr>
          <w:fldChar w:fldCharType="begin"/>
        </w:r>
        <w:r w:rsidR="006E2768">
          <w:rPr>
            <w:webHidden/>
          </w:rPr>
          <w:instrText xml:space="preserve"> PAGEREF _Toc133597263 \h </w:instrText>
        </w:r>
        <w:r w:rsidR="006E2768">
          <w:rPr>
            <w:webHidden/>
          </w:rPr>
        </w:r>
        <w:r w:rsidR="006E2768">
          <w:rPr>
            <w:webHidden/>
          </w:rPr>
          <w:fldChar w:fldCharType="separate"/>
        </w:r>
        <w:r w:rsidR="009E5EB2">
          <w:rPr>
            <w:webHidden/>
          </w:rPr>
          <w:t>5</w:t>
        </w:r>
        <w:r w:rsidR="006E2768">
          <w:rPr>
            <w:webHidden/>
          </w:rPr>
          <w:fldChar w:fldCharType="end"/>
        </w:r>
      </w:hyperlink>
    </w:p>
    <w:p w14:paraId="171F7278" w14:textId="2DDD3175" w:rsidR="006E2768" w:rsidRDefault="00031455">
      <w:pPr>
        <w:pStyle w:val="TOC1"/>
        <w:rPr>
          <w:rFonts w:asciiTheme="minorHAnsi" w:eastAsiaTheme="minorEastAsia" w:hAnsiTheme="minorHAnsi" w:cstheme="minorBidi"/>
          <w:b w:val="0"/>
          <w:bCs w:val="0"/>
          <w:color w:val="auto"/>
          <w:kern w:val="0"/>
          <w:sz w:val="22"/>
          <w:szCs w:val="22"/>
        </w:rPr>
      </w:pPr>
      <w:hyperlink w:anchor="_Toc133597264" w:history="1">
        <w:r w:rsidR="006E2768" w:rsidRPr="00533072">
          <w:rPr>
            <w:rStyle w:val="Hyperlink"/>
          </w:rPr>
          <w:t>2.</w:t>
        </w:r>
        <w:r w:rsidR="006E2768">
          <w:rPr>
            <w:rFonts w:asciiTheme="minorHAnsi" w:eastAsiaTheme="minorEastAsia" w:hAnsiTheme="minorHAnsi" w:cstheme="minorBidi"/>
            <w:b w:val="0"/>
            <w:bCs w:val="0"/>
            <w:color w:val="auto"/>
            <w:kern w:val="0"/>
            <w:sz w:val="22"/>
            <w:szCs w:val="22"/>
          </w:rPr>
          <w:tab/>
        </w:r>
        <w:r w:rsidR="006E2768" w:rsidRPr="00533072">
          <w:rPr>
            <w:rStyle w:val="Hyperlink"/>
          </w:rPr>
          <w:t>Икономически перспективи</w:t>
        </w:r>
        <w:r w:rsidR="006E2768">
          <w:rPr>
            <w:webHidden/>
          </w:rPr>
          <w:tab/>
        </w:r>
        <w:r w:rsidR="006E2768">
          <w:rPr>
            <w:webHidden/>
          </w:rPr>
          <w:fldChar w:fldCharType="begin"/>
        </w:r>
        <w:r w:rsidR="006E2768">
          <w:rPr>
            <w:webHidden/>
          </w:rPr>
          <w:instrText xml:space="preserve"> PAGEREF _Toc133597264 \h </w:instrText>
        </w:r>
        <w:r w:rsidR="006E2768">
          <w:rPr>
            <w:webHidden/>
          </w:rPr>
        </w:r>
        <w:r w:rsidR="006E2768">
          <w:rPr>
            <w:webHidden/>
          </w:rPr>
          <w:fldChar w:fldCharType="separate"/>
        </w:r>
        <w:r w:rsidR="009E5EB2">
          <w:rPr>
            <w:webHidden/>
          </w:rPr>
          <w:t>8</w:t>
        </w:r>
        <w:r w:rsidR="006E2768">
          <w:rPr>
            <w:webHidden/>
          </w:rPr>
          <w:fldChar w:fldCharType="end"/>
        </w:r>
      </w:hyperlink>
    </w:p>
    <w:p w14:paraId="2C7711E1" w14:textId="0CC9484E" w:rsidR="006E2768" w:rsidRDefault="00031455">
      <w:pPr>
        <w:pStyle w:val="TOC2"/>
        <w:rPr>
          <w:rFonts w:asciiTheme="minorHAnsi" w:eastAsiaTheme="minorEastAsia" w:hAnsiTheme="minorHAnsi" w:cstheme="minorBidi"/>
          <w:sz w:val="22"/>
          <w:szCs w:val="22"/>
          <w:lang w:val="bg-BG"/>
        </w:rPr>
      </w:pPr>
      <w:hyperlink w:anchor="_Toc133597265" w:history="1">
        <w:r w:rsidR="006E2768" w:rsidRPr="00533072">
          <w:rPr>
            <w:rStyle w:val="Hyperlink"/>
          </w:rPr>
          <w:t>2.1</w:t>
        </w:r>
        <w:r w:rsidR="006E2768">
          <w:rPr>
            <w:rFonts w:asciiTheme="minorHAnsi" w:eastAsiaTheme="minorEastAsia" w:hAnsiTheme="minorHAnsi" w:cstheme="minorBidi"/>
            <w:sz w:val="22"/>
            <w:szCs w:val="22"/>
            <w:lang w:val="bg-BG"/>
          </w:rPr>
          <w:tab/>
        </w:r>
        <w:r w:rsidR="006E2768" w:rsidRPr="00533072">
          <w:rPr>
            <w:rStyle w:val="Hyperlink"/>
          </w:rPr>
          <w:t>Допускания за развитието на световната икономика</w:t>
        </w:r>
        <w:r w:rsidR="006E2768">
          <w:rPr>
            <w:webHidden/>
          </w:rPr>
          <w:tab/>
        </w:r>
        <w:r w:rsidR="006E2768">
          <w:rPr>
            <w:webHidden/>
          </w:rPr>
          <w:fldChar w:fldCharType="begin"/>
        </w:r>
        <w:r w:rsidR="006E2768">
          <w:rPr>
            <w:webHidden/>
          </w:rPr>
          <w:instrText xml:space="preserve"> PAGEREF _Toc133597265 \h </w:instrText>
        </w:r>
        <w:r w:rsidR="006E2768">
          <w:rPr>
            <w:webHidden/>
          </w:rPr>
        </w:r>
        <w:r w:rsidR="006E2768">
          <w:rPr>
            <w:webHidden/>
          </w:rPr>
          <w:fldChar w:fldCharType="separate"/>
        </w:r>
        <w:r w:rsidR="009E5EB2">
          <w:rPr>
            <w:webHidden/>
          </w:rPr>
          <w:t>8</w:t>
        </w:r>
        <w:r w:rsidR="006E2768">
          <w:rPr>
            <w:webHidden/>
          </w:rPr>
          <w:fldChar w:fldCharType="end"/>
        </w:r>
      </w:hyperlink>
    </w:p>
    <w:p w14:paraId="6EF5A5A0" w14:textId="6C1212DC" w:rsidR="006E2768" w:rsidRDefault="00031455">
      <w:pPr>
        <w:pStyle w:val="TOC2"/>
        <w:rPr>
          <w:rFonts w:asciiTheme="minorHAnsi" w:eastAsiaTheme="minorEastAsia" w:hAnsiTheme="minorHAnsi" w:cstheme="minorBidi"/>
          <w:sz w:val="22"/>
          <w:szCs w:val="22"/>
          <w:lang w:val="bg-BG"/>
        </w:rPr>
      </w:pPr>
      <w:hyperlink w:anchor="_Toc133597266" w:history="1">
        <w:r w:rsidR="006E2768" w:rsidRPr="00533072">
          <w:rPr>
            <w:rStyle w:val="Hyperlink"/>
          </w:rPr>
          <w:t>2.2</w:t>
        </w:r>
        <w:r w:rsidR="006E2768">
          <w:rPr>
            <w:rFonts w:asciiTheme="minorHAnsi" w:eastAsiaTheme="minorEastAsia" w:hAnsiTheme="minorHAnsi" w:cstheme="minorBidi"/>
            <w:sz w:val="22"/>
            <w:szCs w:val="22"/>
            <w:lang w:val="bg-BG"/>
          </w:rPr>
          <w:tab/>
        </w:r>
        <w:r w:rsidR="006E2768" w:rsidRPr="00533072">
          <w:rPr>
            <w:rStyle w:val="Hyperlink"/>
          </w:rPr>
          <w:t>Икономически перспективи и циклично развитие</w:t>
        </w:r>
        <w:r w:rsidR="006E2768">
          <w:rPr>
            <w:webHidden/>
          </w:rPr>
          <w:tab/>
        </w:r>
        <w:r w:rsidR="006E2768">
          <w:rPr>
            <w:webHidden/>
          </w:rPr>
          <w:fldChar w:fldCharType="begin"/>
        </w:r>
        <w:r w:rsidR="006E2768">
          <w:rPr>
            <w:webHidden/>
          </w:rPr>
          <w:instrText xml:space="preserve"> PAGEREF _Toc133597266 \h </w:instrText>
        </w:r>
        <w:r w:rsidR="006E2768">
          <w:rPr>
            <w:webHidden/>
          </w:rPr>
        </w:r>
        <w:r w:rsidR="006E2768">
          <w:rPr>
            <w:webHidden/>
          </w:rPr>
          <w:fldChar w:fldCharType="separate"/>
        </w:r>
        <w:r w:rsidR="009E5EB2">
          <w:rPr>
            <w:webHidden/>
          </w:rPr>
          <w:t>9</w:t>
        </w:r>
        <w:r w:rsidR="006E2768">
          <w:rPr>
            <w:webHidden/>
          </w:rPr>
          <w:fldChar w:fldCharType="end"/>
        </w:r>
      </w:hyperlink>
    </w:p>
    <w:p w14:paraId="60DFD080" w14:textId="421C412F" w:rsidR="006E2768" w:rsidRDefault="00031455">
      <w:pPr>
        <w:pStyle w:val="TOC2"/>
        <w:rPr>
          <w:rFonts w:asciiTheme="minorHAnsi" w:eastAsiaTheme="minorEastAsia" w:hAnsiTheme="minorHAnsi" w:cstheme="minorBidi"/>
          <w:sz w:val="22"/>
          <w:szCs w:val="22"/>
          <w:lang w:val="bg-BG"/>
        </w:rPr>
      </w:pPr>
      <w:hyperlink w:anchor="_Toc133597267" w:history="1">
        <w:r w:rsidR="006E2768" w:rsidRPr="00533072">
          <w:rPr>
            <w:rStyle w:val="Hyperlink"/>
          </w:rPr>
          <w:t>2.3</w:t>
        </w:r>
        <w:r w:rsidR="006E2768">
          <w:rPr>
            <w:rFonts w:asciiTheme="minorHAnsi" w:eastAsiaTheme="minorEastAsia" w:hAnsiTheme="minorHAnsi" w:cstheme="minorBidi"/>
            <w:sz w:val="22"/>
            <w:szCs w:val="22"/>
            <w:lang w:val="bg-BG"/>
          </w:rPr>
          <w:tab/>
        </w:r>
        <w:r w:rsidR="006E2768" w:rsidRPr="00533072">
          <w:rPr>
            <w:rStyle w:val="Hyperlink"/>
          </w:rPr>
          <w:t>Средносрочен сценарий</w:t>
        </w:r>
        <w:r w:rsidR="006E2768">
          <w:rPr>
            <w:webHidden/>
          </w:rPr>
          <w:tab/>
        </w:r>
        <w:r w:rsidR="006E2768">
          <w:rPr>
            <w:webHidden/>
          </w:rPr>
          <w:fldChar w:fldCharType="begin"/>
        </w:r>
        <w:r w:rsidR="006E2768">
          <w:rPr>
            <w:webHidden/>
          </w:rPr>
          <w:instrText xml:space="preserve"> PAGEREF _Toc133597267 \h </w:instrText>
        </w:r>
        <w:r w:rsidR="006E2768">
          <w:rPr>
            <w:webHidden/>
          </w:rPr>
        </w:r>
        <w:r w:rsidR="006E2768">
          <w:rPr>
            <w:webHidden/>
          </w:rPr>
          <w:fldChar w:fldCharType="separate"/>
        </w:r>
        <w:r w:rsidR="009E5EB2">
          <w:rPr>
            <w:webHidden/>
          </w:rPr>
          <w:t>10</w:t>
        </w:r>
        <w:r w:rsidR="006E2768">
          <w:rPr>
            <w:webHidden/>
          </w:rPr>
          <w:fldChar w:fldCharType="end"/>
        </w:r>
      </w:hyperlink>
    </w:p>
    <w:p w14:paraId="054EB591" w14:textId="23A874E8" w:rsidR="006E2768" w:rsidRDefault="00031455">
      <w:pPr>
        <w:pStyle w:val="TOC2"/>
        <w:rPr>
          <w:rFonts w:asciiTheme="minorHAnsi" w:eastAsiaTheme="minorEastAsia" w:hAnsiTheme="minorHAnsi" w:cstheme="minorBidi"/>
          <w:sz w:val="22"/>
          <w:szCs w:val="22"/>
          <w:lang w:val="bg-BG"/>
        </w:rPr>
      </w:pPr>
      <w:hyperlink w:anchor="_Toc133597268" w:history="1">
        <w:r w:rsidR="006E2768" w:rsidRPr="00533072">
          <w:rPr>
            <w:rStyle w:val="Hyperlink"/>
          </w:rPr>
          <w:t>2.4</w:t>
        </w:r>
        <w:r w:rsidR="006E2768">
          <w:rPr>
            <w:rFonts w:asciiTheme="minorHAnsi" w:eastAsiaTheme="minorEastAsia" w:hAnsiTheme="minorHAnsi" w:cstheme="minorBidi"/>
            <w:sz w:val="22"/>
            <w:szCs w:val="22"/>
            <w:lang w:val="bg-BG"/>
          </w:rPr>
          <w:tab/>
        </w:r>
        <w:r w:rsidR="006E2768" w:rsidRPr="00533072">
          <w:rPr>
            <w:rStyle w:val="Hyperlink"/>
          </w:rPr>
          <w:t>Секторни баланси</w:t>
        </w:r>
        <w:r w:rsidR="006E2768">
          <w:rPr>
            <w:webHidden/>
          </w:rPr>
          <w:tab/>
        </w:r>
        <w:r w:rsidR="006E2768">
          <w:rPr>
            <w:webHidden/>
          </w:rPr>
          <w:fldChar w:fldCharType="begin"/>
        </w:r>
        <w:r w:rsidR="006E2768">
          <w:rPr>
            <w:webHidden/>
          </w:rPr>
          <w:instrText xml:space="preserve"> PAGEREF _Toc133597268 \h </w:instrText>
        </w:r>
        <w:r w:rsidR="006E2768">
          <w:rPr>
            <w:webHidden/>
          </w:rPr>
        </w:r>
        <w:r w:rsidR="006E2768">
          <w:rPr>
            <w:webHidden/>
          </w:rPr>
          <w:fldChar w:fldCharType="separate"/>
        </w:r>
        <w:r w:rsidR="009E5EB2">
          <w:rPr>
            <w:webHidden/>
          </w:rPr>
          <w:t>11</w:t>
        </w:r>
        <w:r w:rsidR="006E2768">
          <w:rPr>
            <w:webHidden/>
          </w:rPr>
          <w:fldChar w:fldCharType="end"/>
        </w:r>
      </w:hyperlink>
    </w:p>
    <w:p w14:paraId="379820D7" w14:textId="6F7307B5" w:rsidR="006E2768" w:rsidRDefault="00031455">
      <w:pPr>
        <w:pStyle w:val="TOC1"/>
        <w:rPr>
          <w:rFonts w:asciiTheme="minorHAnsi" w:eastAsiaTheme="minorEastAsia" w:hAnsiTheme="minorHAnsi" w:cstheme="minorBidi"/>
          <w:b w:val="0"/>
          <w:bCs w:val="0"/>
          <w:color w:val="auto"/>
          <w:kern w:val="0"/>
          <w:sz w:val="22"/>
          <w:szCs w:val="22"/>
        </w:rPr>
      </w:pPr>
      <w:hyperlink w:anchor="_Toc133597269" w:history="1">
        <w:r w:rsidR="006E2768" w:rsidRPr="00533072">
          <w:rPr>
            <w:rStyle w:val="Hyperlink"/>
          </w:rPr>
          <w:t>3.</w:t>
        </w:r>
        <w:r w:rsidR="006E2768">
          <w:rPr>
            <w:rFonts w:asciiTheme="minorHAnsi" w:eastAsiaTheme="minorEastAsia" w:hAnsiTheme="minorHAnsi" w:cstheme="minorBidi"/>
            <w:b w:val="0"/>
            <w:bCs w:val="0"/>
            <w:color w:val="auto"/>
            <w:kern w:val="0"/>
            <w:sz w:val="22"/>
            <w:szCs w:val="22"/>
          </w:rPr>
          <w:tab/>
        </w:r>
        <w:r w:rsidR="006E2768" w:rsidRPr="00533072">
          <w:rPr>
            <w:rStyle w:val="Hyperlink"/>
          </w:rPr>
          <w:t>Правителствен баланс и дълг</w:t>
        </w:r>
        <w:r w:rsidR="006E2768">
          <w:rPr>
            <w:webHidden/>
          </w:rPr>
          <w:tab/>
        </w:r>
        <w:r w:rsidR="006E2768">
          <w:rPr>
            <w:webHidden/>
          </w:rPr>
          <w:fldChar w:fldCharType="begin"/>
        </w:r>
        <w:r w:rsidR="006E2768">
          <w:rPr>
            <w:webHidden/>
          </w:rPr>
          <w:instrText xml:space="preserve"> PAGEREF _Toc133597269 \h </w:instrText>
        </w:r>
        <w:r w:rsidR="006E2768">
          <w:rPr>
            <w:webHidden/>
          </w:rPr>
        </w:r>
        <w:r w:rsidR="006E2768">
          <w:rPr>
            <w:webHidden/>
          </w:rPr>
          <w:fldChar w:fldCharType="separate"/>
        </w:r>
        <w:r w:rsidR="009E5EB2">
          <w:rPr>
            <w:webHidden/>
          </w:rPr>
          <w:t>24</w:t>
        </w:r>
        <w:r w:rsidR="006E2768">
          <w:rPr>
            <w:webHidden/>
          </w:rPr>
          <w:fldChar w:fldCharType="end"/>
        </w:r>
      </w:hyperlink>
    </w:p>
    <w:p w14:paraId="6230B58A" w14:textId="1EC00A6D" w:rsidR="006E2768" w:rsidRDefault="00031455">
      <w:pPr>
        <w:pStyle w:val="TOC2"/>
        <w:rPr>
          <w:rFonts w:asciiTheme="minorHAnsi" w:eastAsiaTheme="minorEastAsia" w:hAnsiTheme="minorHAnsi" w:cstheme="minorBidi"/>
          <w:sz w:val="22"/>
          <w:szCs w:val="22"/>
          <w:lang w:val="bg-BG"/>
        </w:rPr>
      </w:pPr>
      <w:hyperlink w:anchor="_Toc133597270" w:history="1">
        <w:r w:rsidR="006E2768" w:rsidRPr="00533072">
          <w:rPr>
            <w:rStyle w:val="Hyperlink"/>
          </w:rPr>
          <w:t>3.1</w:t>
        </w:r>
        <w:r w:rsidR="006E2768">
          <w:rPr>
            <w:rFonts w:asciiTheme="minorHAnsi" w:eastAsiaTheme="minorEastAsia" w:hAnsiTheme="minorHAnsi" w:cstheme="minorBidi"/>
            <w:sz w:val="22"/>
            <w:szCs w:val="22"/>
            <w:lang w:val="bg-BG"/>
          </w:rPr>
          <w:tab/>
        </w:r>
        <w:r w:rsidR="006E2768" w:rsidRPr="00533072">
          <w:rPr>
            <w:rStyle w:val="Hyperlink"/>
          </w:rPr>
          <w:t>Стратегия на политиката</w:t>
        </w:r>
        <w:r w:rsidR="006E2768">
          <w:rPr>
            <w:webHidden/>
          </w:rPr>
          <w:tab/>
        </w:r>
        <w:r w:rsidR="006E2768">
          <w:rPr>
            <w:webHidden/>
          </w:rPr>
          <w:fldChar w:fldCharType="begin"/>
        </w:r>
        <w:r w:rsidR="006E2768">
          <w:rPr>
            <w:webHidden/>
          </w:rPr>
          <w:instrText xml:space="preserve"> PAGEREF _Toc133597270 \h </w:instrText>
        </w:r>
        <w:r w:rsidR="006E2768">
          <w:rPr>
            <w:webHidden/>
          </w:rPr>
        </w:r>
        <w:r w:rsidR="006E2768">
          <w:rPr>
            <w:webHidden/>
          </w:rPr>
          <w:fldChar w:fldCharType="separate"/>
        </w:r>
        <w:r w:rsidR="009E5EB2">
          <w:rPr>
            <w:webHidden/>
          </w:rPr>
          <w:t>24</w:t>
        </w:r>
        <w:r w:rsidR="006E2768">
          <w:rPr>
            <w:webHidden/>
          </w:rPr>
          <w:fldChar w:fldCharType="end"/>
        </w:r>
      </w:hyperlink>
    </w:p>
    <w:p w14:paraId="01B15C62" w14:textId="1CD19454" w:rsidR="006E2768" w:rsidRDefault="00031455">
      <w:pPr>
        <w:pStyle w:val="TOC2"/>
        <w:rPr>
          <w:rFonts w:asciiTheme="minorHAnsi" w:eastAsiaTheme="minorEastAsia" w:hAnsiTheme="minorHAnsi" w:cstheme="minorBidi"/>
          <w:sz w:val="22"/>
          <w:szCs w:val="22"/>
          <w:lang w:val="bg-BG"/>
        </w:rPr>
      </w:pPr>
      <w:hyperlink w:anchor="_Toc133597271" w:history="1">
        <w:r w:rsidR="006E2768" w:rsidRPr="00533072">
          <w:rPr>
            <w:rStyle w:val="Hyperlink"/>
          </w:rPr>
          <w:t>3.2</w:t>
        </w:r>
        <w:r w:rsidR="006E2768">
          <w:rPr>
            <w:rFonts w:asciiTheme="minorHAnsi" w:eastAsiaTheme="minorEastAsia" w:hAnsiTheme="minorHAnsi" w:cstheme="minorBidi"/>
            <w:sz w:val="22"/>
            <w:szCs w:val="22"/>
            <w:lang w:val="bg-BG"/>
          </w:rPr>
          <w:tab/>
        </w:r>
        <w:r w:rsidR="006E2768" w:rsidRPr="00533072">
          <w:rPr>
            <w:rStyle w:val="Hyperlink"/>
          </w:rPr>
          <w:t>Средносрочни цели</w:t>
        </w:r>
        <w:r w:rsidR="006E2768">
          <w:rPr>
            <w:webHidden/>
          </w:rPr>
          <w:tab/>
        </w:r>
        <w:r w:rsidR="006E2768">
          <w:rPr>
            <w:webHidden/>
          </w:rPr>
          <w:fldChar w:fldCharType="begin"/>
        </w:r>
        <w:r w:rsidR="006E2768">
          <w:rPr>
            <w:webHidden/>
          </w:rPr>
          <w:instrText xml:space="preserve"> PAGEREF _Toc133597271 \h </w:instrText>
        </w:r>
        <w:r w:rsidR="006E2768">
          <w:rPr>
            <w:webHidden/>
          </w:rPr>
        </w:r>
        <w:r w:rsidR="006E2768">
          <w:rPr>
            <w:webHidden/>
          </w:rPr>
          <w:fldChar w:fldCharType="separate"/>
        </w:r>
        <w:r w:rsidR="009E5EB2">
          <w:rPr>
            <w:webHidden/>
          </w:rPr>
          <w:t>26</w:t>
        </w:r>
        <w:r w:rsidR="006E2768">
          <w:rPr>
            <w:webHidden/>
          </w:rPr>
          <w:fldChar w:fldCharType="end"/>
        </w:r>
      </w:hyperlink>
    </w:p>
    <w:p w14:paraId="0C31C8A3" w14:textId="26AB5AEB" w:rsidR="006E2768" w:rsidRDefault="00031455">
      <w:pPr>
        <w:pStyle w:val="TOC2"/>
        <w:rPr>
          <w:rFonts w:asciiTheme="minorHAnsi" w:eastAsiaTheme="minorEastAsia" w:hAnsiTheme="minorHAnsi" w:cstheme="minorBidi"/>
          <w:sz w:val="22"/>
          <w:szCs w:val="22"/>
          <w:lang w:val="bg-BG"/>
        </w:rPr>
      </w:pPr>
      <w:hyperlink w:anchor="_Toc133597272" w:history="1">
        <w:r w:rsidR="006E2768" w:rsidRPr="00533072">
          <w:rPr>
            <w:rStyle w:val="Hyperlink"/>
          </w:rPr>
          <w:t>3.3</w:t>
        </w:r>
        <w:r w:rsidR="006E2768">
          <w:rPr>
            <w:rFonts w:asciiTheme="minorHAnsi" w:eastAsiaTheme="minorEastAsia" w:hAnsiTheme="minorHAnsi" w:cstheme="minorBidi"/>
            <w:sz w:val="22"/>
            <w:szCs w:val="22"/>
            <w:lang w:val="bg-BG"/>
          </w:rPr>
          <w:tab/>
        </w:r>
        <w:r w:rsidR="006E2768" w:rsidRPr="00533072">
          <w:rPr>
            <w:rStyle w:val="Hyperlink"/>
          </w:rPr>
          <w:t>Фактически баланси и актуализирани бюджетни планове за  текущата година</w:t>
        </w:r>
        <w:r w:rsidR="006E2768">
          <w:rPr>
            <w:webHidden/>
          </w:rPr>
          <w:tab/>
        </w:r>
        <w:r w:rsidR="006E2768">
          <w:rPr>
            <w:webHidden/>
          </w:rPr>
          <w:fldChar w:fldCharType="begin"/>
        </w:r>
        <w:r w:rsidR="006E2768">
          <w:rPr>
            <w:webHidden/>
          </w:rPr>
          <w:instrText xml:space="preserve"> PAGEREF _Toc133597272 \h </w:instrText>
        </w:r>
        <w:r w:rsidR="006E2768">
          <w:rPr>
            <w:webHidden/>
          </w:rPr>
        </w:r>
        <w:r w:rsidR="006E2768">
          <w:rPr>
            <w:webHidden/>
          </w:rPr>
          <w:fldChar w:fldCharType="separate"/>
        </w:r>
        <w:r w:rsidR="009E5EB2">
          <w:rPr>
            <w:webHidden/>
          </w:rPr>
          <w:t>27</w:t>
        </w:r>
        <w:r w:rsidR="006E2768">
          <w:rPr>
            <w:webHidden/>
          </w:rPr>
          <w:fldChar w:fldCharType="end"/>
        </w:r>
      </w:hyperlink>
    </w:p>
    <w:p w14:paraId="6CEACF0F" w14:textId="296A4544" w:rsidR="006E2768" w:rsidRDefault="00031455">
      <w:pPr>
        <w:pStyle w:val="TOC2"/>
        <w:rPr>
          <w:rFonts w:asciiTheme="minorHAnsi" w:eastAsiaTheme="minorEastAsia" w:hAnsiTheme="minorHAnsi" w:cstheme="minorBidi"/>
          <w:sz w:val="22"/>
          <w:szCs w:val="22"/>
          <w:lang w:val="bg-BG"/>
        </w:rPr>
      </w:pPr>
      <w:hyperlink w:anchor="_Toc133597273" w:history="1">
        <w:r w:rsidR="006E2768" w:rsidRPr="00533072">
          <w:rPr>
            <w:rStyle w:val="Hyperlink"/>
          </w:rPr>
          <w:t>3.4</w:t>
        </w:r>
        <w:r w:rsidR="006E2768">
          <w:rPr>
            <w:rFonts w:asciiTheme="minorHAnsi" w:eastAsiaTheme="minorEastAsia" w:hAnsiTheme="minorHAnsi" w:cstheme="minorBidi"/>
            <w:sz w:val="22"/>
            <w:szCs w:val="22"/>
            <w:lang w:val="bg-BG"/>
          </w:rPr>
          <w:tab/>
        </w:r>
        <w:r w:rsidR="006E2768" w:rsidRPr="00533072">
          <w:rPr>
            <w:rStyle w:val="Hyperlink"/>
          </w:rPr>
          <w:t>Структурен баланс (циклични компоненти на баланса,  еднократни и временни мерки) и фискална позиция, вкл. бенчмарк за правителствените разходи</w:t>
        </w:r>
        <w:r w:rsidR="006E2768">
          <w:rPr>
            <w:webHidden/>
          </w:rPr>
          <w:tab/>
        </w:r>
        <w:r w:rsidR="006E2768">
          <w:rPr>
            <w:webHidden/>
          </w:rPr>
          <w:fldChar w:fldCharType="begin"/>
        </w:r>
        <w:r w:rsidR="006E2768">
          <w:rPr>
            <w:webHidden/>
          </w:rPr>
          <w:instrText xml:space="preserve"> PAGEREF _Toc133597273 \h </w:instrText>
        </w:r>
        <w:r w:rsidR="006E2768">
          <w:rPr>
            <w:webHidden/>
          </w:rPr>
        </w:r>
        <w:r w:rsidR="006E2768">
          <w:rPr>
            <w:webHidden/>
          </w:rPr>
          <w:fldChar w:fldCharType="separate"/>
        </w:r>
        <w:r w:rsidR="009E5EB2">
          <w:rPr>
            <w:webHidden/>
          </w:rPr>
          <w:t>47</w:t>
        </w:r>
        <w:r w:rsidR="006E2768">
          <w:rPr>
            <w:webHidden/>
          </w:rPr>
          <w:fldChar w:fldCharType="end"/>
        </w:r>
      </w:hyperlink>
    </w:p>
    <w:p w14:paraId="07166BFA" w14:textId="335D2809" w:rsidR="006E2768" w:rsidRDefault="00031455">
      <w:pPr>
        <w:pStyle w:val="TOC2"/>
        <w:rPr>
          <w:rFonts w:asciiTheme="minorHAnsi" w:eastAsiaTheme="minorEastAsia" w:hAnsiTheme="minorHAnsi" w:cstheme="minorBidi"/>
          <w:sz w:val="22"/>
          <w:szCs w:val="22"/>
          <w:lang w:val="bg-BG"/>
        </w:rPr>
      </w:pPr>
      <w:hyperlink w:anchor="_Toc133597274" w:history="1">
        <w:r w:rsidR="006E2768" w:rsidRPr="00533072">
          <w:rPr>
            <w:rStyle w:val="Hyperlink"/>
          </w:rPr>
          <w:t>3.5</w:t>
        </w:r>
        <w:r w:rsidR="006E2768">
          <w:rPr>
            <w:rFonts w:asciiTheme="minorHAnsi" w:eastAsiaTheme="minorEastAsia" w:hAnsiTheme="minorHAnsi" w:cstheme="minorBidi"/>
            <w:sz w:val="22"/>
            <w:szCs w:val="22"/>
            <w:lang w:val="bg-BG"/>
          </w:rPr>
          <w:tab/>
        </w:r>
        <w:r w:rsidR="006E2768" w:rsidRPr="00533072">
          <w:rPr>
            <w:rStyle w:val="Hyperlink"/>
          </w:rPr>
          <w:t>Равнище на дълга и тенденции, операции под черта</w:t>
        </w:r>
        <w:r w:rsidR="006E2768">
          <w:rPr>
            <w:webHidden/>
          </w:rPr>
          <w:tab/>
        </w:r>
        <w:r w:rsidR="006E2768">
          <w:rPr>
            <w:webHidden/>
          </w:rPr>
          <w:fldChar w:fldCharType="begin"/>
        </w:r>
        <w:r w:rsidR="006E2768">
          <w:rPr>
            <w:webHidden/>
          </w:rPr>
          <w:instrText xml:space="preserve"> PAGEREF _Toc133597274 \h </w:instrText>
        </w:r>
        <w:r w:rsidR="006E2768">
          <w:rPr>
            <w:webHidden/>
          </w:rPr>
        </w:r>
        <w:r w:rsidR="006E2768">
          <w:rPr>
            <w:webHidden/>
          </w:rPr>
          <w:fldChar w:fldCharType="separate"/>
        </w:r>
        <w:r w:rsidR="009E5EB2">
          <w:rPr>
            <w:webHidden/>
          </w:rPr>
          <w:t>48</w:t>
        </w:r>
        <w:r w:rsidR="006E2768">
          <w:rPr>
            <w:webHidden/>
          </w:rPr>
          <w:fldChar w:fldCharType="end"/>
        </w:r>
      </w:hyperlink>
    </w:p>
    <w:p w14:paraId="023911FE" w14:textId="564C1067" w:rsidR="006E2768" w:rsidRDefault="00031455">
      <w:pPr>
        <w:pStyle w:val="TOC2"/>
        <w:rPr>
          <w:rFonts w:asciiTheme="minorHAnsi" w:eastAsiaTheme="minorEastAsia" w:hAnsiTheme="minorHAnsi" w:cstheme="minorBidi"/>
          <w:sz w:val="22"/>
          <w:szCs w:val="22"/>
          <w:lang w:val="bg-BG"/>
        </w:rPr>
      </w:pPr>
      <w:hyperlink w:anchor="_Toc133597275" w:history="1">
        <w:r w:rsidR="006E2768" w:rsidRPr="00533072">
          <w:rPr>
            <w:rStyle w:val="Hyperlink"/>
          </w:rPr>
          <w:t>3.6</w:t>
        </w:r>
        <w:r w:rsidR="006E2768">
          <w:rPr>
            <w:rFonts w:asciiTheme="minorHAnsi" w:eastAsiaTheme="minorEastAsia" w:hAnsiTheme="minorHAnsi" w:cstheme="minorBidi"/>
            <w:sz w:val="22"/>
            <w:szCs w:val="22"/>
            <w:lang w:val="bg-BG"/>
          </w:rPr>
          <w:tab/>
        </w:r>
        <w:r w:rsidR="006E2768" w:rsidRPr="00533072">
          <w:rPr>
            <w:rStyle w:val="Hyperlink"/>
          </w:rPr>
          <w:t>Ефекти върху бюджета от провеждането на основни  структурни реформи</w:t>
        </w:r>
        <w:r w:rsidR="006E2768">
          <w:rPr>
            <w:webHidden/>
          </w:rPr>
          <w:tab/>
        </w:r>
        <w:r w:rsidR="006E2768">
          <w:rPr>
            <w:webHidden/>
          </w:rPr>
          <w:fldChar w:fldCharType="begin"/>
        </w:r>
        <w:r w:rsidR="006E2768">
          <w:rPr>
            <w:webHidden/>
          </w:rPr>
          <w:instrText xml:space="preserve"> PAGEREF _Toc133597275 \h </w:instrText>
        </w:r>
        <w:r w:rsidR="006E2768">
          <w:rPr>
            <w:webHidden/>
          </w:rPr>
        </w:r>
        <w:r w:rsidR="006E2768">
          <w:rPr>
            <w:webHidden/>
          </w:rPr>
          <w:fldChar w:fldCharType="separate"/>
        </w:r>
        <w:r w:rsidR="009E5EB2">
          <w:rPr>
            <w:webHidden/>
          </w:rPr>
          <w:t>52</w:t>
        </w:r>
        <w:r w:rsidR="006E2768">
          <w:rPr>
            <w:webHidden/>
          </w:rPr>
          <w:fldChar w:fldCharType="end"/>
        </w:r>
      </w:hyperlink>
    </w:p>
    <w:p w14:paraId="6273EB47" w14:textId="42AB6F65" w:rsidR="006E2768" w:rsidRDefault="00031455">
      <w:pPr>
        <w:pStyle w:val="TOC1"/>
        <w:rPr>
          <w:rFonts w:asciiTheme="minorHAnsi" w:eastAsiaTheme="minorEastAsia" w:hAnsiTheme="minorHAnsi" w:cstheme="minorBidi"/>
          <w:b w:val="0"/>
          <w:bCs w:val="0"/>
          <w:color w:val="auto"/>
          <w:kern w:val="0"/>
          <w:sz w:val="22"/>
          <w:szCs w:val="22"/>
        </w:rPr>
      </w:pPr>
      <w:hyperlink w:anchor="_Toc133597276" w:history="1">
        <w:r w:rsidR="006E2768" w:rsidRPr="00533072">
          <w:rPr>
            <w:rStyle w:val="Hyperlink"/>
          </w:rPr>
          <w:t>4.</w:t>
        </w:r>
        <w:r w:rsidR="006E2768">
          <w:rPr>
            <w:rFonts w:asciiTheme="minorHAnsi" w:eastAsiaTheme="minorEastAsia" w:hAnsiTheme="minorHAnsi" w:cstheme="minorBidi"/>
            <w:b w:val="0"/>
            <w:bCs w:val="0"/>
            <w:color w:val="auto"/>
            <w:kern w:val="0"/>
            <w:sz w:val="22"/>
            <w:szCs w:val="22"/>
          </w:rPr>
          <w:tab/>
        </w:r>
        <w:r w:rsidR="006E2768" w:rsidRPr="00533072">
          <w:rPr>
            <w:rStyle w:val="Hyperlink"/>
          </w:rPr>
          <w:t>Анализ на чувствителността и сравнение с предходната  актуализация</w:t>
        </w:r>
        <w:r w:rsidR="006E2768">
          <w:rPr>
            <w:webHidden/>
          </w:rPr>
          <w:tab/>
        </w:r>
        <w:r w:rsidR="006E2768">
          <w:rPr>
            <w:webHidden/>
          </w:rPr>
          <w:fldChar w:fldCharType="begin"/>
        </w:r>
        <w:r w:rsidR="006E2768">
          <w:rPr>
            <w:webHidden/>
          </w:rPr>
          <w:instrText xml:space="preserve"> PAGEREF _Toc133597276 \h </w:instrText>
        </w:r>
        <w:r w:rsidR="006E2768">
          <w:rPr>
            <w:webHidden/>
          </w:rPr>
        </w:r>
        <w:r w:rsidR="006E2768">
          <w:rPr>
            <w:webHidden/>
          </w:rPr>
          <w:fldChar w:fldCharType="separate"/>
        </w:r>
        <w:r w:rsidR="009E5EB2">
          <w:rPr>
            <w:webHidden/>
          </w:rPr>
          <w:t>58</w:t>
        </w:r>
        <w:r w:rsidR="006E2768">
          <w:rPr>
            <w:webHidden/>
          </w:rPr>
          <w:fldChar w:fldCharType="end"/>
        </w:r>
      </w:hyperlink>
    </w:p>
    <w:p w14:paraId="1415F0DE" w14:textId="3840940C" w:rsidR="006E2768" w:rsidRDefault="00031455">
      <w:pPr>
        <w:pStyle w:val="TOC2"/>
        <w:rPr>
          <w:rFonts w:asciiTheme="minorHAnsi" w:eastAsiaTheme="minorEastAsia" w:hAnsiTheme="minorHAnsi" w:cstheme="minorBidi"/>
          <w:sz w:val="22"/>
          <w:szCs w:val="22"/>
          <w:lang w:val="bg-BG"/>
        </w:rPr>
      </w:pPr>
      <w:hyperlink w:anchor="_Toc133597277" w:history="1">
        <w:r w:rsidR="006E2768" w:rsidRPr="00533072">
          <w:rPr>
            <w:rStyle w:val="Hyperlink"/>
          </w:rPr>
          <w:t>4.1</w:t>
        </w:r>
        <w:r w:rsidR="006E2768">
          <w:rPr>
            <w:rFonts w:asciiTheme="minorHAnsi" w:eastAsiaTheme="minorEastAsia" w:hAnsiTheme="minorHAnsi" w:cstheme="minorBidi"/>
            <w:sz w:val="22"/>
            <w:szCs w:val="22"/>
            <w:lang w:val="bg-BG"/>
          </w:rPr>
          <w:tab/>
        </w:r>
        <w:r w:rsidR="006E2768" w:rsidRPr="00533072">
          <w:rPr>
            <w:rStyle w:val="Hyperlink"/>
          </w:rPr>
          <w:t>Алтернативен сценарий</w:t>
        </w:r>
        <w:r w:rsidR="006E2768">
          <w:rPr>
            <w:webHidden/>
          </w:rPr>
          <w:tab/>
        </w:r>
        <w:r w:rsidR="006E2768">
          <w:rPr>
            <w:webHidden/>
          </w:rPr>
          <w:fldChar w:fldCharType="begin"/>
        </w:r>
        <w:r w:rsidR="006E2768">
          <w:rPr>
            <w:webHidden/>
          </w:rPr>
          <w:instrText xml:space="preserve"> PAGEREF _Toc133597277 \h </w:instrText>
        </w:r>
        <w:r w:rsidR="006E2768">
          <w:rPr>
            <w:webHidden/>
          </w:rPr>
        </w:r>
        <w:r w:rsidR="006E2768">
          <w:rPr>
            <w:webHidden/>
          </w:rPr>
          <w:fldChar w:fldCharType="separate"/>
        </w:r>
        <w:r w:rsidR="009E5EB2">
          <w:rPr>
            <w:webHidden/>
          </w:rPr>
          <w:t>58</w:t>
        </w:r>
        <w:r w:rsidR="006E2768">
          <w:rPr>
            <w:webHidden/>
          </w:rPr>
          <w:fldChar w:fldCharType="end"/>
        </w:r>
      </w:hyperlink>
    </w:p>
    <w:p w14:paraId="28C6389C" w14:textId="63B45BCF" w:rsidR="006E2768" w:rsidRDefault="00031455">
      <w:pPr>
        <w:pStyle w:val="TOC2"/>
        <w:rPr>
          <w:rFonts w:asciiTheme="minorHAnsi" w:eastAsiaTheme="minorEastAsia" w:hAnsiTheme="minorHAnsi" w:cstheme="minorBidi"/>
          <w:sz w:val="22"/>
          <w:szCs w:val="22"/>
          <w:lang w:val="bg-BG"/>
        </w:rPr>
      </w:pPr>
      <w:hyperlink w:anchor="_Toc133597278" w:history="1">
        <w:r w:rsidR="006E2768" w:rsidRPr="00533072">
          <w:rPr>
            <w:rStyle w:val="Hyperlink"/>
          </w:rPr>
          <w:t>4.2</w:t>
        </w:r>
        <w:r w:rsidR="006E2768">
          <w:rPr>
            <w:rFonts w:asciiTheme="minorHAnsi" w:eastAsiaTheme="minorEastAsia" w:hAnsiTheme="minorHAnsi" w:cstheme="minorBidi"/>
            <w:sz w:val="22"/>
            <w:szCs w:val="22"/>
            <w:lang w:val="bg-BG"/>
          </w:rPr>
          <w:tab/>
        </w:r>
        <w:r w:rsidR="006E2768" w:rsidRPr="00533072">
          <w:rPr>
            <w:rStyle w:val="Hyperlink"/>
          </w:rPr>
          <w:t>Чувствителност на бюджетните прогнози при различни сценарии</w:t>
        </w:r>
        <w:r w:rsidR="006E2768">
          <w:rPr>
            <w:webHidden/>
          </w:rPr>
          <w:tab/>
        </w:r>
        <w:r w:rsidR="006E2768">
          <w:rPr>
            <w:webHidden/>
          </w:rPr>
          <w:fldChar w:fldCharType="begin"/>
        </w:r>
        <w:r w:rsidR="006E2768">
          <w:rPr>
            <w:webHidden/>
          </w:rPr>
          <w:instrText xml:space="preserve"> PAGEREF _Toc133597278 \h </w:instrText>
        </w:r>
        <w:r w:rsidR="006E2768">
          <w:rPr>
            <w:webHidden/>
          </w:rPr>
        </w:r>
        <w:r w:rsidR="006E2768">
          <w:rPr>
            <w:webHidden/>
          </w:rPr>
          <w:fldChar w:fldCharType="separate"/>
        </w:r>
        <w:r w:rsidR="009E5EB2">
          <w:rPr>
            <w:webHidden/>
          </w:rPr>
          <w:t>60</w:t>
        </w:r>
        <w:r w:rsidR="006E2768">
          <w:rPr>
            <w:webHidden/>
          </w:rPr>
          <w:fldChar w:fldCharType="end"/>
        </w:r>
      </w:hyperlink>
    </w:p>
    <w:p w14:paraId="577688D8" w14:textId="445CB539" w:rsidR="006E2768" w:rsidRDefault="00031455">
      <w:pPr>
        <w:pStyle w:val="TOC2"/>
        <w:rPr>
          <w:rFonts w:asciiTheme="minorHAnsi" w:eastAsiaTheme="minorEastAsia" w:hAnsiTheme="minorHAnsi" w:cstheme="minorBidi"/>
          <w:sz w:val="22"/>
          <w:szCs w:val="22"/>
          <w:lang w:val="bg-BG"/>
        </w:rPr>
      </w:pPr>
      <w:hyperlink w:anchor="_Toc133597279" w:history="1">
        <w:r w:rsidR="006E2768" w:rsidRPr="00533072">
          <w:rPr>
            <w:rStyle w:val="Hyperlink"/>
          </w:rPr>
          <w:t>4.3</w:t>
        </w:r>
        <w:r w:rsidR="006E2768">
          <w:rPr>
            <w:rFonts w:asciiTheme="minorHAnsi" w:eastAsiaTheme="minorEastAsia" w:hAnsiTheme="minorHAnsi" w:cstheme="minorBidi"/>
            <w:sz w:val="22"/>
            <w:szCs w:val="22"/>
            <w:lang w:val="bg-BG"/>
          </w:rPr>
          <w:tab/>
        </w:r>
        <w:r w:rsidR="006E2768" w:rsidRPr="00533072">
          <w:rPr>
            <w:rStyle w:val="Hyperlink"/>
          </w:rPr>
          <w:t>Сравнение с предходната програма</w:t>
        </w:r>
        <w:r w:rsidR="006E2768">
          <w:rPr>
            <w:webHidden/>
          </w:rPr>
          <w:tab/>
        </w:r>
        <w:r w:rsidR="006E2768">
          <w:rPr>
            <w:webHidden/>
          </w:rPr>
          <w:fldChar w:fldCharType="begin"/>
        </w:r>
        <w:r w:rsidR="006E2768">
          <w:rPr>
            <w:webHidden/>
          </w:rPr>
          <w:instrText xml:space="preserve"> PAGEREF _Toc133597279 \h </w:instrText>
        </w:r>
        <w:r w:rsidR="006E2768">
          <w:rPr>
            <w:webHidden/>
          </w:rPr>
        </w:r>
        <w:r w:rsidR="006E2768">
          <w:rPr>
            <w:webHidden/>
          </w:rPr>
          <w:fldChar w:fldCharType="separate"/>
        </w:r>
        <w:r w:rsidR="009E5EB2">
          <w:rPr>
            <w:webHidden/>
          </w:rPr>
          <w:t>60</w:t>
        </w:r>
        <w:r w:rsidR="006E2768">
          <w:rPr>
            <w:webHidden/>
          </w:rPr>
          <w:fldChar w:fldCharType="end"/>
        </w:r>
      </w:hyperlink>
    </w:p>
    <w:p w14:paraId="796CADF1" w14:textId="6E21512B" w:rsidR="006E2768" w:rsidRDefault="00031455">
      <w:pPr>
        <w:pStyle w:val="TOC1"/>
        <w:rPr>
          <w:rFonts w:asciiTheme="minorHAnsi" w:eastAsiaTheme="minorEastAsia" w:hAnsiTheme="minorHAnsi" w:cstheme="minorBidi"/>
          <w:b w:val="0"/>
          <w:bCs w:val="0"/>
          <w:color w:val="auto"/>
          <w:kern w:val="0"/>
          <w:sz w:val="22"/>
          <w:szCs w:val="22"/>
        </w:rPr>
      </w:pPr>
      <w:hyperlink w:anchor="_Toc133597280" w:history="1">
        <w:r w:rsidR="006E2768" w:rsidRPr="00533072">
          <w:rPr>
            <w:rStyle w:val="Hyperlink"/>
          </w:rPr>
          <w:t>5.</w:t>
        </w:r>
        <w:r w:rsidR="006E2768">
          <w:rPr>
            <w:rFonts w:asciiTheme="minorHAnsi" w:eastAsiaTheme="minorEastAsia" w:hAnsiTheme="minorHAnsi" w:cstheme="minorBidi"/>
            <w:b w:val="0"/>
            <w:bCs w:val="0"/>
            <w:color w:val="auto"/>
            <w:kern w:val="0"/>
            <w:sz w:val="22"/>
            <w:szCs w:val="22"/>
          </w:rPr>
          <w:tab/>
        </w:r>
        <w:r w:rsidR="006E2768" w:rsidRPr="00533072">
          <w:rPr>
            <w:rStyle w:val="Hyperlink"/>
          </w:rPr>
          <w:t>Устойчивост на  публичните финанси</w:t>
        </w:r>
        <w:r w:rsidR="006E2768">
          <w:rPr>
            <w:webHidden/>
          </w:rPr>
          <w:tab/>
        </w:r>
        <w:r w:rsidR="006E2768">
          <w:rPr>
            <w:webHidden/>
          </w:rPr>
          <w:fldChar w:fldCharType="begin"/>
        </w:r>
        <w:r w:rsidR="006E2768">
          <w:rPr>
            <w:webHidden/>
          </w:rPr>
          <w:instrText xml:space="preserve"> PAGEREF _Toc133597280 \h </w:instrText>
        </w:r>
        <w:r w:rsidR="006E2768">
          <w:rPr>
            <w:webHidden/>
          </w:rPr>
        </w:r>
        <w:r w:rsidR="006E2768">
          <w:rPr>
            <w:webHidden/>
          </w:rPr>
          <w:fldChar w:fldCharType="separate"/>
        </w:r>
        <w:r w:rsidR="009E5EB2">
          <w:rPr>
            <w:webHidden/>
          </w:rPr>
          <w:t>62</w:t>
        </w:r>
        <w:r w:rsidR="006E2768">
          <w:rPr>
            <w:webHidden/>
          </w:rPr>
          <w:fldChar w:fldCharType="end"/>
        </w:r>
      </w:hyperlink>
    </w:p>
    <w:p w14:paraId="5959F0D5" w14:textId="5BDCCD5E" w:rsidR="006E2768" w:rsidRDefault="00031455">
      <w:pPr>
        <w:pStyle w:val="TOC2"/>
        <w:rPr>
          <w:rFonts w:asciiTheme="minorHAnsi" w:eastAsiaTheme="minorEastAsia" w:hAnsiTheme="minorHAnsi" w:cstheme="minorBidi"/>
          <w:sz w:val="22"/>
          <w:szCs w:val="22"/>
          <w:lang w:val="bg-BG"/>
        </w:rPr>
      </w:pPr>
      <w:hyperlink w:anchor="_Toc133597281" w:history="1">
        <w:r w:rsidR="006E2768" w:rsidRPr="00533072">
          <w:rPr>
            <w:rStyle w:val="Hyperlink"/>
          </w:rPr>
          <w:t>5.1</w:t>
        </w:r>
        <w:r w:rsidR="006E2768">
          <w:rPr>
            <w:rFonts w:asciiTheme="minorHAnsi" w:eastAsiaTheme="minorEastAsia" w:hAnsiTheme="minorHAnsi" w:cstheme="minorBidi"/>
            <w:sz w:val="22"/>
            <w:szCs w:val="22"/>
            <w:lang w:val="bg-BG"/>
          </w:rPr>
          <w:tab/>
        </w:r>
        <w:r w:rsidR="006E2768" w:rsidRPr="00533072">
          <w:rPr>
            <w:rStyle w:val="Hyperlink"/>
          </w:rPr>
          <w:t>Стратегия на политиката</w:t>
        </w:r>
        <w:r w:rsidR="006E2768">
          <w:rPr>
            <w:webHidden/>
          </w:rPr>
          <w:tab/>
        </w:r>
        <w:r w:rsidR="006E2768">
          <w:rPr>
            <w:webHidden/>
          </w:rPr>
          <w:fldChar w:fldCharType="begin"/>
        </w:r>
        <w:r w:rsidR="006E2768">
          <w:rPr>
            <w:webHidden/>
          </w:rPr>
          <w:instrText xml:space="preserve"> PAGEREF _Toc133597281 \h </w:instrText>
        </w:r>
        <w:r w:rsidR="006E2768">
          <w:rPr>
            <w:webHidden/>
          </w:rPr>
        </w:r>
        <w:r w:rsidR="006E2768">
          <w:rPr>
            <w:webHidden/>
          </w:rPr>
          <w:fldChar w:fldCharType="separate"/>
        </w:r>
        <w:r w:rsidR="009E5EB2">
          <w:rPr>
            <w:webHidden/>
          </w:rPr>
          <w:t>62</w:t>
        </w:r>
        <w:r w:rsidR="006E2768">
          <w:rPr>
            <w:webHidden/>
          </w:rPr>
          <w:fldChar w:fldCharType="end"/>
        </w:r>
      </w:hyperlink>
    </w:p>
    <w:p w14:paraId="6A790600" w14:textId="28730C9F" w:rsidR="006E2768" w:rsidRDefault="00031455">
      <w:pPr>
        <w:pStyle w:val="TOC2"/>
        <w:rPr>
          <w:rFonts w:asciiTheme="minorHAnsi" w:eastAsiaTheme="minorEastAsia" w:hAnsiTheme="minorHAnsi" w:cstheme="minorBidi"/>
          <w:sz w:val="22"/>
          <w:szCs w:val="22"/>
          <w:lang w:val="bg-BG"/>
        </w:rPr>
      </w:pPr>
      <w:hyperlink w:anchor="_Toc133597282" w:history="1">
        <w:r w:rsidR="006E2768" w:rsidRPr="00533072">
          <w:rPr>
            <w:rStyle w:val="Hyperlink"/>
          </w:rPr>
          <w:t>5.2</w:t>
        </w:r>
        <w:r w:rsidR="006E2768">
          <w:rPr>
            <w:rFonts w:asciiTheme="minorHAnsi" w:eastAsiaTheme="minorEastAsia" w:hAnsiTheme="minorHAnsi" w:cstheme="minorBidi"/>
            <w:sz w:val="22"/>
            <w:szCs w:val="22"/>
            <w:lang w:val="bg-BG"/>
          </w:rPr>
          <w:tab/>
        </w:r>
        <w:r w:rsidR="006E2768" w:rsidRPr="00533072">
          <w:rPr>
            <w:rStyle w:val="Hyperlink"/>
          </w:rPr>
          <w:t>Дългосрочни бюджетни перспективи, вкл. въздействието от  застаряването на населението</w:t>
        </w:r>
        <w:r w:rsidR="006E2768">
          <w:rPr>
            <w:webHidden/>
          </w:rPr>
          <w:tab/>
        </w:r>
        <w:r w:rsidR="006E2768">
          <w:rPr>
            <w:webHidden/>
          </w:rPr>
          <w:fldChar w:fldCharType="begin"/>
        </w:r>
        <w:r w:rsidR="006E2768">
          <w:rPr>
            <w:webHidden/>
          </w:rPr>
          <w:instrText xml:space="preserve"> PAGEREF _Toc133597282 \h </w:instrText>
        </w:r>
        <w:r w:rsidR="006E2768">
          <w:rPr>
            <w:webHidden/>
          </w:rPr>
        </w:r>
        <w:r w:rsidR="006E2768">
          <w:rPr>
            <w:webHidden/>
          </w:rPr>
          <w:fldChar w:fldCharType="separate"/>
        </w:r>
        <w:r w:rsidR="009E5EB2">
          <w:rPr>
            <w:webHidden/>
          </w:rPr>
          <w:t>66</w:t>
        </w:r>
        <w:r w:rsidR="006E2768">
          <w:rPr>
            <w:webHidden/>
          </w:rPr>
          <w:fldChar w:fldCharType="end"/>
        </w:r>
      </w:hyperlink>
    </w:p>
    <w:p w14:paraId="3FE81A0C" w14:textId="71538432" w:rsidR="006E2768" w:rsidRDefault="00031455">
      <w:pPr>
        <w:pStyle w:val="TOC2"/>
        <w:rPr>
          <w:rFonts w:asciiTheme="minorHAnsi" w:eastAsiaTheme="minorEastAsia" w:hAnsiTheme="minorHAnsi" w:cstheme="minorBidi"/>
          <w:sz w:val="22"/>
          <w:szCs w:val="22"/>
          <w:lang w:val="bg-BG"/>
        </w:rPr>
      </w:pPr>
      <w:hyperlink w:anchor="_Toc133597283" w:history="1">
        <w:r w:rsidR="006E2768" w:rsidRPr="00533072">
          <w:rPr>
            <w:rStyle w:val="Hyperlink"/>
          </w:rPr>
          <w:t>5.3</w:t>
        </w:r>
        <w:r w:rsidR="006E2768">
          <w:rPr>
            <w:rFonts w:asciiTheme="minorHAnsi" w:eastAsiaTheme="minorEastAsia" w:hAnsiTheme="minorHAnsi" w:cstheme="minorBidi"/>
            <w:sz w:val="22"/>
            <w:szCs w:val="22"/>
            <w:lang w:val="bg-BG"/>
          </w:rPr>
          <w:tab/>
        </w:r>
        <w:r w:rsidR="006E2768" w:rsidRPr="00533072">
          <w:rPr>
            <w:rStyle w:val="Hyperlink"/>
          </w:rPr>
          <w:t>Условни задължения</w:t>
        </w:r>
        <w:r w:rsidR="006E2768">
          <w:rPr>
            <w:webHidden/>
          </w:rPr>
          <w:tab/>
        </w:r>
        <w:r w:rsidR="006E2768">
          <w:rPr>
            <w:webHidden/>
          </w:rPr>
          <w:fldChar w:fldCharType="begin"/>
        </w:r>
        <w:r w:rsidR="006E2768">
          <w:rPr>
            <w:webHidden/>
          </w:rPr>
          <w:instrText xml:space="preserve"> PAGEREF _Toc133597283 \h </w:instrText>
        </w:r>
        <w:r w:rsidR="006E2768">
          <w:rPr>
            <w:webHidden/>
          </w:rPr>
        </w:r>
        <w:r w:rsidR="006E2768">
          <w:rPr>
            <w:webHidden/>
          </w:rPr>
          <w:fldChar w:fldCharType="separate"/>
        </w:r>
        <w:r w:rsidR="009E5EB2">
          <w:rPr>
            <w:webHidden/>
          </w:rPr>
          <w:t>72</w:t>
        </w:r>
        <w:r w:rsidR="006E2768">
          <w:rPr>
            <w:webHidden/>
          </w:rPr>
          <w:fldChar w:fldCharType="end"/>
        </w:r>
      </w:hyperlink>
    </w:p>
    <w:p w14:paraId="463C155A" w14:textId="1C04829E" w:rsidR="006E2768" w:rsidRDefault="00031455">
      <w:pPr>
        <w:pStyle w:val="TOC1"/>
        <w:rPr>
          <w:rFonts w:asciiTheme="minorHAnsi" w:eastAsiaTheme="minorEastAsia" w:hAnsiTheme="minorHAnsi" w:cstheme="minorBidi"/>
          <w:b w:val="0"/>
          <w:bCs w:val="0"/>
          <w:color w:val="auto"/>
          <w:kern w:val="0"/>
          <w:sz w:val="22"/>
          <w:szCs w:val="22"/>
        </w:rPr>
      </w:pPr>
      <w:hyperlink w:anchor="_Toc133597284" w:history="1">
        <w:r w:rsidR="006E2768" w:rsidRPr="00533072">
          <w:rPr>
            <w:rStyle w:val="Hyperlink"/>
          </w:rPr>
          <w:t>6.</w:t>
        </w:r>
        <w:r w:rsidR="006E2768">
          <w:rPr>
            <w:rFonts w:asciiTheme="minorHAnsi" w:eastAsiaTheme="minorEastAsia" w:hAnsiTheme="minorHAnsi" w:cstheme="minorBidi"/>
            <w:b w:val="0"/>
            <w:bCs w:val="0"/>
            <w:color w:val="auto"/>
            <w:kern w:val="0"/>
            <w:sz w:val="22"/>
            <w:szCs w:val="22"/>
          </w:rPr>
          <w:tab/>
        </w:r>
        <w:r w:rsidR="006E2768" w:rsidRPr="00533072">
          <w:rPr>
            <w:rStyle w:val="Hyperlink"/>
          </w:rPr>
          <w:t>Качество на публичните  финанси</w:t>
        </w:r>
        <w:r w:rsidR="006E2768">
          <w:rPr>
            <w:webHidden/>
          </w:rPr>
          <w:tab/>
        </w:r>
        <w:r w:rsidR="006E2768">
          <w:rPr>
            <w:webHidden/>
          </w:rPr>
          <w:fldChar w:fldCharType="begin"/>
        </w:r>
        <w:r w:rsidR="006E2768">
          <w:rPr>
            <w:webHidden/>
          </w:rPr>
          <w:instrText xml:space="preserve"> PAGEREF _Toc133597284 \h </w:instrText>
        </w:r>
        <w:r w:rsidR="006E2768">
          <w:rPr>
            <w:webHidden/>
          </w:rPr>
        </w:r>
        <w:r w:rsidR="006E2768">
          <w:rPr>
            <w:webHidden/>
          </w:rPr>
          <w:fldChar w:fldCharType="separate"/>
        </w:r>
        <w:r w:rsidR="009E5EB2">
          <w:rPr>
            <w:webHidden/>
          </w:rPr>
          <w:t>74</w:t>
        </w:r>
        <w:r w:rsidR="006E2768">
          <w:rPr>
            <w:webHidden/>
          </w:rPr>
          <w:fldChar w:fldCharType="end"/>
        </w:r>
      </w:hyperlink>
    </w:p>
    <w:p w14:paraId="0A0BF31E" w14:textId="73701E07" w:rsidR="006E2768" w:rsidRDefault="00031455">
      <w:pPr>
        <w:pStyle w:val="TOC2"/>
        <w:rPr>
          <w:rFonts w:asciiTheme="minorHAnsi" w:eastAsiaTheme="minorEastAsia" w:hAnsiTheme="minorHAnsi" w:cstheme="minorBidi"/>
          <w:sz w:val="22"/>
          <w:szCs w:val="22"/>
          <w:lang w:val="bg-BG"/>
        </w:rPr>
      </w:pPr>
      <w:hyperlink w:anchor="_Toc133597285" w:history="1">
        <w:r w:rsidR="006E2768" w:rsidRPr="00533072">
          <w:rPr>
            <w:rStyle w:val="Hyperlink"/>
          </w:rPr>
          <w:t>6.1</w:t>
        </w:r>
        <w:r w:rsidR="006E2768">
          <w:rPr>
            <w:rFonts w:asciiTheme="minorHAnsi" w:eastAsiaTheme="minorEastAsia" w:hAnsiTheme="minorHAnsi" w:cstheme="minorBidi"/>
            <w:sz w:val="22"/>
            <w:szCs w:val="22"/>
            <w:lang w:val="bg-BG"/>
          </w:rPr>
          <w:tab/>
        </w:r>
        <w:r w:rsidR="006E2768" w:rsidRPr="00533072">
          <w:rPr>
            <w:rStyle w:val="Hyperlink"/>
          </w:rPr>
          <w:t>Стратегия на политиката</w:t>
        </w:r>
        <w:r w:rsidR="006E2768">
          <w:rPr>
            <w:webHidden/>
          </w:rPr>
          <w:tab/>
        </w:r>
        <w:r w:rsidR="006E2768">
          <w:rPr>
            <w:webHidden/>
          </w:rPr>
          <w:fldChar w:fldCharType="begin"/>
        </w:r>
        <w:r w:rsidR="006E2768">
          <w:rPr>
            <w:webHidden/>
          </w:rPr>
          <w:instrText xml:space="preserve"> PAGEREF _Toc133597285 \h </w:instrText>
        </w:r>
        <w:r w:rsidR="006E2768">
          <w:rPr>
            <w:webHidden/>
          </w:rPr>
        </w:r>
        <w:r w:rsidR="006E2768">
          <w:rPr>
            <w:webHidden/>
          </w:rPr>
          <w:fldChar w:fldCharType="separate"/>
        </w:r>
        <w:r w:rsidR="009E5EB2">
          <w:rPr>
            <w:webHidden/>
          </w:rPr>
          <w:t>74</w:t>
        </w:r>
        <w:r w:rsidR="006E2768">
          <w:rPr>
            <w:webHidden/>
          </w:rPr>
          <w:fldChar w:fldCharType="end"/>
        </w:r>
      </w:hyperlink>
    </w:p>
    <w:p w14:paraId="077A7C13" w14:textId="6188BEED" w:rsidR="006E2768" w:rsidRDefault="00031455">
      <w:pPr>
        <w:pStyle w:val="TOC2"/>
        <w:rPr>
          <w:rFonts w:asciiTheme="minorHAnsi" w:eastAsiaTheme="minorEastAsia" w:hAnsiTheme="minorHAnsi" w:cstheme="minorBidi"/>
          <w:sz w:val="22"/>
          <w:szCs w:val="22"/>
          <w:lang w:val="bg-BG"/>
        </w:rPr>
      </w:pPr>
      <w:hyperlink w:anchor="_Toc133597286" w:history="1">
        <w:r w:rsidR="006E2768" w:rsidRPr="00533072">
          <w:rPr>
            <w:rStyle w:val="Hyperlink"/>
          </w:rPr>
          <w:t>6.2</w:t>
        </w:r>
        <w:r w:rsidR="006E2768">
          <w:rPr>
            <w:rFonts w:asciiTheme="minorHAnsi" w:eastAsiaTheme="minorEastAsia" w:hAnsiTheme="minorHAnsi" w:cstheme="minorBidi"/>
            <w:sz w:val="22"/>
            <w:szCs w:val="22"/>
            <w:lang w:val="bg-BG"/>
          </w:rPr>
          <w:tab/>
        </w:r>
        <w:r w:rsidR="006E2768" w:rsidRPr="00533072">
          <w:rPr>
            <w:rStyle w:val="Hyperlink"/>
          </w:rPr>
          <w:t>Състав, ефективност и ефикасност на разходите – COFOG</w:t>
        </w:r>
        <w:r w:rsidR="006E2768">
          <w:rPr>
            <w:webHidden/>
          </w:rPr>
          <w:tab/>
        </w:r>
        <w:r w:rsidR="006E2768">
          <w:rPr>
            <w:webHidden/>
          </w:rPr>
          <w:fldChar w:fldCharType="begin"/>
        </w:r>
        <w:r w:rsidR="006E2768">
          <w:rPr>
            <w:webHidden/>
          </w:rPr>
          <w:instrText xml:space="preserve"> PAGEREF _Toc133597286 \h </w:instrText>
        </w:r>
        <w:r w:rsidR="006E2768">
          <w:rPr>
            <w:webHidden/>
          </w:rPr>
        </w:r>
        <w:r w:rsidR="006E2768">
          <w:rPr>
            <w:webHidden/>
          </w:rPr>
          <w:fldChar w:fldCharType="separate"/>
        </w:r>
        <w:r w:rsidR="009E5EB2">
          <w:rPr>
            <w:webHidden/>
          </w:rPr>
          <w:t>76</w:t>
        </w:r>
        <w:r w:rsidR="006E2768">
          <w:rPr>
            <w:webHidden/>
          </w:rPr>
          <w:fldChar w:fldCharType="end"/>
        </w:r>
      </w:hyperlink>
    </w:p>
    <w:p w14:paraId="00F6A4E5" w14:textId="234AEC1B" w:rsidR="006E2768" w:rsidRDefault="00031455">
      <w:pPr>
        <w:pStyle w:val="TOC2"/>
        <w:rPr>
          <w:rFonts w:asciiTheme="minorHAnsi" w:eastAsiaTheme="minorEastAsia" w:hAnsiTheme="minorHAnsi" w:cstheme="minorBidi"/>
          <w:sz w:val="22"/>
          <w:szCs w:val="22"/>
          <w:lang w:val="bg-BG"/>
        </w:rPr>
      </w:pPr>
      <w:hyperlink w:anchor="_Toc133597287" w:history="1">
        <w:r w:rsidR="006E2768" w:rsidRPr="00533072">
          <w:rPr>
            <w:rStyle w:val="Hyperlink"/>
          </w:rPr>
          <w:t>6.3</w:t>
        </w:r>
        <w:r w:rsidR="006E2768">
          <w:rPr>
            <w:rFonts w:asciiTheme="minorHAnsi" w:eastAsiaTheme="minorEastAsia" w:hAnsiTheme="minorHAnsi" w:cstheme="minorBidi"/>
            <w:sz w:val="22"/>
            <w:szCs w:val="22"/>
            <w:lang w:val="bg-BG"/>
          </w:rPr>
          <w:tab/>
        </w:r>
        <w:r w:rsidR="006E2768" w:rsidRPr="00533072">
          <w:rPr>
            <w:rStyle w:val="Hyperlink"/>
          </w:rPr>
          <w:t>Структура и ефективност на приходните системи</w:t>
        </w:r>
        <w:r w:rsidR="006E2768">
          <w:rPr>
            <w:webHidden/>
          </w:rPr>
          <w:tab/>
        </w:r>
        <w:r w:rsidR="006E2768">
          <w:rPr>
            <w:webHidden/>
          </w:rPr>
          <w:fldChar w:fldCharType="begin"/>
        </w:r>
        <w:r w:rsidR="006E2768">
          <w:rPr>
            <w:webHidden/>
          </w:rPr>
          <w:instrText xml:space="preserve"> PAGEREF _Toc133597287 \h </w:instrText>
        </w:r>
        <w:r w:rsidR="006E2768">
          <w:rPr>
            <w:webHidden/>
          </w:rPr>
        </w:r>
        <w:r w:rsidR="006E2768">
          <w:rPr>
            <w:webHidden/>
          </w:rPr>
          <w:fldChar w:fldCharType="separate"/>
        </w:r>
        <w:r w:rsidR="009E5EB2">
          <w:rPr>
            <w:webHidden/>
          </w:rPr>
          <w:t>79</w:t>
        </w:r>
        <w:r w:rsidR="006E2768">
          <w:rPr>
            <w:webHidden/>
          </w:rPr>
          <w:fldChar w:fldCharType="end"/>
        </w:r>
      </w:hyperlink>
    </w:p>
    <w:p w14:paraId="11209D51" w14:textId="134F91F3" w:rsidR="006E2768" w:rsidRDefault="00031455">
      <w:pPr>
        <w:pStyle w:val="TOC1"/>
        <w:rPr>
          <w:rFonts w:asciiTheme="minorHAnsi" w:eastAsiaTheme="minorEastAsia" w:hAnsiTheme="minorHAnsi" w:cstheme="minorBidi"/>
          <w:b w:val="0"/>
          <w:bCs w:val="0"/>
          <w:color w:val="auto"/>
          <w:kern w:val="0"/>
          <w:sz w:val="22"/>
          <w:szCs w:val="22"/>
        </w:rPr>
      </w:pPr>
      <w:hyperlink w:anchor="_Toc133597288" w:history="1">
        <w:r w:rsidR="006E2768" w:rsidRPr="00533072">
          <w:rPr>
            <w:rStyle w:val="Hyperlink"/>
          </w:rPr>
          <w:t>7.</w:t>
        </w:r>
        <w:r w:rsidR="006E2768">
          <w:rPr>
            <w:rFonts w:asciiTheme="minorHAnsi" w:eastAsiaTheme="minorEastAsia" w:hAnsiTheme="minorHAnsi" w:cstheme="minorBidi"/>
            <w:b w:val="0"/>
            <w:bCs w:val="0"/>
            <w:color w:val="auto"/>
            <w:kern w:val="0"/>
            <w:sz w:val="22"/>
            <w:szCs w:val="22"/>
          </w:rPr>
          <w:tab/>
        </w:r>
        <w:r w:rsidR="006E2768" w:rsidRPr="00533072">
          <w:rPr>
            <w:rStyle w:val="Hyperlink"/>
          </w:rPr>
          <w:t>Институционални  характеристики на публичните финанси</w:t>
        </w:r>
        <w:r w:rsidR="006E2768">
          <w:rPr>
            <w:webHidden/>
          </w:rPr>
          <w:tab/>
        </w:r>
        <w:r w:rsidR="006E2768">
          <w:rPr>
            <w:webHidden/>
          </w:rPr>
          <w:fldChar w:fldCharType="begin"/>
        </w:r>
        <w:r w:rsidR="006E2768">
          <w:rPr>
            <w:webHidden/>
          </w:rPr>
          <w:instrText xml:space="preserve"> PAGEREF _Toc133597288 \h </w:instrText>
        </w:r>
        <w:r w:rsidR="006E2768">
          <w:rPr>
            <w:webHidden/>
          </w:rPr>
        </w:r>
        <w:r w:rsidR="006E2768">
          <w:rPr>
            <w:webHidden/>
          </w:rPr>
          <w:fldChar w:fldCharType="separate"/>
        </w:r>
        <w:r w:rsidR="009E5EB2">
          <w:rPr>
            <w:webHidden/>
          </w:rPr>
          <w:t>91</w:t>
        </w:r>
        <w:r w:rsidR="006E2768">
          <w:rPr>
            <w:webHidden/>
          </w:rPr>
          <w:fldChar w:fldCharType="end"/>
        </w:r>
      </w:hyperlink>
    </w:p>
    <w:p w14:paraId="2B3FE1C7" w14:textId="5FC2F92E" w:rsidR="006E2768" w:rsidRDefault="00031455">
      <w:pPr>
        <w:pStyle w:val="TOC2"/>
        <w:rPr>
          <w:rFonts w:asciiTheme="minorHAnsi" w:eastAsiaTheme="minorEastAsia" w:hAnsiTheme="minorHAnsi" w:cstheme="minorBidi"/>
          <w:sz w:val="22"/>
          <w:szCs w:val="22"/>
          <w:lang w:val="bg-BG"/>
        </w:rPr>
      </w:pPr>
      <w:hyperlink w:anchor="_Toc133597289" w:history="1">
        <w:r w:rsidR="006E2768" w:rsidRPr="00533072">
          <w:rPr>
            <w:rStyle w:val="Hyperlink"/>
          </w:rPr>
          <w:t>7.1</w:t>
        </w:r>
        <w:r w:rsidR="006E2768">
          <w:rPr>
            <w:rFonts w:asciiTheme="minorHAnsi" w:eastAsiaTheme="minorEastAsia" w:hAnsiTheme="minorHAnsi" w:cstheme="minorBidi"/>
            <w:sz w:val="22"/>
            <w:szCs w:val="22"/>
            <w:lang w:val="bg-BG"/>
          </w:rPr>
          <w:tab/>
        </w:r>
        <w:r w:rsidR="006E2768" w:rsidRPr="00533072">
          <w:rPr>
            <w:rStyle w:val="Hyperlink"/>
          </w:rPr>
          <w:t>Национални бюджетни правила</w:t>
        </w:r>
        <w:r w:rsidR="006E2768">
          <w:rPr>
            <w:webHidden/>
          </w:rPr>
          <w:tab/>
        </w:r>
        <w:r w:rsidR="006E2768">
          <w:rPr>
            <w:webHidden/>
          </w:rPr>
          <w:fldChar w:fldCharType="begin"/>
        </w:r>
        <w:r w:rsidR="006E2768">
          <w:rPr>
            <w:webHidden/>
          </w:rPr>
          <w:instrText xml:space="preserve"> PAGEREF _Toc133597289 \h </w:instrText>
        </w:r>
        <w:r w:rsidR="006E2768">
          <w:rPr>
            <w:webHidden/>
          </w:rPr>
        </w:r>
        <w:r w:rsidR="006E2768">
          <w:rPr>
            <w:webHidden/>
          </w:rPr>
          <w:fldChar w:fldCharType="separate"/>
        </w:r>
        <w:r w:rsidR="009E5EB2">
          <w:rPr>
            <w:webHidden/>
          </w:rPr>
          <w:t>91</w:t>
        </w:r>
        <w:r w:rsidR="006E2768">
          <w:rPr>
            <w:webHidden/>
          </w:rPr>
          <w:fldChar w:fldCharType="end"/>
        </w:r>
      </w:hyperlink>
    </w:p>
    <w:p w14:paraId="4CC55ADC" w14:textId="73FFBEE4" w:rsidR="006E2768" w:rsidRDefault="00031455">
      <w:pPr>
        <w:pStyle w:val="TOC2"/>
        <w:rPr>
          <w:rFonts w:asciiTheme="minorHAnsi" w:eastAsiaTheme="minorEastAsia" w:hAnsiTheme="minorHAnsi" w:cstheme="minorBidi"/>
          <w:sz w:val="22"/>
          <w:szCs w:val="22"/>
          <w:lang w:val="bg-BG"/>
        </w:rPr>
      </w:pPr>
      <w:hyperlink w:anchor="_Toc133597290" w:history="1">
        <w:r w:rsidR="006E2768" w:rsidRPr="00533072">
          <w:rPr>
            <w:rStyle w:val="Hyperlink"/>
          </w:rPr>
          <w:t>7.2</w:t>
        </w:r>
        <w:r w:rsidR="006E2768">
          <w:rPr>
            <w:rFonts w:asciiTheme="minorHAnsi" w:eastAsiaTheme="minorEastAsia" w:hAnsiTheme="minorHAnsi" w:cstheme="minorBidi"/>
            <w:sz w:val="22"/>
            <w:szCs w:val="22"/>
            <w:lang w:val="bg-BG"/>
          </w:rPr>
          <w:tab/>
        </w:r>
        <w:r w:rsidR="006E2768" w:rsidRPr="00533072">
          <w:rPr>
            <w:rStyle w:val="Hyperlink"/>
          </w:rPr>
          <w:t>Бюджетни процедури</w:t>
        </w:r>
        <w:r w:rsidR="006E2768">
          <w:rPr>
            <w:webHidden/>
          </w:rPr>
          <w:tab/>
        </w:r>
        <w:r w:rsidR="006E2768">
          <w:rPr>
            <w:webHidden/>
          </w:rPr>
          <w:fldChar w:fldCharType="begin"/>
        </w:r>
        <w:r w:rsidR="006E2768">
          <w:rPr>
            <w:webHidden/>
          </w:rPr>
          <w:instrText xml:space="preserve"> PAGEREF _Toc133597290 \h </w:instrText>
        </w:r>
        <w:r w:rsidR="006E2768">
          <w:rPr>
            <w:webHidden/>
          </w:rPr>
        </w:r>
        <w:r w:rsidR="006E2768">
          <w:rPr>
            <w:webHidden/>
          </w:rPr>
          <w:fldChar w:fldCharType="separate"/>
        </w:r>
        <w:r w:rsidR="009E5EB2">
          <w:rPr>
            <w:webHidden/>
          </w:rPr>
          <w:t>93</w:t>
        </w:r>
        <w:r w:rsidR="006E2768">
          <w:rPr>
            <w:webHidden/>
          </w:rPr>
          <w:fldChar w:fldCharType="end"/>
        </w:r>
      </w:hyperlink>
    </w:p>
    <w:p w14:paraId="4A3B77A9" w14:textId="2357B376" w:rsidR="006E2768" w:rsidRDefault="00031455">
      <w:pPr>
        <w:pStyle w:val="TOC2"/>
        <w:rPr>
          <w:rFonts w:asciiTheme="minorHAnsi" w:eastAsiaTheme="minorEastAsia" w:hAnsiTheme="minorHAnsi" w:cstheme="minorBidi"/>
          <w:sz w:val="22"/>
          <w:szCs w:val="22"/>
          <w:lang w:val="bg-BG"/>
        </w:rPr>
      </w:pPr>
      <w:hyperlink w:anchor="_Toc133597291" w:history="1">
        <w:r w:rsidR="006E2768" w:rsidRPr="00533072">
          <w:rPr>
            <w:rStyle w:val="Hyperlink"/>
          </w:rPr>
          <w:t>7.3</w:t>
        </w:r>
        <w:r w:rsidR="006E2768">
          <w:rPr>
            <w:rFonts w:asciiTheme="minorHAnsi" w:eastAsiaTheme="minorEastAsia" w:hAnsiTheme="minorHAnsi" w:cstheme="minorBidi"/>
            <w:sz w:val="22"/>
            <w:szCs w:val="22"/>
            <w:lang w:val="bg-BG"/>
          </w:rPr>
          <w:tab/>
        </w:r>
        <w:r w:rsidR="006E2768" w:rsidRPr="00533072">
          <w:rPr>
            <w:rStyle w:val="Hyperlink"/>
          </w:rPr>
          <w:t>Други институционални развития във връзка с публичните финанси</w:t>
        </w:r>
        <w:r w:rsidR="006E2768">
          <w:rPr>
            <w:webHidden/>
          </w:rPr>
          <w:tab/>
        </w:r>
        <w:r w:rsidR="006E2768">
          <w:rPr>
            <w:webHidden/>
          </w:rPr>
          <w:fldChar w:fldCharType="begin"/>
        </w:r>
        <w:r w:rsidR="006E2768">
          <w:rPr>
            <w:webHidden/>
          </w:rPr>
          <w:instrText xml:space="preserve"> PAGEREF _Toc133597291 \h </w:instrText>
        </w:r>
        <w:r w:rsidR="006E2768">
          <w:rPr>
            <w:webHidden/>
          </w:rPr>
        </w:r>
        <w:r w:rsidR="006E2768">
          <w:rPr>
            <w:webHidden/>
          </w:rPr>
          <w:fldChar w:fldCharType="separate"/>
        </w:r>
        <w:r w:rsidR="009E5EB2">
          <w:rPr>
            <w:webHidden/>
          </w:rPr>
          <w:t>94</w:t>
        </w:r>
        <w:r w:rsidR="006E2768">
          <w:rPr>
            <w:webHidden/>
          </w:rPr>
          <w:fldChar w:fldCharType="end"/>
        </w:r>
      </w:hyperlink>
    </w:p>
    <w:p w14:paraId="666A665C" w14:textId="12E14B25" w:rsidR="006E2768" w:rsidRDefault="00031455">
      <w:pPr>
        <w:pStyle w:val="TOC1"/>
        <w:rPr>
          <w:rFonts w:asciiTheme="minorHAnsi" w:eastAsiaTheme="minorEastAsia" w:hAnsiTheme="minorHAnsi" w:cstheme="minorBidi"/>
          <w:b w:val="0"/>
          <w:bCs w:val="0"/>
          <w:color w:val="auto"/>
          <w:kern w:val="0"/>
          <w:sz w:val="22"/>
          <w:szCs w:val="22"/>
        </w:rPr>
      </w:pPr>
      <w:hyperlink w:anchor="_Toc133597292" w:history="1">
        <w:r w:rsidR="006E2768" w:rsidRPr="00533072">
          <w:rPr>
            <w:rStyle w:val="Hyperlink"/>
          </w:rPr>
          <w:t>8.</w:t>
        </w:r>
        <w:r w:rsidR="006E2768">
          <w:rPr>
            <w:rFonts w:asciiTheme="minorHAnsi" w:eastAsiaTheme="minorEastAsia" w:hAnsiTheme="minorHAnsi" w:cstheme="minorBidi"/>
            <w:b w:val="0"/>
            <w:bCs w:val="0"/>
            <w:color w:val="auto"/>
            <w:kern w:val="0"/>
            <w:sz w:val="22"/>
            <w:szCs w:val="22"/>
          </w:rPr>
          <w:tab/>
        </w:r>
        <w:r w:rsidR="006E2768" w:rsidRPr="00533072">
          <w:rPr>
            <w:rStyle w:val="Hyperlink"/>
          </w:rPr>
          <w:t>Приложение А</w:t>
        </w:r>
        <w:r w:rsidR="006E2768">
          <w:rPr>
            <w:webHidden/>
          </w:rPr>
          <w:tab/>
        </w:r>
        <w:r w:rsidR="006E2768">
          <w:rPr>
            <w:webHidden/>
          </w:rPr>
          <w:fldChar w:fldCharType="begin"/>
        </w:r>
        <w:r w:rsidR="006E2768">
          <w:rPr>
            <w:webHidden/>
          </w:rPr>
          <w:instrText xml:space="preserve"> PAGEREF _Toc133597292 \h </w:instrText>
        </w:r>
        <w:r w:rsidR="006E2768">
          <w:rPr>
            <w:webHidden/>
          </w:rPr>
        </w:r>
        <w:r w:rsidR="006E2768">
          <w:rPr>
            <w:webHidden/>
          </w:rPr>
          <w:fldChar w:fldCharType="separate"/>
        </w:r>
        <w:r w:rsidR="009E5EB2">
          <w:rPr>
            <w:webHidden/>
          </w:rPr>
          <w:t>96</w:t>
        </w:r>
        <w:r w:rsidR="006E2768">
          <w:rPr>
            <w:webHidden/>
          </w:rPr>
          <w:fldChar w:fldCharType="end"/>
        </w:r>
      </w:hyperlink>
    </w:p>
    <w:p w14:paraId="1AE5BAB4" w14:textId="39DDFD21" w:rsidR="006E2768" w:rsidRDefault="00031455">
      <w:pPr>
        <w:pStyle w:val="TOC2"/>
        <w:rPr>
          <w:rFonts w:asciiTheme="minorHAnsi" w:eastAsiaTheme="minorEastAsia" w:hAnsiTheme="minorHAnsi" w:cstheme="minorBidi"/>
          <w:sz w:val="22"/>
          <w:szCs w:val="22"/>
          <w:lang w:val="bg-BG"/>
        </w:rPr>
      </w:pPr>
      <w:hyperlink w:anchor="_Toc133597293" w:history="1">
        <w:r w:rsidR="006E2768" w:rsidRPr="00533072">
          <w:rPr>
            <w:rStyle w:val="Hyperlink"/>
          </w:rPr>
          <w:t>Табл. 1а: Макроикономически перспективи</w:t>
        </w:r>
        <w:r w:rsidR="006E2768">
          <w:rPr>
            <w:webHidden/>
          </w:rPr>
          <w:tab/>
        </w:r>
        <w:r w:rsidR="006E2768">
          <w:rPr>
            <w:webHidden/>
          </w:rPr>
          <w:fldChar w:fldCharType="begin"/>
        </w:r>
        <w:r w:rsidR="006E2768">
          <w:rPr>
            <w:webHidden/>
          </w:rPr>
          <w:instrText xml:space="preserve"> PAGEREF _Toc133597293 \h </w:instrText>
        </w:r>
        <w:r w:rsidR="006E2768">
          <w:rPr>
            <w:webHidden/>
          </w:rPr>
        </w:r>
        <w:r w:rsidR="006E2768">
          <w:rPr>
            <w:webHidden/>
          </w:rPr>
          <w:fldChar w:fldCharType="separate"/>
        </w:r>
        <w:r w:rsidR="009E5EB2">
          <w:rPr>
            <w:webHidden/>
          </w:rPr>
          <w:t>96</w:t>
        </w:r>
        <w:r w:rsidR="006E2768">
          <w:rPr>
            <w:webHidden/>
          </w:rPr>
          <w:fldChar w:fldCharType="end"/>
        </w:r>
      </w:hyperlink>
    </w:p>
    <w:p w14:paraId="7A3858B7" w14:textId="58D4C0F0" w:rsidR="006E2768" w:rsidRDefault="00031455">
      <w:pPr>
        <w:pStyle w:val="TOC2"/>
        <w:rPr>
          <w:rFonts w:asciiTheme="minorHAnsi" w:eastAsiaTheme="minorEastAsia" w:hAnsiTheme="minorHAnsi" w:cstheme="minorBidi"/>
          <w:sz w:val="22"/>
          <w:szCs w:val="22"/>
          <w:lang w:val="bg-BG"/>
        </w:rPr>
      </w:pPr>
      <w:hyperlink w:anchor="_Toc133597294" w:history="1">
        <w:r w:rsidR="006E2768" w:rsidRPr="00533072">
          <w:rPr>
            <w:rStyle w:val="Hyperlink"/>
          </w:rPr>
          <w:t>Табл. 1б: Ценова динамика</w:t>
        </w:r>
        <w:r w:rsidR="006E2768">
          <w:rPr>
            <w:webHidden/>
          </w:rPr>
          <w:tab/>
        </w:r>
        <w:r w:rsidR="006E2768">
          <w:rPr>
            <w:webHidden/>
          </w:rPr>
          <w:fldChar w:fldCharType="begin"/>
        </w:r>
        <w:r w:rsidR="006E2768">
          <w:rPr>
            <w:webHidden/>
          </w:rPr>
          <w:instrText xml:space="preserve"> PAGEREF _Toc133597294 \h </w:instrText>
        </w:r>
        <w:r w:rsidR="006E2768">
          <w:rPr>
            <w:webHidden/>
          </w:rPr>
        </w:r>
        <w:r w:rsidR="006E2768">
          <w:rPr>
            <w:webHidden/>
          </w:rPr>
          <w:fldChar w:fldCharType="separate"/>
        </w:r>
        <w:r w:rsidR="009E5EB2">
          <w:rPr>
            <w:webHidden/>
          </w:rPr>
          <w:t>97</w:t>
        </w:r>
        <w:r w:rsidR="006E2768">
          <w:rPr>
            <w:webHidden/>
          </w:rPr>
          <w:fldChar w:fldCharType="end"/>
        </w:r>
      </w:hyperlink>
    </w:p>
    <w:p w14:paraId="5EB04FB4" w14:textId="08712589" w:rsidR="006E2768" w:rsidRDefault="00031455">
      <w:pPr>
        <w:pStyle w:val="TOC2"/>
        <w:rPr>
          <w:rFonts w:asciiTheme="minorHAnsi" w:eastAsiaTheme="minorEastAsia" w:hAnsiTheme="minorHAnsi" w:cstheme="minorBidi"/>
          <w:sz w:val="22"/>
          <w:szCs w:val="22"/>
          <w:lang w:val="bg-BG"/>
        </w:rPr>
      </w:pPr>
      <w:hyperlink w:anchor="_Toc133597295" w:history="1">
        <w:r w:rsidR="006E2768" w:rsidRPr="00533072">
          <w:rPr>
            <w:rStyle w:val="Hyperlink"/>
          </w:rPr>
          <w:t>Табл. 1в: Развитие на пазара на труда</w:t>
        </w:r>
        <w:r w:rsidR="006E2768">
          <w:rPr>
            <w:webHidden/>
          </w:rPr>
          <w:tab/>
        </w:r>
        <w:r w:rsidR="006E2768">
          <w:rPr>
            <w:webHidden/>
          </w:rPr>
          <w:fldChar w:fldCharType="begin"/>
        </w:r>
        <w:r w:rsidR="006E2768">
          <w:rPr>
            <w:webHidden/>
          </w:rPr>
          <w:instrText xml:space="preserve"> PAGEREF _Toc133597295 \h </w:instrText>
        </w:r>
        <w:r w:rsidR="006E2768">
          <w:rPr>
            <w:webHidden/>
          </w:rPr>
        </w:r>
        <w:r w:rsidR="006E2768">
          <w:rPr>
            <w:webHidden/>
          </w:rPr>
          <w:fldChar w:fldCharType="separate"/>
        </w:r>
        <w:r w:rsidR="009E5EB2">
          <w:rPr>
            <w:webHidden/>
          </w:rPr>
          <w:t>97</w:t>
        </w:r>
        <w:r w:rsidR="006E2768">
          <w:rPr>
            <w:webHidden/>
          </w:rPr>
          <w:fldChar w:fldCharType="end"/>
        </w:r>
      </w:hyperlink>
    </w:p>
    <w:p w14:paraId="2CEE8389" w14:textId="75FEE393" w:rsidR="006E2768" w:rsidRDefault="00031455">
      <w:pPr>
        <w:pStyle w:val="TOC2"/>
        <w:rPr>
          <w:rFonts w:asciiTheme="minorHAnsi" w:eastAsiaTheme="minorEastAsia" w:hAnsiTheme="minorHAnsi" w:cstheme="minorBidi"/>
          <w:sz w:val="22"/>
          <w:szCs w:val="22"/>
          <w:lang w:val="bg-BG"/>
        </w:rPr>
      </w:pPr>
      <w:hyperlink w:anchor="_Toc133597296" w:history="1">
        <w:r w:rsidR="006E2768" w:rsidRPr="00533072">
          <w:rPr>
            <w:rStyle w:val="Hyperlink"/>
          </w:rPr>
          <w:t>Табл. 1г: Секторни баланси</w:t>
        </w:r>
        <w:r w:rsidR="006E2768">
          <w:rPr>
            <w:webHidden/>
          </w:rPr>
          <w:tab/>
        </w:r>
        <w:r w:rsidR="006E2768">
          <w:rPr>
            <w:webHidden/>
          </w:rPr>
          <w:fldChar w:fldCharType="begin"/>
        </w:r>
        <w:r w:rsidR="006E2768">
          <w:rPr>
            <w:webHidden/>
          </w:rPr>
          <w:instrText xml:space="preserve"> PAGEREF _Toc133597296 \h </w:instrText>
        </w:r>
        <w:r w:rsidR="006E2768">
          <w:rPr>
            <w:webHidden/>
          </w:rPr>
        </w:r>
        <w:r w:rsidR="006E2768">
          <w:rPr>
            <w:webHidden/>
          </w:rPr>
          <w:fldChar w:fldCharType="separate"/>
        </w:r>
        <w:r w:rsidR="009E5EB2">
          <w:rPr>
            <w:webHidden/>
          </w:rPr>
          <w:t>98</w:t>
        </w:r>
        <w:r w:rsidR="006E2768">
          <w:rPr>
            <w:webHidden/>
          </w:rPr>
          <w:fldChar w:fldCharType="end"/>
        </w:r>
      </w:hyperlink>
    </w:p>
    <w:p w14:paraId="5538DBC3" w14:textId="23953D36" w:rsidR="006E2768" w:rsidRDefault="00031455">
      <w:pPr>
        <w:pStyle w:val="TOC2"/>
        <w:rPr>
          <w:rFonts w:asciiTheme="minorHAnsi" w:eastAsiaTheme="minorEastAsia" w:hAnsiTheme="minorHAnsi" w:cstheme="minorBidi"/>
          <w:sz w:val="22"/>
          <w:szCs w:val="22"/>
          <w:lang w:val="bg-BG"/>
        </w:rPr>
      </w:pPr>
      <w:hyperlink w:anchor="_Toc133597297" w:history="1">
        <w:r w:rsidR="006E2768" w:rsidRPr="00533072">
          <w:rPr>
            <w:rStyle w:val="Hyperlink"/>
          </w:rPr>
          <w:t>Табл. 2a: Бюджетни прогнози на сектор „Държавно управление”</w:t>
        </w:r>
        <w:r w:rsidR="006E2768">
          <w:rPr>
            <w:webHidden/>
          </w:rPr>
          <w:tab/>
        </w:r>
        <w:r w:rsidR="006E2768">
          <w:rPr>
            <w:webHidden/>
          </w:rPr>
          <w:fldChar w:fldCharType="begin"/>
        </w:r>
        <w:r w:rsidR="006E2768">
          <w:rPr>
            <w:webHidden/>
          </w:rPr>
          <w:instrText xml:space="preserve"> PAGEREF _Toc133597297 \h </w:instrText>
        </w:r>
        <w:r w:rsidR="006E2768">
          <w:rPr>
            <w:webHidden/>
          </w:rPr>
        </w:r>
        <w:r w:rsidR="006E2768">
          <w:rPr>
            <w:webHidden/>
          </w:rPr>
          <w:fldChar w:fldCharType="separate"/>
        </w:r>
        <w:r w:rsidR="009E5EB2">
          <w:rPr>
            <w:webHidden/>
          </w:rPr>
          <w:t>98</w:t>
        </w:r>
        <w:r w:rsidR="006E2768">
          <w:rPr>
            <w:webHidden/>
          </w:rPr>
          <w:fldChar w:fldCharType="end"/>
        </w:r>
      </w:hyperlink>
    </w:p>
    <w:p w14:paraId="01539C23" w14:textId="58EE9EE1" w:rsidR="006E2768" w:rsidRDefault="00031455">
      <w:pPr>
        <w:pStyle w:val="TOC2"/>
        <w:rPr>
          <w:rFonts w:asciiTheme="minorHAnsi" w:eastAsiaTheme="minorEastAsia" w:hAnsiTheme="minorHAnsi" w:cstheme="minorBidi"/>
          <w:sz w:val="22"/>
          <w:szCs w:val="22"/>
          <w:lang w:val="bg-BG"/>
        </w:rPr>
      </w:pPr>
      <w:hyperlink w:anchor="_Toc133597298" w:history="1">
        <w:r w:rsidR="006E2768" w:rsidRPr="00533072">
          <w:rPr>
            <w:rStyle w:val="Hyperlink"/>
          </w:rPr>
          <w:t>Табл. 2б: Прогнози при непроменени политики</w:t>
        </w:r>
        <w:r w:rsidR="006E2768">
          <w:rPr>
            <w:webHidden/>
          </w:rPr>
          <w:tab/>
        </w:r>
        <w:r w:rsidR="006E2768">
          <w:rPr>
            <w:webHidden/>
          </w:rPr>
          <w:fldChar w:fldCharType="begin"/>
        </w:r>
        <w:r w:rsidR="006E2768">
          <w:rPr>
            <w:webHidden/>
          </w:rPr>
          <w:instrText xml:space="preserve"> PAGEREF _Toc133597298 \h </w:instrText>
        </w:r>
        <w:r w:rsidR="006E2768">
          <w:rPr>
            <w:webHidden/>
          </w:rPr>
        </w:r>
        <w:r w:rsidR="006E2768">
          <w:rPr>
            <w:webHidden/>
          </w:rPr>
          <w:fldChar w:fldCharType="separate"/>
        </w:r>
        <w:r w:rsidR="009E5EB2">
          <w:rPr>
            <w:webHidden/>
          </w:rPr>
          <w:t>100</w:t>
        </w:r>
        <w:r w:rsidR="006E2768">
          <w:rPr>
            <w:webHidden/>
          </w:rPr>
          <w:fldChar w:fldCharType="end"/>
        </w:r>
      </w:hyperlink>
    </w:p>
    <w:p w14:paraId="7F99AB73" w14:textId="50B8CED1" w:rsidR="006E2768" w:rsidRDefault="00031455">
      <w:pPr>
        <w:pStyle w:val="TOC2"/>
        <w:rPr>
          <w:rFonts w:asciiTheme="minorHAnsi" w:eastAsiaTheme="minorEastAsia" w:hAnsiTheme="minorHAnsi" w:cstheme="minorBidi"/>
          <w:sz w:val="22"/>
          <w:szCs w:val="22"/>
          <w:lang w:val="bg-BG"/>
        </w:rPr>
      </w:pPr>
      <w:hyperlink w:anchor="_Toc133597299" w:history="1">
        <w:r w:rsidR="006E2768" w:rsidRPr="00533072">
          <w:rPr>
            <w:rStyle w:val="Hyperlink"/>
          </w:rPr>
          <w:t>Табл. 2в: Разходи, които не се включват в бенчмарка за разходите</w:t>
        </w:r>
        <w:r w:rsidR="006E2768">
          <w:rPr>
            <w:webHidden/>
          </w:rPr>
          <w:tab/>
        </w:r>
        <w:r w:rsidR="006E2768">
          <w:rPr>
            <w:webHidden/>
          </w:rPr>
          <w:fldChar w:fldCharType="begin"/>
        </w:r>
        <w:r w:rsidR="006E2768">
          <w:rPr>
            <w:webHidden/>
          </w:rPr>
          <w:instrText xml:space="preserve"> PAGEREF _Toc133597299 \h </w:instrText>
        </w:r>
        <w:r w:rsidR="006E2768">
          <w:rPr>
            <w:webHidden/>
          </w:rPr>
        </w:r>
        <w:r w:rsidR="006E2768">
          <w:rPr>
            <w:webHidden/>
          </w:rPr>
          <w:fldChar w:fldCharType="separate"/>
        </w:r>
        <w:r w:rsidR="009E5EB2">
          <w:rPr>
            <w:webHidden/>
          </w:rPr>
          <w:t>100</w:t>
        </w:r>
        <w:r w:rsidR="006E2768">
          <w:rPr>
            <w:webHidden/>
          </w:rPr>
          <w:fldChar w:fldCharType="end"/>
        </w:r>
      </w:hyperlink>
    </w:p>
    <w:p w14:paraId="45535895" w14:textId="07CBC463" w:rsidR="006E2768" w:rsidRDefault="00031455">
      <w:pPr>
        <w:pStyle w:val="TOC2"/>
        <w:rPr>
          <w:rFonts w:asciiTheme="minorHAnsi" w:eastAsiaTheme="minorEastAsia" w:hAnsiTheme="minorHAnsi" w:cstheme="minorBidi"/>
          <w:sz w:val="22"/>
          <w:szCs w:val="22"/>
          <w:lang w:val="bg-BG"/>
        </w:rPr>
      </w:pPr>
      <w:hyperlink w:anchor="_Toc133597300" w:history="1">
        <w:r w:rsidR="006E2768" w:rsidRPr="00533072">
          <w:rPr>
            <w:rStyle w:val="Hyperlink"/>
          </w:rPr>
          <w:t>Табл. 3: Държавни разходи по функции</w:t>
        </w:r>
        <w:r w:rsidR="006E2768">
          <w:rPr>
            <w:webHidden/>
          </w:rPr>
          <w:tab/>
        </w:r>
        <w:r w:rsidR="006E2768">
          <w:rPr>
            <w:webHidden/>
          </w:rPr>
          <w:fldChar w:fldCharType="begin"/>
        </w:r>
        <w:r w:rsidR="006E2768">
          <w:rPr>
            <w:webHidden/>
          </w:rPr>
          <w:instrText xml:space="preserve"> PAGEREF _Toc133597300 \h </w:instrText>
        </w:r>
        <w:r w:rsidR="006E2768">
          <w:rPr>
            <w:webHidden/>
          </w:rPr>
        </w:r>
        <w:r w:rsidR="006E2768">
          <w:rPr>
            <w:webHidden/>
          </w:rPr>
          <w:fldChar w:fldCharType="separate"/>
        </w:r>
        <w:r w:rsidR="009E5EB2">
          <w:rPr>
            <w:webHidden/>
          </w:rPr>
          <w:t>100</w:t>
        </w:r>
        <w:r w:rsidR="006E2768">
          <w:rPr>
            <w:webHidden/>
          </w:rPr>
          <w:fldChar w:fldCharType="end"/>
        </w:r>
      </w:hyperlink>
    </w:p>
    <w:p w14:paraId="297A309C" w14:textId="0B50CDAF" w:rsidR="006E2768" w:rsidRDefault="00031455">
      <w:pPr>
        <w:pStyle w:val="TOC2"/>
        <w:rPr>
          <w:rFonts w:asciiTheme="minorHAnsi" w:eastAsiaTheme="minorEastAsia" w:hAnsiTheme="minorHAnsi" w:cstheme="minorBidi"/>
          <w:sz w:val="22"/>
          <w:szCs w:val="22"/>
          <w:lang w:val="bg-BG"/>
        </w:rPr>
      </w:pPr>
      <w:hyperlink w:anchor="_Toc133597301" w:history="1">
        <w:r w:rsidR="006E2768" w:rsidRPr="00533072">
          <w:rPr>
            <w:rStyle w:val="Hyperlink"/>
          </w:rPr>
          <w:t>Табл. 4: Консолидиран правителствен дълг</w:t>
        </w:r>
        <w:r w:rsidR="006E2768">
          <w:rPr>
            <w:webHidden/>
          </w:rPr>
          <w:tab/>
        </w:r>
        <w:r w:rsidR="006E2768">
          <w:rPr>
            <w:webHidden/>
          </w:rPr>
          <w:fldChar w:fldCharType="begin"/>
        </w:r>
        <w:r w:rsidR="006E2768">
          <w:rPr>
            <w:webHidden/>
          </w:rPr>
          <w:instrText xml:space="preserve"> PAGEREF _Toc133597301 \h </w:instrText>
        </w:r>
        <w:r w:rsidR="006E2768">
          <w:rPr>
            <w:webHidden/>
          </w:rPr>
        </w:r>
        <w:r w:rsidR="006E2768">
          <w:rPr>
            <w:webHidden/>
          </w:rPr>
          <w:fldChar w:fldCharType="separate"/>
        </w:r>
        <w:r w:rsidR="009E5EB2">
          <w:rPr>
            <w:webHidden/>
          </w:rPr>
          <w:t>101</w:t>
        </w:r>
        <w:r w:rsidR="006E2768">
          <w:rPr>
            <w:webHidden/>
          </w:rPr>
          <w:fldChar w:fldCharType="end"/>
        </w:r>
      </w:hyperlink>
    </w:p>
    <w:p w14:paraId="4FA79A67" w14:textId="4447CF6C" w:rsidR="006E2768" w:rsidRDefault="00031455">
      <w:pPr>
        <w:pStyle w:val="TOC2"/>
        <w:rPr>
          <w:rFonts w:asciiTheme="minorHAnsi" w:eastAsiaTheme="minorEastAsia" w:hAnsiTheme="minorHAnsi" w:cstheme="minorBidi"/>
          <w:sz w:val="22"/>
          <w:szCs w:val="22"/>
          <w:lang w:val="bg-BG"/>
        </w:rPr>
      </w:pPr>
      <w:hyperlink w:anchor="_Toc133597302" w:history="1">
        <w:r w:rsidR="006E2768" w:rsidRPr="00533072">
          <w:rPr>
            <w:rStyle w:val="Hyperlink"/>
          </w:rPr>
          <w:t>Табл. 5: Циклично развитие</w:t>
        </w:r>
        <w:r w:rsidR="006E2768">
          <w:rPr>
            <w:webHidden/>
          </w:rPr>
          <w:tab/>
        </w:r>
        <w:r w:rsidR="006E2768">
          <w:rPr>
            <w:webHidden/>
          </w:rPr>
          <w:fldChar w:fldCharType="begin"/>
        </w:r>
        <w:r w:rsidR="006E2768">
          <w:rPr>
            <w:webHidden/>
          </w:rPr>
          <w:instrText xml:space="preserve"> PAGEREF _Toc133597302 \h </w:instrText>
        </w:r>
        <w:r w:rsidR="006E2768">
          <w:rPr>
            <w:webHidden/>
          </w:rPr>
        </w:r>
        <w:r w:rsidR="006E2768">
          <w:rPr>
            <w:webHidden/>
          </w:rPr>
          <w:fldChar w:fldCharType="separate"/>
        </w:r>
        <w:r w:rsidR="009E5EB2">
          <w:rPr>
            <w:webHidden/>
          </w:rPr>
          <w:t>102</w:t>
        </w:r>
        <w:r w:rsidR="006E2768">
          <w:rPr>
            <w:webHidden/>
          </w:rPr>
          <w:fldChar w:fldCharType="end"/>
        </w:r>
      </w:hyperlink>
    </w:p>
    <w:p w14:paraId="6BDB3110" w14:textId="44091874" w:rsidR="006E2768" w:rsidRDefault="00031455">
      <w:pPr>
        <w:pStyle w:val="TOC2"/>
        <w:rPr>
          <w:rFonts w:asciiTheme="minorHAnsi" w:eastAsiaTheme="minorEastAsia" w:hAnsiTheme="minorHAnsi" w:cstheme="minorBidi"/>
          <w:sz w:val="22"/>
          <w:szCs w:val="22"/>
          <w:lang w:val="bg-BG"/>
        </w:rPr>
      </w:pPr>
      <w:hyperlink w:anchor="_Toc133597303" w:history="1">
        <w:r w:rsidR="006E2768" w:rsidRPr="00533072">
          <w:rPr>
            <w:rStyle w:val="Hyperlink"/>
          </w:rPr>
          <w:t>Табл. 6: Разлика спрямо предходната актуализация</w:t>
        </w:r>
        <w:r w:rsidR="006E2768">
          <w:rPr>
            <w:webHidden/>
          </w:rPr>
          <w:tab/>
        </w:r>
        <w:r w:rsidR="006E2768">
          <w:rPr>
            <w:webHidden/>
          </w:rPr>
          <w:fldChar w:fldCharType="begin"/>
        </w:r>
        <w:r w:rsidR="006E2768">
          <w:rPr>
            <w:webHidden/>
          </w:rPr>
          <w:instrText xml:space="preserve"> PAGEREF _Toc133597303 \h </w:instrText>
        </w:r>
        <w:r w:rsidR="006E2768">
          <w:rPr>
            <w:webHidden/>
          </w:rPr>
        </w:r>
        <w:r w:rsidR="006E2768">
          <w:rPr>
            <w:webHidden/>
          </w:rPr>
          <w:fldChar w:fldCharType="separate"/>
        </w:r>
        <w:r w:rsidR="009E5EB2">
          <w:rPr>
            <w:webHidden/>
          </w:rPr>
          <w:t>102</w:t>
        </w:r>
        <w:r w:rsidR="006E2768">
          <w:rPr>
            <w:webHidden/>
          </w:rPr>
          <w:fldChar w:fldCharType="end"/>
        </w:r>
      </w:hyperlink>
    </w:p>
    <w:p w14:paraId="52F6363C" w14:textId="48F46744" w:rsidR="006E2768" w:rsidRDefault="00031455">
      <w:pPr>
        <w:pStyle w:val="TOC2"/>
        <w:rPr>
          <w:rFonts w:asciiTheme="minorHAnsi" w:eastAsiaTheme="minorEastAsia" w:hAnsiTheme="minorHAnsi" w:cstheme="minorBidi"/>
          <w:sz w:val="22"/>
          <w:szCs w:val="22"/>
          <w:lang w:val="bg-BG"/>
        </w:rPr>
      </w:pPr>
      <w:hyperlink w:anchor="_Toc133597304" w:history="1">
        <w:r w:rsidR="006E2768" w:rsidRPr="00533072">
          <w:rPr>
            <w:rStyle w:val="Hyperlink"/>
          </w:rPr>
          <w:t>Табл. 7: Дългосрочна устойчивост на публичните финанси</w:t>
        </w:r>
        <w:r w:rsidR="006E2768">
          <w:rPr>
            <w:webHidden/>
          </w:rPr>
          <w:tab/>
        </w:r>
        <w:r w:rsidR="006E2768">
          <w:rPr>
            <w:webHidden/>
          </w:rPr>
          <w:fldChar w:fldCharType="begin"/>
        </w:r>
        <w:r w:rsidR="006E2768">
          <w:rPr>
            <w:webHidden/>
          </w:rPr>
          <w:instrText xml:space="preserve"> PAGEREF _Toc133597304 \h </w:instrText>
        </w:r>
        <w:r w:rsidR="006E2768">
          <w:rPr>
            <w:webHidden/>
          </w:rPr>
        </w:r>
        <w:r w:rsidR="006E2768">
          <w:rPr>
            <w:webHidden/>
          </w:rPr>
          <w:fldChar w:fldCharType="separate"/>
        </w:r>
        <w:r w:rsidR="009E5EB2">
          <w:rPr>
            <w:webHidden/>
          </w:rPr>
          <w:t>103</w:t>
        </w:r>
        <w:r w:rsidR="006E2768">
          <w:rPr>
            <w:webHidden/>
          </w:rPr>
          <w:fldChar w:fldCharType="end"/>
        </w:r>
      </w:hyperlink>
    </w:p>
    <w:p w14:paraId="4A8B8CB7" w14:textId="68FFE369" w:rsidR="006E2768" w:rsidRDefault="00031455">
      <w:pPr>
        <w:pStyle w:val="TOC2"/>
        <w:rPr>
          <w:rFonts w:asciiTheme="minorHAnsi" w:eastAsiaTheme="minorEastAsia" w:hAnsiTheme="minorHAnsi" w:cstheme="minorBidi"/>
          <w:sz w:val="22"/>
          <w:szCs w:val="22"/>
          <w:lang w:val="bg-BG"/>
        </w:rPr>
      </w:pPr>
      <w:hyperlink w:anchor="_Toc133597305" w:history="1">
        <w:r w:rsidR="006E2768" w:rsidRPr="00533072">
          <w:rPr>
            <w:rStyle w:val="Hyperlink"/>
          </w:rPr>
          <w:t>Табл. 7а: Условни задължения</w:t>
        </w:r>
        <w:r w:rsidR="006E2768">
          <w:rPr>
            <w:webHidden/>
          </w:rPr>
          <w:tab/>
        </w:r>
        <w:r w:rsidR="006E2768">
          <w:rPr>
            <w:webHidden/>
          </w:rPr>
          <w:fldChar w:fldCharType="begin"/>
        </w:r>
        <w:r w:rsidR="006E2768">
          <w:rPr>
            <w:webHidden/>
          </w:rPr>
          <w:instrText xml:space="preserve"> PAGEREF _Toc133597305 \h </w:instrText>
        </w:r>
        <w:r w:rsidR="006E2768">
          <w:rPr>
            <w:webHidden/>
          </w:rPr>
        </w:r>
        <w:r w:rsidR="006E2768">
          <w:rPr>
            <w:webHidden/>
          </w:rPr>
          <w:fldChar w:fldCharType="separate"/>
        </w:r>
        <w:r w:rsidR="009E5EB2">
          <w:rPr>
            <w:webHidden/>
          </w:rPr>
          <w:t>104</w:t>
        </w:r>
        <w:r w:rsidR="006E2768">
          <w:rPr>
            <w:webHidden/>
          </w:rPr>
          <w:fldChar w:fldCharType="end"/>
        </w:r>
      </w:hyperlink>
    </w:p>
    <w:p w14:paraId="66A2180D" w14:textId="2562CAA0" w:rsidR="006E2768" w:rsidRDefault="00031455">
      <w:pPr>
        <w:pStyle w:val="TOC2"/>
        <w:rPr>
          <w:rFonts w:asciiTheme="minorHAnsi" w:eastAsiaTheme="minorEastAsia" w:hAnsiTheme="minorHAnsi" w:cstheme="minorBidi"/>
          <w:sz w:val="22"/>
          <w:szCs w:val="22"/>
          <w:lang w:val="bg-BG"/>
        </w:rPr>
      </w:pPr>
      <w:hyperlink w:anchor="_Toc133597306" w:history="1">
        <w:r w:rsidR="006E2768" w:rsidRPr="00533072">
          <w:rPr>
            <w:rStyle w:val="Hyperlink"/>
          </w:rPr>
          <w:t>Табл. 8: Основни допускания</w:t>
        </w:r>
        <w:r w:rsidR="006E2768">
          <w:rPr>
            <w:webHidden/>
          </w:rPr>
          <w:tab/>
        </w:r>
        <w:r w:rsidR="006E2768">
          <w:rPr>
            <w:webHidden/>
          </w:rPr>
          <w:fldChar w:fldCharType="begin"/>
        </w:r>
        <w:r w:rsidR="006E2768">
          <w:rPr>
            <w:webHidden/>
          </w:rPr>
          <w:instrText xml:space="preserve"> PAGEREF _Toc133597306 \h </w:instrText>
        </w:r>
        <w:r w:rsidR="006E2768">
          <w:rPr>
            <w:webHidden/>
          </w:rPr>
        </w:r>
        <w:r w:rsidR="006E2768">
          <w:rPr>
            <w:webHidden/>
          </w:rPr>
          <w:fldChar w:fldCharType="separate"/>
        </w:r>
        <w:r w:rsidR="009E5EB2">
          <w:rPr>
            <w:webHidden/>
          </w:rPr>
          <w:t>104</w:t>
        </w:r>
        <w:r w:rsidR="006E2768">
          <w:rPr>
            <w:webHidden/>
          </w:rPr>
          <w:fldChar w:fldCharType="end"/>
        </w:r>
      </w:hyperlink>
    </w:p>
    <w:p w14:paraId="7381A72D" w14:textId="58B67306" w:rsidR="006E2768" w:rsidRDefault="00031455">
      <w:pPr>
        <w:pStyle w:val="TOC1"/>
        <w:rPr>
          <w:rFonts w:asciiTheme="minorHAnsi" w:eastAsiaTheme="minorEastAsia" w:hAnsiTheme="minorHAnsi" w:cstheme="minorBidi"/>
          <w:b w:val="0"/>
          <w:bCs w:val="0"/>
          <w:color w:val="auto"/>
          <w:kern w:val="0"/>
          <w:sz w:val="22"/>
          <w:szCs w:val="22"/>
        </w:rPr>
      </w:pPr>
      <w:hyperlink w:anchor="_Toc133597307" w:history="1">
        <w:r w:rsidR="006E2768" w:rsidRPr="00533072">
          <w:rPr>
            <w:rStyle w:val="Hyperlink"/>
          </w:rPr>
          <w:t>9.</w:t>
        </w:r>
        <w:r w:rsidR="006E2768">
          <w:rPr>
            <w:rFonts w:asciiTheme="minorHAnsi" w:eastAsiaTheme="minorEastAsia" w:hAnsiTheme="minorHAnsi" w:cstheme="minorBidi"/>
            <w:b w:val="0"/>
            <w:bCs w:val="0"/>
            <w:color w:val="auto"/>
            <w:kern w:val="0"/>
            <w:sz w:val="22"/>
            <w:szCs w:val="22"/>
          </w:rPr>
          <w:tab/>
        </w:r>
        <w:r w:rsidR="006E2768" w:rsidRPr="00533072">
          <w:rPr>
            <w:rStyle w:val="Hyperlink"/>
          </w:rPr>
          <w:t>Приложение Б</w:t>
        </w:r>
        <w:r w:rsidR="006E2768">
          <w:rPr>
            <w:webHidden/>
          </w:rPr>
          <w:tab/>
        </w:r>
        <w:r w:rsidR="006E2768">
          <w:rPr>
            <w:webHidden/>
          </w:rPr>
          <w:fldChar w:fldCharType="begin"/>
        </w:r>
        <w:r w:rsidR="006E2768">
          <w:rPr>
            <w:webHidden/>
          </w:rPr>
          <w:instrText xml:space="preserve"> PAGEREF _Toc133597307 \h </w:instrText>
        </w:r>
        <w:r w:rsidR="006E2768">
          <w:rPr>
            <w:webHidden/>
          </w:rPr>
        </w:r>
        <w:r w:rsidR="006E2768">
          <w:rPr>
            <w:webHidden/>
          </w:rPr>
          <w:fldChar w:fldCharType="separate"/>
        </w:r>
        <w:r w:rsidR="009E5EB2">
          <w:rPr>
            <w:webHidden/>
          </w:rPr>
          <w:t>105</w:t>
        </w:r>
        <w:r w:rsidR="006E2768">
          <w:rPr>
            <w:webHidden/>
          </w:rPr>
          <w:fldChar w:fldCharType="end"/>
        </w:r>
      </w:hyperlink>
    </w:p>
    <w:p w14:paraId="4FF75E3C" w14:textId="0D3F32C1" w:rsidR="006E2768" w:rsidRDefault="00031455">
      <w:pPr>
        <w:pStyle w:val="TOC2"/>
        <w:rPr>
          <w:rFonts w:asciiTheme="minorHAnsi" w:eastAsiaTheme="minorEastAsia" w:hAnsiTheme="minorHAnsi" w:cstheme="minorBidi"/>
          <w:sz w:val="22"/>
          <w:szCs w:val="22"/>
          <w:lang w:val="bg-BG"/>
        </w:rPr>
      </w:pPr>
      <w:hyperlink w:anchor="_Toc133597308" w:history="1">
        <w:r w:rsidR="006E2768" w:rsidRPr="00533072">
          <w:rPr>
            <w:rStyle w:val="Hyperlink"/>
          </w:rPr>
          <w:t>Табл. 1: Отражение на МВУ върху прогнозите в програмата – Грантове</w:t>
        </w:r>
        <w:r w:rsidR="006E2768">
          <w:rPr>
            <w:webHidden/>
          </w:rPr>
          <w:tab/>
        </w:r>
        <w:r w:rsidR="006E2768">
          <w:rPr>
            <w:webHidden/>
          </w:rPr>
          <w:fldChar w:fldCharType="begin"/>
        </w:r>
        <w:r w:rsidR="006E2768">
          <w:rPr>
            <w:webHidden/>
          </w:rPr>
          <w:instrText xml:space="preserve"> PAGEREF _Toc133597308 \h </w:instrText>
        </w:r>
        <w:r w:rsidR="006E2768">
          <w:rPr>
            <w:webHidden/>
          </w:rPr>
        </w:r>
        <w:r w:rsidR="006E2768">
          <w:rPr>
            <w:webHidden/>
          </w:rPr>
          <w:fldChar w:fldCharType="separate"/>
        </w:r>
        <w:r w:rsidR="009E5EB2">
          <w:rPr>
            <w:webHidden/>
          </w:rPr>
          <w:t>105</w:t>
        </w:r>
        <w:r w:rsidR="006E2768">
          <w:rPr>
            <w:webHidden/>
          </w:rPr>
          <w:fldChar w:fldCharType="end"/>
        </w:r>
      </w:hyperlink>
    </w:p>
    <w:p w14:paraId="5FE70B6C" w14:textId="5BC49413" w:rsidR="006E2768" w:rsidRDefault="00031455">
      <w:pPr>
        <w:pStyle w:val="TOC2"/>
        <w:rPr>
          <w:rFonts w:asciiTheme="minorHAnsi" w:eastAsiaTheme="minorEastAsia" w:hAnsiTheme="minorHAnsi" w:cstheme="minorBidi"/>
          <w:sz w:val="22"/>
          <w:szCs w:val="22"/>
          <w:lang w:val="bg-BG"/>
        </w:rPr>
      </w:pPr>
      <w:hyperlink w:anchor="_Toc133597309" w:history="1">
        <w:r w:rsidR="006E2768" w:rsidRPr="00533072">
          <w:rPr>
            <w:rStyle w:val="Hyperlink"/>
          </w:rPr>
          <w:t>Табл. 2: Отражение на МВУ върху прогнозите в програмата – Заеми</w:t>
        </w:r>
        <w:r w:rsidR="006E2768">
          <w:rPr>
            <w:webHidden/>
          </w:rPr>
          <w:tab/>
        </w:r>
        <w:r w:rsidR="006E2768">
          <w:rPr>
            <w:webHidden/>
          </w:rPr>
          <w:fldChar w:fldCharType="begin"/>
        </w:r>
        <w:r w:rsidR="006E2768">
          <w:rPr>
            <w:webHidden/>
          </w:rPr>
          <w:instrText xml:space="preserve"> PAGEREF _Toc133597309 \h </w:instrText>
        </w:r>
        <w:r w:rsidR="006E2768">
          <w:rPr>
            <w:webHidden/>
          </w:rPr>
        </w:r>
        <w:r w:rsidR="006E2768">
          <w:rPr>
            <w:webHidden/>
          </w:rPr>
          <w:fldChar w:fldCharType="separate"/>
        </w:r>
        <w:r w:rsidR="009E5EB2">
          <w:rPr>
            <w:webHidden/>
          </w:rPr>
          <w:t>106</w:t>
        </w:r>
        <w:r w:rsidR="006E2768">
          <w:rPr>
            <w:webHidden/>
          </w:rPr>
          <w:fldChar w:fldCharType="end"/>
        </w:r>
      </w:hyperlink>
    </w:p>
    <w:p w14:paraId="18383836" w14:textId="52C862AA" w:rsidR="00AE1EB5" w:rsidRPr="005B2032" w:rsidRDefault="002B6574" w:rsidP="00D902CC">
      <w:pPr>
        <w:pStyle w:val="tabletextleft"/>
        <w:tabs>
          <w:tab w:val="right" w:pos="7936"/>
          <w:tab w:val="right" w:pos="9070"/>
        </w:tabs>
        <w:rPr>
          <w:rStyle w:val="Hyperlink"/>
          <w:rFonts w:asciiTheme="minorHAnsi" w:hAnsiTheme="minorHAnsi" w:cstheme="minorHAnsi"/>
          <w:caps/>
          <w:noProof/>
          <w:color w:val="auto"/>
          <w:szCs w:val="18"/>
          <w:highlight w:val="yellow"/>
        </w:rPr>
      </w:pPr>
      <w:r w:rsidRPr="005B2032">
        <w:rPr>
          <w:rStyle w:val="Hyperlink"/>
          <w:rFonts w:asciiTheme="minorHAnsi" w:hAnsiTheme="minorHAnsi" w:cstheme="minorHAnsi"/>
          <w:caps/>
          <w:noProof/>
          <w:color w:val="auto"/>
          <w:szCs w:val="18"/>
          <w:highlight w:val="yellow"/>
        </w:rPr>
        <w:fldChar w:fldCharType="end"/>
      </w:r>
      <w:r w:rsidR="00AE1EB5" w:rsidRPr="005B2032">
        <w:rPr>
          <w:rStyle w:val="Hyperlink"/>
          <w:rFonts w:asciiTheme="minorHAnsi" w:hAnsiTheme="minorHAnsi" w:cstheme="minorHAnsi"/>
          <w:caps/>
          <w:noProof/>
          <w:color w:val="auto"/>
          <w:szCs w:val="18"/>
          <w:highlight w:val="yellow"/>
        </w:rPr>
        <w:br w:type="page"/>
      </w:r>
    </w:p>
    <w:p w14:paraId="3FD124BE" w14:textId="77777777" w:rsidR="00D359FF" w:rsidRPr="00F6194C" w:rsidRDefault="00D359FF" w:rsidP="00637F00">
      <w:pPr>
        <w:pStyle w:val="Heading2"/>
        <w:numPr>
          <w:ilvl w:val="0"/>
          <w:numId w:val="0"/>
        </w:numPr>
        <w:spacing w:after="480"/>
      </w:pPr>
      <w:bookmarkStart w:id="20" w:name="_Toc353537650"/>
      <w:bookmarkStart w:id="21" w:name="_Toc353544927"/>
      <w:bookmarkStart w:id="22" w:name="_Toc382388428"/>
      <w:bookmarkStart w:id="23" w:name="_Toc385006942"/>
      <w:bookmarkStart w:id="24" w:name="_Toc417634603"/>
      <w:bookmarkStart w:id="25" w:name="_Toc448137406"/>
      <w:bookmarkStart w:id="26" w:name="_Toc448137532"/>
      <w:bookmarkStart w:id="27" w:name="_Toc448227257"/>
      <w:bookmarkStart w:id="28" w:name="_Toc479332406"/>
      <w:bookmarkStart w:id="29" w:name="_Toc479332492"/>
      <w:bookmarkStart w:id="30" w:name="_Toc511379681"/>
      <w:bookmarkStart w:id="31" w:name="_Toc70001130"/>
      <w:bookmarkStart w:id="32" w:name="_Toc70082986"/>
      <w:bookmarkStart w:id="33" w:name="_Toc100906060"/>
      <w:bookmarkStart w:id="34" w:name="_Toc132727693"/>
      <w:bookmarkStart w:id="35" w:name="_Toc133597262"/>
      <w:r w:rsidRPr="00F6194C">
        <w:lastRenderedPageBreak/>
        <w:t>Списък на съкращенията</w:t>
      </w:r>
      <w:bookmarkEnd w:id="0"/>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14:paraId="557B5E8B"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БВП</w:t>
      </w:r>
      <w:r w:rsidRPr="005B2032">
        <w:rPr>
          <w:rFonts w:asciiTheme="minorHAnsi" w:hAnsiTheme="minorHAnsi" w:cstheme="minorHAnsi"/>
          <w:sz w:val="20"/>
          <w:szCs w:val="20"/>
        </w:rPr>
        <w:tab/>
        <w:t>брутен вътрешен продукт</w:t>
      </w:r>
    </w:p>
    <w:p w14:paraId="78E6EC4F"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БНБ</w:t>
      </w:r>
      <w:r w:rsidRPr="005B2032">
        <w:rPr>
          <w:rFonts w:asciiTheme="minorHAnsi" w:hAnsiTheme="minorHAnsi" w:cstheme="minorHAnsi"/>
          <w:sz w:val="20"/>
          <w:szCs w:val="20"/>
        </w:rPr>
        <w:tab/>
        <w:t xml:space="preserve">Българска народна банка </w:t>
      </w:r>
    </w:p>
    <w:p w14:paraId="20031F90"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ДДС</w:t>
      </w:r>
      <w:r w:rsidRPr="005B2032">
        <w:rPr>
          <w:rFonts w:asciiTheme="minorHAnsi" w:hAnsiTheme="minorHAnsi" w:cstheme="minorHAnsi"/>
          <w:sz w:val="20"/>
          <w:szCs w:val="20"/>
        </w:rPr>
        <w:tab/>
        <w:t>данък върху добавената стойност</w:t>
      </w:r>
    </w:p>
    <w:p w14:paraId="32DE91E8"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ДОО</w:t>
      </w:r>
      <w:r w:rsidRPr="005B2032">
        <w:rPr>
          <w:rFonts w:asciiTheme="minorHAnsi" w:hAnsiTheme="minorHAnsi" w:cstheme="minorHAnsi"/>
          <w:sz w:val="20"/>
          <w:szCs w:val="20"/>
        </w:rPr>
        <w:tab/>
        <w:t>държавно обществено осигуряване</w:t>
      </w:r>
    </w:p>
    <w:p w14:paraId="1F904CC5"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ДСЗИ</w:t>
      </w:r>
      <w:r w:rsidRPr="005B2032">
        <w:rPr>
          <w:rFonts w:asciiTheme="minorHAnsi" w:hAnsiTheme="minorHAnsi" w:cstheme="minorHAnsi"/>
          <w:sz w:val="20"/>
          <w:szCs w:val="20"/>
        </w:rPr>
        <w:tab/>
        <w:t>друга системно значима институция</w:t>
      </w:r>
    </w:p>
    <w:p w14:paraId="7DDDF316"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ДЦК</w:t>
      </w:r>
      <w:r w:rsidRPr="005B2032">
        <w:rPr>
          <w:rFonts w:asciiTheme="minorHAnsi" w:hAnsiTheme="minorHAnsi" w:cstheme="minorHAnsi"/>
          <w:sz w:val="20"/>
          <w:szCs w:val="20"/>
        </w:rPr>
        <w:tab/>
        <w:t>държавни ценни книжа</w:t>
      </w:r>
    </w:p>
    <w:p w14:paraId="55CACFBE"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EК</w:t>
      </w:r>
      <w:r w:rsidRPr="005B2032">
        <w:rPr>
          <w:rFonts w:asciiTheme="minorHAnsi" w:hAnsiTheme="minorHAnsi" w:cstheme="minorHAnsi"/>
          <w:sz w:val="20"/>
          <w:szCs w:val="20"/>
        </w:rPr>
        <w:tab/>
        <w:t>Европейска комисия</w:t>
      </w:r>
    </w:p>
    <w:p w14:paraId="60907DFE"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ЕС</w:t>
      </w:r>
      <w:r w:rsidRPr="005B2032">
        <w:rPr>
          <w:rFonts w:asciiTheme="minorHAnsi" w:hAnsiTheme="minorHAnsi" w:cstheme="minorHAnsi"/>
          <w:sz w:val="20"/>
          <w:szCs w:val="20"/>
        </w:rPr>
        <w:tab/>
        <w:t>Европейски съюз</w:t>
      </w:r>
    </w:p>
    <w:p w14:paraId="223E6E8A"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ЕСС 2010</w:t>
      </w:r>
      <w:r w:rsidRPr="005B2032">
        <w:rPr>
          <w:rFonts w:asciiTheme="minorHAnsi" w:hAnsiTheme="minorHAnsi" w:cstheme="minorHAnsi"/>
          <w:sz w:val="20"/>
          <w:szCs w:val="20"/>
        </w:rPr>
        <w:tab/>
        <w:t>Европейска система от сметки 2010</w:t>
      </w:r>
    </w:p>
    <w:p w14:paraId="502361E0" w14:textId="6DC5755B" w:rsidR="005A37D8"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ЕЦБ</w:t>
      </w:r>
      <w:r w:rsidRPr="005B2032">
        <w:rPr>
          <w:rFonts w:asciiTheme="minorHAnsi" w:hAnsiTheme="minorHAnsi" w:cstheme="minorHAnsi"/>
          <w:sz w:val="20"/>
          <w:szCs w:val="20"/>
        </w:rPr>
        <w:tab/>
        <w:t>Европейска централна банка</w:t>
      </w:r>
    </w:p>
    <w:p w14:paraId="4B340923" w14:textId="0A6F3610" w:rsidR="00F262E7" w:rsidRPr="005B2032" w:rsidRDefault="00F262E7" w:rsidP="006E2768">
      <w:pPr>
        <w:tabs>
          <w:tab w:val="left" w:pos="1134"/>
        </w:tabs>
        <w:spacing w:after="0" w:line="288" w:lineRule="auto"/>
        <w:ind w:left="1134" w:hanging="1134"/>
        <w:rPr>
          <w:rFonts w:asciiTheme="minorHAnsi" w:hAnsiTheme="minorHAnsi" w:cstheme="minorHAnsi"/>
          <w:sz w:val="20"/>
          <w:szCs w:val="20"/>
        </w:rPr>
      </w:pPr>
      <w:r>
        <w:rPr>
          <w:rFonts w:asciiTheme="minorHAnsi" w:hAnsiTheme="minorHAnsi" w:cstheme="minorHAnsi"/>
          <w:sz w:val="20"/>
          <w:szCs w:val="20"/>
        </w:rPr>
        <w:t>ЗАДС             Закон за акцизите и данъчните складове</w:t>
      </w:r>
    </w:p>
    <w:p w14:paraId="786E9B9F" w14:textId="6726D4A4" w:rsidR="005A37D8"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ЗДБРБ</w:t>
      </w:r>
      <w:r w:rsidRPr="005B2032">
        <w:rPr>
          <w:rFonts w:asciiTheme="minorHAnsi" w:hAnsiTheme="minorHAnsi" w:cstheme="minorHAnsi"/>
          <w:sz w:val="20"/>
          <w:szCs w:val="20"/>
        </w:rPr>
        <w:tab/>
        <w:t>Закон за държавния бюджет на Република България</w:t>
      </w:r>
    </w:p>
    <w:p w14:paraId="57B88BDE" w14:textId="36FD1F4A" w:rsidR="00F262E7" w:rsidRPr="005B2032" w:rsidRDefault="00F262E7" w:rsidP="006E2768">
      <w:pPr>
        <w:tabs>
          <w:tab w:val="left" w:pos="1134"/>
        </w:tabs>
        <w:spacing w:after="0" w:line="288" w:lineRule="auto"/>
        <w:ind w:left="1134" w:hanging="1134"/>
        <w:rPr>
          <w:rFonts w:asciiTheme="minorHAnsi" w:hAnsiTheme="minorHAnsi" w:cstheme="minorHAnsi"/>
          <w:sz w:val="20"/>
          <w:szCs w:val="20"/>
        </w:rPr>
      </w:pPr>
      <w:r>
        <w:rPr>
          <w:rFonts w:asciiTheme="minorHAnsi" w:hAnsiTheme="minorHAnsi" w:cstheme="minorHAnsi"/>
          <w:sz w:val="20"/>
          <w:szCs w:val="20"/>
        </w:rPr>
        <w:t>ЗДДС             Закон за данъка върху добавената стойност</w:t>
      </w:r>
    </w:p>
    <w:p w14:paraId="46552D61" w14:textId="224756BF"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ЗДДФЛ</w:t>
      </w:r>
      <w:r w:rsidRPr="005B2032">
        <w:rPr>
          <w:rFonts w:asciiTheme="minorHAnsi" w:hAnsiTheme="minorHAnsi" w:cstheme="minorHAnsi"/>
          <w:sz w:val="20"/>
          <w:szCs w:val="20"/>
        </w:rPr>
        <w:tab/>
        <w:t xml:space="preserve">Закон </w:t>
      </w:r>
      <w:r w:rsidR="008438DF">
        <w:rPr>
          <w:rFonts w:asciiTheme="minorHAnsi" w:hAnsiTheme="minorHAnsi" w:cstheme="minorHAnsi"/>
          <w:sz w:val="20"/>
          <w:szCs w:val="20"/>
        </w:rPr>
        <w:t>з</w:t>
      </w:r>
      <w:r w:rsidRPr="005B2032">
        <w:rPr>
          <w:rFonts w:asciiTheme="minorHAnsi" w:hAnsiTheme="minorHAnsi" w:cstheme="minorHAnsi"/>
          <w:sz w:val="20"/>
          <w:szCs w:val="20"/>
        </w:rPr>
        <w:t>а данъците върху доходите на физическите лица</w:t>
      </w:r>
    </w:p>
    <w:p w14:paraId="4CBABD93"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ЗКПО</w:t>
      </w:r>
      <w:r w:rsidRPr="005B2032">
        <w:rPr>
          <w:rFonts w:asciiTheme="minorHAnsi" w:hAnsiTheme="minorHAnsi" w:cstheme="minorHAnsi"/>
          <w:sz w:val="20"/>
          <w:szCs w:val="20"/>
        </w:rPr>
        <w:tab/>
        <w:t>Закон за корпоративното подоходно облагане</w:t>
      </w:r>
    </w:p>
    <w:p w14:paraId="33079A5A"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ЗПФ</w:t>
      </w:r>
      <w:r w:rsidRPr="005B2032">
        <w:rPr>
          <w:rFonts w:asciiTheme="minorHAnsi" w:hAnsiTheme="minorHAnsi" w:cstheme="minorHAnsi"/>
          <w:sz w:val="20"/>
          <w:szCs w:val="20"/>
        </w:rPr>
        <w:tab/>
        <w:t>Закон за публичните финанси</w:t>
      </w:r>
    </w:p>
    <w:p w14:paraId="45B94264"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КП</w:t>
      </w:r>
      <w:r w:rsidRPr="005B2032">
        <w:rPr>
          <w:rFonts w:asciiTheme="minorHAnsi" w:hAnsiTheme="minorHAnsi" w:cstheme="minorHAnsi"/>
          <w:sz w:val="20"/>
          <w:szCs w:val="20"/>
        </w:rPr>
        <w:tab/>
        <w:t xml:space="preserve">Конвергентна програма </w:t>
      </w:r>
    </w:p>
    <w:p w14:paraId="6F34CC0B"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КСО</w:t>
      </w:r>
      <w:r w:rsidRPr="005B2032">
        <w:rPr>
          <w:rFonts w:asciiTheme="minorHAnsi" w:hAnsiTheme="minorHAnsi" w:cstheme="minorHAnsi"/>
          <w:sz w:val="20"/>
          <w:szCs w:val="20"/>
        </w:rPr>
        <w:tab/>
        <w:t>Кодекс за социално осигуряване</w:t>
      </w:r>
    </w:p>
    <w:p w14:paraId="5784BA68" w14:textId="77777777" w:rsidR="00CE1185" w:rsidRPr="005B2032" w:rsidRDefault="00CE1185"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МВУ             Механизъм за възстановяване и устойчивост</w:t>
      </w:r>
    </w:p>
    <w:p w14:paraId="19EFFDBA"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МВФ</w:t>
      </w:r>
      <w:r w:rsidRPr="005B2032">
        <w:rPr>
          <w:rFonts w:asciiTheme="minorHAnsi" w:hAnsiTheme="minorHAnsi" w:cstheme="minorHAnsi"/>
          <w:sz w:val="20"/>
          <w:szCs w:val="20"/>
        </w:rPr>
        <w:tab/>
        <w:t>Международен валутен фонд</w:t>
      </w:r>
    </w:p>
    <w:p w14:paraId="26E58929"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МФ</w:t>
      </w:r>
      <w:r w:rsidRPr="005B2032">
        <w:rPr>
          <w:rFonts w:asciiTheme="minorHAnsi" w:hAnsiTheme="minorHAnsi" w:cstheme="minorHAnsi"/>
          <w:sz w:val="20"/>
          <w:szCs w:val="20"/>
        </w:rPr>
        <w:tab/>
        <w:t>Министерство на финансите</w:t>
      </w:r>
    </w:p>
    <w:p w14:paraId="4ECBB366"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НАП</w:t>
      </w:r>
      <w:r w:rsidRPr="005B2032">
        <w:rPr>
          <w:rFonts w:asciiTheme="minorHAnsi" w:hAnsiTheme="minorHAnsi" w:cstheme="minorHAnsi"/>
          <w:sz w:val="20"/>
          <w:szCs w:val="20"/>
        </w:rPr>
        <w:tab/>
        <w:t>Национална агенция за приходите</w:t>
      </w:r>
    </w:p>
    <w:p w14:paraId="77AE3129"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НЗОК</w:t>
      </w:r>
      <w:r w:rsidRPr="005B2032">
        <w:rPr>
          <w:rFonts w:asciiTheme="minorHAnsi" w:hAnsiTheme="minorHAnsi" w:cstheme="minorHAnsi"/>
          <w:sz w:val="20"/>
          <w:szCs w:val="20"/>
        </w:rPr>
        <w:tab/>
        <w:t>Национална здравноосигурителна каса</w:t>
      </w:r>
    </w:p>
    <w:p w14:paraId="40FB38B0" w14:textId="5EE9EAC5" w:rsidR="005A37D8"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НОИ</w:t>
      </w:r>
      <w:r w:rsidRPr="005B2032">
        <w:rPr>
          <w:rFonts w:asciiTheme="minorHAnsi" w:hAnsiTheme="minorHAnsi" w:cstheme="minorHAnsi"/>
          <w:sz w:val="20"/>
          <w:szCs w:val="20"/>
        </w:rPr>
        <w:tab/>
        <w:t>Национален осигурителен институт</w:t>
      </w:r>
    </w:p>
    <w:p w14:paraId="4EE06467" w14:textId="6C911C7C" w:rsidR="00F262E7" w:rsidRPr="005B2032" w:rsidRDefault="00F262E7" w:rsidP="006E2768">
      <w:pPr>
        <w:tabs>
          <w:tab w:val="left" w:pos="1134"/>
        </w:tabs>
        <w:spacing w:after="0" w:line="288" w:lineRule="auto"/>
        <w:ind w:left="1134" w:hanging="1134"/>
        <w:rPr>
          <w:rFonts w:asciiTheme="minorHAnsi" w:hAnsiTheme="minorHAnsi" w:cstheme="minorHAnsi"/>
          <w:sz w:val="20"/>
          <w:szCs w:val="20"/>
        </w:rPr>
      </w:pPr>
      <w:r>
        <w:rPr>
          <w:rFonts w:asciiTheme="minorHAnsi" w:hAnsiTheme="minorHAnsi" w:cstheme="minorHAnsi"/>
          <w:sz w:val="20"/>
          <w:szCs w:val="20"/>
        </w:rPr>
        <w:t>НВУ              Национален план за възстановяване и устойчивост</w:t>
      </w:r>
    </w:p>
    <w:p w14:paraId="00BA8A37"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НРС</w:t>
      </w:r>
      <w:r w:rsidRPr="005B2032">
        <w:rPr>
          <w:rFonts w:asciiTheme="minorHAnsi" w:hAnsiTheme="minorHAnsi" w:cstheme="minorHAnsi"/>
          <w:sz w:val="20"/>
          <w:szCs w:val="20"/>
        </w:rPr>
        <w:tab/>
        <w:t>Наблюдение на работната сила</w:t>
      </w:r>
    </w:p>
    <w:p w14:paraId="0F54FE08" w14:textId="56EF1E5C" w:rsidR="005A37D8"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НСИ</w:t>
      </w:r>
      <w:r w:rsidRPr="005B2032">
        <w:rPr>
          <w:rFonts w:asciiTheme="minorHAnsi" w:hAnsiTheme="minorHAnsi" w:cstheme="minorHAnsi"/>
          <w:sz w:val="20"/>
          <w:szCs w:val="20"/>
        </w:rPr>
        <w:tab/>
        <w:t>Национален статистически институт</w:t>
      </w:r>
    </w:p>
    <w:p w14:paraId="2E6C872A" w14:textId="2F17BA91" w:rsidR="00F262E7" w:rsidRDefault="00F262E7" w:rsidP="006E2768">
      <w:pPr>
        <w:tabs>
          <w:tab w:val="left" w:pos="1134"/>
        </w:tabs>
        <w:spacing w:after="0" w:line="288" w:lineRule="auto"/>
        <w:ind w:left="1134" w:hanging="1134"/>
        <w:rPr>
          <w:rFonts w:asciiTheme="minorHAnsi" w:hAnsiTheme="minorHAnsi" w:cstheme="minorHAnsi"/>
          <w:sz w:val="20"/>
          <w:szCs w:val="20"/>
        </w:rPr>
      </w:pPr>
      <w:r>
        <w:rPr>
          <w:rFonts w:asciiTheme="minorHAnsi" w:hAnsiTheme="minorHAnsi" w:cstheme="minorHAnsi"/>
          <w:sz w:val="20"/>
          <w:szCs w:val="20"/>
        </w:rPr>
        <w:t>ОИСР            Организация за икономическо развитие и сътрудничество</w:t>
      </w:r>
    </w:p>
    <w:p w14:paraId="4EDC2CA0" w14:textId="6CCC3DC9" w:rsidR="00F262E7" w:rsidRPr="005B2032" w:rsidRDefault="00F262E7" w:rsidP="006E2768">
      <w:pPr>
        <w:tabs>
          <w:tab w:val="left" w:pos="1134"/>
        </w:tabs>
        <w:spacing w:after="0" w:line="288" w:lineRule="auto"/>
        <w:ind w:left="1134" w:hanging="1134"/>
        <w:rPr>
          <w:rFonts w:asciiTheme="minorHAnsi" w:hAnsiTheme="minorHAnsi" w:cstheme="minorHAnsi"/>
          <w:sz w:val="20"/>
          <w:szCs w:val="20"/>
        </w:rPr>
      </w:pPr>
      <w:r>
        <w:rPr>
          <w:rFonts w:asciiTheme="minorHAnsi" w:hAnsiTheme="minorHAnsi" w:cstheme="minorHAnsi"/>
          <w:sz w:val="20"/>
          <w:szCs w:val="20"/>
        </w:rPr>
        <w:t>ОФП              Обща факторна продуктивност</w:t>
      </w:r>
    </w:p>
    <w:p w14:paraId="4AA2262A" w14:textId="63DC70B7" w:rsidR="008A2E23" w:rsidRDefault="008A2E23"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пр.п.</w:t>
      </w:r>
      <w:r w:rsidRPr="005B2032">
        <w:rPr>
          <w:rFonts w:asciiTheme="minorHAnsi" w:hAnsiTheme="minorHAnsi" w:cstheme="minorHAnsi"/>
          <w:sz w:val="20"/>
          <w:szCs w:val="20"/>
        </w:rPr>
        <w:tab/>
        <w:t>процентен пункт</w:t>
      </w:r>
    </w:p>
    <w:p w14:paraId="1ADD11AC" w14:textId="559ED20C" w:rsidR="00F262E7" w:rsidRPr="005B2032" w:rsidRDefault="00F262E7" w:rsidP="006E2768">
      <w:pPr>
        <w:tabs>
          <w:tab w:val="left" w:pos="1134"/>
        </w:tabs>
        <w:spacing w:after="0" w:line="288" w:lineRule="auto"/>
        <w:ind w:left="1134" w:hanging="1134"/>
        <w:rPr>
          <w:rFonts w:asciiTheme="minorHAnsi" w:hAnsiTheme="minorHAnsi" w:cstheme="minorHAnsi"/>
          <w:sz w:val="20"/>
          <w:szCs w:val="20"/>
        </w:rPr>
      </w:pPr>
      <w:r>
        <w:rPr>
          <w:rFonts w:asciiTheme="minorHAnsi" w:hAnsiTheme="minorHAnsi" w:cstheme="minorHAnsi"/>
          <w:sz w:val="20"/>
          <w:szCs w:val="20"/>
        </w:rPr>
        <w:t>ПЗР                Преходни и заключителни разпоредби</w:t>
      </w:r>
    </w:p>
    <w:p w14:paraId="499EF382" w14:textId="77777777" w:rsidR="008A2E23" w:rsidRPr="005B2032" w:rsidRDefault="008A2E23"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ПСР</w:t>
      </w:r>
      <w:r w:rsidRPr="005B2032">
        <w:rPr>
          <w:rFonts w:asciiTheme="minorHAnsi" w:hAnsiTheme="minorHAnsi" w:cstheme="minorHAnsi"/>
          <w:sz w:val="20"/>
          <w:szCs w:val="20"/>
        </w:rPr>
        <w:tab/>
        <w:t>Пакт за стабилност и растеж</w:t>
      </w:r>
    </w:p>
    <w:p w14:paraId="71F0A714"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ПЧИ</w:t>
      </w:r>
      <w:r w:rsidRPr="005B2032">
        <w:rPr>
          <w:rFonts w:asciiTheme="minorHAnsi" w:hAnsiTheme="minorHAnsi" w:cstheme="minorHAnsi"/>
          <w:sz w:val="20"/>
          <w:szCs w:val="20"/>
        </w:rPr>
        <w:tab/>
        <w:t>Преки чуждестранни инвестиции</w:t>
      </w:r>
    </w:p>
    <w:p w14:paraId="384696D6"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РЕВК</w:t>
      </w:r>
      <w:r w:rsidRPr="005B2032">
        <w:rPr>
          <w:rFonts w:asciiTheme="minorHAnsi" w:hAnsiTheme="minorHAnsi" w:cstheme="minorHAnsi"/>
          <w:sz w:val="20"/>
          <w:szCs w:val="20"/>
        </w:rPr>
        <w:tab/>
        <w:t>Реален ефективен валутен курс</w:t>
      </w:r>
    </w:p>
    <w:p w14:paraId="0715713A" w14:textId="2A774F60" w:rsidR="005A37D8"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РТЕП</w:t>
      </w:r>
      <w:r w:rsidRPr="005B2032">
        <w:rPr>
          <w:rFonts w:asciiTheme="minorHAnsi" w:hAnsiTheme="minorHAnsi" w:cstheme="minorHAnsi"/>
          <w:sz w:val="20"/>
          <w:szCs w:val="20"/>
        </w:rPr>
        <w:tab/>
        <w:t>Разходи за труд на единица продукция</w:t>
      </w:r>
    </w:p>
    <w:p w14:paraId="3E2CED3E" w14:textId="2FF971B8" w:rsidR="00F262E7" w:rsidRDefault="00F262E7" w:rsidP="006E2768">
      <w:pPr>
        <w:tabs>
          <w:tab w:val="left" w:pos="1134"/>
        </w:tabs>
        <w:spacing w:after="0" w:line="288" w:lineRule="auto"/>
        <w:ind w:left="1134" w:hanging="1134"/>
        <w:rPr>
          <w:rFonts w:asciiTheme="minorHAnsi" w:hAnsiTheme="minorHAnsi" w:cstheme="minorHAnsi"/>
          <w:sz w:val="20"/>
          <w:szCs w:val="20"/>
        </w:rPr>
      </w:pPr>
      <w:r>
        <w:rPr>
          <w:rFonts w:asciiTheme="minorHAnsi" w:hAnsiTheme="minorHAnsi" w:cstheme="minorHAnsi"/>
          <w:sz w:val="20"/>
          <w:szCs w:val="20"/>
        </w:rPr>
        <w:t>ФСЕС           Фонд сигурност на електроенергийната система</w:t>
      </w:r>
    </w:p>
    <w:p w14:paraId="064BA832" w14:textId="77777777" w:rsidR="008A2E23" w:rsidRPr="005B2032" w:rsidRDefault="008A2E23"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ХИПЦ</w:t>
      </w:r>
      <w:r w:rsidRPr="005B2032">
        <w:rPr>
          <w:rFonts w:asciiTheme="minorHAnsi" w:hAnsiTheme="minorHAnsi" w:cstheme="minorHAnsi"/>
          <w:sz w:val="20"/>
          <w:szCs w:val="20"/>
        </w:rPr>
        <w:tab/>
        <w:t>хармонизиран индекс на потребителските цени</w:t>
      </w:r>
    </w:p>
    <w:p w14:paraId="1F8043FB"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EUR</w:t>
      </w:r>
      <w:r w:rsidRPr="005B2032">
        <w:rPr>
          <w:rFonts w:asciiTheme="minorHAnsi" w:hAnsiTheme="minorHAnsi" w:cstheme="minorHAnsi"/>
          <w:sz w:val="20"/>
          <w:szCs w:val="20"/>
        </w:rPr>
        <w:tab/>
        <w:t>евро</w:t>
      </w:r>
    </w:p>
    <w:p w14:paraId="16BCC868" w14:textId="77777777" w:rsidR="005A37D8"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LIBOR</w:t>
      </w:r>
      <w:r w:rsidRPr="005B2032">
        <w:rPr>
          <w:rFonts w:asciiTheme="minorHAnsi" w:hAnsiTheme="minorHAnsi" w:cstheme="minorHAnsi"/>
          <w:sz w:val="20"/>
          <w:szCs w:val="20"/>
        </w:rPr>
        <w:tab/>
        <w:t>London Interbank Offered Rate (Лондонски междубанков лихвен процент)</w:t>
      </w:r>
    </w:p>
    <w:p w14:paraId="6360F78D" w14:textId="77777777" w:rsidR="001745DE" w:rsidRPr="005B2032" w:rsidRDefault="005A37D8" w:rsidP="006E2768">
      <w:pPr>
        <w:tabs>
          <w:tab w:val="left" w:pos="1134"/>
        </w:tabs>
        <w:spacing w:after="0" w:line="288" w:lineRule="auto"/>
        <w:ind w:left="1134" w:hanging="1134"/>
        <w:rPr>
          <w:rFonts w:asciiTheme="minorHAnsi" w:hAnsiTheme="minorHAnsi" w:cstheme="minorHAnsi"/>
          <w:sz w:val="20"/>
          <w:szCs w:val="20"/>
        </w:rPr>
      </w:pPr>
      <w:r w:rsidRPr="005B2032">
        <w:rPr>
          <w:rFonts w:asciiTheme="minorHAnsi" w:hAnsiTheme="minorHAnsi" w:cstheme="minorHAnsi"/>
          <w:sz w:val="20"/>
          <w:szCs w:val="20"/>
        </w:rPr>
        <w:t>USD</w:t>
      </w:r>
      <w:r w:rsidRPr="005B2032">
        <w:rPr>
          <w:rFonts w:asciiTheme="minorHAnsi" w:hAnsiTheme="minorHAnsi" w:cstheme="minorHAnsi"/>
          <w:sz w:val="20"/>
          <w:szCs w:val="20"/>
        </w:rPr>
        <w:tab/>
        <w:t>щатски долар</w:t>
      </w:r>
    </w:p>
    <w:p w14:paraId="1A05B7CA" w14:textId="77777777" w:rsidR="001745DE" w:rsidRPr="005B2032" w:rsidRDefault="001745DE" w:rsidP="00D902CC">
      <w:pPr>
        <w:tabs>
          <w:tab w:val="left" w:pos="1134"/>
        </w:tabs>
        <w:spacing w:after="0"/>
        <w:ind w:left="1134" w:hanging="1134"/>
        <w:rPr>
          <w:rFonts w:asciiTheme="minorHAnsi" w:hAnsiTheme="minorHAnsi" w:cstheme="minorHAnsi"/>
          <w:sz w:val="20"/>
          <w:szCs w:val="20"/>
        </w:rPr>
        <w:sectPr w:rsidR="001745DE" w:rsidRPr="005B2032" w:rsidSect="00202EFA">
          <w:headerReference w:type="even" r:id="rId37"/>
          <w:headerReference w:type="default" r:id="rId38"/>
          <w:footerReference w:type="even" r:id="rId39"/>
          <w:footerReference w:type="default" r:id="rId40"/>
          <w:type w:val="continuous"/>
          <w:pgSz w:w="11906" w:h="16838" w:code="9"/>
          <w:pgMar w:top="1418" w:right="1418" w:bottom="851" w:left="1418" w:header="680" w:footer="680" w:gutter="0"/>
          <w:pgNumType w:start="5"/>
          <w:cols w:space="708"/>
          <w:docGrid w:linePitch="360"/>
        </w:sectPr>
      </w:pPr>
    </w:p>
    <w:p w14:paraId="68687282" w14:textId="2AFAA8FD" w:rsidR="00D359FF" w:rsidRPr="001364E0" w:rsidRDefault="00D15C2F" w:rsidP="001364E0">
      <w:pPr>
        <w:pStyle w:val="Heading1"/>
      </w:pPr>
      <w:bookmarkStart w:id="36" w:name="_Toc352851579"/>
      <w:bookmarkStart w:id="37" w:name="_Toc448227258"/>
      <w:bookmarkStart w:id="38" w:name="_Toc479332407"/>
      <w:bookmarkStart w:id="39" w:name="_Toc133597263"/>
      <w:r>
        <w:lastRenderedPageBreak/>
        <w:t>Обща рамка на</w:t>
      </w:r>
      <w:r w:rsidR="00C04BEB" w:rsidRPr="001364E0">
        <w:br/>
      </w:r>
      <w:r w:rsidR="00D359FF" w:rsidRPr="001364E0">
        <w:t>политиките и цели</w:t>
      </w:r>
      <w:bookmarkEnd w:id="36"/>
      <w:bookmarkEnd w:id="37"/>
      <w:bookmarkEnd w:id="38"/>
      <w:bookmarkEnd w:id="39"/>
    </w:p>
    <w:bookmarkEnd w:id="1"/>
    <w:bookmarkEnd w:id="2"/>
    <w:p w14:paraId="09FDD2ED" w14:textId="77777777" w:rsidR="00555B95" w:rsidRPr="00EA0259" w:rsidRDefault="00555B95" w:rsidP="00555B95">
      <w:pPr>
        <w:keepNext/>
        <w:framePr w:dropCap="drop" w:lines="3" w:hSpace="170" w:wrap="around" w:vAnchor="text" w:hAnchor="text"/>
        <w:spacing w:after="0" w:line="827" w:lineRule="exact"/>
        <w:textAlignment w:val="baseline"/>
        <w:rPr>
          <w:rFonts w:asciiTheme="minorHAnsi" w:hAnsiTheme="minorHAnsi" w:cstheme="minorHAnsi"/>
          <w:position w:val="-11"/>
          <w:sz w:val="110"/>
        </w:rPr>
      </w:pPr>
      <w:r w:rsidRPr="00B552D5">
        <w:rPr>
          <w:rFonts w:asciiTheme="minorHAnsi" w:hAnsiTheme="minorHAnsi" w:cstheme="minorHAnsi"/>
          <w:color w:val="0D78CA" w:themeColor="background2" w:themeShade="80"/>
          <w:position w:val="-11"/>
          <w:sz w:val="110"/>
        </w:rPr>
        <w:t>К</w:t>
      </w:r>
    </w:p>
    <w:p w14:paraId="0E7469C5" w14:textId="589353BB" w:rsidR="00A20221" w:rsidRPr="00EA0259" w:rsidRDefault="00A20221" w:rsidP="00A20221">
      <w:r w:rsidRPr="00EA0259">
        <w:rPr>
          <w:rFonts w:asciiTheme="minorHAnsi" w:hAnsiTheme="minorHAnsi" w:cstheme="minorHAnsi"/>
        </w:rPr>
        <w:t>онвергентната програма (КП)</w:t>
      </w:r>
      <w:r w:rsidRPr="00EA0259">
        <w:rPr>
          <w:rFonts w:asciiTheme="minorHAnsi" w:hAnsiTheme="minorHAnsi" w:cstheme="minorHAnsi"/>
          <w:lang w:val="en-US"/>
        </w:rPr>
        <w:t xml:space="preserve"> </w:t>
      </w:r>
      <w:r w:rsidRPr="00EA0259">
        <w:rPr>
          <w:rFonts w:asciiTheme="minorHAnsi" w:hAnsiTheme="minorHAnsi" w:cstheme="minorHAnsi"/>
        </w:rPr>
        <w:t>на Република България</w:t>
      </w:r>
      <w:r w:rsidRPr="00EA0259">
        <w:t xml:space="preserve">  се изготвя ежегодно през</w:t>
      </w:r>
      <w:r>
        <w:t xml:space="preserve"> месец</w:t>
      </w:r>
      <w:r w:rsidRPr="00EA0259">
        <w:t xml:space="preserve"> април, въз основа на правилата на Пакта за стабилност и растеж (ПСР) – нормативната рамка за координация на националните фискални политики на държавите-членки на Европейския съюз (ЕС). </w:t>
      </w:r>
      <w:r>
        <w:t>П</w:t>
      </w:r>
      <w:r w:rsidRPr="00EA0259">
        <w:rPr>
          <w:szCs w:val="24"/>
        </w:rPr>
        <w:t>рограма</w:t>
      </w:r>
      <w:r>
        <w:rPr>
          <w:szCs w:val="24"/>
        </w:rPr>
        <w:t>та</w:t>
      </w:r>
      <w:r w:rsidRPr="00EA0259">
        <w:rPr>
          <w:szCs w:val="24"/>
        </w:rPr>
        <w:t xml:space="preserve"> е изготвена съгласно </w:t>
      </w:r>
      <w:r w:rsidRPr="00EA0259">
        <w:t>Правилника за прилагане (“Code of Conduct”)</w:t>
      </w:r>
      <w:r w:rsidRPr="00EA0259">
        <w:rPr>
          <w:vertAlign w:val="superscript"/>
        </w:rPr>
        <w:footnoteReference w:id="2"/>
      </w:r>
      <w:r w:rsidRPr="00EA0259">
        <w:t>, съдържащ указания за прилагането на ПСР и насоки за формата и съдържанието на Програмите за стабилност и Конвергентните програми.</w:t>
      </w:r>
    </w:p>
    <w:p w14:paraId="55216DE0" w14:textId="77777777" w:rsidR="00743D8F" w:rsidRDefault="00743D8F" w:rsidP="00743D8F">
      <w:r>
        <w:rPr>
          <w:rFonts w:asciiTheme="minorHAnsi" w:hAnsiTheme="minorHAnsi" w:cstheme="minorHAnsi"/>
        </w:rPr>
        <w:t>К</w:t>
      </w:r>
      <w:r w:rsidRPr="00EA0259">
        <w:rPr>
          <w:rFonts w:asciiTheme="minorHAnsi" w:hAnsiTheme="minorHAnsi" w:cstheme="minorHAnsi"/>
        </w:rPr>
        <w:t>онвергентната програма на Република България (20</w:t>
      </w:r>
      <w:r w:rsidRPr="00EA0259">
        <w:rPr>
          <w:rFonts w:asciiTheme="minorHAnsi" w:hAnsiTheme="minorHAnsi" w:cstheme="minorHAnsi"/>
          <w:lang w:val="en-US"/>
        </w:rPr>
        <w:t>2</w:t>
      </w:r>
      <w:r w:rsidRPr="00EA0259">
        <w:rPr>
          <w:rFonts w:asciiTheme="minorHAnsi" w:hAnsiTheme="minorHAnsi" w:cstheme="minorHAnsi"/>
        </w:rPr>
        <w:t>3</w:t>
      </w:r>
      <w:r w:rsidRPr="00EA0259">
        <w:rPr>
          <w:rFonts w:asciiTheme="minorHAnsi" w:hAnsiTheme="minorHAnsi" w:cstheme="minorHAnsi"/>
          <w:lang w:val="en-US"/>
        </w:rPr>
        <w:t>–2</w:t>
      </w:r>
      <w:r w:rsidRPr="00EA0259">
        <w:rPr>
          <w:rFonts w:asciiTheme="minorHAnsi" w:hAnsiTheme="minorHAnsi" w:cstheme="minorHAnsi"/>
        </w:rPr>
        <w:t xml:space="preserve">026 г.) </w:t>
      </w:r>
      <w:r>
        <w:rPr>
          <w:rFonts w:asciiTheme="minorHAnsi" w:hAnsiTheme="minorHAnsi" w:cstheme="minorHAnsi"/>
        </w:rPr>
        <w:t xml:space="preserve">отразява фискалните ефекти върху параметрите на бюджетната рамка </w:t>
      </w:r>
      <w:r w:rsidRPr="00E06EC5">
        <w:rPr>
          <w:rFonts w:asciiTheme="minorHAnsi" w:hAnsiTheme="minorHAnsi" w:cstheme="minorHAnsi"/>
        </w:rPr>
        <w:t xml:space="preserve">при </w:t>
      </w:r>
      <w:r>
        <w:rPr>
          <w:rFonts w:asciiTheme="minorHAnsi" w:hAnsiTheme="minorHAnsi" w:cstheme="minorHAnsi"/>
        </w:rPr>
        <w:t xml:space="preserve">сценарий без промяна на политиките. Изборът на този сценарий е вследствие от правомощията на настоящото служебно правителство. Програмата е </w:t>
      </w:r>
      <w:r w:rsidRPr="00E06EC5">
        <w:rPr>
          <w:rFonts w:asciiTheme="minorHAnsi" w:hAnsiTheme="minorHAnsi" w:cstheme="minorHAnsi"/>
        </w:rPr>
        <w:t xml:space="preserve">повлияна от </w:t>
      </w:r>
      <w:r>
        <w:rPr>
          <w:rFonts w:asciiTheme="minorHAnsi" w:hAnsiTheme="minorHAnsi" w:cstheme="minorHAnsi"/>
        </w:rPr>
        <w:t>последните развития от</w:t>
      </w:r>
      <w:r w:rsidRPr="00E06EC5">
        <w:rPr>
          <w:rFonts w:asciiTheme="minorHAnsi" w:hAnsiTheme="minorHAnsi" w:cstheme="minorHAnsi"/>
        </w:rPr>
        <w:t xml:space="preserve"> Бюджет 2022 и последващата му актуализация, а също така и от политическия цикъл, свързан с провеждането на предсрочни парламентарни избори</w:t>
      </w:r>
      <w:r>
        <w:rPr>
          <w:rFonts w:asciiTheme="minorHAnsi" w:hAnsiTheme="minorHAnsi" w:cstheme="minorHAnsi"/>
        </w:rPr>
        <w:t xml:space="preserve"> в края на 2022 г. и началото на 2023 г</w:t>
      </w:r>
      <w:r w:rsidRPr="00E06EC5">
        <w:rPr>
          <w:rFonts w:asciiTheme="minorHAnsi" w:hAnsiTheme="minorHAnsi" w:cstheme="minorHAnsi"/>
        </w:rPr>
        <w:t>.</w:t>
      </w:r>
      <w:r>
        <w:rPr>
          <w:rFonts w:asciiTheme="minorHAnsi" w:hAnsiTheme="minorHAnsi" w:cstheme="minorHAnsi"/>
        </w:rPr>
        <w:t>, съответно неприет към края на април 2023 г. бюджет за текущата година. Това доведе и до</w:t>
      </w:r>
      <w:r>
        <w:t xml:space="preserve"> по-късното внасяне в Народното събрание от служебното правителство на проект на Закон за държавния бюджет на Република България за 2023 г. и на съпътстващата го Актуализирана средносрочна бюджетна прогноза за периода 2023-2025 г., която представлява мотиви към законопроекта и отразява макроикономическите и фискалните перспективи и допускания в средносрочен план</w:t>
      </w:r>
      <w:r w:rsidRPr="00F001E0">
        <w:t xml:space="preserve"> </w:t>
      </w:r>
      <w:r>
        <w:t xml:space="preserve">на база действащо законодателство, което предполага значително влошаване на дефицита без прилагането на консолидационни мерки. </w:t>
      </w:r>
      <w:r w:rsidRPr="00055B5D">
        <w:rPr>
          <w:rFonts w:asciiTheme="minorHAnsi" w:hAnsiTheme="minorHAnsi" w:cstheme="minorHAnsi"/>
        </w:rPr>
        <w:t>Има заявен ангажимент от водещите политически партии</w:t>
      </w:r>
      <w:r w:rsidRPr="00055B5D">
        <w:rPr>
          <w:rFonts w:asciiTheme="minorHAnsi" w:hAnsiTheme="minorHAnsi" w:cstheme="minorHAnsi"/>
          <w:lang w:val="en-US"/>
        </w:rPr>
        <w:t>,</w:t>
      </w:r>
      <w:r w:rsidRPr="00055B5D">
        <w:rPr>
          <w:rFonts w:asciiTheme="minorHAnsi" w:hAnsiTheme="minorHAnsi" w:cstheme="minorHAnsi"/>
        </w:rPr>
        <w:t xml:space="preserve"> представени в </w:t>
      </w:r>
      <w:r>
        <w:rPr>
          <w:rFonts w:asciiTheme="minorHAnsi" w:hAnsiTheme="minorHAnsi" w:cstheme="minorHAnsi"/>
        </w:rPr>
        <w:t xml:space="preserve">новосформираното </w:t>
      </w:r>
      <w:r w:rsidRPr="00055B5D">
        <w:rPr>
          <w:rFonts w:asciiTheme="minorHAnsi" w:hAnsiTheme="minorHAnsi" w:cstheme="minorHAnsi"/>
        </w:rPr>
        <w:t>Народно събрание, бюджетният дефицит да бъде намален до 3% от БВП</w:t>
      </w:r>
      <w:r>
        <w:rPr>
          <w:rFonts w:asciiTheme="minorHAnsi" w:hAnsiTheme="minorHAnsi" w:cstheme="minorHAnsi"/>
        </w:rPr>
        <w:t xml:space="preserve"> при окончателното приемане на бюджета за 2023 г</w:t>
      </w:r>
      <w:r w:rsidRPr="00055B5D">
        <w:rPr>
          <w:rFonts w:asciiTheme="minorHAnsi" w:hAnsiTheme="minorHAnsi" w:cstheme="minorHAnsi"/>
        </w:rPr>
        <w:t>.</w:t>
      </w:r>
      <w:r>
        <w:rPr>
          <w:rFonts w:asciiTheme="minorHAnsi" w:hAnsiTheme="minorHAnsi" w:cstheme="minorHAnsi"/>
        </w:rPr>
        <w:t>, като</w:t>
      </w:r>
      <w:r w:rsidRPr="00055B5D">
        <w:rPr>
          <w:color w:val="FF0000"/>
        </w:rPr>
        <w:t xml:space="preserve"> </w:t>
      </w:r>
      <w:r w:rsidRPr="00743D8F">
        <w:rPr>
          <w:color w:val="000000" w:themeColor="text1"/>
        </w:rPr>
        <w:t>с</w:t>
      </w:r>
      <w:r>
        <w:t>лужебното правителство е представило</w:t>
      </w:r>
      <w:r w:rsidRPr="007C4195">
        <w:t xml:space="preserve"> </w:t>
      </w:r>
      <w:r>
        <w:t xml:space="preserve">и </w:t>
      </w:r>
      <w:r w:rsidRPr="007C4195">
        <w:t>възможни</w:t>
      </w:r>
      <w:r>
        <w:t xml:space="preserve"> консолидационни</w:t>
      </w:r>
      <w:r w:rsidRPr="007C4195">
        <w:t xml:space="preserve"> приходни и разходни мерки с оценен годишен фискален ефект</w:t>
      </w:r>
      <w:r>
        <w:t>, за реализирането на които е необходима политическа подкрепа.</w:t>
      </w:r>
      <w:r w:rsidRPr="007C4195">
        <w:t xml:space="preserve"> </w:t>
      </w:r>
      <w:r>
        <w:t>България си запазва правото на последваща актуализация на Конвергентната програма, в която да се отразят политиките и приоритетите, одобрени от евентуално ново правителство или от мнозинството депутати в Народното събрание.</w:t>
      </w:r>
    </w:p>
    <w:p w14:paraId="17639C18" w14:textId="3F9DA9FE" w:rsidR="00647960" w:rsidRPr="00EA0259" w:rsidRDefault="00647960" w:rsidP="00647960">
      <w:pPr>
        <w:rPr>
          <w:rFonts w:asciiTheme="minorHAnsi" w:hAnsiTheme="minorHAnsi" w:cstheme="minorHAnsi"/>
          <w:lang w:bidi="bg-BG"/>
        </w:rPr>
      </w:pPr>
      <w:r>
        <w:t>З</w:t>
      </w:r>
      <w:r w:rsidRPr="00EA0259">
        <w:t>апазване</w:t>
      </w:r>
      <w:r>
        <w:t>то</w:t>
      </w:r>
      <w:r w:rsidRPr="00EA0259">
        <w:t xml:space="preserve"> на устойчивостта на бюджетната рамка в контекста на ангажиментите на България, както по линия на </w:t>
      </w:r>
      <w:r w:rsidR="00136A1F">
        <w:t>ПСР</w:t>
      </w:r>
      <w:r w:rsidRPr="00EA0259">
        <w:t>, така и във връзка със статута ѝ на страна по дял III на Договора за стабилност, координация и управление в Икономическия и паричен съюз</w:t>
      </w:r>
      <w:r w:rsidRPr="0053312D">
        <w:t xml:space="preserve"> </w:t>
      </w:r>
      <w:r>
        <w:t>остава приоритет на фискална</w:t>
      </w:r>
      <w:r w:rsidR="00A20221">
        <w:t>та политика в средносрочен план. В</w:t>
      </w:r>
      <w:r>
        <w:t xml:space="preserve">ъпреки разчетите по бюджетната рамка за периода </w:t>
      </w:r>
      <w:r w:rsidR="00B552D5">
        <w:t>2023–2026 г.</w:t>
      </w:r>
      <w:r>
        <w:t xml:space="preserve"> за отклонения от предварително начертаните цели за дефицита</w:t>
      </w:r>
      <w:r w:rsidR="00A20221">
        <w:t>,</w:t>
      </w:r>
      <w:r>
        <w:t xml:space="preserve"> се очаква с приемането на Бюджет 2023 да бъдат приети мерки с консолидационен ефект, осигуряващ вместване на бюджетното салдо в средносрочен план в рамкит</w:t>
      </w:r>
      <w:r w:rsidR="00A20221">
        <w:t>е на националните и европейски</w:t>
      </w:r>
      <w:r>
        <w:t xml:space="preserve"> правила и ограничения, които респективно ще бъдат отразени</w:t>
      </w:r>
      <w:r w:rsidRPr="0071428E">
        <w:t xml:space="preserve"> </w:t>
      </w:r>
      <w:r>
        <w:t xml:space="preserve">и в бюджетната прогноза за периода </w:t>
      </w:r>
      <w:r w:rsidR="00B552D5">
        <w:t>2023–2026 г.</w:t>
      </w:r>
    </w:p>
    <w:p w14:paraId="40427C2D" w14:textId="64294730" w:rsidR="000A6642" w:rsidRPr="00EA0259" w:rsidRDefault="00647960" w:rsidP="00B552D5">
      <w:r>
        <w:lastRenderedPageBreak/>
        <w:t>Д</w:t>
      </w:r>
      <w:r w:rsidR="000A6642" w:rsidRPr="00EA0259">
        <w:t>ългосрочната устойчиво</w:t>
      </w:r>
      <w:r w:rsidR="0064613C">
        <w:t>ст на публичните финанси остава</w:t>
      </w:r>
      <w:r w:rsidR="000A6642" w:rsidRPr="00EA0259">
        <w:t xml:space="preserve"> приоритет</w:t>
      </w:r>
      <w:r w:rsidR="0064613C">
        <w:t>ен</w:t>
      </w:r>
      <w:r w:rsidR="000A6642" w:rsidRPr="00EA0259">
        <w:t xml:space="preserve"> аспект на политиката, включително от гледна точка на повишаване на доверието и създаване на предвидима инвестиционна и стопанска среда. Средносрочната бюджетна цел за структур</w:t>
      </w:r>
      <w:r w:rsidR="009D31B8">
        <w:t>ния</w:t>
      </w:r>
      <w:r w:rsidR="000A6642" w:rsidRPr="00EA0259">
        <w:t xml:space="preserve"> баланс на годишна основа </w:t>
      </w:r>
      <w:r w:rsidR="009D31B8">
        <w:t xml:space="preserve">е </w:t>
      </w:r>
      <w:r w:rsidR="000A6642" w:rsidRPr="00EA0259">
        <w:t>в размер на -1% от брутния вътрешен продукт</w:t>
      </w:r>
      <w:r w:rsidR="000A6642" w:rsidRPr="00EA0259" w:rsidDel="0004535E">
        <w:t xml:space="preserve"> </w:t>
      </w:r>
      <w:r w:rsidR="000A6642" w:rsidRPr="00EA0259">
        <w:t>(БВП).</w:t>
      </w:r>
    </w:p>
    <w:p w14:paraId="6E71196C" w14:textId="2D883382" w:rsidR="00227D7B" w:rsidRPr="00EA0259" w:rsidRDefault="00227D7B" w:rsidP="00B552D5">
      <w:r w:rsidRPr="00EA0259">
        <w:t>На базата на предвиденото дългово финансиране и прогнозите за БВП, през следващите години се предвижда дългът на сектор „Държавно управление“ да нараства както в номинално изражение, така и като съотношение на консолидирания дълг на сектора спрямо БВП</w:t>
      </w:r>
      <w:r w:rsidR="00812996" w:rsidRPr="00EA0259">
        <w:t xml:space="preserve">, но въпреки това да остане </w:t>
      </w:r>
      <w:r w:rsidRPr="00EA0259">
        <w:t>далеч под максимално допустимата референтна стойност на Маастрихтския критерий от 60%.</w:t>
      </w:r>
    </w:p>
    <w:p w14:paraId="7977247A" w14:textId="0FBC9E96" w:rsidR="00DC1167" w:rsidRPr="00EA0259" w:rsidRDefault="000C67F5" w:rsidP="007D6888">
      <w:pPr>
        <w:rPr>
          <w:rFonts w:asciiTheme="minorHAnsi" w:hAnsiTheme="minorHAnsi" w:cstheme="minorHAnsi"/>
        </w:rPr>
      </w:pPr>
      <w:r w:rsidRPr="00EA0259">
        <w:rPr>
          <w:rFonts w:asciiTheme="minorHAnsi" w:hAnsiTheme="minorHAnsi" w:cstheme="minorHAnsi"/>
        </w:rPr>
        <w:t>В контекста на запазване на макроикономическата стабилност</w:t>
      </w:r>
      <w:r w:rsidR="006D17F7" w:rsidRPr="00EA0259">
        <w:rPr>
          <w:rFonts w:asciiTheme="minorHAnsi" w:hAnsiTheme="minorHAnsi" w:cstheme="minorHAnsi"/>
        </w:rPr>
        <w:t xml:space="preserve"> и участието във Валутен механизъм ІІ</w:t>
      </w:r>
      <w:r w:rsidR="00053B23" w:rsidRPr="00EA0259">
        <w:rPr>
          <w:rFonts w:asciiTheme="minorHAnsi" w:hAnsiTheme="minorHAnsi" w:cstheme="minorHAnsi"/>
        </w:rPr>
        <w:t xml:space="preserve"> България гарантира, че ще запа</w:t>
      </w:r>
      <w:r w:rsidRPr="00EA0259">
        <w:rPr>
          <w:rFonts w:asciiTheme="minorHAnsi" w:hAnsiTheme="minorHAnsi" w:cstheme="minorHAnsi"/>
        </w:rPr>
        <w:t>зи режима на паричен съвет при съществуващото равнище на фиксирания валутен курс от 1.95583 лева за 1 евро до присъединява</w:t>
      </w:r>
      <w:r w:rsidR="008764B6" w:rsidRPr="00EA0259">
        <w:rPr>
          <w:rFonts w:asciiTheme="minorHAnsi" w:hAnsiTheme="minorHAnsi" w:cstheme="minorHAnsi"/>
        </w:rPr>
        <w:t>нето на страната към еврозоната</w:t>
      </w:r>
      <w:r w:rsidR="00DC1167" w:rsidRPr="00EA0259">
        <w:rPr>
          <w:rFonts w:asciiTheme="minorHAnsi" w:hAnsiTheme="minorHAnsi" w:cstheme="minorHAnsi"/>
          <w:i/>
        </w:rPr>
        <w:t>.</w:t>
      </w:r>
    </w:p>
    <w:p w14:paraId="227861F6" w14:textId="4DD25FB1" w:rsidR="007148BD" w:rsidRPr="00EA0259" w:rsidRDefault="007148BD" w:rsidP="009A0FB9">
      <w:pPr>
        <w:rPr>
          <w:rFonts w:asciiTheme="minorHAnsi" w:hAnsiTheme="minorHAnsi" w:cstheme="minorHAnsi"/>
        </w:rPr>
      </w:pPr>
      <w:r w:rsidRPr="00EA0259">
        <w:rPr>
          <w:rFonts w:asciiTheme="minorHAnsi" w:hAnsiTheme="minorHAnsi" w:cstheme="minorHAnsi"/>
        </w:rPr>
        <w:t>Настоящата Конвергентна програма обхваща периода 20</w:t>
      </w:r>
      <w:r w:rsidR="00AB2263" w:rsidRPr="00EA0259">
        <w:rPr>
          <w:rFonts w:asciiTheme="minorHAnsi" w:hAnsiTheme="minorHAnsi" w:cstheme="minorHAnsi"/>
          <w:lang w:val="en-US"/>
        </w:rPr>
        <w:t>2</w:t>
      </w:r>
      <w:r w:rsidR="006E4A2E" w:rsidRPr="00EA0259">
        <w:rPr>
          <w:rFonts w:asciiTheme="minorHAnsi" w:hAnsiTheme="minorHAnsi" w:cstheme="minorHAnsi"/>
        </w:rPr>
        <w:t>3</w:t>
      </w:r>
      <w:r w:rsidR="00C04BEB" w:rsidRPr="00EA0259">
        <w:rPr>
          <w:rFonts w:asciiTheme="minorHAnsi" w:hAnsiTheme="minorHAnsi" w:cstheme="minorHAnsi"/>
          <w:lang w:val="en-US"/>
        </w:rPr>
        <w:t>–</w:t>
      </w:r>
      <w:r w:rsidR="005A04DD" w:rsidRPr="00EA0259">
        <w:rPr>
          <w:rFonts w:asciiTheme="minorHAnsi" w:hAnsiTheme="minorHAnsi" w:cstheme="minorHAnsi"/>
          <w:lang w:val="en-US"/>
        </w:rPr>
        <w:t>2</w:t>
      </w:r>
      <w:r w:rsidR="005A04DD" w:rsidRPr="00EA0259">
        <w:rPr>
          <w:rFonts w:asciiTheme="minorHAnsi" w:hAnsiTheme="minorHAnsi" w:cstheme="minorHAnsi"/>
        </w:rPr>
        <w:t>02</w:t>
      </w:r>
      <w:r w:rsidR="006E4A2E" w:rsidRPr="00EA0259">
        <w:rPr>
          <w:rFonts w:asciiTheme="minorHAnsi" w:hAnsiTheme="minorHAnsi" w:cstheme="minorHAnsi"/>
        </w:rPr>
        <w:t>6</w:t>
      </w:r>
      <w:r w:rsidR="00B552D5">
        <w:rPr>
          <w:rFonts w:asciiTheme="minorHAnsi" w:hAnsiTheme="minorHAnsi" w:cstheme="minorHAnsi"/>
        </w:rPr>
        <w:t> г.</w:t>
      </w:r>
      <w:r w:rsidRPr="00EA0259">
        <w:rPr>
          <w:rFonts w:asciiTheme="minorHAnsi" w:hAnsiTheme="minorHAnsi" w:cstheme="minorHAnsi"/>
        </w:rPr>
        <w:t xml:space="preserve"> и се състои от седем части. </w:t>
      </w:r>
    </w:p>
    <w:p w14:paraId="7F52EE6F" w14:textId="77777777" w:rsidR="007148BD" w:rsidRPr="00EA0259" w:rsidRDefault="008E6512" w:rsidP="009A0FB9">
      <w:pPr>
        <w:rPr>
          <w:rFonts w:asciiTheme="minorHAnsi" w:hAnsiTheme="minorHAnsi" w:cstheme="minorHAnsi"/>
        </w:rPr>
      </w:pPr>
      <w:r w:rsidRPr="00EA0259">
        <w:rPr>
          <w:rFonts w:asciiTheme="minorHAnsi" w:hAnsiTheme="minorHAnsi" w:cstheme="minorHAnsi"/>
        </w:rPr>
        <w:t>Настоящата първа</w:t>
      </w:r>
      <w:r w:rsidR="007148BD" w:rsidRPr="00EA0259">
        <w:rPr>
          <w:rFonts w:asciiTheme="minorHAnsi" w:hAnsiTheme="minorHAnsi" w:cstheme="minorHAnsi"/>
        </w:rPr>
        <w:t xml:space="preserve"> част съдържа общата рамка на правителствените икономически политики и цели. </w:t>
      </w:r>
    </w:p>
    <w:p w14:paraId="2B9210E3" w14:textId="77777777" w:rsidR="007148BD" w:rsidRPr="00EA0259" w:rsidRDefault="007148BD" w:rsidP="009A0FB9">
      <w:pPr>
        <w:rPr>
          <w:rFonts w:asciiTheme="minorHAnsi" w:hAnsiTheme="minorHAnsi" w:cstheme="minorHAnsi"/>
        </w:rPr>
      </w:pPr>
      <w:r w:rsidRPr="00EA0259">
        <w:rPr>
          <w:rFonts w:asciiTheme="minorHAnsi" w:hAnsiTheme="minorHAnsi" w:cstheme="minorHAnsi"/>
        </w:rPr>
        <w:t xml:space="preserve">Във втората част е анализирано икономическото развитие на страната по отношение на ключовите макроикономически показатели, като е представена и прогноза за тяхното развитие в средносрочен план. </w:t>
      </w:r>
    </w:p>
    <w:p w14:paraId="1D9E91FC" w14:textId="77777777" w:rsidR="007148BD" w:rsidRPr="00EA0259" w:rsidRDefault="007148BD" w:rsidP="009A0FB9">
      <w:pPr>
        <w:rPr>
          <w:rFonts w:asciiTheme="minorHAnsi" w:hAnsiTheme="minorHAnsi" w:cstheme="minorHAnsi"/>
        </w:rPr>
      </w:pPr>
      <w:r w:rsidRPr="00EA0259">
        <w:rPr>
          <w:rFonts w:asciiTheme="minorHAnsi" w:hAnsiTheme="minorHAnsi" w:cstheme="minorHAnsi"/>
        </w:rPr>
        <w:t xml:space="preserve">Третата част представлява описание на стратегическите цели на фискалната политика по отношение на бюджетния баланс и правителствения дълг. Тук са изложени текущото състояние на бюджета и очакваното развитие през референтния период, с акцент върху структурния баланс. Очертани са основните насоки за развитие на дълговата позиция през програмния период. Представени са също така основните акценти на политиките и конкретните мерки за прилагането им, както и оценка за </w:t>
      </w:r>
      <w:r w:rsidR="00EB5E2C" w:rsidRPr="00EA0259">
        <w:rPr>
          <w:rFonts w:asciiTheme="minorHAnsi" w:hAnsiTheme="minorHAnsi" w:cstheme="minorHAnsi"/>
        </w:rPr>
        <w:t>очаквания</w:t>
      </w:r>
      <w:r w:rsidRPr="00EA0259">
        <w:rPr>
          <w:rFonts w:asciiTheme="minorHAnsi" w:hAnsiTheme="minorHAnsi" w:cstheme="minorHAnsi"/>
        </w:rPr>
        <w:t xml:space="preserve"> количествен ефект от изпълнението им.</w:t>
      </w:r>
    </w:p>
    <w:p w14:paraId="675328E4" w14:textId="3D6727E3" w:rsidR="007148BD" w:rsidRPr="00EA0259" w:rsidRDefault="007148BD" w:rsidP="009A0FB9">
      <w:pPr>
        <w:rPr>
          <w:rFonts w:asciiTheme="minorHAnsi" w:hAnsiTheme="minorHAnsi" w:cstheme="minorHAnsi"/>
        </w:rPr>
      </w:pPr>
      <w:r w:rsidRPr="00EA0259">
        <w:rPr>
          <w:rFonts w:asciiTheme="minorHAnsi" w:hAnsiTheme="minorHAnsi" w:cstheme="minorHAnsi"/>
        </w:rPr>
        <w:t>В четвъртата част е направен анализ на чувствителността на прогнозните параметри, като e разработен алтернативен сценарий за икономическо</w:t>
      </w:r>
      <w:r w:rsidR="004752BC">
        <w:rPr>
          <w:rFonts w:asciiTheme="minorHAnsi" w:hAnsiTheme="minorHAnsi" w:cstheme="minorHAnsi"/>
        </w:rPr>
        <w:t>то</w:t>
      </w:r>
      <w:r w:rsidRPr="00EA0259">
        <w:rPr>
          <w:rFonts w:asciiTheme="minorHAnsi" w:hAnsiTheme="minorHAnsi" w:cstheme="minorHAnsi"/>
        </w:rPr>
        <w:t xml:space="preserve"> развитие на страната в средносрочен план. Засегнат е и ефектът от реализирането на алтернативните сценарии върху бюджетните параметри. Представени са също ефектите върху държавния дълг от промени в допусканията по основния макроикономически сценарий.</w:t>
      </w:r>
    </w:p>
    <w:p w14:paraId="7C54A371" w14:textId="77777777" w:rsidR="007148BD" w:rsidRPr="00EA0259" w:rsidRDefault="007148BD" w:rsidP="009A0FB9">
      <w:pPr>
        <w:rPr>
          <w:rFonts w:asciiTheme="minorHAnsi" w:hAnsiTheme="minorHAnsi" w:cstheme="minorHAnsi"/>
        </w:rPr>
      </w:pPr>
      <w:r w:rsidRPr="00EA0259">
        <w:rPr>
          <w:rFonts w:asciiTheme="minorHAnsi" w:hAnsiTheme="minorHAnsi" w:cstheme="minorHAnsi"/>
        </w:rPr>
        <w:t>Част пета е посветена на устойчивостта на публичните финанси. Основният фокус е върху дългосрочната бюджетна перспектива с оглед на ефектите от застаряването на населението.</w:t>
      </w:r>
    </w:p>
    <w:p w14:paraId="560F267A" w14:textId="77777777" w:rsidR="007148BD" w:rsidRPr="00EA0259" w:rsidRDefault="007148BD" w:rsidP="009A0FB9">
      <w:pPr>
        <w:rPr>
          <w:rFonts w:asciiTheme="minorHAnsi" w:hAnsiTheme="minorHAnsi" w:cstheme="minorHAnsi"/>
        </w:rPr>
      </w:pPr>
      <w:r w:rsidRPr="00EA0259">
        <w:rPr>
          <w:rFonts w:asciiTheme="minorHAnsi" w:hAnsiTheme="minorHAnsi" w:cstheme="minorHAnsi"/>
        </w:rPr>
        <w:t xml:space="preserve">Шестата част разглежда качеството на публичните финанси. Тук са представени стратегията на правителствената политика в тази област, съставът на разходите, както и структурата и ефективността на приходните системи. </w:t>
      </w:r>
    </w:p>
    <w:p w14:paraId="11F92EC1" w14:textId="308CC7DB" w:rsidR="008764B6" w:rsidRPr="00EA0259" w:rsidRDefault="007148BD" w:rsidP="009A0FB9">
      <w:pPr>
        <w:rPr>
          <w:rFonts w:asciiTheme="minorHAnsi" w:hAnsiTheme="minorHAnsi" w:cstheme="minorHAnsi"/>
        </w:rPr>
      </w:pPr>
      <w:r w:rsidRPr="00EA0259">
        <w:rPr>
          <w:rFonts w:asciiTheme="minorHAnsi" w:hAnsiTheme="minorHAnsi" w:cstheme="minorHAnsi"/>
        </w:rPr>
        <w:t>Седмата част прави преглед на институционалните характеристики на публичните финанси в България – бюджетни процедури и национални фискални правила. В тази част на програмата се акцентира и върху ключовите законодателни промени, свързани с публичните финанси.</w:t>
      </w:r>
    </w:p>
    <w:p w14:paraId="0D639AEC" w14:textId="151A5173" w:rsidR="008764B6" w:rsidRPr="00EA0259" w:rsidRDefault="008764B6" w:rsidP="00F458CE">
      <w:pPr>
        <w:rPr>
          <w:rFonts w:asciiTheme="minorHAnsi" w:hAnsiTheme="minorHAnsi" w:cstheme="minorHAnsi"/>
        </w:rPr>
      </w:pPr>
      <w:r w:rsidRPr="00EA0259">
        <w:rPr>
          <w:rFonts w:asciiTheme="minorHAnsi" w:hAnsiTheme="minorHAnsi" w:cstheme="minorHAnsi"/>
        </w:rPr>
        <w:lastRenderedPageBreak/>
        <w:t xml:space="preserve">Настоящата Конвергентна програма отчита мерки и развития в областта на фискалната политика, отразяващи препоръката на Съвета от </w:t>
      </w:r>
      <w:r w:rsidR="00EA0259">
        <w:rPr>
          <w:rFonts w:asciiTheme="minorHAnsi" w:hAnsiTheme="minorHAnsi" w:cstheme="minorHAnsi"/>
          <w:lang w:val="en-US"/>
        </w:rPr>
        <w:t xml:space="preserve">12 </w:t>
      </w:r>
      <w:r w:rsidR="00EA0259">
        <w:rPr>
          <w:rFonts w:asciiTheme="minorHAnsi" w:hAnsiTheme="minorHAnsi" w:cstheme="minorHAnsi"/>
        </w:rPr>
        <w:t>юли</w:t>
      </w:r>
      <w:r w:rsidRPr="00EA0259">
        <w:rPr>
          <w:rFonts w:asciiTheme="minorHAnsi" w:hAnsiTheme="minorHAnsi" w:cstheme="minorHAnsi"/>
        </w:rPr>
        <w:t xml:space="preserve"> 202</w:t>
      </w:r>
      <w:r w:rsidR="00EA0259">
        <w:rPr>
          <w:rFonts w:asciiTheme="minorHAnsi" w:hAnsiTheme="minorHAnsi" w:cstheme="minorHAnsi"/>
          <w:lang w:val="en-US"/>
        </w:rPr>
        <w:t>2</w:t>
      </w:r>
      <w:r w:rsidR="00B552D5">
        <w:rPr>
          <w:rFonts w:asciiTheme="minorHAnsi" w:hAnsiTheme="minorHAnsi" w:cstheme="minorHAnsi"/>
        </w:rPr>
        <w:t> г.</w:t>
      </w:r>
      <w:r w:rsidRPr="00EA0259">
        <w:rPr>
          <w:rFonts w:asciiTheme="minorHAnsi" w:hAnsiTheme="minorHAnsi" w:cstheme="minorHAnsi"/>
        </w:rPr>
        <w:t>, съдържаща становище относно Конвергентната програма за 202</w:t>
      </w:r>
      <w:r w:rsidR="00EA0259">
        <w:rPr>
          <w:rFonts w:asciiTheme="minorHAnsi" w:hAnsiTheme="minorHAnsi" w:cstheme="minorHAnsi"/>
        </w:rPr>
        <w:t>2</w:t>
      </w:r>
      <w:r w:rsidR="00B552D5">
        <w:rPr>
          <w:rFonts w:asciiTheme="minorHAnsi" w:hAnsiTheme="minorHAnsi" w:cstheme="minorHAnsi"/>
        </w:rPr>
        <w:t> г. на България:</w:t>
      </w:r>
      <w:r w:rsidRPr="00EA0259">
        <w:rPr>
          <w:rStyle w:val="FootnoteReference"/>
          <w:rFonts w:asciiTheme="minorHAnsi" w:hAnsiTheme="minorHAnsi" w:cstheme="minorHAnsi"/>
        </w:rPr>
        <w:footnoteReference w:id="3"/>
      </w:r>
      <w:r w:rsidRPr="00EA0259">
        <w:rPr>
          <w:rFonts w:asciiTheme="minorHAnsi" w:hAnsiTheme="minorHAnsi" w:cstheme="minorHAnsi"/>
        </w:rPr>
        <w:t xml:space="preserve"> </w:t>
      </w:r>
    </w:p>
    <w:p w14:paraId="46296EB6" w14:textId="28CEE8FB" w:rsidR="008764B6" w:rsidRDefault="008764B6" w:rsidP="00F458CE">
      <w:pPr>
        <w:rPr>
          <w:rFonts w:asciiTheme="minorHAnsi" w:hAnsiTheme="minorHAnsi" w:cstheme="minorHAnsi"/>
          <w:i/>
        </w:rPr>
      </w:pPr>
      <w:r w:rsidRPr="00EA0259">
        <w:rPr>
          <w:rFonts w:asciiTheme="minorHAnsi" w:hAnsiTheme="minorHAnsi" w:cstheme="minorHAnsi"/>
          <w:i/>
        </w:rPr>
        <w:t>„</w:t>
      </w:r>
      <w:r w:rsidR="00EA0259" w:rsidRPr="00EA0259">
        <w:rPr>
          <w:rFonts w:asciiTheme="minorHAnsi" w:hAnsiTheme="minorHAnsi" w:cstheme="minorHAnsi"/>
          <w:i/>
        </w:rPr>
        <w:t>През 2023</w:t>
      </w:r>
      <w:r w:rsidR="00B552D5">
        <w:rPr>
          <w:rFonts w:asciiTheme="minorHAnsi" w:hAnsiTheme="minorHAnsi" w:cstheme="minorHAnsi"/>
          <w:i/>
        </w:rPr>
        <w:t> г.</w:t>
      </w:r>
      <w:r w:rsidR="00EA0259" w:rsidRPr="00EA0259">
        <w:rPr>
          <w:rFonts w:asciiTheme="minorHAnsi" w:hAnsiTheme="minorHAnsi" w:cstheme="minorHAnsi"/>
          <w:i/>
        </w:rPr>
        <w:t xml:space="preserve"> да гарантира, че растежът на финансираните на национално равнище първични текущи разходи е в съответствие с като цяло неутрална позиция на политиката, като се вземе предвид продължаващата временна и целенасочена подкрепа за най-уязвимите от покачването на цените на енергията домакинства и предприятия и за хората, бягащи от Украйна. Да има готовност да адаптира текущите разходи към променящата се ситуация. Да увеличи публичните инвестиции за екологичния и цифровия преход, както и за енергийната сигурност, като се вземе предвид инициативата REPowerEU, включително чрез използване на Механизма за възстановяване и устойчивост и други фондове на Съюза. За периода след 2023</w:t>
      </w:r>
      <w:r w:rsidR="00B552D5">
        <w:rPr>
          <w:rFonts w:asciiTheme="minorHAnsi" w:hAnsiTheme="minorHAnsi" w:cstheme="minorHAnsi"/>
          <w:i/>
        </w:rPr>
        <w:t> г.</w:t>
      </w:r>
      <w:r w:rsidR="00EA0259" w:rsidRPr="00EA0259">
        <w:rPr>
          <w:rFonts w:asciiTheme="minorHAnsi" w:hAnsiTheme="minorHAnsi" w:cstheme="minorHAnsi"/>
          <w:i/>
        </w:rPr>
        <w:t xml:space="preserve"> да провежда фискална политика, насочена към постигане на разумни средносрочни фискални позиции.</w:t>
      </w:r>
      <w:r w:rsidR="00EA0259">
        <w:rPr>
          <w:rFonts w:asciiTheme="minorHAnsi" w:hAnsiTheme="minorHAnsi" w:cstheme="minorHAnsi"/>
          <w:i/>
        </w:rPr>
        <w:t>“</w:t>
      </w:r>
    </w:p>
    <w:p w14:paraId="323DCE84" w14:textId="12C17603" w:rsidR="008764B6" w:rsidRDefault="008764B6" w:rsidP="00F458CE">
      <w:pPr>
        <w:rPr>
          <w:rFonts w:asciiTheme="minorHAnsi" w:hAnsiTheme="minorHAnsi" w:cstheme="minorHAnsi"/>
          <w:i/>
        </w:rPr>
      </w:pPr>
    </w:p>
    <w:p w14:paraId="22D8F9A1" w14:textId="77777777" w:rsidR="008764B6" w:rsidRPr="00EA0259" w:rsidRDefault="008764B6" w:rsidP="00F458CE">
      <w:pPr>
        <w:rPr>
          <w:rFonts w:asciiTheme="minorHAnsi" w:hAnsiTheme="minorHAnsi" w:cstheme="minorHAnsi"/>
          <w:lang w:val="en-US"/>
        </w:rPr>
        <w:sectPr w:rsidR="008764B6" w:rsidRPr="00EA0259" w:rsidSect="0029149B">
          <w:headerReference w:type="even" r:id="rId41"/>
          <w:headerReference w:type="default" r:id="rId42"/>
          <w:footerReference w:type="even" r:id="rId43"/>
          <w:footerReference w:type="default" r:id="rId44"/>
          <w:pgSz w:w="11906" w:h="16838" w:code="9"/>
          <w:pgMar w:top="1276" w:right="1418" w:bottom="851" w:left="1418" w:header="680" w:footer="680" w:gutter="0"/>
          <w:pgNumType w:start="5"/>
          <w:cols w:space="708"/>
          <w:docGrid w:linePitch="360"/>
        </w:sectPr>
      </w:pPr>
    </w:p>
    <w:p w14:paraId="1631D748" w14:textId="6583425D" w:rsidR="00D359FF" w:rsidRPr="00B552D5" w:rsidRDefault="00EF1041" w:rsidP="00B552D5">
      <w:pPr>
        <w:pStyle w:val="Heading1"/>
      </w:pPr>
      <w:bookmarkStart w:id="40" w:name="_Toc352851580"/>
      <w:bookmarkStart w:id="41" w:name="_Toc448227259"/>
      <w:bookmarkStart w:id="42" w:name="_Toc479332408"/>
      <w:bookmarkStart w:id="43" w:name="_Toc133597264"/>
      <w:r w:rsidRPr="00B552D5">
        <w:lastRenderedPageBreak/>
        <w:t xml:space="preserve">Икономически </w:t>
      </w:r>
      <w:r w:rsidR="00D359FF" w:rsidRPr="00B552D5">
        <w:t>перспективи</w:t>
      </w:r>
      <w:bookmarkEnd w:id="40"/>
      <w:bookmarkEnd w:id="41"/>
      <w:bookmarkEnd w:id="42"/>
      <w:bookmarkEnd w:id="43"/>
    </w:p>
    <w:p w14:paraId="111C92A4" w14:textId="3C403ADA" w:rsidR="0004617A" w:rsidRPr="004018C2" w:rsidRDefault="0004617A" w:rsidP="00EE53B2">
      <w:pPr>
        <w:pStyle w:val="Heading2"/>
      </w:pPr>
      <w:bookmarkStart w:id="44" w:name="_Toc448227260"/>
      <w:bookmarkStart w:id="45" w:name="_Toc479332409"/>
      <w:bookmarkStart w:id="46" w:name="_Toc133597265"/>
      <w:r w:rsidRPr="004018C2">
        <w:t>Допускания за развитието на световната икономика</w:t>
      </w:r>
      <w:bookmarkEnd w:id="44"/>
      <w:bookmarkEnd w:id="45"/>
      <w:bookmarkEnd w:id="46"/>
    </w:p>
    <w:p w14:paraId="1BA19305" w14:textId="64A5A291" w:rsidR="00721117" w:rsidRPr="005B2032" w:rsidRDefault="00721117" w:rsidP="00331DC0">
      <w:bookmarkStart w:id="47" w:name="_Toc448227261"/>
      <w:bookmarkStart w:id="48" w:name="_Toc479332410"/>
      <w:r w:rsidRPr="005B2032">
        <w:t xml:space="preserve">Настоящата Конвергентна програма се базира на макроикономическата </w:t>
      </w:r>
      <w:r>
        <w:t>прогноза</w:t>
      </w:r>
      <w:r w:rsidRPr="005B2032">
        <w:t xml:space="preserve"> за периода </w:t>
      </w:r>
      <w:r w:rsidR="00B552D5">
        <w:t>2023–2026 г.</w:t>
      </w:r>
      <w:r w:rsidRPr="005B2032">
        <w:t>, която е разработена със средносрочния макроикономически модел на Министерството на финансите</w:t>
      </w:r>
      <w:r>
        <w:t xml:space="preserve"> (МФ)</w:t>
      </w:r>
      <w:r w:rsidRPr="005B2032">
        <w:t xml:space="preserve">, с допускания за основни показатели на външната среда, актуални към </w:t>
      </w:r>
      <w:r>
        <w:t>средата</w:t>
      </w:r>
      <w:r w:rsidRPr="005B2032">
        <w:t xml:space="preserve"> на месец март 202</w:t>
      </w:r>
      <w:r>
        <w:t>3</w:t>
      </w:r>
      <w:r w:rsidR="00B552D5">
        <w:t> г.</w:t>
      </w:r>
    </w:p>
    <w:p w14:paraId="2091E41C" w14:textId="58455FCF" w:rsidR="00721117" w:rsidRPr="000B6379" w:rsidRDefault="00721117" w:rsidP="00331DC0">
      <w:r w:rsidRPr="000D68CB">
        <w:t>През 2022</w:t>
      </w:r>
      <w:r w:rsidR="00B552D5">
        <w:t> г.</w:t>
      </w:r>
      <w:r w:rsidRPr="000D68CB">
        <w:t xml:space="preserve"> световната икономика бе повлияна</w:t>
      </w:r>
      <w:r>
        <w:t>,</w:t>
      </w:r>
      <w:r w:rsidRPr="000D68CB">
        <w:t xml:space="preserve"> </w:t>
      </w:r>
      <w:r>
        <w:t xml:space="preserve">от една страна, от </w:t>
      </w:r>
      <w:r w:rsidRPr="000D68CB">
        <w:t>продължаващото</w:t>
      </w:r>
      <w:r w:rsidRPr="000B6379">
        <w:t xml:space="preserve"> възстановяване след кризата, породена от пандемията от </w:t>
      </w:r>
      <w:r w:rsidRPr="000B6379">
        <w:rPr>
          <w:lang w:val="en-GB"/>
        </w:rPr>
        <w:t xml:space="preserve">COVID-19, </w:t>
      </w:r>
      <w:r w:rsidRPr="000B6379">
        <w:t>наред с новите шокове от войната на Рус</w:t>
      </w:r>
      <w:r>
        <w:t>ката федерация</w:t>
      </w:r>
      <w:r w:rsidRPr="000B6379">
        <w:t xml:space="preserve"> в Украйна и енергийните проблеми в Европа. </w:t>
      </w:r>
      <w:r>
        <w:t>П</w:t>
      </w:r>
      <w:r w:rsidRPr="000B6379">
        <w:t xml:space="preserve">рез първото полугодие бе отчетен силен икономически растеж както в ЕС, така и в световен план, движен от известно облекчаване на веригите за доставки, покачване на потреблението и производството. </w:t>
      </w:r>
      <w:r>
        <w:t>П</w:t>
      </w:r>
      <w:r w:rsidRPr="000B6379">
        <w:t xml:space="preserve">рез </w:t>
      </w:r>
      <w:r>
        <w:t>втората половина на 2022</w:t>
      </w:r>
      <w:r w:rsidR="00B552D5">
        <w:t> г.</w:t>
      </w:r>
      <w:r>
        <w:t xml:space="preserve"> икономическият растеж се забави под въздействие на несигурността поради войната, рисковете пред енергийната стабилност в ЕС, </w:t>
      </w:r>
      <w:r w:rsidRPr="000B6379">
        <w:t>недостиг</w:t>
      </w:r>
      <w:r>
        <w:t>а</w:t>
      </w:r>
      <w:r w:rsidRPr="000B6379">
        <w:t xml:space="preserve"> на основни суровини</w:t>
      </w:r>
      <w:r>
        <w:t>, който</w:t>
      </w:r>
      <w:r w:rsidRPr="000B6379">
        <w:t xml:space="preserve"> се отрази </w:t>
      </w:r>
      <w:r>
        <w:t xml:space="preserve">в </w:t>
      </w:r>
      <w:r w:rsidRPr="000B6379">
        <w:t>нарастване на цените им и последва</w:t>
      </w:r>
      <w:r>
        <w:t>л</w:t>
      </w:r>
      <w:r w:rsidRPr="000B6379">
        <w:t xml:space="preserve">о значително ускорение на инфлацията. </w:t>
      </w:r>
      <w:r w:rsidRPr="005A0534">
        <w:t xml:space="preserve">В опит да овладеят </w:t>
      </w:r>
      <w:r>
        <w:t>покачващия се инфлационен натиск</w:t>
      </w:r>
      <w:r w:rsidRPr="005A0534">
        <w:t>, водещите централни банки започнаха да провеждат по-рестриктивна парична политика и предприеха поредица от повишения на референтните лихвени проценти</w:t>
      </w:r>
      <w:r>
        <w:t>.</w:t>
      </w:r>
      <w:r w:rsidR="0005652B">
        <w:t xml:space="preserve"> </w:t>
      </w:r>
    </w:p>
    <w:p w14:paraId="597F8070" w14:textId="03B96BA3" w:rsidR="00721117" w:rsidRPr="00B552D5" w:rsidRDefault="00721117" w:rsidP="00B552D5">
      <w:pPr>
        <w:pStyle w:val="Caption"/>
      </w:pPr>
      <w:r w:rsidRPr="00B552D5">
        <w:t xml:space="preserve">Табл. </w:t>
      </w:r>
      <w:r w:rsidR="00031455">
        <w:fldChar w:fldCharType="begin"/>
      </w:r>
      <w:r w:rsidR="00031455">
        <w:instrText xml:space="preserve"> STYLEREF 1 \s </w:instrText>
      </w:r>
      <w:r w:rsidR="00031455">
        <w:fldChar w:fldCharType="separate"/>
      </w:r>
      <w:r w:rsidR="00541E16">
        <w:rPr>
          <w:noProof/>
        </w:rPr>
        <w:t>2</w:t>
      </w:r>
      <w:r w:rsidR="00031455">
        <w:rPr>
          <w:noProof/>
        </w:rPr>
        <w:fldChar w:fldCharType="end"/>
      </w:r>
      <w:r w:rsidRPr="00B552D5">
        <w:noBreakHyphen/>
      </w:r>
      <w:r w:rsidR="00031455">
        <w:fldChar w:fldCharType="begin"/>
      </w:r>
      <w:r w:rsidR="00031455">
        <w:instrText xml:space="preserve"> SEQ Граф. \* ARABIC \s 1 </w:instrText>
      </w:r>
      <w:r w:rsidR="00031455">
        <w:fldChar w:fldCharType="separate"/>
      </w:r>
      <w:r w:rsidR="00541E16">
        <w:rPr>
          <w:noProof/>
        </w:rPr>
        <w:t>1</w:t>
      </w:r>
      <w:r w:rsidR="00031455">
        <w:rPr>
          <w:noProof/>
        </w:rPr>
        <w:fldChar w:fldCharType="end"/>
      </w:r>
      <w:r w:rsidRPr="00B552D5">
        <w:t xml:space="preserve">: </w:t>
      </w:r>
      <w:r w:rsidR="00B552D5">
        <w:tab/>
      </w:r>
      <w:r w:rsidRPr="00B552D5">
        <w:t>Допускания относно основни макроикономически показатели</w:t>
      </w:r>
    </w:p>
    <w:tbl>
      <w:tblPr>
        <w:tblW w:w="4966"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CellMar>
          <w:left w:w="85" w:type="dxa"/>
          <w:right w:w="70" w:type="dxa"/>
        </w:tblCellMar>
        <w:tblLook w:val="04A0" w:firstRow="1" w:lastRow="0" w:firstColumn="1" w:lastColumn="0" w:noHBand="0" w:noVBand="1"/>
      </w:tblPr>
      <w:tblGrid>
        <w:gridCol w:w="3683"/>
        <w:gridCol w:w="1134"/>
        <w:gridCol w:w="993"/>
        <w:gridCol w:w="1064"/>
        <w:gridCol w:w="1064"/>
        <w:gridCol w:w="1064"/>
      </w:tblGrid>
      <w:tr w:rsidR="00721117" w:rsidRPr="005B2032" w14:paraId="04039DCF" w14:textId="77777777" w:rsidTr="00637F00">
        <w:trPr>
          <w:trHeight w:val="397"/>
          <w:jc w:val="center"/>
        </w:trPr>
        <w:tc>
          <w:tcPr>
            <w:tcW w:w="3685" w:type="dxa"/>
            <w:vMerge w:val="restart"/>
            <w:shd w:val="clear" w:color="auto" w:fill="D8EDFC"/>
            <w:vAlign w:val="bottom"/>
            <w:hideMark/>
          </w:tcPr>
          <w:p w14:paraId="0B6F21A2" w14:textId="77777777" w:rsidR="00721117" w:rsidRPr="005B2032" w:rsidRDefault="00721117" w:rsidP="00777E7B">
            <w:pPr>
              <w:spacing w:before="40" w:after="40"/>
              <w:jc w:val="left"/>
              <w:rPr>
                <w:b/>
                <w:bCs/>
                <w:sz w:val="20"/>
                <w:szCs w:val="20"/>
              </w:rPr>
            </w:pPr>
            <w:r w:rsidRPr="005B2032">
              <w:rPr>
                <w:b/>
                <w:bCs/>
                <w:sz w:val="20"/>
                <w:szCs w:val="20"/>
              </w:rPr>
              <w:t>Международна среда</w:t>
            </w:r>
          </w:p>
        </w:tc>
        <w:tc>
          <w:tcPr>
            <w:tcW w:w="1134" w:type="dxa"/>
            <w:shd w:val="clear" w:color="auto" w:fill="D8EDFC"/>
            <w:noWrap/>
            <w:vAlign w:val="center"/>
            <w:hideMark/>
          </w:tcPr>
          <w:p w14:paraId="4169E844" w14:textId="77777777" w:rsidR="00721117" w:rsidRPr="005B2032" w:rsidRDefault="00721117" w:rsidP="00777E7B">
            <w:pPr>
              <w:spacing w:before="40" w:after="40"/>
              <w:jc w:val="center"/>
              <w:rPr>
                <w:b/>
                <w:bCs/>
                <w:sz w:val="20"/>
                <w:szCs w:val="20"/>
              </w:rPr>
            </w:pPr>
            <w:r w:rsidRPr="005B2032">
              <w:rPr>
                <w:b/>
                <w:bCs/>
                <w:sz w:val="20"/>
                <w:szCs w:val="20"/>
              </w:rPr>
              <w:t>Отчетни данни</w:t>
            </w:r>
          </w:p>
        </w:tc>
        <w:tc>
          <w:tcPr>
            <w:tcW w:w="4185" w:type="dxa"/>
            <w:gridSpan w:val="4"/>
            <w:shd w:val="clear" w:color="auto" w:fill="D8EDFC"/>
            <w:vAlign w:val="center"/>
            <w:hideMark/>
          </w:tcPr>
          <w:p w14:paraId="17005D2F" w14:textId="77777777" w:rsidR="00721117" w:rsidRPr="005B2032" w:rsidRDefault="00721117" w:rsidP="00777E7B">
            <w:pPr>
              <w:spacing w:before="40" w:after="40"/>
              <w:jc w:val="center"/>
              <w:rPr>
                <w:b/>
                <w:bCs/>
                <w:sz w:val="20"/>
                <w:szCs w:val="20"/>
              </w:rPr>
            </w:pPr>
            <w:r w:rsidRPr="005B2032">
              <w:rPr>
                <w:b/>
                <w:bCs/>
                <w:sz w:val="20"/>
                <w:szCs w:val="20"/>
              </w:rPr>
              <w:t>Прогноза</w:t>
            </w:r>
          </w:p>
        </w:tc>
      </w:tr>
      <w:tr w:rsidR="00721117" w:rsidRPr="005B2032" w14:paraId="35C14D01" w14:textId="77777777" w:rsidTr="00637F00">
        <w:trPr>
          <w:trHeight w:val="397"/>
          <w:jc w:val="center"/>
        </w:trPr>
        <w:tc>
          <w:tcPr>
            <w:tcW w:w="3685" w:type="dxa"/>
            <w:vMerge/>
            <w:shd w:val="clear" w:color="auto" w:fill="D8EDFC"/>
            <w:vAlign w:val="center"/>
            <w:hideMark/>
          </w:tcPr>
          <w:p w14:paraId="19C9B77D" w14:textId="77777777" w:rsidR="00721117" w:rsidRPr="005B2032" w:rsidRDefault="00721117" w:rsidP="00777E7B">
            <w:pPr>
              <w:spacing w:after="0"/>
              <w:rPr>
                <w:b/>
                <w:bCs/>
                <w:sz w:val="20"/>
                <w:szCs w:val="20"/>
              </w:rPr>
            </w:pPr>
          </w:p>
        </w:tc>
        <w:tc>
          <w:tcPr>
            <w:tcW w:w="1134" w:type="dxa"/>
            <w:shd w:val="clear" w:color="auto" w:fill="D8EDFC"/>
            <w:noWrap/>
            <w:vAlign w:val="center"/>
          </w:tcPr>
          <w:p w14:paraId="6A90ED1B" w14:textId="77777777" w:rsidR="00721117" w:rsidRPr="005B2032" w:rsidRDefault="00721117" w:rsidP="00777E7B">
            <w:pPr>
              <w:spacing w:before="40" w:after="40"/>
              <w:jc w:val="center"/>
              <w:rPr>
                <w:b/>
                <w:bCs/>
                <w:sz w:val="20"/>
                <w:szCs w:val="20"/>
              </w:rPr>
            </w:pPr>
            <w:r>
              <w:rPr>
                <w:b/>
                <w:bCs/>
                <w:sz w:val="20"/>
                <w:szCs w:val="20"/>
              </w:rPr>
              <w:t>2022</w:t>
            </w:r>
          </w:p>
        </w:tc>
        <w:tc>
          <w:tcPr>
            <w:tcW w:w="993" w:type="dxa"/>
            <w:shd w:val="clear" w:color="auto" w:fill="D8EDFC"/>
            <w:noWrap/>
            <w:vAlign w:val="center"/>
          </w:tcPr>
          <w:p w14:paraId="54E51593" w14:textId="77777777" w:rsidR="00721117" w:rsidRPr="005B2032" w:rsidRDefault="00721117" w:rsidP="00777E7B">
            <w:pPr>
              <w:spacing w:before="40" w:after="40"/>
              <w:jc w:val="center"/>
              <w:rPr>
                <w:b/>
                <w:bCs/>
                <w:sz w:val="20"/>
                <w:szCs w:val="20"/>
              </w:rPr>
            </w:pPr>
            <w:r>
              <w:rPr>
                <w:b/>
                <w:bCs/>
                <w:sz w:val="20"/>
                <w:szCs w:val="20"/>
              </w:rPr>
              <w:t>2023</w:t>
            </w:r>
          </w:p>
        </w:tc>
        <w:tc>
          <w:tcPr>
            <w:tcW w:w="1064" w:type="dxa"/>
            <w:shd w:val="clear" w:color="auto" w:fill="D8EDFC"/>
            <w:vAlign w:val="center"/>
          </w:tcPr>
          <w:p w14:paraId="73799066" w14:textId="77777777" w:rsidR="00721117" w:rsidRPr="005B2032" w:rsidRDefault="00721117" w:rsidP="00777E7B">
            <w:pPr>
              <w:spacing w:before="40" w:after="40"/>
              <w:jc w:val="center"/>
              <w:rPr>
                <w:b/>
                <w:bCs/>
                <w:sz w:val="20"/>
                <w:szCs w:val="20"/>
              </w:rPr>
            </w:pPr>
            <w:r>
              <w:rPr>
                <w:b/>
                <w:bCs/>
                <w:sz w:val="20"/>
                <w:szCs w:val="20"/>
              </w:rPr>
              <w:t>2024</w:t>
            </w:r>
          </w:p>
        </w:tc>
        <w:tc>
          <w:tcPr>
            <w:tcW w:w="1064" w:type="dxa"/>
            <w:shd w:val="clear" w:color="auto" w:fill="D8EDFC"/>
            <w:vAlign w:val="center"/>
          </w:tcPr>
          <w:p w14:paraId="19A59DC1" w14:textId="77777777" w:rsidR="00721117" w:rsidRPr="005B2032" w:rsidRDefault="00721117" w:rsidP="00777E7B">
            <w:pPr>
              <w:spacing w:before="40" w:after="40"/>
              <w:jc w:val="center"/>
              <w:rPr>
                <w:b/>
                <w:bCs/>
                <w:sz w:val="20"/>
                <w:szCs w:val="20"/>
              </w:rPr>
            </w:pPr>
            <w:r>
              <w:rPr>
                <w:b/>
                <w:bCs/>
                <w:sz w:val="20"/>
                <w:szCs w:val="20"/>
              </w:rPr>
              <w:t>2025</w:t>
            </w:r>
          </w:p>
        </w:tc>
        <w:tc>
          <w:tcPr>
            <w:tcW w:w="1064" w:type="dxa"/>
            <w:shd w:val="clear" w:color="auto" w:fill="D8EDFC"/>
            <w:vAlign w:val="center"/>
          </w:tcPr>
          <w:p w14:paraId="01A1C2F8" w14:textId="77777777" w:rsidR="00721117" w:rsidRPr="005B2032" w:rsidRDefault="00721117" w:rsidP="00777E7B">
            <w:pPr>
              <w:spacing w:before="40" w:after="40"/>
              <w:jc w:val="center"/>
              <w:rPr>
                <w:b/>
                <w:bCs/>
                <w:sz w:val="20"/>
                <w:szCs w:val="20"/>
              </w:rPr>
            </w:pPr>
            <w:r>
              <w:rPr>
                <w:b/>
                <w:bCs/>
                <w:sz w:val="20"/>
                <w:szCs w:val="20"/>
              </w:rPr>
              <w:t>2026</w:t>
            </w:r>
          </w:p>
        </w:tc>
      </w:tr>
      <w:tr w:rsidR="00721117" w:rsidRPr="005B2032" w14:paraId="0553E8A8" w14:textId="77777777" w:rsidTr="00777E7B">
        <w:trPr>
          <w:trHeight w:val="397"/>
          <w:jc w:val="center"/>
        </w:trPr>
        <w:tc>
          <w:tcPr>
            <w:tcW w:w="3685" w:type="dxa"/>
            <w:vAlign w:val="center"/>
            <w:hideMark/>
          </w:tcPr>
          <w:p w14:paraId="53B3FFF2" w14:textId="091791FA" w:rsidR="00721117" w:rsidRPr="005B2032" w:rsidRDefault="00721117" w:rsidP="00777E7B">
            <w:pPr>
              <w:spacing w:before="40" w:after="40"/>
              <w:jc w:val="left"/>
              <w:rPr>
                <w:bCs/>
                <w:sz w:val="20"/>
                <w:szCs w:val="20"/>
              </w:rPr>
            </w:pPr>
            <w:r w:rsidRPr="005B2032">
              <w:rPr>
                <w:bCs/>
                <w:sz w:val="20"/>
                <w:szCs w:val="20"/>
              </w:rPr>
              <w:t>Световна икономика (реален растеж,</w:t>
            </w:r>
            <w:r w:rsidR="008B5514">
              <w:rPr>
                <w:bCs/>
                <w:sz w:val="20"/>
                <w:szCs w:val="20"/>
              </w:rPr>
              <w:t>%</w:t>
            </w:r>
            <w:r w:rsidRPr="005B2032">
              <w:rPr>
                <w:bCs/>
                <w:sz w:val="20"/>
                <w:szCs w:val="20"/>
              </w:rPr>
              <w:t>)</w:t>
            </w:r>
          </w:p>
        </w:tc>
        <w:tc>
          <w:tcPr>
            <w:tcW w:w="1134" w:type="dxa"/>
            <w:noWrap/>
            <w:vAlign w:val="center"/>
          </w:tcPr>
          <w:p w14:paraId="3B6ED163" w14:textId="77777777" w:rsidR="00721117" w:rsidRPr="00E66B02" w:rsidRDefault="00721117" w:rsidP="00777E7B">
            <w:pPr>
              <w:spacing w:after="0"/>
              <w:jc w:val="center"/>
              <w:rPr>
                <w:bCs/>
                <w:sz w:val="20"/>
                <w:szCs w:val="20"/>
              </w:rPr>
            </w:pPr>
            <w:r w:rsidRPr="00E66B02">
              <w:rPr>
                <w:bCs/>
                <w:sz w:val="20"/>
                <w:szCs w:val="20"/>
              </w:rPr>
              <w:t>3.4</w:t>
            </w:r>
          </w:p>
        </w:tc>
        <w:tc>
          <w:tcPr>
            <w:tcW w:w="993" w:type="dxa"/>
            <w:noWrap/>
            <w:vAlign w:val="center"/>
          </w:tcPr>
          <w:p w14:paraId="2563A114" w14:textId="77777777" w:rsidR="00721117" w:rsidRPr="00E66B02" w:rsidRDefault="00721117" w:rsidP="00777E7B">
            <w:pPr>
              <w:spacing w:after="0"/>
              <w:jc w:val="center"/>
              <w:rPr>
                <w:bCs/>
                <w:sz w:val="20"/>
                <w:szCs w:val="20"/>
              </w:rPr>
            </w:pPr>
            <w:r w:rsidRPr="00E66B02">
              <w:rPr>
                <w:bCs/>
                <w:sz w:val="20"/>
                <w:szCs w:val="20"/>
              </w:rPr>
              <w:t>2.8</w:t>
            </w:r>
          </w:p>
        </w:tc>
        <w:tc>
          <w:tcPr>
            <w:tcW w:w="1064" w:type="dxa"/>
            <w:vAlign w:val="center"/>
          </w:tcPr>
          <w:p w14:paraId="7A273522" w14:textId="77777777" w:rsidR="00721117" w:rsidRPr="00E66B02" w:rsidRDefault="00721117" w:rsidP="00777E7B">
            <w:pPr>
              <w:spacing w:after="0"/>
              <w:jc w:val="center"/>
              <w:rPr>
                <w:bCs/>
                <w:sz w:val="20"/>
                <w:szCs w:val="20"/>
              </w:rPr>
            </w:pPr>
            <w:r w:rsidRPr="00E66B02">
              <w:rPr>
                <w:bCs/>
                <w:sz w:val="20"/>
                <w:szCs w:val="20"/>
              </w:rPr>
              <w:t>3.1</w:t>
            </w:r>
          </w:p>
        </w:tc>
        <w:tc>
          <w:tcPr>
            <w:tcW w:w="1064" w:type="dxa"/>
            <w:vAlign w:val="center"/>
          </w:tcPr>
          <w:p w14:paraId="4D2E5462" w14:textId="77777777" w:rsidR="00721117" w:rsidRPr="00E66B02" w:rsidRDefault="00721117" w:rsidP="00777E7B">
            <w:pPr>
              <w:spacing w:after="0"/>
              <w:jc w:val="center"/>
              <w:rPr>
                <w:bCs/>
                <w:sz w:val="20"/>
                <w:szCs w:val="20"/>
              </w:rPr>
            </w:pPr>
            <w:r w:rsidRPr="00E66B02">
              <w:rPr>
                <w:bCs/>
                <w:sz w:val="20"/>
                <w:szCs w:val="20"/>
              </w:rPr>
              <w:t>3.2</w:t>
            </w:r>
          </w:p>
        </w:tc>
        <w:tc>
          <w:tcPr>
            <w:tcW w:w="1064" w:type="dxa"/>
            <w:vAlign w:val="center"/>
          </w:tcPr>
          <w:p w14:paraId="05681756" w14:textId="77777777" w:rsidR="00721117" w:rsidRPr="00E66B02" w:rsidRDefault="00721117" w:rsidP="00777E7B">
            <w:pPr>
              <w:spacing w:after="0"/>
              <w:jc w:val="center"/>
              <w:rPr>
                <w:bCs/>
                <w:sz w:val="20"/>
                <w:szCs w:val="20"/>
              </w:rPr>
            </w:pPr>
            <w:r w:rsidRPr="00E66B02">
              <w:rPr>
                <w:bCs/>
                <w:sz w:val="20"/>
                <w:szCs w:val="20"/>
              </w:rPr>
              <w:t>3.2</w:t>
            </w:r>
          </w:p>
        </w:tc>
      </w:tr>
      <w:tr w:rsidR="00721117" w:rsidRPr="005B2032" w14:paraId="0B04EDAE" w14:textId="77777777" w:rsidTr="00777E7B">
        <w:trPr>
          <w:trHeight w:val="397"/>
          <w:jc w:val="center"/>
        </w:trPr>
        <w:tc>
          <w:tcPr>
            <w:tcW w:w="3685" w:type="dxa"/>
            <w:vAlign w:val="center"/>
            <w:hideMark/>
          </w:tcPr>
          <w:p w14:paraId="7F112129" w14:textId="00DCA746" w:rsidR="00721117" w:rsidRPr="005B2032" w:rsidRDefault="00721117" w:rsidP="00777E7B">
            <w:pPr>
              <w:spacing w:before="40" w:after="40"/>
              <w:jc w:val="left"/>
              <w:rPr>
                <w:bCs/>
                <w:sz w:val="20"/>
                <w:szCs w:val="20"/>
              </w:rPr>
            </w:pPr>
            <w:r w:rsidRPr="005B2032">
              <w:rPr>
                <w:bCs/>
                <w:sz w:val="20"/>
                <w:szCs w:val="20"/>
              </w:rPr>
              <w:t xml:space="preserve">Европейска икономика – ЕС </w:t>
            </w:r>
            <w:r>
              <w:rPr>
                <w:bCs/>
                <w:sz w:val="20"/>
                <w:szCs w:val="20"/>
              </w:rPr>
              <w:br/>
            </w:r>
            <w:r w:rsidRPr="005B2032">
              <w:rPr>
                <w:bCs/>
                <w:sz w:val="20"/>
                <w:szCs w:val="20"/>
              </w:rPr>
              <w:t>(реален растеж,</w:t>
            </w:r>
            <w:r w:rsidR="008B5514">
              <w:rPr>
                <w:bCs/>
                <w:sz w:val="20"/>
                <w:szCs w:val="20"/>
              </w:rPr>
              <w:t>%</w:t>
            </w:r>
            <w:r w:rsidRPr="005B2032">
              <w:rPr>
                <w:bCs/>
                <w:sz w:val="20"/>
                <w:szCs w:val="20"/>
              </w:rPr>
              <w:t>)</w:t>
            </w:r>
          </w:p>
        </w:tc>
        <w:tc>
          <w:tcPr>
            <w:tcW w:w="1134" w:type="dxa"/>
            <w:noWrap/>
            <w:vAlign w:val="center"/>
          </w:tcPr>
          <w:p w14:paraId="4F322192" w14:textId="77777777" w:rsidR="00721117" w:rsidRPr="00E66B02" w:rsidRDefault="00721117" w:rsidP="00777E7B">
            <w:pPr>
              <w:spacing w:after="0"/>
              <w:jc w:val="center"/>
              <w:rPr>
                <w:bCs/>
                <w:sz w:val="20"/>
                <w:szCs w:val="20"/>
              </w:rPr>
            </w:pPr>
            <w:r w:rsidRPr="00E66B02">
              <w:rPr>
                <w:bCs/>
                <w:sz w:val="20"/>
                <w:szCs w:val="20"/>
              </w:rPr>
              <w:t>3.5</w:t>
            </w:r>
          </w:p>
        </w:tc>
        <w:tc>
          <w:tcPr>
            <w:tcW w:w="993" w:type="dxa"/>
            <w:noWrap/>
            <w:vAlign w:val="center"/>
          </w:tcPr>
          <w:p w14:paraId="513ECBA9" w14:textId="77777777" w:rsidR="00721117" w:rsidRPr="00E66B02" w:rsidRDefault="00721117" w:rsidP="00777E7B">
            <w:pPr>
              <w:spacing w:after="0"/>
              <w:jc w:val="center"/>
              <w:rPr>
                <w:bCs/>
                <w:sz w:val="20"/>
                <w:szCs w:val="20"/>
              </w:rPr>
            </w:pPr>
            <w:r w:rsidRPr="00E66B02">
              <w:rPr>
                <w:bCs/>
                <w:sz w:val="20"/>
                <w:szCs w:val="20"/>
              </w:rPr>
              <w:t>0.7</w:t>
            </w:r>
          </w:p>
        </w:tc>
        <w:tc>
          <w:tcPr>
            <w:tcW w:w="1064" w:type="dxa"/>
            <w:vAlign w:val="center"/>
          </w:tcPr>
          <w:p w14:paraId="7117E244" w14:textId="77777777" w:rsidR="00721117" w:rsidRPr="00E66B02" w:rsidRDefault="00721117" w:rsidP="00777E7B">
            <w:pPr>
              <w:spacing w:after="0"/>
              <w:jc w:val="center"/>
              <w:rPr>
                <w:bCs/>
                <w:sz w:val="20"/>
                <w:szCs w:val="20"/>
              </w:rPr>
            </w:pPr>
            <w:r w:rsidRPr="00E66B02">
              <w:rPr>
                <w:bCs/>
                <w:sz w:val="20"/>
                <w:szCs w:val="20"/>
              </w:rPr>
              <w:t>1.8</w:t>
            </w:r>
          </w:p>
        </w:tc>
        <w:tc>
          <w:tcPr>
            <w:tcW w:w="1064" w:type="dxa"/>
            <w:vAlign w:val="center"/>
          </w:tcPr>
          <w:p w14:paraId="3C503CAB" w14:textId="77777777" w:rsidR="00721117" w:rsidRPr="00E66B02" w:rsidRDefault="00721117" w:rsidP="00777E7B">
            <w:pPr>
              <w:spacing w:after="0"/>
              <w:jc w:val="center"/>
              <w:rPr>
                <w:bCs/>
                <w:sz w:val="20"/>
                <w:szCs w:val="20"/>
              </w:rPr>
            </w:pPr>
            <w:r w:rsidRPr="00E66B02">
              <w:rPr>
                <w:bCs/>
                <w:sz w:val="20"/>
                <w:szCs w:val="20"/>
              </w:rPr>
              <w:t>2.1</w:t>
            </w:r>
          </w:p>
        </w:tc>
        <w:tc>
          <w:tcPr>
            <w:tcW w:w="1064" w:type="dxa"/>
            <w:vAlign w:val="center"/>
          </w:tcPr>
          <w:p w14:paraId="6D345099" w14:textId="77777777" w:rsidR="00721117" w:rsidRPr="00E66B02" w:rsidRDefault="00721117" w:rsidP="00777E7B">
            <w:pPr>
              <w:spacing w:after="0"/>
              <w:jc w:val="center"/>
              <w:rPr>
                <w:bCs/>
                <w:sz w:val="20"/>
                <w:szCs w:val="20"/>
              </w:rPr>
            </w:pPr>
            <w:r w:rsidRPr="00E66B02">
              <w:rPr>
                <w:bCs/>
                <w:sz w:val="20"/>
                <w:szCs w:val="20"/>
              </w:rPr>
              <w:t>1.9</w:t>
            </w:r>
          </w:p>
        </w:tc>
      </w:tr>
      <w:tr w:rsidR="00721117" w:rsidRPr="005B2032" w14:paraId="56FFCB93" w14:textId="77777777" w:rsidTr="00777E7B">
        <w:trPr>
          <w:trHeight w:val="397"/>
          <w:jc w:val="center"/>
        </w:trPr>
        <w:tc>
          <w:tcPr>
            <w:tcW w:w="3685" w:type="dxa"/>
            <w:vAlign w:val="center"/>
            <w:hideMark/>
          </w:tcPr>
          <w:p w14:paraId="571ED57F" w14:textId="77777777" w:rsidR="00721117" w:rsidRPr="005B2032" w:rsidRDefault="00721117" w:rsidP="00777E7B">
            <w:pPr>
              <w:spacing w:before="40" w:after="40"/>
              <w:jc w:val="left"/>
              <w:rPr>
                <w:bCs/>
                <w:sz w:val="20"/>
                <w:szCs w:val="20"/>
              </w:rPr>
            </w:pPr>
            <w:r w:rsidRPr="005B2032">
              <w:rPr>
                <w:bCs/>
                <w:sz w:val="20"/>
                <w:szCs w:val="20"/>
              </w:rPr>
              <w:t xml:space="preserve">Средногодишен валутен курс щ.д./евро </w:t>
            </w:r>
          </w:p>
        </w:tc>
        <w:tc>
          <w:tcPr>
            <w:tcW w:w="1134" w:type="dxa"/>
            <w:noWrap/>
            <w:vAlign w:val="center"/>
          </w:tcPr>
          <w:p w14:paraId="54F14632" w14:textId="77777777" w:rsidR="00721117" w:rsidRPr="00E66B02" w:rsidRDefault="00721117" w:rsidP="00777E7B">
            <w:pPr>
              <w:spacing w:after="0"/>
              <w:jc w:val="center"/>
              <w:rPr>
                <w:bCs/>
                <w:sz w:val="20"/>
                <w:szCs w:val="20"/>
              </w:rPr>
            </w:pPr>
            <w:r w:rsidRPr="00E66B02">
              <w:rPr>
                <w:bCs/>
                <w:sz w:val="20"/>
                <w:szCs w:val="20"/>
              </w:rPr>
              <w:t>1.05</w:t>
            </w:r>
          </w:p>
        </w:tc>
        <w:tc>
          <w:tcPr>
            <w:tcW w:w="993" w:type="dxa"/>
            <w:noWrap/>
            <w:vAlign w:val="center"/>
          </w:tcPr>
          <w:p w14:paraId="471EDCEE" w14:textId="77777777" w:rsidR="00721117" w:rsidRPr="00E66B02" w:rsidRDefault="00721117" w:rsidP="00777E7B">
            <w:pPr>
              <w:spacing w:after="0"/>
              <w:jc w:val="center"/>
              <w:rPr>
                <w:bCs/>
                <w:sz w:val="20"/>
                <w:szCs w:val="20"/>
              </w:rPr>
            </w:pPr>
            <w:r w:rsidRPr="00E66B02">
              <w:rPr>
                <w:bCs/>
                <w:sz w:val="20"/>
                <w:szCs w:val="20"/>
              </w:rPr>
              <w:t>1.06</w:t>
            </w:r>
          </w:p>
        </w:tc>
        <w:tc>
          <w:tcPr>
            <w:tcW w:w="1064" w:type="dxa"/>
            <w:vAlign w:val="center"/>
          </w:tcPr>
          <w:p w14:paraId="060E7E77" w14:textId="77777777" w:rsidR="00721117" w:rsidRPr="00E66B02" w:rsidRDefault="00721117" w:rsidP="00777E7B">
            <w:pPr>
              <w:spacing w:after="0"/>
              <w:jc w:val="center"/>
              <w:rPr>
                <w:bCs/>
                <w:sz w:val="20"/>
                <w:szCs w:val="20"/>
              </w:rPr>
            </w:pPr>
            <w:r w:rsidRPr="00E66B02">
              <w:rPr>
                <w:bCs/>
                <w:sz w:val="20"/>
                <w:szCs w:val="20"/>
              </w:rPr>
              <w:t>1.06</w:t>
            </w:r>
          </w:p>
        </w:tc>
        <w:tc>
          <w:tcPr>
            <w:tcW w:w="1064" w:type="dxa"/>
            <w:vAlign w:val="center"/>
          </w:tcPr>
          <w:p w14:paraId="75165333" w14:textId="77777777" w:rsidR="00721117" w:rsidRPr="00E66B02" w:rsidRDefault="00721117" w:rsidP="00777E7B">
            <w:pPr>
              <w:spacing w:after="0"/>
              <w:jc w:val="center"/>
              <w:rPr>
                <w:bCs/>
                <w:sz w:val="20"/>
                <w:szCs w:val="20"/>
              </w:rPr>
            </w:pPr>
            <w:r w:rsidRPr="00E66B02">
              <w:rPr>
                <w:bCs/>
                <w:sz w:val="20"/>
                <w:szCs w:val="20"/>
              </w:rPr>
              <w:t>1.06</w:t>
            </w:r>
          </w:p>
        </w:tc>
        <w:tc>
          <w:tcPr>
            <w:tcW w:w="1064" w:type="dxa"/>
            <w:vAlign w:val="center"/>
          </w:tcPr>
          <w:p w14:paraId="7482BFAA" w14:textId="77777777" w:rsidR="00721117" w:rsidRPr="00E66B02" w:rsidRDefault="00721117" w:rsidP="00777E7B">
            <w:pPr>
              <w:spacing w:after="0"/>
              <w:jc w:val="center"/>
              <w:rPr>
                <w:bCs/>
                <w:sz w:val="20"/>
                <w:szCs w:val="20"/>
              </w:rPr>
            </w:pPr>
            <w:r w:rsidRPr="00E66B02">
              <w:rPr>
                <w:bCs/>
                <w:sz w:val="20"/>
                <w:szCs w:val="20"/>
              </w:rPr>
              <w:t>1.06</w:t>
            </w:r>
          </w:p>
        </w:tc>
      </w:tr>
      <w:tr w:rsidR="00721117" w:rsidRPr="00503A52" w14:paraId="44979142" w14:textId="77777777" w:rsidTr="00777E7B">
        <w:trPr>
          <w:trHeight w:val="397"/>
          <w:jc w:val="center"/>
        </w:trPr>
        <w:tc>
          <w:tcPr>
            <w:tcW w:w="9004" w:type="dxa"/>
            <w:gridSpan w:val="6"/>
            <w:vAlign w:val="center"/>
            <w:hideMark/>
          </w:tcPr>
          <w:p w14:paraId="2E31B91E" w14:textId="77777777" w:rsidR="00721117" w:rsidRPr="00503A52" w:rsidRDefault="00721117" w:rsidP="00777E7B">
            <w:pPr>
              <w:spacing w:after="0"/>
              <w:jc w:val="left"/>
              <w:rPr>
                <w:b/>
                <w:sz w:val="20"/>
                <w:szCs w:val="20"/>
              </w:rPr>
            </w:pPr>
            <w:r w:rsidRPr="00503A52">
              <w:rPr>
                <w:rFonts w:eastAsia="Times New Roman"/>
                <w:b/>
                <w:sz w:val="20"/>
                <w:szCs w:val="20"/>
              </w:rPr>
              <w:t>Международни цени на основни суровини (в доларово изражение, изменение в %)</w:t>
            </w:r>
          </w:p>
        </w:tc>
      </w:tr>
      <w:tr w:rsidR="00721117" w:rsidRPr="005B2032" w14:paraId="2A7CE04C" w14:textId="77777777" w:rsidTr="00777E7B">
        <w:trPr>
          <w:trHeight w:val="397"/>
          <w:jc w:val="center"/>
        </w:trPr>
        <w:tc>
          <w:tcPr>
            <w:tcW w:w="3685" w:type="dxa"/>
            <w:vAlign w:val="center"/>
            <w:hideMark/>
          </w:tcPr>
          <w:p w14:paraId="05AC7742" w14:textId="77777777" w:rsidR="00721117" w:rsidRPr="005B2032" w:rsidRDefault="00721117" w:rsidP="00777E7B">
            <w:pPr>
              <w:spacing w:before="40" w:after="40"/>
              <w:jc w:val="left"/>
              <w:rPr>
                <w:bCs/>
                <w:sz w:val="20"/>
                <w:szCs w:val="20"/>
              </w:rPr>
            </w:pPr>
            <w:r w:rsidRPr="005B2032">
              <w:rPr>
                <w:bCs/>
                <w:sz w:val="20"/>
                <w:szCs w:val="20"/>
              </w:rPr>
              <w:t>Петрол сорт „Брент“</w:t>
            </w:r>
          </w:p>
        </w:tc>
        <w:tc>
          <w:tcPr>
            <w:tcW w:w="1134" w:type="dxa"/>
            <w:noWrap/>
            <w:vAlign w:val="center"/>
          </w:tcPr>
          <w:p w14:paraId="4467D021" w14:textId="77777777" w:rsidR="00721117" w:rsidRPr="000B325E" w:rsidRDefault="00721117" w:rsidP="00777E7B">
            <w:pPr>
              <w:spacing w:after="0"/>
              <w:jc w:val="center"/>
              <w:rPr>
                <w:bCs/>
                <w:sz w:val="20"/>
                <w:szCs w:val="20"/>
              </w:rPr>
            </w:pPr>
            <w:r w:rsidRPr="000B325E">
              <w:rPr>
                <w:bCs/>
                <w:sz w:val="20"/>
                <w:szCs w:val="20"/>
              </w:rPr>
              <w:t>41.7</w:t>
            </w:r>
          </w:p>
        </w:tc>
        <w:tc>
          <w:tcPr>
            <w:tcW w:w="993" w:type="dxa"/>
            <w:noWrap/>
            <w:vAlign w:val="center"/>
          </w:tcPr>
          <w:p w14:paraId="5DA861D2" w14:textId="77777777" w:rsidR="00721117" w:rsidRPr="000B325E" w:rsidRDefault="00721117" w:rsidP="00777E7B">
            <w:pPr>
              <w:spacing w:after="0"/>
              <w:jc w:val="center"/>
              <w:rPr>
                <w:bCs/>
                <w:sz w:val="20"/>
                <w:szCs w:val="20"/>
              </w:rPr>
            </w:pPr>
            <w:r w:rsidRPr="000B325E">
              <w:rPr>
                <w:bCs/>
                <w:sz w:val="20"/>
                <w:szCs w:val="20"/>
              </w:rPr>
              <w:t>-17.7</w:t>
            </w:r>
          </w:p>
        </w:tc>
        <w:tc>
          <w:tcPr>
            <w:tcW w:w="1064" w:type="dxa"/>
            <w:vAlign w:val="center"/>
          </w:tcPr>
          <w:p w14:paraId="1FBD9B58" w14:textId="77777777" w:rsidR="00721117" w:rsidRPr="000B325E" w:rsidRDefault="00721117" w:rsidP="00777E7B">
            <w:pPr>
              <w:spacing w:after="0"/>
              <w:jc w:val="center"/>
              <w:rPr>
                <w:bCs/>
                <w:sz w:val="20"/>
                <w:szCs w:val="20"/>
              </w:rPr>
            </w:pPr>
            <w:r w:rsidRPr="000B325E">
              <w:rPr>
                <w:bCs/>
                <w:sz w:val="20"/>
                <w:szCs w:val="20"/>
              </w:rPr>
              <w:t>-5.8</w:t>
            </w:r>
          </w:p>
        </w:tc>
        <w:tc>
          <w:tcPr>
            <w:tcW w:w="1064" w:type="dxa"/>
            <w:vAlign w:val="center"/>
          </w:tcPr>
          <w:p w14:paraId="47FD4194" w14:textId="77777777" w:rsidR="00721117" w:rsidRPr="000B325E" w:rsidRDefault="00721117" w:rsidP="00777E7B">
            <w:pPr>
              <w:spacing w:after="0"/>
              <w:jc w:val="center"/>
              <w:rPr>
                <w:bCs/>
                <w:sz w:val="20"/>
                <w:szCs w:val="20"/>
              </w:rPr>
            </w:pPr>
            <w:r w:rsidRPr="000B325E">
              <w:rPr>
                <w:bCs/>
                <w:sz w:val="20"/>
                <w:szCs w:val="20"/>
              </w:rPr>
              <w:t>-5.3</w:t>
            </w:r>
          </w:p>
        </w:tc>
        <w:tc>
          <w:tcPr>
            <w:tcW w:w="1064" w:type="dxa"/>
            <w:vAlign w:val="center"/>
          </w:tcPr>
          <w:p w14:paraId="59C9B6F6" w14:textId="77777777" w:rsidR="00721117" w:rsidRPr="000B325E" w:rsidRDefault="00721117" w:rsidP="00777E7B">
            <w:pPr>
              <w:spacing w:after="0"/>
              <w:jc w:val="center"/>
              <w:rPr>
                <w:bCs/>
                <w:sz w:val="20"/>
                <w:szCs w:val="20"/>
              </w:rPr>
            </w:pPr>
            <w:r w:rsidRPr="000B325E">
              <w:rPr>
                <w:bCs/>
                <w:sz w:val="20"/>
                <w:szCs w:val="20"/>
              </w:rPr>
              <w:t>-4.4</w:t>
            </w:r>
          </w:p>
        </w:tc>
      </w:tr>
      <w:tr w:rsidR="00721117" w:rsidRPr="005B2032" w14:paraId="5888FE5F" w14:textId="77777777" w:rsidTr="00777E7B">
        <w:trPr>
          <w:trHeight w:val="397"/>
          <w:jc w:val="center"/>
        </w:trPr>
        <w:tc>
          <w:tcPr>
            <w:tcW w:w="3685" w:type="dxa"/>
            <w:vAlign w:val="center"/>
            <w:hideMark/>
          </w:tcPr>
          <w:p w14:paraId="13B590CA" w14:textId="77777777" w:rsidR="00721117" w:rsidRPr="005B2032" w:rsidRDefault="00721117" w:rsidP="00777E7B">
            <w:pPr>
              <w:spacing w:before="40" w:after="40"/>
              <w:jc w:val="left"/>
              <w:rPr>
                <w:bCs/>
                <w:sz w:val="20"/>
                <w:szCs w:val="20"/>
              </w:rPr>
            </w:pPr>
            <w:r w:rsidRPr="005B2032">
              <w:rPr>
                <w:bCs/>
                <w:sz w:val="20"/>
                <w:szCs w:val="20"/>
              </w:rPr>
              <w:t xml:space="preserve">Неенергийни суровини </w:t>
            </w:r>
          </w:p>
        </w:tc>
        <w:tc>
          <w:tcPr>
            <w:tcW w:w="1134" w:type="dxa"/>
            <w:noWrap/>
            <w:vAlign w:val="center"/>
          </w:tcPr>
          <w:p w14:paraId="37804C4E" w14:textId="77777777" w:rsidR="00721117" w:rsidRPr="00E66B02" w:rsidRDefault="00721117" w:rsidP="00777E7B">
            <w:pPr>
              <w:spacing w:after="0"/>
              <w:jc w:val="center"/>
              <w:rPr>
                <w:bCs/>
                <w:sz w:val="20"/>
                <w:szCs w:val="20"/>
              </w:rPr>
            </w:pPr>
            <w:r w:rsidRPr="00E66B02">
              <w:rPr>
                <w:bCs/>
                <w:sz w:val="20"/>
                <w:szCs w:val="20"/>
              </w:rPr>
              <w:t>8.7</w:t>
            </w:r>
          </w:p>
        </w:tc>
        <w:tc>
          <w:tcPr>
            <w:tcW w:w="993" w:type="dxa"/>
            <w:noWrap/>
            <w:vAlign w:val="center"/>
          </w:tcPr>
          <w:p w14:paraId="4FFC2BA5" w14:textId="77777777" w:rsidR="00721117" w:rsidRPr="00E66B02" w:rsidRDefault="00721117" w:rsidP="00777E7B">
            <w:pPr>
              <w:spacing w:after="0"/>
              <w:jc w:val="center"/>
              <w:rPr>
                <w:bCs/>
                <w:sz w:val="20"/>
                <w:szCs w:val="20"/>
              </w:rPr>
            </w:pPr>
            <w:r w:rsidRPr="00E66B02">
              <w:rPr>
                <w:bCs/>
                <w:sz w:val="20"/>
                <w:szCs w:val="20"/>
              </w:rPr>
              <w:t>-10.6</w:t>
            </w:r>
          </w:p>
        </w:tc>
        <w:tc>
          <w:tcPr>
            <w:tcW w:w="1064" w:type="dxa"/>
            <w:vAlign w:val="center"/>
          </w:tcPr>
          <w:p w14:paraId="18233495" w14:textId="77777777" w:rsidR="00721117" w:rsidRPr="00E66B02" w:rsidRDefault="00721117" w:rsidP="00777E7B">
            <w:pPr>
              <w:spacing w:after="0"/>
              <w:jc w:val="center"/>
              <w:rPr>
                <w:bCs/>
                <w:sz w:val="20"/>
                <w:szCs w:val="20"/>
              </w:rPr>
            </w:pPr>
            <w:r w:rsidRPr="00E66B02">
              <w:rPr>
                <w:bCs/>
                <w:sz w:val="20"/>
                <w:szCs w:val="20"/>
              </w:rPr>
              <w:t>-2.1</w:t>
            </w:r>
          </w:p>
        </w:tc>
        <w:tc>
          <w:tcPr>
            <w:tcW w:w="1064" w:type="dxa"/>
            <w:vAlign w:val="center"/>
          </w:tcPr>
          <w:p w14:paraId="19A4F13A" w14:textId="77777777" w:rsidR="00721117" w:rsidRPr="00E66B02" w:rsidRDefault="00721117" w:rsidP="00777E7B">
            <w:pPr>
              <w:spacing w:after="0"/>
              <w:jc w:val="center"/>
              <w:rPr>
                <w:bCs/>
                <w:sz w:val="20"/>
                <w:szCs w:val="20"/>
              </w:rPr>
            </w:pPr>
            <w:r w:rsidRPr="00E66B02">
              <w:rPr>
                <w:bCs/>
                <w:sz w:val="20"/>
                <w:szCs w:val="20"/>
              </w:rPr>
              <w:t>-1.4</w:t>
            </w:r>
          </w:p>
        </w:tc>
        <w:tc>
          <w:tcPr>
            <w:tcW w:w="1064" w:type="dxa"/>
            <w:vAlign w:val="center"/>
          </w:tcPr>
          <w:p w14:paraId="67C70147" w14:textId="77777777" w:rsidR="00721117" w:rsidRPr="00E66B02" w:rsidRDefault="00721117" w:rsidP="00777E7B">
            <w:pPr>
              <w:spacing w:after="0"/>
              <w:jc w:val="center"/>
              <w:rPr>
                <w:bCs/>
                <w:sz w:val="20"/>
                <w:szCs w:val="20"/>
              </w:rPr>
            </w:pPr>
            <w:r w:rsidRPr="00E66B02">
              <w:rPr>
                <w:bCs/>
                <w:sz w:val="20"/>
                <w:szCs w:val="20"/>
              </w:rPr>
              <w:t>-0.6</w:t>
            </w:r>
          </w:p>
        </w:tc>
      </w:tr>
      <w:tr w:rsidR="00721117" w:rsidRPr="005B2032" w14:paraId="77D74F29" w14:textId="77777777" w:rsidTr="00777E7B">
        <w:trPr>
          <w:trHeight w:val="397"/>
          <w:jc w:val="center"/>
        </w:trPr>
        <w:tc>
          <w:tcPr>
            <w:tcW w:w="3685" w:type="dxa"/>
            <w:vAlign w:val="center"/>
            <w:hideMark/>
          </w:tcPr>
          <w:p w14:paraId="1A936CD6" w14:textId="77777777" w:rsidR="00721117" w:rsidRPr="005B2032" w:rsidRDefault="00721117" w:rsidP="00777E7B">
            <w:pPr>
              <w:spacing w:before="40" w:after="40"/>
              <w:ind w:firstLine="505"/>
              <w:jc w:val="left"/>
              <w:rPr>
                <w:bCs/>
                <w:sz w:val="20"/>
                <w:szCs w:val="20"/>
              </w:rPr>
            </w:pPr>
            <w:r w:rsidRPr="005B2032">
              <w:rPr>
                <w:bCs/>
                <w:sz w:val="20"/>
                <w:szCs w:val="20"/>
              </w:rPr>
              <w:t>Храни</w:t>
            </w:r>
          </w:p>
        </w:tc>
        <w:tc>
          <w:tcPr>
            <w:tcW w:w="1134" w:type="dxa"/>
            <w:noWrap/>
            <w:vAlign w:val="center"/>
          </w:tcPr>
          <w:p w14:paraId="24C31DEB" w14:textId="77777777" w:rsidR="00721117" w:rsidRPr="00E66B02" w:rsidRDefault="00721117" w:rsidP="00777E7B">
            <w:pPr>
              <w:spacing w:after="0"/>
              <w:jc w:val="center"/>
              <w:rPr>
                <w:bCs/>
                <w:sz w:val="20"/>
                <w:szCs w:val="20"/>
              </w:rPr>
            </w:pPr>
            <w:r w:rsidRPr="00E66B02">
              <w:rPr>
                <w:bCs/>
                <w:sz w:val="20"/>
                <w:szCs w:val="20"/>
              </w:rPr>
              <w:t>16.2</w:t>
            </w:r>
          </w:p>
        </w:tc>
        <w:tc>
          <w:tcPr>
            <w:tcW w:w="993" w:type="dxa"/>
            <w:noWrap/>
            <w:vAlign w:val="center"/>
          </w:tcPr>
          <w:p w14:paraId="6C5F817B" w14:textId="77777777" w:rsidR="00721117" w:rsidRPr="00E66B02" w:rsidRDefault="00721117" w:rsidP="00777E7B">
            <w:pPr>
              <w:spacing w:after="0"/>
              <w:jc w:val="center"/>
              <w:rPr>
                <w:bCs/>
                <w:sz w:val="20"/>
                <w:szCs w:val="20"/>
              </w:rPr>
            </w:pPr>
            <w:r w:rsidRPr="00E66B02">
              <w:rPr>
                <w:bCs/>
                <w:sz w:val="20"/>
                <w:szCs w:val="20"/>
              </w:rPr>
              <w:t>-6.9</w:t>
            </w:r>
          </w:p>
        </w:tc>
        <w:tc>
          <w:tcPr>
            <w:tcW w:w="1064" w:type="dxa"/>
            <w:vAlign w:val="center"/>
          </w:tcPr>
          <w:p w14:paraId="26F745F8" w14:textId="77777777" w:rsidR="00721117" w:rsidRPr="00E66B02" w:rsidRDefault="00721117" w:rsidP="00777E7B">
            <w:pPr>
              <w:spacing w:after="0"/>
              <w:jc w:val="center"/>
              <w:rPr>
                <w:bCs/>
                <w:sz w:val="20"/>
                <w:szCs w:val="20"/>
              </w:rPr>
            </w:pPr>
            <w:r w:rsidRPr="00E66B02">
              <w:rPr>
                <w:bCs/>
                <w:sz w:val="20"/>
                <w:szCs w:val="20"/>
              </w:rPr>
              <w:t>-5.2</w:t>
            </w:r>
          </w:p>
        </w:tc>
        <w:tc>
          <w:tcPr>
            <w:tcW w:w="1064" w:type="dxa"/>
            <w:vAlign w:val="center"/>
          </w:tcPr>
          <w:p w14:paraId="7743FF5A" w14:textId="77777777" w:rsidR="00721117" w:rsidRPr="00E66B02" w:rsidRDefault="00721117" w:rsidP="00777E7B">
            <w:pPr>
              <w:spacing w:after="0"/>
              <w:jc w:val="center"/>
              <w:rPr>
                <w:bCs/>
                <w:sz w:val="20"/>
                <w:szCs w:val="20"/>
              </w:rPr>
            </w:pPr>
            <w:r w:rsidRPr="00E66B02">
              <w:rPr>
                <w:bCs/>
                <w:sz w:val="20"/>
                <w:szCs w:val="20"/>
              </w:rPr>
              <w:t>-3.1</w:t>
            </w:r>
          </w:p>
        </w:tc>
        <w:tc>
          <w:tcPr>
            <w:tcW w:w="1064" w:type="dxa"/>
            <w:vAlign w:val="center"/>
          </w:tcPr>
          <w:p w14:paraId="06A80BBF" w14:textId="77777777" w:rsidR="00721117" w:rsidRPr="00E66B02" w:rsidRDefault="00721117" w:rsidP="00777E7B">
            <w:pPr>
              <w:spacing w:after="0"/>
              <w:jc w:val="center"/>
              <w:rPr>
                <w:bCs/>
                <w:sz w:val="20"/>
                <w:szCs w:val="20"/>
              </w:rPr>
            </w:pPr>
            <w:r w:rsidRPr="00E66B02">
              <w:rPr>
                <w:bCs/>
                <w:sz w:val="20"/>
                <w:szCs w:val="20"/>
              </w:rPr>
              <w:t>-1.6</w:t>
            </w:r>
          </w:p>
        </w:tc>
      </w:tr>
      <w:tr w:rsidR="00721117" w:rsidRPr="005B2032" w14:paraId="76F54C1D" w14:textId="77777777" w:rsidTr="00777E7B">
        <w:trPr>
          <w:trHeight w:val="397"/>
          <w:jc w:val="center"/>
        </w:trPr>
        <w:tc>
          <w:tcPr>
            <w:tcW w:w="3685" w:type="dxa"/>
            <w:vAlign w:val="center"/>
            <w:hideMark/>
          </w:tcPr>
          <w:p w14:paraId="1A04E19E" w14:textId="77777777" w:rsidR="00721117" w:rsidRPr="005B2032" w:rsidRDefault="00721117" w:rsidP="00777E7B">
            <w:pPr>
              <w:spacing w:before="40" w:after="40"/>
              <w:ind w:firstLine="505"/>
              <w:jc w:val="left"/>
              <w:rPr>
                <w:bCs/>
                <w:sz w:val="20"/>
                <w:szCs w:val="20"/>
              </w:rPr>
            </w:pPr>
            <w:r w:rsidRPr="005B2032">
              <w:rPr>
                <w:bCs/>
                <w:sz w:val="20"/>
                <w:szCs w:val="20"/>
              </w:rPr>
              <w:t>Напитки</w:t>
            </w:r>
          </w:p>
        </w:tc>
        <w:tc>
          <w:tcPr>
            <w:tcW w:w="1134" w:type="dxa"/>
            <w:noWrap/>
            <w:vAlign w:val="center"/>
          </w:tcPr>
          <w:p w14:paraId="4850187B" w14:textId="77777777" w:rsidR="00721117" w:rsidRPr="00E66B02" w:rsidRDefault="00721117" w:rsidP="00777E7B">
            <w:pPr>
              <w:spacing w:after="0"/>
              <w:jc w:val="center"/>
              <w:rPr>
                <w:bCs/>
                <w:sz w:val="20"/>
                <w:szCs w:val="20"/>
              </w:rPr>
            </w:pPr>
            <w:r w:rsidRPr="00E66B02">
              <w:rPr>
                <w:bCs/>
                <w:sz w:val="20"/>
                <w:szCs w:val="20"/>
              </w:rPr>
              <w:t>7.3</w:t>
            </w:r>
          </w:p>
        </w:tc>
        <w:tc>
          <w:tcPr>
            <w:tcW w:w="993" w:type="dxa"/>
            <w:noWrap/>
            <w:vAlign w:val="center"/>
          </w:tcPr>
          <w:p w14:paraId="43C7F55C" w14:textId="77777777" w:rsidR="00721117" w:rsidRPr="00E66B02" w:rsidRDefault="00721117" w:rsidP="00777E7B">
            <w:pPr>
              <w:spacing w:after="0"/>
              <w:jc w:val="center"/>
              <w:rPr>
                <w:bCs/>
                <w:sz w:val="20"/>
                <w:szCs w:val="20"/>
              </w:rPr>
            </w:pPr>
            <w:r w:rsidRPr="00E66B02">
              <w:rPr>
                <w:bCs/>
                <w:sz w:val="20"/>
                <w:szCs w:val="20"/>
              </w:rPr>
              <w:t>5.1</w:t>
            </w:r>
          </w:p>
        </w:tc>
        <w:tc>
          <w:tcPr>
            <w:tcW w:w="1064" w:type="dxa"/>
            <w:vAlign w:val="center"/>
          </w:tcPr>
          <w:p w14:paraId="691C999E" w14:textId="77777777" w:rsidR="00721117" w:rsidRPr="00E66B02" w:rsidRDefault="00721117" w:rsidP="00777E7B">
            <w:pPr>
              <w:spacing w:after="0"/>
              <w:jc w:val="center"/>
              <w:rPr>
                <w:bCs/>
                <w:sz w:val="20"/>
                <w:szCs w:val="20"/>
              </w:rPr>
            </w:pPr>
            <w:r w:rsidRPr="00E66B02">
              <w:rPr>
                <w:bCs/>
                <w:sz w:val="20"/>
                <w:szCs w:val="20"/>
              </w:rPr>
              <w:t>-2.4</w:t>
            </w:r>
          </w:p>
        </w:tc>
        <w:tc>
          <w:tcPr>
            <w:tcW w:w="1064" w:type="dxa"/>
            <w:vAlign w:val="center"/>
          </w:tcPr>
          <w:p w14:paraId="093E4261" w14:textId="77777777" w:rsidR="00721117" w:rsidRPr="00E66B02" w:rsidRDefault="00721117" w:rsidP="00777E7B">
            <w:pPr>
              <w:spacing w:after="0"/>
              <w:jc w:val="center"/>
              <w:rPr>
                <w:bCs/>
                <w:sz w:val="20"/>
                <w:szCs w:val="20"/>
              </w:rPr>
            </w:pPr>
            <w:r w:rsidRPr="00E66B02">
              <w:rPr>
                <w:bCs/>
                <w:sz w:val="20"/>
                <w:szCs w:val="20"/>
              </w:rPr>
              <w:t>-0.5</w:t>
            </w:r>
          </w:p>
        </w:tc>
        <w:tc>
          <w:tcPr>
            <w:tcW w:w="1064" w:type="dxa"/>
            <w:vAlign w:val="center"/>
          </w:tcPr>
          <w:p w14:paraId="34854002" w14:textId="77777777" w:rsidR="00721117" w:rsidRPr="00E66B02" w:rsidRDefault="00721117" w:rsidP="00777E7B">
            <w:pPr>
              <w:spacing w:after="0"/>
              <w:jc w:val="center"/>
              <w:rPr>
                <w:bCs/>
                <w:sz w:val="20"/>
                <w:szCs w:val="20"/>
              </w:rPr>
            </w:pPr>
            <w:r w:rsidRPr="00E66B02">
              <w:rPr>
                <w:bCs/>
                <w:sz w:val="20"/>
                <w:szCs w:val="20"/>
              </w:rPr>
              <w:t>-0.5</w:t>
            </w:r>
          </w:p>
        </w:tc>
      </w:tr>
      <w:tr w:rsidR="00721117" w:rsidRPr="005B2032" w14:paraId="2006E72B" w14:textId="77777777" w:rsidTr="00777E7B">
        <w:trPr>
          <w:trHeight w:val="397"/>
          <w:jc w:val="center"/>
        </w:trPr>
        <w:tc>
          <w:tcPr>
            <w:tcW w:w="3685" w:type="dxa"/>
            <w:vAlign w:val="center"/>
            <w:hideMark/>
          </w:tcPr>
          <w:p w14:paraId="3B75E800" w14:textId="77777777" w:rsidR="00721117" w:rsidRPr="005B2032" w:rsidRDefault="00721117" w:rsidP="00777E7B">
            <w:pPr>
              <w:spacing w:before="40" w:after="40"/>
              <w:ind w:firstLine="505"/>
              <w:jc w:val="left"/>
              <w:rPr>
                <w:bCs/>
                <w:sz w:val="20"/>
                <w:szCs w:val="20"/>
              </w:rPr>
            </w:pPr>
            <w:r w:rsidRPr="005B2032">
              <w:rPr>
                <w:bCs/>
                <w:sz w:val="20"/>
                <w:szCs w:val="20"/>
              </w:rPr>
              <w:t>Селскостопански суровини</w:t>
            </w:r>
          </w:p>
        </w:tc>
        <w:tc>
          <w:tcPr>
            <w:tcW w:w="1134" w:type="dxa"/>
            <w:noWrap/>
            <w:vAlign w:val="center"/>
          </w:tcPr>
          <w:p w14:paraId="35521E65" w14:textId="77777777" w:rsidR="00721117" w:rsidRPr="00E66B02" w:rsidRDefault="00721117" w:rsidP="00777E7B">
            <w:pPr>
              <w:spacing w:after="0"/>
              <w:jc w:val="center"/>
              <w:rPr>
                <w:bCs/>
                <w:sz w:val="20"/>
                <w:szCs w:val="20"/>
              </w:rPr>
            </w:pPr>
            <w:r w:rsidRPr="00E66B02">
              <w:rPr>
                <w:bCs/>
                <w:sz w:val="20"/>
                <w:szCs w:val="20"/>
              </w:rPr>
              <w:t>5.0</w:t>
            </w:r>
          </w:p>
        </w:tc>
        <w:tc>
          <w:tcPr>
            <w:tcW w:w="993" w:type="dxa"/>
            <w:noWrap/>
            <w:vAlign w:val="center"/>
          </w:tcPr>
          <w:p w14:paraId="2A64CCBA" w14:textId="77777777" w:rsidR="00721117" w:rsidRPr="00E66B02" w:rsidRDefault="00721117" w:rsidP="00777E7B">
            <w:pPr>
              <w:spacing w:after="0"/>
              <w:jc w:val="center"/>
              <w:rPr>
                <w:bCs/>
                <w:sz w:val="20"/>
                <w:szCs w:val="20"/>
              </w:rPr>
            </w:pPr>
            <w:r w:rsidRPr="00E66B02">
              <w:rPr>
                <w:bCs/>
                <w:sz w:val="20"/>
                <w:szCs w:val="20"/>
              </w:rPr>
              <w:t>-35.0</w:t>
            </w:r>
          </w:p>
        </w:tc>
        <w:tc>
          <w:tcPr>
            <w:tcW w:w="1064" w:type="dxa"/>
            <w:vAlign w:val="center"/>
          </w:tcPr>
          <w:p w14:paraId="780ED2B5" w14:textId="77777777" w:rsidR="00721117" w:rsidRPr="00E66B02" w:rsidRDefault="00721117" w:rsidP="00777E7B">
            <w:pPr>
              <w:spacing w:after="0"/>
              <w:jc w:val="center"/>
              <w:rPr>
                <w:bCs/>
                <w:sz w:val="20"/>
                <w:szCs w:val="20"/>
              </w:rPr>
            </w:pPr>
            <w:r w:rsidRPr="00E66B02">
              <w:rPr>
                <w:bCs/>
                <w:sz w:val="20"/>
                <w:szCs w:val="20"/>
              </w:rPr>
              <w:t>1.4</w:t>
            </w:r>
          </w:p>
        </w:tc>
        <w:tc>
          <w:tcPr>
            <w:tcW w:w="1064" w:type="dxa"/>
            <w:vAlign w:val="center"/>
          </w:tcPr>
          <w:p w14:paraId="6BB67378" w14:textId="77777777" w:rsidR="00721117" w:rsidRPr="00E66B02" w:rsidRDefault="00721117" w:rsidP="00777E7B">
            <w:pPr>
              <w:spacing w:after="0"/>
              <w:jc w:val="center"/>
              <w:rPr>
                <w:bCs/>
                <w:sz w:val="20"/>
                <w:szCs w:val="20"/>
              </w:rPr>
            </w:pPr>
            <w:r w:rsidRPr="00E66B02">
              <w:rPr>
                <w:bCs/>
                <w:sz w:val="20"/>
                <w:szCs w:val="20"/>
              </w:rPr>
              <w:t>-0.4</w:t>
            </w:r>
          </w:p>
        </w:tc>
        <w:tc>
          <w:tcPr>
            <w:tcW w:w="1064" w:type="dxa"/>
            <w:vAlign w:val="center"/>
          </w:tcPr>
          <w:p w14:paraId="5178BD67" w14:textId="77777777" w:rsidR="00721117" w:rsidRPr="00E66B02" w:rsidRDefault="00721117" w:rsidP="00777E7B">
            <w:pPr>
              <w:spacing w:after="0"/>
              <w:jc w:val="center"/>
              <w:rPr>
                <w:bCs/>
                <w:sz w:val="20"/>
                <w:szCs w:val="20"/>
              </w:rPr>
            </w:pPr>
            <w:r w:rsidRPr="00E66B02">
              <w:rPr>
                <w:bCs/>
                <w:sz w:val="20"/>
                <w:szCs w:val="20"/>
              </w:rPr>
              <w:t>-0.4</w:t>
            </w:r>
          </w:p>
        </w:tc>
      </w:tr>
      <w:tr w:rsidR="00721117" w:rsidRPr="005B2032" w14:paraId="6D347233" w14:textId="77777777" w:rsidTr="00777E7B">
        <w:trPr>
          <w:trHeight w:val="397"/>
          <w:jc w:val="center"/>
        </w:trPr>
        <w:tc>
          <w:tcPr>
            <w:tcW w:w="3685" w:type="dxa"/>
            <w:vAlign w:val="center"/>
            <w:hideMark/>
          </w:tcPr>
          <w:p w14:paraId="43DF32CA" w14:textId="77777777" w:rsidR="00721117" w:rsidRPr="005B2032" w:rsidRDefault="00721117" w:rsidP="00777E7B">
            <w:pPr>
              <w:spacing w:before="40" w:after="40"/>
              <w:ind w:firstLine="505"/>
              <w:jc w:val="left"/>
              <w:rPr>
                <w:bCs/>
                <w:sz w:val="20"/>
                <w:szCs w:val="20"/>
              </w:rPr>
            </w:pPr>
            <w:r w:rsidRPr="005B2032">
              <w:rPr>
                <w:bCs/>
                <w:sz w:val="20"/>
                <w:szCs w:val="20"/>
              </w:rPr>
              <w:t>Метали</w:t>
            </w:r>
          </w:p>
        </w:tc>
        <w:tc>
          <w:tcPr>
            <w:tcW w:w="1134" w:type="dxa"/>
            <w:noWrap/>
            <w:vAlign w:val="center"/>
          </w:tcPr>
          <w:p w14:paraId="64AC44E0" w14:textId="77777777" w:rsidR="00721117" w:rsidRPr="00E66B02" w:rsidRDefault="00721117" w:rsidP="00777E7B">
            <w:pPr>
              <w:spacing w:after="0"/>
              <w:jc w:val="center"/>
              <w:rPr>
                <w:bCs/>
                <w:sz w:val="20"/>
                <w:szCs w:val="20"/>
              </w:rPr>
            </w:pPr>
            <w:r w:rsidRPr="00E66B02">
              <w:rPr>
                <w:bCs/>
                <w:sz w:val="20"/>
                <w:szCs w:val="20"/>
              </w:rPr>
              <w:t>-0.4</w:t>
            </w:r>
          </w:p>
        </w:tc>
        <w:tc>
          <w:tcPr>
            <w:tcW w:w="993" w:type="dxa"/>
            <w:noWrap/>
            <w:vAlign w:val="center"/>
          </w:tcPr>
          <w:p w14:paraId="3FDB28E1" w14:textId="77777777" w:rsidR="00721117" w:rsidRPr="00E66B02" w:rsidRDefault="00721117" w:rsidP="00777E7B">
            <w:pPr>
              <w:spacing w:after="0"/>
              <w:jc w:val="center"/>
              <w:rPr>
                <w:bCs/>
                <w:sz w:val="20"/>
                <w:szCs w:val="20"/>
              </w:rPr>
            </w:pPr>
            <w:r w:rsidRPr="00E66B02">
              <w:rPr>
                <w:bCs/>
                <w:sz w:val="20"/>
                <w:szCs w:val="20"/>
              </w:rPr>
              <w:t>-5.0</w:t>
            </w:r>
          </w:p>
        </w:tc>
        <w:tc>
          <w:tcPr>
            <w:tcW w:w="1064" w:type="dxa"/>
            <w:vAlign w:val="center"/>
          </w:tcPr>
          <w:p w14:paraId="55BC21F8" w14:textId="77777777" w:rsidR="00721117" w:rsidRPr="00E66B02" w:rsidRDefault="00721117" w:rsidP="00777E7B">
            <w:pPr>
              <w:spacing w:after="0"/>
              <w:jc w:val="center"/>
              <w:rPr>
                <w:bCs/>
                <w:sz w:val="20"/>
                <w:szCs w:val="20"/>
              </w:rPr>
            </w:pPr>
            <w:r w:rsidRPr="00E66B02">
              <w:rPr>
                <w:bCs/>
                <w:sz w:val="20"/>
                <w:szCs w:val="20"/>
              </w:rPr>
              <w:t>-0.3</w:t>
            </w:r>
          </w:p>
        </w:tc>
        <w:tc>
          <w:tcPr>
            <w:tcW w:w="1064" w:type="dxa"/>
            <w:vAlign w:val="center"/>
          </w:tcPr>
          <w:p w14:paraId="2D7005F4" w14:textId="77777777" w:rsidR="00721117" w:rsidRPr="00E66B02" w:rsidRDefault="00721117" w:rsidP="00777E7B">
            <w:pPr>
              <w:spacing w:after="0"/>
              <w:jc w:val="center"/>
              <w:rPr>
                <w:bCs/>
                <w:sz w:val="20"/>
                <w:szCs w:val="20"/>
              </w:rPr>
            </w:pPr>
            <w:r w:rsidRPr="00E66B02">
              <w:rPr>
                <w:bCs/>
                <w:sz w:val="20"/>
                <w:szCs w:val="20"/>
              </w:rPr>
              <w:t>0.3</w:t>
            </w:r>
          </w:p>
        </w:tc>
        <w:tc>
          <w:tcPr>
            <w:tcW w:w="1064" w:type="dxa"/>
            <w:vAlign w:val="center"/>
          </w:tcPr>
          <w:p w14:paraId="3DA139D5" w14:textId="77777777" w:rsidR="00721117" w:rsidRPr="00E66B02" w:rsidRDefault="00721117" w:rsidP="00777E7B">
            <w:pPr>
              <w:spacing w:after="0"/>
              <w:jc w:val="center"/>
              <w:rPr>
                <w:bCs/>
                <w:sz w:val="20"/>
                <w:szCs w:val="20"/>
              </w:rPr>
            </w:pPr>
            <w:r w:rsidRPr="00E66B02">
              <w:rPr>
                <w:bCs/>
                <w:sz w:val="20"/>
                <w:szCs w:val="20"/>
              </w:rPr>
              <w:t>1.0</w:t>
            </w:r>
          </w:p>
        </w:tc>
      </w:tr>
      <w:tr w:rsidR="00721117" w:rsidRPr="000B325E" w14:paraId="3C3F7491" w14:textId="77777777" w:rsidTr="00777E7B">
        <w:trPr>
          <w:trHeight w:val="397"/>
          <w:jc w:val="center"/>
        </w:trPr>
        <w:tc>
          <w:tcPr>
            <w:tcW w:w="3685" w:type="dxa"/>
            <w:vAlign w:val="center"/>
            <w:hideMark/>
          </w:tcPr>
          <w:p w14:paraId="100DF5DB" w14:textId="77777777" w:rsidR="00721117" w:rsidRPr="005B2032" w:rsidRDefault="00721117" w:rsidP="00777E7B">
            <w:pPr>
              <w:spacing w:before="40" w:after="40"/>
              <w:jc w:val="left"/>
              <w:rPr>
                <w:bCs/>
                <w:sz w:val="20"/>
                <w:szCs w:val="20"/>
              </w:rPr>
            </w:pPr>
            <w:r w:rsidRPr="005B2032">
              <w:rPr>
                <w:rFonts w:eastAsia="Times New Roman"/>
                <w:sz w:val="20"/>
                <w:szCs w:val="20"/>
              </w:rPr>
              <w:t>EURIBOR 3м.</w:t>
            </w:r>
          </w:p>
        </w:tc>
        <w:tc>
          <w:tcPr>
            <w:tcW w:w="1134" w:type="dxa"/>
            <w:noWrap/>
            <w:vAlign w:val="center"/>
          </w:tcPr>
          <w:p w14:paraId="029D989F" w14:textId="77777777" w:rsidR="00721117" w:rsidRPr="000B325E" w:rsidRDefault="00721117" w:rsidP="00777E7B">
            <w:pPr>
              <w:spacing w:after="0"/>
              <w:jc w:val="center"/>
              <w:rPr>
                <w:bCs/>
                <w:sz w:val="20"/>
                <w:szCs w:val="20"/>
              </w:rPr>
            </w:pPr>
            <w:r w:rsidRPr="000B325E">
              <w:rPr>
                <w:bCs/>
                <w:sz w:val="20"/>
                <w:szCs w:val="20"/>
              </w:rPr>
              <w:t>0.3</w:t>
            </w:r>
          </w:p>
        </w:tc>
        <w:tc>
          <w:tcPr>
            <w:tcW w:w="993" w:type="dxa"/>
            <w:noWrap/>
            <w:vAlign w:val="center"/>
          </w:tcPr>
          <w:p w14:paraId="72F4B8DE" w14:textId="77777777" w:rsidR="00721117" w:rsidRPr="000B325E" w:rsidRDefault="00721117" w:rsidP="00777E7B">
            <w:pPr>
              <w:spacing w:after="0"/>
              <w:jc w:val="center"/>
              <w:rPr>
                <w:bCs/>
                <w:sz w:val="20"/>
                <w:szCs w:val="20"/>
              </w:rPr>
            </w:pPr>
            <w:r w:rsidRPr="000B325E">
              <w:rPr>
                <w:bCs/>
                <w:sz w:val="20"/>
                <w:szCs w:val="20"/>
              </w:rPr>
              <w:t>3.3</w:t>
            </w:r>
          </w:p>
        </w:tc>
        <w:tc>
          <w:tcPr>
            <w:tcW w:w="1064" w:type="dxa"/>
            <w:vAlign w:val="center"/>
          </w:tcPr>
          <w:p w14:paraId="316503D4" w14:textId="77777777" w:rsidR="00721117" w:rsidRPr="000B325E" w:rsidRDefault="00721117" w:rsidP="00777E7B">
            <w:pPr>
              <w:spacing w:after="0"/>
              <w:jc w:val="center"/>
              <w:rPr>
                <w:bCs/>
                <w:sz w:val="20"/>
                <w:szCs w:val="20"/>
              </w:rPr>
            </w:pPr>
            <w:r w:rsidRPr="000B325E">
              <w:rPr>
                <w:bCs/>
                <w:sz w:val="20"/>
                <w:szCs w:val="20"/>
              </w:rPr>
              <w:t>3.3</w:t>
            </w:r>
          </w:p>
        </w:tc>
        <w:tc>
          <w:tcPr>
            <w:tcW w:w="1064" w:type="dxa"/>
            <w:vAlign w:val="center"/>
          </w:tcPr>
          <w:p w14:paraId="0B50AB12" w14:textId="77777777" w:rsidR="00721117" w:rsidRPr="000B325E" w:rsidRDefault="00721117" w:rsidP="00777E7B">
            <w:pPr>
              <w:spacing w:after="0"/>
              <w:jc w:val="center"/>
              <w:rPr>
                <w:bCs/>
                <w:sz w:val="20"/>
                <w:szCs w:val="20"/>
              </w:rPr>
            </w:pPr>
            <w:r w:rsidRPr="000B325E">
              <w:rPr>
                <w:bCs/>
                <w:sz w:val="20"/>
                <w:szCs w:val="20"/>
              </w:rPr>
              <w:t>2.8</w:t>
            </w:r>
          </w:p>
        </w:tc>
        <w:tc>
          <w:tcPr>
            <w:tcW w:w="1064" w:type="dxa"/>
            <w:vAlign w:val="center"/>
          </w:tcPr>
          <w:p w14:paraId="30BF76DB" w14:textId="77777777" w:rsidR="00721117" w:rsidRPr="000B325E" w:rsidRDefault="00721117" w:rsidP="00777E7B">
            <w:pPr>
              <w:spacing w:after="0"/>
              <w:jc w:val="center"/>
              <w:rPr>
                <w:bCs/>
                <w:sz w:val="20"/>
                <w:szCs w:val="20"/>
              </w:rPr>
            </w:pPr>
            <w:r w:rsidRPr="000B325E">
              <w:rPr>
                <w:bCs/>
                <w:sz w:val="20"/>
                <w:szCs w:val="20"/>
              </w:rPr>
              <w:t>2.3</w:t>
            </w:r>
          </w:p>
        </w:tc>
      </w:tr>
    </w:tbl>
    <w:p w14:paraId="6967C3AD" w14:textId="575B6D5B" w:rsidR="00721117" w:rsidRDefault="00721117" w:rsidP="00721117">
      <w:pPr>
        <w:pStyle w:val="a"/>
      </w:pPr>
      <w:r w:rsidRPr="005B2032">
        <w:t>Източник: СБ, Евростат,</w:t>
      </w:r>
      <w:r>
        <w:t xml:space="preserve"> ЕЦБ,</w:t>
      </w:r>
      <w:r w:rsidRPr="005B2032">
        <w:t xml:space="preserve"> </w:t>
      </w:r>
      <w:r>
        <w:t xml:space="preserve">МВФ, </w:t>
      </w:r>
      <w:r w:rsidRPr="005B2032">
        <w:t>Bloomberg, собствени изчисления</w:t>
      </w:r>
    </w:p>
    <w:p w14:paraId="61C551E9" w14:textId="77777777" w:rsidR="00637F00" w:rsidRPr="000B6379" w:rsidRDefault="00637F00" w:rsidP="00637F00">
      <w:r w:rsidRPr="000B6379">
        <w:lastRenderedPageBreak/>
        <w:t xml:space="preserve">Очакванията за икономическата </w:t>
      </w:r>
      <w:r>
        <w:t>активност</w:t>
      </w:r>
      <w:r w:rsidRPr="000B6379">
        <w:t xml:space="preserve"> се подобриха през последните месеци, въпреки </w:t>
      </w:r>
      <w:r>
        <w:t>запазващата се висока инфлация</w:t>
      </w:r>
      <w:r w:rsidRPr="000B6379">
        <w:t xml:space="preserve">. </w:t>
      </w:r>
      <w:r w:rsidRPr="004A2A5E">
        <w:t xml:space="preserve">Представената макроикономическа прогноза е основана на допускането, че </w:t>
      </w:r>
      <w:r>
        <w:t>международната среда ще остане нестабилна</w:t>
      </w:r>
      <w:r w:rsidRPr="004A2A5E">
        <w:t xml:space="preserve"> през </w:t>
      </w:r>
      <w:r>
        <w:t>прогнозния период. И</w:t>
      </w:r>
      <w:r w:rsidRPr="008D0D7A">
        <w:t xml:space="preserve">кономиката </w:t>
      </w:r>
      <w:r>
        <w:t>на</w:t>
      </w:r>
      <w:r w:rsidRPr="008D0D7A">
        <w:t xml:space="preserve"> ЕС ще </w:t>
      </w:r>
      <w:r>
        <w:t xml:space="preserve">се запази </w:t>
      </w:r>
      <w:r w:rsidRPr="008D0D7A">
        <w:t xml:space="preserve">относително устойчива на </w:t>
      </w:r>
      <w:r w:rsidRPr="00E66B02">
        <w:t xml:space="preserve">предизвикателствата </w:t>
      </w:r>
      <w:r w:rsidRPr="008D0D7A">
        <w:t xml:space="preserve">в енергийния сектор. Потенциални нарушения в международната търговия и/или недостиг на </w:t>
      </w:r>
      <w:r>
        <w:t>основни</w:t>
      </w:r>
      <w:r w:rsidRPr="008D0D7A">
        <w:t xml:space="preserve"> суровини няма да доведат до съществено блокиране на дейността на икономически сектори. През 2023</w:t>
      </w:r>
      <w:r>
        <w:t> г.</w:t>
      </w:r>
      <w:r w:rsidRPr="008D0D7A">
        <w:t xml:space="preserve"> се очаква все още високата инфлация и покачването на лихвените проценти значително да ограничи </w:t>
      </w:r>
      <w:r>
        <w:t xml:space="preserve">потреблението и инвестиционната активност </w:t>
      </w:r>
      <w:r w:rsidRPr="008D0D7A">
        <w:t xml:space="preserve">в ЕС и други </w:t>
      </w:r>
      <w:r w:rsidRPr="000B6379">
        <w:t>развити икономики</w:t>
      </w:r>
      <w:r>
        <w:t>, като темповете на растеж на БВП ще се забавят до 0.7% в ЕС и 2.8% в света.</w:t>
      </w:r>
      <w:r w:rsidRPr="000B6379">
        <w:t xml:space="preserve"> </w:t>
      </w:r>
      <w:r w:rsidRPr="00537CCD">
        <w:t>През 2024</w:t>
      </w:r>
      <w:r>
        <w:t> г.</w:t>
      </w:r>
      <w:r w:rsidRPr="00537CCD">
        <w:t xml:space="preserve"> </w:t>
      </w:r>
      <w:r>
        <w:t>икономическата активност</w:t>
      </w:r>
      <w:r w:rsidRPr="00537CCD">
        <w:t xml:space="preserve"> леко ще се ускор</w:t>
      </w:r>
      <w:r>
        <w:t>и</w:t>
      </w:r>
      <w:r w:rsidRPr="00537CCD">
        <w:t>, отразявайки очакванията за стабилизиране на средата.</w:t>
      </w:r>
      <w:r w:rsidRPr="0000533C">
        <w:t xml:space="preserve"> </w:t>
      </w:r>
      <w:r>
        <w:t xml:space="preserve">Забавянето </w:t>
      </w:r>
      <w:r w:rsidRPr="000B6379">
        <w:t xml:space="preserve">на инфлацията ще даде възможност на централните банки постепенно да отпуснат паричната си политика, ще подкрепи растежа на потреблението и съответно </w:t>
      </w:r>
      <w:r>
        <w:t xml:space="preserve">се очаква допълнително </w:t>
      </w:r>
      <w:r w:rsidRPr="000B6379">
        <w:t>ускорение на БВП</w:t>
      </w:r>
      <w:r>
        <w:t xml:space="preserve"> през 2025 г. В края на прогнозния период темпът на растеж в ЕС ще е малко над дългосрочния среден, и ще клони към дългосрочния</w:t>
      </w:r>
      <w:r w:rsidRPr="000B6379">
        <w:t xml:space="preserve"> за света. </w:t>
      </w:r>
    </w:p>
    <w:p w14:paraId="059DA7ED" w14:textId="77777777" w:rsidR="00E07694" w:rsidRPr="004018C2" w:rsidRDefault="0004617A" w:rsidP="00EE53B2">
      <w:pPr>
        <w:pStyle w:val="Heading2"/>
      </w:pPr>
      <w:bookmarkStart w:id="49" w:name="_Toc133597266"/>
      <w:r w:rsidRPr="004018C2">
        <w:t>Икономически перспективи и циклично развитие</w:t>
      </w:r>
      <w:bookmarkEnd w:id="47"/>
      <w:bookmarkEnd w:id="48"/>
      <w:bookmarkEnd w:id="49"/>
    </w:p>
    <w:p w14:paraId="0C3FD6BD" w14:textId="77777777" w:rsidR="00013BCD" w:rsidRPr="00B552D5" w:rsidRDefault="00013BCD" w:rsidP="00B552D5">
      <w:pPr>
        <w:pStyle w:val="Heading3"/>
      </w:pPr>
      <w:r w:rsidRPr="00B552D5">
        <w:t>Икономически растеж</w:t>
      </w:r>
    </w:p>
    <w:p w14:paraId="26BFA8A2" w14:textId="2146FA66" w:rsidR="00721117" w:rsidRPr="00543E0A" w:rsidRDefault="00721117" w:rsidP="00721117">
      <w:r w:rsidRPr="00543E0A">
        <w:t>През 20</w:t>
      </w:r>
      <w:r w:rsidRPr="00543E0A">
        <w:rPr>
          <w:lang w:val="en-US"/>
        </w:rPr>
        <w:t>22</w:t>
      </w:r>
      <w:r w:rsidR="00B552D5">
        <w:t> г.</w:t>
      </w:r>
      <w:r w:rsidRPr="00543E0A">
        <w:t xml:space="preserve"> брутният вътрешен продукт на България нарасна с 3.</w:t>
      </w:r>
      <w:r w:rsidRPr="00543E0A">
        <w:rPr>
          <w:lang w:val="en-US"/>
        </w:rPr>
        <w:t>4</w:t>
      </w:r>
      <w:r w:rsidRPr="00543E0A">
        <w:t>% в реално изражение. С положителен принос за растежа бе вътрешното търсене (</w:t>
      </w:r>
      <w:r w:rsidRPr="00543E0A">
        <w:rPr>
          <w:lang w:val="en-US"/>
        </w:rPr>
        <w:t>4.6</w:t>
      </w:r>
      <w:r w:rsidRPr="00543E0A">
        <w:t xml:space="preserve"> пр.п.), докато приносът на нетния износ бе отрицателен (-1.</w:t>
      </w:r>
      <w:r w:rsidRPr="00543E0A">
        <w:rPr>
          <w:lang w:val="en-US"/>
        </w:rPr>
        <w:t>2</w:t>
      </w:r>
      <w:r w:rsidRPr="00543E0A">
        <w:t xml:space="preserve"> пр.п.). По-ниският растеж на икономиката спрямо регистрирания през 20</w:t>
      </w:r>
      <w:r w:rsidRPr="00543E0A">
        <w:rPr>
          <w:lang w:val="en-US"/>
        </w:rPr>
        <w:t>21</w:t>
      </w:r>
      <w:r w:rsidR="00B552D5">
        <w:t> г.</w:t>
      </w:r>
      <w:r w:rsidRPr="00543E0A">
        <w:t xml:space="preserve"> от </w:t>
      </w:r>
      <w:r w:rsidRPr="00543E0A">
        <w:rPr>
          <w:lang w:val="en-US"/>
        </w:rPr>
        <w:t>7.6</w:t>
      </w:r>
      <w:r w:rsidRPr="00543E0A">
        <w:t>% се дължеше на забавяне в растежа на всички компоненти.</w:t>
      </w:r>
    </w:p>
    <w:p w14:paraId="21B52446" w14:textId="2C24E4DE" w:rsidR="00721117" w:rsidRPr="009A6C04" w:rsidRDefault="00721117" w:rsidP="00721117">
      <w:r w:rsidRPr="008208F4">
        <w:t xml:space="preserve">Частното потребление се повиши с 4.8%. Растежът му бе подкрепен от нарастването на реалния разполагаем доход на домакинствата, на заетостта и на </w:t>
      </w:r>
      <w:r>
        <w:t>потребителските кредити</w:t>
      </w:r>
      <w:r w:rsidRPr="008208F4">
        <w:t>.</w:t>
      </w:r>
      <w:r>
        <w:t xml:space="preserve"> Номиналното нарастване на разполагаемия доход компенсира повишението на инфлацията, но все пак увеличението на реалните доходи бе по-слабо спрямо 2021</w:t>
      </w:r>
      <w:r w:rsidR="00B552D5">
        <w:t> г.</w:t>
      </w:r>
      <w:r>
        <w:t xml:space="preserve"> и това допринесе за забавяне в растежа на потреблението на домакинствата. Правителственото потребление отчете растеж от 6</w:t>
      </w:r>
      <w:r w:rsidRPr="009A6C04">
        <w:t xml:space="preserve">.5%. В същото време инвестициите в основен капитал намаляха с 4.3% като за този спад </w:t>
      </w:r>
      <w:r w:rsidR="00F64279">
        <w:t>допринесе</w:t>
      </w:r>
      <w:r w:rsidR="00F64279">
        <w:rPr>
          <w:lang w:val="en-US"/>
        </w:rPr>
        <w:t xml:space="preserve"> </w:t>
      </w:r>
      <w:r w:rsidRPr="00F95172">
        <w:t>слабата частна инвестиционна активност. Изменението на запасите компенсира спада в бруто образуване</w:t>
      </w:r>
      <w:r>
        <w:t>то</w:t>
      </w:r>
      <w:r w:rsidRPr="00F95172">
        <w:t xml:space="preserve"> </w:t>
      </w:r>
      <w:r w:rsidRPr="00706134">
        <w:t>на основен капитал</w:t>
      </w:r>
      <w:r>
        <w:t xml:space="preserve"> и допринесе с 1.3 пр.п. за растежа на БВП. Растежът на износа на стоки и услуги се забави до 8.3% и бе надминат от нарастването на вноса, което достигна 10.5%.</w:t>
      </w:r>
    </w:p>
    <w:p w14:paraId="3D3D479A" w14:textId="77777777" w:rsidR="00721117" w:rsidRPr="00637F00" w:rsidRDefault="00721117" w:rsidP="00721117">
      <w:pPr>
        <w:keepNext/>
        <w:rPr>
          <w:highlight w:val="yellow"/>
        </w:rPr>
      </w:pPr>
      <w:r w:rsidRPr="00F662C1">
        <w:t>От страна на предлагането брутната добавена стойност се повиши с 3.</w:t>
      </w:r>
      <w:r w:rsidRPr="00F662C1">
        <w:rPr>
          <w:lang w:val="en-US"/>
        </w:rPr>
        <w:t>4</w:t>
      </w:r>
      <w:r w:rsidRPr="00F662C1">
        <w:t>%</w:t>
      </w:r>
      <w:r w:rsidRPr="00F662C1">
        <w:rPr>
          <w:lang w:val="en-US"/>
        </w:rPr>
        <w:t xml:space="preserve">. </w:t>
      </w:r>
      <w:r w:rsidRPr="00F662C1">
        <w:t xml:space="preserve">Растежът бе движен от сектор индустрия без строителство </w:t>
      </w:r>
      <w:r w:rsidRPr="00F662C1">
        <w:rPr>
          <w:lang w:val="en-US"/>
        </w:rPr>
        <w:t xml:space="preserve">(14.4%) </w:t>
      </w:r>
      <w:r w:rsidRPr="00F662C1">
        <w:t xml:space="preserve">следван от услугите </w:t>
      </w:r>
      <w:r w:rsidRPr="00F662C1">
        <w:rPr>
          <w:lang w:val="en-US"/>
        </w:rPr>
        <w:t xml:space="preserve">(1.1%) </w:t>
      </w:r>
      <w:r w:rsidRPr="00F662C1">
        <w:t>и по-конкретно държавно управление; образование; хуманно здравеопазване. При строителството бе отчетен спад на добавената стойност от 4.5</w:t>
      </w:r>
      <w:r w:rsidRPr="00637F00">
        <w:t>%.</w:t>
      </w:r>
    </w:p>
    <w:p w14:paraId="0644D3FB" w14:textId="662E7552" w:rsidR="00013BCD" w:rsidRPr="004018C2" w:rsidRDefault="00013BCD" w:rsidP="00B552D5">
      <w:pPr>
        <w:pStyle w:val="Heading3"/>
      </w:pPr>
      <w:r w:rsidRPr="004018C2">
        <w:t>Циклично развитие</w:t>
      </w:r>
      <w:r w:rsidR="00721117" w:rsidRPr="00B23B90">
        <w:rPr>
          <w:color w:val="0D78CA"/>
          <w:vertAlign w:val="superscript"/>
        </w:rPr>
        <w:footnoteReference w:id="4"/>
      </w:r>
    </w:p>
    <w:p w14:paraId="3F7C914C" w14:textId="02BCE916" w:rsidR="00721117" w:rsidRPr="00994E62" w:rsidRDefault="0005652B" w:rsidP="00721117">
      <w:r>
        <w:t>Растежът на потенциалния БВП</w:t>
      </w:r>
      <w:r w:rsidR="00721117" w:rsidRPr="00994E62">
        <w:t xml:space="preserve"> през 2022</w:t>
      </w:r>
      <w:r w:rsidR="00B552D5">
        <w:t> г.</w:t>
      </w:r>
      <w:r w:rsidR="00721117" w:rsidRPr="00994E62">
        <w:t xml:space="preserve"> достигна 2.6%. Това представлява ускорение спрямо 2021</w:t>
      </w:r>
      <w:r w:rsidR="00B552D5">
        <w:t> г.</w:t>
      </w:r>
      <w:r w:rsidR="00721117" w:rsidRPr="00994E62">
        <w:t xml:space="preserve"> и се дължи на повишението на заетостта. През 2023</w:t>
      </w:r>
      <w:r w:rsidR="00B552D5">
        <w:t> г.</w:t>
      </w:r>
      <w:r w:rsidR="00721117" w:rsidRPr="00994E62">
        <w:t xml:space="preserve"> се очаква запазване на растежа от 2.6%. За периода </w:t>
      </w:r>
      <w:r w:rsidR="00541E16">
        <w:t>2024–2025</w:t>
      </w:r>
      <w:r w:rsidR="00B552D5">
        <w:t> г.</w:t>
      </w:r>
      <w:r w:rsidR="00721117" w:rsidRPr="00994E62">
        <w:t xml:space="preserve"> повишението на инвестициите ще </w:t>
      </w:r>
      <w:r w:rsidR="00721117" w:rsidRPr="00994E62">
        <w:lastRenderedPageBreak/>
        <w:t>доведе до увеличение на приноса на капиталовите запаси и ускоряване на растежа на потенциалния БВП до 3%. През 2026</w:t>
      </w:r>
      <w:r w:rsidR="00B552D5">
        <w:t> г.</w:t>
      </w:r>
      <w:r w:rsidR="00721117" w:rsidRPr="00994E62">
        <w:t xml:space="preserve"> се очаква леко забавяне в растежа до 2.9% основно поради намаляване на положителния принос на труда като фактор за потенциалния растеж. През целия прогнозен период общата факторна производителност (ОФП) ще бъде с основен принос за растежа. </w:t>
      </w:r>
    </w:p>
    <w:p w14:paraId="2202728C" w14:textId="70EE6588" w:rsidR="001473CD" w:rsidRPr="00721117" w:rsidRDefault="0005652B" w:rsidP="009548AE">
      <w:pPr>
        <w:rPr>
          <w:highlight w:val="yellow"/>
        </w:rPr>
      </w:pPr>
      <w:r>
        <w:t>Отклонението от потенциала</w:t>
      </w:r>
      <w:r w:rsidR="00721117" w:rsidRPr="00994E62">
        <w:t xml:space="preserve"> през 2022</w:t>
      </w:r>
      <w:r w:rsidR="00B552D5">
        <w:t> г.</w:t>
      </w:r>
      <w:r w:rsidR="00721117" w:rsidRPr="00994E62">
        <w:t xml:space="preserve"> бе положително в размер на 0.9%. За 2023</w:t>
      </w:r>
      <w:r w:rsidR="00B552D5">
        <w:t> г.</w:t>
      </w:r>
      <w:r w:rsidR="00721117" w:rsidRPr="00994E62">
        <w:t>, със забавянето в растежа на фактическия БВП, се очаква отклонението да се свие и да е 0.2%. През следващите години до края на</w:t>
      </w:r>
      <w:r>
        <w:t xml:space="preserve"> </w:t>
      </w:r>
      <w:r w:rsidR="00721117" w:rsidRPr="00994E62">
        <w:t>прогнозния период положителното отклонение ще се увеличава и ще достигне 0.9%.</w:t>
      </w:r>
      <w:r>
        <w:rPr>
          <w:highlight w:val="yellow"/>
        </w:rPr>
        <w:t xml:space="preserve"> </w:t>
      </w:r>
    </w:p>
    <w:p w14:paraId="6C8C9126" w14:textId="1D7B912B" w:rsidR="0004617A" w:rsidRPr="004018C2" w:rsidRDefault="0004617A" w:rsidP="00EE53B2">
      <w:pPr>
        <w:pStyle w:val="Heading2"/>
      </w:pPr>
      <w:bookmarkStart w:id="50" w:name="_Toc448227264"/>
      <w:bookmarkStart w:id="51" w:name="_Toc479332412"/>
      <w:bookmarkStart w:id="52" w:name="_Toc133597267"/>
      <w:r w:rsidRPr="004018C2">
        <w:t>Средносрочен сценарий</w:t>
      </w:r>
      <w:bookmarkEnd w:id="50"/>
      <w:bookmarkEnd w:id="51"/>
      <w:bookmarkEnd w:id="52"/>
    </w:p>
    <w:p w14:paraId="53C9A353" w14:textId="255B4AAF" w:rsidR="00721117" w:rsidRPr="00FC0938" w:rsidRDefault="00721117" w:rsidP="00721117">
      <w:bookmarkStart w:id="53" w:name="_Toc448227265"/>
      <w:bookmarkStart w:id="54" w:name="_Toc479332413"/>
      <w:r w:rsidRPr="00FC0938">
        <w:t>През 2023</w:t>
      </w:r>
      <w:r w:rsidR="00B552D5">
        <w:t> г.</w:t>
      </w:r>
      <w:r w:rsidRPr="00FC0938">
        <w:t xml:space="preserve"> се очаква забавяне на растежа на БВП до 1.8%, като забавянето ще бъде по линия на потреблението, износа и изменението на запасите. Нарастването на частното потребление ще бъде подкрепено от растежа на реалния разполагаем доход, но ще се забави спрямо 2022</w:t>
      </w:r>
      <w:r w:rsidR="00B552D5">
        <w:t> г.</w:t>
      </w:r>
      <w:r w:rsidRPr="00FC0938">
        <w:t xml:space="preserve"> в синхрон с по-слабото нарастване на заетостта и на кредитите за домакинствата. Растежът на потреблението на правителството също се очаква да е по-слаб спрямо 2022</w:t>
      </w:r>
      <w:r w:rsidR="00B552D5">
        <w:t> г.</w:t>
      </w:r>
      <w:r w:rsidRPr="00FC0938">
        <w:t xml:space="preserve"> В същото време инвестициите в основен капитал ще нараснат подкрепени от публичните инвестиции. Частните инвестиции ще продължат да бъдат потиснати поради високата несигурност и влошаване на условията за финансиране. Изменението на запасите имаше положителен принос за растежа на БВП през последните две години, но в прогнозния период се очаква приносът да е неутрален. Растежът на износа ще се забави съществено, поради по-слабото външно </w:t>
      </w:r>
      <w:r>
        <w:t>търсене. Това ще се отрази и в</w:t>
      </w:r>
      <w:r w:rsidRPr="00FC0938">
        <w:t xml:space="preserve"> по-силен отрицателен принос на нетния износ към изменението на БВП.</w:t>
      </w:r>
    </w:p>
    <w:p w14:paraId="798B8F00" w14:textId="5D41CFB7" w:rsidR="00721117" w:rsidRPr="00BA5673" w:rsidRDefault="00721117" w:rsidP="00541E16">
      <w:pPr>
        <w:pStyle w:val="Caption"/>
      </w:pPr>
      <w:r w:rsidRPr="00BA5673">
        <w:t xml:space="preserve">Граф. 2 1: </w:t>
      </w:r>
      <w:r w:rsidR="00B552D5">
        <w:tab/>
      </w:r>
      <w:r w:rsidRPr="00BA5673">
        <w:t xml:space="preserve">Приноси по компоненти към растежа на БВП (пр.п.) </w:t>
      </w:r>
    </w:p>
    <w:p w14:paraId="79F9E9C2" w14:textId="540779B8" w:rsidR="00721117" w:rsidRDefault="00637F00" w:rsidP="00721117">
      <w:r w:rsidRPr="002E7603">
        <w:rPr>
          <w:noProof/>
        </w:rPr>
        <mc:AlternateContent>
          <mc:Choice Requires="wps">
            <w:drawing>
              <wp:anchor distT="0" distB="0" distL="114300" distR="114300" simplePos="0" relativeHeight="251665408" behindDoc="1" locked="0" layoutInCell="1" allowOverlap="1" wp14:anchorId="2DF94349" wp14:editId="574EBDCF">
                <wp:simplePos x="0" y="0"/>
                <wp:positionH relativeFrom="column">
                  <wp:posOffset>3254536</wp:posOffset>
                </wp:positionH>
                <wp:positionV relativeFrom="paragraph">
                  <wp:posOffset>74295</wp:posOffset>
                </wp:positionV>
                <wp:extent cx="2386813" cy="1794681"/>
                <wp:effectExtent l="0" t="0" r="0" b="0"/>
                <wp:wrapNone/>
                <wp:docPr id="1" name="Rectangle 1"/>
                <wp:cNvGraphicFramePr/>
                <a:graphic xmlns:a="http://schemas.openxmlformats.org/drawingml/2006/main">
                  <a:graphicData uri="http://schemas.microsoft.com/office/word/2010/wordprocessingShape">
                    <wps:wsp>
                      <wps:cNvSpPr/>
                      <wps:spPr>
                        <a:xfrm>
                          <a:off x="0" y="0"/>
                          <a:ext cx="2386813" cy="1794681"/>
                        </a:xfrm>
                        <a:prstGeom prst="rect">
                          <a:avLst/>
                        </a:prstGeom>
                        <a:solidFill>
                          <a:schemeClr val="bg1">
                            <a:lumMod val="9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55E310" w14:textId="77777777" w:rsidR="00B2222A" w:rsidRPr="002E7603" w:rsidRDefault="00B2222A" w:rsidP="00637F00">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wps:txbx>
                      <wps:bodyPr wrap="square" lIns="0" tIns="36000" rIns="0">
                        <a:noAutofit/>
                      </wps:bodyPr>
                    </wps:wsp>
                  </a:graphicData>
                </a:graphic>
                <wp14:sizeRelH relativeFrom="margin">
                  <wp14:pctWidth>0</wp14:pctWidth>
                </wp14:sizeRelH>
                <wp14:sizeRelV relativeFrom="margin">
                  <wp14:pctHeight>0</wp14:pctHeight>
                </wp14:sizeRelV>
              </wp:anchor>
            </w:drawing>
          </mc:Choice>
          <mc:Fallback>
            <w:pict>
              <v:rect w14:anchorId="2DF94349" id="Rectangle 1" o:spid="_x0000_s1029" style="position:absolute;left:0;text-align:left;margin-left:256.25pt;margin-top:5.85pt;width:187.95pt;height:141.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" fillcolor="#f2f2f2 [3052]" stroked="f" strokeweight="1.25pt">
                <v:fill opacity="32896f"/>
                <v:textbox inset="0,1mm,0">
                  <w:txbxContent>
                    <w:p w14:paraId="5255E310" w14:textId="77777777" w:rsidR="00B2222A" w:rsidRPr="002E7603" w:rsidRDefault="00B2222A" w:rsidP="00637F00">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v:textbox>
              </v:rect>
            </w:pict>
          </mc:Fallback>
        </mc:AlternateContent>
      </w:r>
      <w:r w:rsidR="00721117" w:rsidRPr="005B2032">
        <w:rPr>
          <w:noProof/>
        </w:rPr>
        <w:drawing>
          <wp:inline distT="0" distB="0" distL="0" distR="0" wp14:anchorId="552681C0" wp14:editId="02D489D7">
            <wp:extent cx="5760000" cy="25200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389B3F0" w14:textId="77777777" w:rsidR="00721117" w:rsidRPr="00541E16" w:rsidRDefault="00721117" w:rsidP="00541E16">
      <w:pPr>
        <w:pStyle w:val="a"/>
      </w:pPr>
      <w:r w:rsidRPr="00541E16">
        <w:t>Източник: НСИ, МФ</w:t>
      </w:r>
    </w:p>
    <w:p w14:paraId="54C8A66C" w14:textId="79186A06" w:rsidR="00721117" w:rsidRPr="00FC0938" w:rsidRDefault="00721117" w:rsidP="00721117">
      <w:r w:rsidRPr="00FC0938">
        <w:t>През 2024</w:t>
      </w:r>
      <w:r w:rsidR="00B552D5">
        <w:t> г.</w:t>
      </w:r>
      <w:r w:rsidRPr="00FC0938">
        <w:t xml:space="preserve"> растежът на БВП ще се ускори до 3</w:t>
      </w:r>
      <w:r>
        <w:t>.</w:t>
      </w:r>
      <w:r w:rsidRPr="00FC0938">
        <w:t>3%. Отслабването на инфлационния натиск ще доведе до по-високо нарастване на потреблението на домакинствата. Повишението на търсенето ще се отрази положително и на частната инвестиционната активност</w:t>
      </w:r>
      <w:r w:rsidRPr="00FC0938">
        <w:rPr>
          <w:lang w:val="en-US"/>
        </w:rPr>
        <w:t xml:space="preserve">, </w:t>
      </w:r>
      <w:r w:rsidRPr="00FC0938">
        <w:t xml:space="preserve">а растежът на публичните инвестиции ще остане висок. Под влияние на подобряващата </w:t>
      </w:r>
      <w:r w:rsidRPr="00FC0938">
        <w:lastRenderedPageBreak/>
        <w:t>се външна среда растежът на износа на стоки и услуги ще се ускори, а отрицателният принос на нетния износ към растежа на БВП ще се свие спрямо 2023</w:t>
      </w:r>
      <w:r w:rsidR="00B552D5">
        <w:t> г.</w:t>
      </w:r>
    </w:p>
    <w:p w14:paraId="4566F9A2" w14:textId="1CF4111A" w:rsidR="00013BCD" w:rsidRPr="00721117" w:rsidRDefault="00721117" w:rsidP="007B1D84">
      <w:pPr>
        <w:rPr>
          <w:highlight w:val="yellow"/>
        </w:rPr>
      </w:pPr>
      <w:r w:rsidRPr="00FC0938">
        <w:t xml:space="preserve">През </w:t>
      </w:r>
      <w:r w:rsidR="00B552D5">
        <w:t>2025–2026 г.</w:t>
      </w:r>
      <w:r w:rsidRPr="00FC0938">
        <w:t xml:space="preserve"> се очакват растежи на БВП съответно от 3</w:t>
      </w:r>
      <w:r>
        <w:t>.</w:t>
      </w:r>
      <w:r w:rsidRPr="00FC0938">
        <w:t>2% и 3%. Очаква</w:t>
      </w:r>
      <w:r w:rsidRPr="00FC0938">
        <w:rPr>
          <w:lang w:val="en-US"/>
        </w:rPr>
        <w:t xml:space="preserve"> </w:t>
      </w:r>
      <w:r w:rsidRPr="00FC0938">
        <w:t xml:space="preserve">се забавяне в растежа на инвестициите дължащо се на публичните инвестиции, докато при частните ще има ускорение свързано с намаление на несигурността и увеличение на търсенето. Частното потребление ще нараства с темп близък до дългосрочната средна. В съответствие с динамиката на външната среда се прогнозира ускорено нарастване на износа </w:t>
      </w:r>
      <w:r w:rsidR="0005652B">
        <w:t>на стоки и услуги през 2025</w:t>
      </w:r>
      <w:r w:rsidR="00B552D5">
        <w:t> г.</w:t>
      </w:r>
      <w:r w:rsidR="0005652B">
        <w:t>,</w:t>
      </w:r>
      <w:r w:rsidRPr="00FC0938">
        <w:t xml:space="preserve"> последвано от леко забавяне на растежа в края на периода. Темпът на нарастване на вноса ще остане по-</w:t>
      </w:r>
      <w:r>
        <w:t>висок, но отрицателният принос</w:t>
      </w:r>
      <w:r w:rsidRPr="00FC0938">
        <w:t xml:space="preserve"> към изменението на БВП ще се свие.</w:t>
      </w:r>
    </w:p>
    <w:p w14:paraId="1A839AA3" w14:textId="77777777" w:rsidR="0004617A" w:rsidRPr="00B552D5" w:rsidRDefault="0004617A" w:rsidP="00EE53B2">
      <w:pPr>
        <w:pStyle w:val="Heading2"/>
      </w:pPr>
      <w:bookmarkStart w:id="55" w:name="_Toc133597268"/>
      <w:r w:rsidRPr="00B552D5">
        <w:t>Секторни баланси</w:t>
      </w:r>
      <w:bookmarkEnd w:id="53"/>
      <w:bookmarkEnd w:id="54"/>
      <w:bookmarkEnd w:id="55"/>
    </w:p>
    <w:p w14:paraId="45D03070" w14:textId="77777777" w:rsidR="00B01F8E" w:rsidRPr="004018C2" w:rsidRDefault="002F3E21" w:rsidP="00B552D5">
      <w:pPr>
        <w:pStyle w:val="Heading3"/>
      </w:pPr>
      <w:r w:rsidRPr="004018C2">
        <w:t>Пазар на труда, доходи и производителност</w:t>
      </w:r>
    </w:p>
    <w:p w14:paraId="354BF292" w14:textId="5C0F51B9" w:rsidR="00026B20" w:rsidRDefault="00026B20" w:rsidP="00026B20">
      <w:r>
        <w:t>През 2022</w:t>
      </w:r>
      <w:r w:rsidR="00B552D5">
        <w:t> г.</w:t>
      </w:r>
      <w:r w:rsidR="001136AF">
        <w:t>,</w:t>
      </w:r>
      <w:r>
        <w:t xml:space="preserve"> заедно с пълното премахване на ограничителните мерки срещу разпространението на COVID-19, се наблюдаваше бързо възстановяване на заетостта в българската икономика. Търсенето на труд се повиши в повечето икономически сектори, а българските предприемачи отново започнаха да идентифицират недостатъчното предлагане на труд с необходимата квалификация като един от основните проблеми за развитието на бизнеса у нас. Средногодишният брой на заетите в българската икономика достигна 3502 хиляди души през 2022</w:t>
      </w:r>
      <w:r w:rsidR="00B552D5">
        <w:t> г.</w:t>
      </w:r>
      <w:r>
        <w:t xml:space="preserve"> и се повиши с 1.3% спрямо предходната година. Този ръст се дължеше преимуществено на ръста на заетите в сферата на услугите и в строителството. Всички икономически дейности от услугите регистрираха ръст на заетостта, като при някои от тях той надхвърли 5% („Операции с недвижими имоти“, „Създаване и разпространение на информация и творчески продукти; далекосъобщения“). В строителството заетостта отбеляза ръст от 1.</w:t>
      </w:r>
      <w:r w:rsidR="009624B2">
        <w:t>2</w:t>
      </w:r>
      <w:r>
        <w:t>%, обусловен най-вече от високото търсене на жилища. Влиянието на притока на украински бежанци върху броя на заетите в България бе незначително. Според месечните данни на Агенция по заетостта броят на украинците, работещи на трудов договор в страната е бил между 5 и 9 хиляди души през отделните месеци, като най-голяма част от тях са били заети в туристически дейности (най-вече свързани с летния морски туризъм).</w:t>
      </w:r>
    </w:p>
    <w:p w14:paraId="16BE9CE5" w14:textId="3515859D" w:rsidR="00026B20" w:rsidRPr="00541E16" w:rsidRDefault="00026B20" w:rsidP="00541E16">
      <w:pPr>
        <w:pStyle w:val="Caption"/>
      </w:pPr>
      <w:r w:rsidRPr="00541E16">
        <w:t xml:space="preserve">Граф. 2-2: </w:t>
      </w:r>
      <w:r w:rsidR="00B552D5" w:rsidRPr="00541E16">
        <w:tab/>
      </w:r>
      <w:r w:rsidRPr="00541E16">
        <w:t>Динамика на заетостта и ниво на безработица, %</w:t>
      </w:r>
    </w:p>
    <w:p w14:paraId="2995C619" w14:textId="15B3B313" w:rsidR="00026B20" w:rsidRDefault="00902825" w:rsidP="008D5D33">
      <w:pPr>
        <w:spacing w:after="0"/>
        <w:rPr>
          <w:i/>
          <w:sz w:val="18"/>
          <w:szCs w:val="18"/>
        </w:rPr>
      </w:pPr>
      <w:r w:rsidRPr="002E7603">
        <w:rPr>
          <w:noProof/>
        </w:rPr>
        <mc:AlternateContent>
          <mc:Choice Requires="wps">
            <w:drawing>
              <wp:anchor distT="0" distB="0" distL="114300" distR="114300" simplePos="0" relativeHeight="251667456" behindDoc="1" locked="0" layoutInCell="1" allowOverlap="1" wp14:anchorId="053EE8AB" wp14:editId="3C3AC2BE">
                <wp:simplePos x="0" y="0"/>
                <wp:positionH relativeFrom="column">
                  <wp:posOffset>3735180</wp:posOffset>
                </wp:positionH>
                <wp:positionV relativeFrom="paragraph">
                  <wp:posOffset>141163</wp:posOffset>
                </wp:positionV>
                <wp:extent cx="1725433" cy="1794681"/>
                <wp:effectExtent l="0" t="0" r="8255" b="0"/>
                <wp:wrapNone/>
                <wp:docPr id="10" name="Rectangle 10"/>
                <wp:cNvGraphicFramePr/>
                <a:graphic xmlns:a="http://schemas.openxmlformats.org/drawingml/2006/main">
                  <a:graphicData uri="http://schemas.microsoft.com/office/word/2010/wordprocessingShape">
                    <wps:wsp>
                      <wps:cNvSpPr/>
                      <wps:spPr>
                        <a:xfrm>
                          <a:off x="0" y="0"/>
                          <a:ext cx="1725433" cy="1794681"/>
                        </a:xfrm>
                        <a:prstGeom prst="rect">
                          <a:avLst/>
                        </a:prstGeom>
                        <a:solidFill>
                          <a:schemeClr val="bg1">
                            <a:lumMod val="9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FB8280" w14:textId="77777777" w:rsidR="00B2222A" w:rsidRPr="002E7603" w:rsidRDefault="00B2222A" w:rsidP="00902825">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wps:txbx>
                      <wps:bodyPr wrap="square" lIns="0" tIns="36000" rIns="0">
                        <a:noAutofit/>
                      </wps:bodyPr>
                    </wps:wsp>
                  </a:graphicData>
                </a:graphic>
                <wp14:sizeRelH relativeFrom="margin">
                  <wp14:pctWidth>0</wp14:pctWidth>
                </wp14:sizeRelH>
                <wp14:sizeRelV relativeFrom="margin">
                  <wp14:pctHeight>0</wp14:pctHeight>
                </wp14:sizeRelV>
              </wp:anchor>
            </w:drawing>
          </mc:Choice>
          <mc:Fallback>
            <w:pict>
              <v:rect w14:anchorId="053EE8AB" id="Rectangle 10" o:spid="_x0000_s1030" style="position:absolute;left:0;text-align:left;margin-left:294.1pt;margin-top:11.1pt;width:135.85pt;height:141.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" fillcolor="#f2f2f2 [3052]" stroked="f" strokeweight="1.25pt">
                <v:fill opacity="32896f"/>
                <v:textbox inset="0,1mm,0">
                  <w:txbxContent>
                    <w:p w14:paraId="2AFB8280" w14:textId="77777777" w:rsidR="00B2222A" w:rsidRPr="002E7603" w:rsidRDefault="00B2222A" w:rsidP="00902825">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v:textbox>
              </v:rect>
            </w:pict>
          </mc:Fallback>
        </mc:AlternateContent>
      </w:r>
      <w:r w:rsidR="00026B20">
        <w:rPr>
          <w:noProof/>
        </w:rPr>
        <w:drawing>
          <wp:inline distT="0" distB="0" distL="0" distR="0" wp14:anchorId="174702D0" wp14:editId="7F32AC1A">
            <wp:extent cx="5759450" cy="25200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1DD7CCE" w14:textId="77777777" w:rsidR="00026B20" w:rsidRPr="00ED632B" w:rsidRDefault="00026B20" w:rsidP="00541E16">
      <w:pPr>
        <w:pStyle w:val="a"/>
      </w:pPr>
      <w:r w:rsidRPr="00ED632B">
        <w:t>Източник: НСИ, МФ</w:t>
      </w:r>
    </w:p>
    <w:p w14:paraId="098A6FA7" w14:textId="78CAD601" w:rsidR="008D5D33" w:rsidRDefault="008D5D33" w:rsidP="00026B20">
      <w:r w:rsidRPr="008D5D33">
        <w:lastRenderedPageBreak/>
        <w:t>Коефициентът на икономическа активност на населението между 15 и 64 г. се повиши до 73</w:t>
      </w:r>
      <w:r w:rsidRPr="008D5D33">
        <w:rPr>
          <w:lang w:val="en-US"/>
        </w:rPr>
        <w:t>.</w:t>
      </w:r>
      <w:r w:rsidRPr="008D5D33">
        <w:t>6% през 2022 г., а коефициентът на заетост бе 70.4%. Коефициентът на безработица намаля до 4.3%. Броят на регистрираните безработни също имаше по-ниски стойности спрямо 2021 г. и в края на юни достигна исторически минимум за последните 30 години.</w:t>
      </w:r>
    </w:p>
    <w:p w14:paraId="5909CEDD" w14:textId="0C49E2B2" w:rsidR="00026B20" w:rsidRDefault="00026B20" w:rsidP="00026B20">
      <w:r>
        <w:t>В условията на ускорено нарастване на потребителските цени в страната и високо търсене на труд компенсацията на един нает се повиши номинално с 18.4% през 2022</w:t>
      </w:r>
      <w:r w:rsidR="00B552D5">
        <w:t> г.</w:t>
      </w:r>
      <w:r>
        <w:t xml:space="preserve"> Растежът на показателя в сектор индустрия без строителство възлезе на 31.8%, а само за преработващата промишленост – 24.7%. Този темп надхвърли повече от два пъти отчетената стойност в услугите (14</w:t>
      </w:r>
      <w:r>
        <w:rPr>
          <w:lang w:val="en-US"/>
        </w:rPr>
        <w:t>.</w:t>
      </w:r>
      <w:r>
        <w:t>8%) и около три пъти този в строителството (9.9%).</w:t>
      </w:r>
      <w:r w:rsidR="0005652B">
        <w:t xml:space="preserve"> </w:t>
      </w:r>
      <w:r>
        <w:t>В най-голямата дейност на услугите търговия, транспорт и хотели и ресторанти темпът на растеж на показателя достигна 19.5%. Развитието през годината се обуславяше от частния сектор на икономиката, в който номиналното нарастване на компенсацията на един нает напълно компенсира инфлацията в страната.</w:t>
      </w:r>
      <w:r w:rsidRPr="008307A8">
        <w:t xml:space="preserve"> </w:t>
      </w:r>
      <w:r>
        <w:t>В сектор държавно управление, образование и здравеопазване тя също се характеризираше с двуцифрен темп на растеж (10.8%), но като цяло п</w:t>
      </w:r>
      <w:r w:rsidRPr="008307A8">
        <w:t xml:space="preserve">убличният сектор </w:t>
      </w:r>
      <w:r>
        <w:t>изостана в сравнение с услугите и за страната, и номиналното повишение на заплатите в него не успя да компенсира средногодишното общо нарастване на цените. Наблюдаваше се също съществено нарастване на средствата за труд, извън тези за основна работна заплата</w:t>
      </w:r>
      <w:r>
        <w:rPr>
          <w:rStyle w:val="FootnoteReference"/>
        </w:rPr>
        <w:footnoteReference w:id="5"/>
      </w:r>
      <w:r>
        <w:t xml:space="preserve">, което дава основание да се предположи, че наетите лица са били компенсирани за високото нарастване на цените чрез допълнителни плащания, които не са фиксирани в основната заплата. </w:t>
      </w:r>
    </w:p>
    <w:p w14:paraId="6851E101" w14:textId="0D62259C" w:rsidR="00026B20" w:rsidRDefault="00026B20" w:rsidP="00026B20">
      <w:r>
        <w:t>През 2022</w:t>
      </w:r>
      <w:r w:rsidR="00B552D5">
        <w:t> г.</w:t>
      </w:r>
      <w:r>
        <w:t xml:space="preserve"> реалният растеж на производителността на труда се забави до 2.1%, но както и при динамиката на доходите, сектор индустрия без строителство имаше водещ положителен принос (15%), а в преработващата промишленост този темп достигна 30.8%. В услугите</w:t>
      </w:r>
      <w:r>
        <w:rPr>
          <w:rStyle w:val="FootnoteReference"/>
        </w:rPr>
        <w:footnoteReference w:id="6"/>
      </w:r>
      <w:r>
        <w:t xml:space="preserve"> динамиката на показателя премина на отрицателна територия (-1.8%), обусловена от ускорения растеж на заетостта в сектора. Производителността на труда в строителството продължи да отчита спад за втора година поред (-5.7%). Динамиката на доходите и производителността на труда намери резултат в ускорено нарастване на номиналните разходи за труд на единица продукция общо за икономиката до 16%, но в реално изражение този темп бе едва 0.8%.</w:t>
      </w:r>
      <w:r w:rsidRPr="000B4603">
        <w:t xml:space="preserve"> </w:t>
      </w:r>
      <w:r w:rsidRPr="00B46407">
        <w:t>В преработващата промишленост, която е в най-висока степен изложена на конкуренция от външната среда, бе отчетено значително намаление на разглеждания показател както в номинално, така и в реално изражение</w:t>
      </w:r>
      <w:r>
        <w:t>,</w:t>
      </w:r>
      <w:r w:rsidRPr="00B46407">
        <w:t xml:space="preserve"> съответно</w:t>
      </w:r>
      <w:r w:rsidR="00B552D5">
        <w:t xml:space="preserve"> – </w:t>
      </w:r>
      <w:r w:rsidRPr="00B46407">
        <w:t>от 4.6% и 17.3%. Това означава, че динамиката на доходите от труд в сектора не е оказала натиск върху разходите за труд и е изцяло обусловена от повишените обеми производство и по-високи продажни цени в него.</w:t>
      </w:r>
    </w:p>
    <w:p w14:paraId="1492F0A0" w14:textId="77777777" w:rsidR="00F13EE5" w:rsidRPr="00F13EE5" w:rsidRDefault="00F13EE5" w:rsidP="00F13EE5">
      <w:r w:rsidRPr="00F13EE5">
        <w:t>Очакването, че България ще се движи по постоянна траектория на икономически растеж през целия прогнозен период, предопределя и прогнозата за динамиката на трудовия пазар през 2023–2026 г. След като през 2022 г. се наблюдаваше бързо възстановяване на заетостта, за 2023 г. се очаква годишният ръст на заетостта да се забави до 0.4%. Основният аргумент за това развитие е цялостното забавяне на растежа на българската икономика. Украинските имигранти, потърсили убежище в страната, се очаква да не окажат голямо влияние върху динамиката на заетостта.</w:t>
      </w:r>
    </w:p>
    <w:p w14:paraId="09498FDE" w14:textId="77777777" w:rsidR="00F13EE5" w:rsidRPr="005766CE" w:rsidRDefault="00F13EE5" w:rsidP="00026B20">
      <w:pPr>
        <w:rPr>
          <w:lang w:val="en-US"/>
        </w:rPr>
      </w:pPr>
    </w:p>
    <w:p w14:paraId="2831D2B5" w14:textId="081AE0DD" w:rsidR="00026B20" w:rsidRPr="00BA5673" w:rsidRDefault="009E2879" w:rsidP="00B552D5">
      <w:pPr>
        <w:pStyle w:val="Caption"/>
      </w:pPr>
      <w:r w:rsidRPr="002E7603">
        <w:rPr>
          <w:noProof/>
        </w:rPr>
        <w:lastRenderedPageBreak/>
        <mc:AlternateContent>
          <mc:Choice Requires="wps">
            <w:drawing>
              <wp:anchor distT="0" distB="0" distL="114300" distR="114300" simplePos="0" relativeHeight="251652094" behindDoc="1" locked="0" layoutInCell="1" allowOverlap="1" wp14:anchorId="4D6E063D" wp14:editId="10CA477F">
                <wp:simplePos x="0" y="0"/>
                <wp:positionH relativeFrom="margin">
                  <wp:align>right</wp:align>
                </wp:positionH>
                <wp:positionV relativeFrom="paragraph">
                  <wp:posOffset>416560</wp:posOffset>
                </wp:positionV>
                <wp:extent cx="1699260" cy="1794510"/>
                <wp:effectExtent l="0" t="0" r="0" b="0"/>
                <wp:wrapTopAndBottom/>
                <wp:docPr id="11" name="Rectangle 11"/>
                <wp:cNvGraphicFramePr/>
                <a:graphic xmlns:a="http://schemas.openxmlformats.org/drawingml/2006/main">
                  <a:graphicData uri="http://schemas.microsoft.com/office/word/2010/wordprocessingShape">
                    <wps:wsp>
                      <wps:cNvSpPr/>
                      <wps:spPr>
                        <a:xfrm>
                          <a:off x="0" y="0"/>
                          <a:ext cx="1699260" cy="1794510"/>
                        </a:xfrm>
                        <a:prstGeom prst="rect">
                          <a:avLst/>
                        </a:prstGeom>
                        <a:solidFill>
                          <a:schemeClr val="bg1">
                            <a:lumMod val="9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A2E05" w14:textId="77777777" w:rsidR="00B2222A" w:rsidRPr="002E7603" w:rsidRDefault="00B2222A" w:rsidP="009E2879">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wps:txbx>
                      <wps:bodyPr wrap="square" lIns="0" tIns="36000" rIns="0">
                        <a:noAutofit/>
                      </wps:bodyPr>
                    </wps:wsp>
                  </a:graphicData>
                </a:graphic>
                <wp14:sizeRelH relativeFrom="margin">
                  <wp14:pctWidth>0</wp14:pctWidth>
                </wp14:sizeRelH>
                <wp14:sizeRelV relativeFrom="margin">
                  <wp14:pctHeight>0</wp14:pctHeight>
                </wp14:sizeRelV>
              </wp:anchor>
            </w:drawing>
          </mc:Choice>
          <mc:Fallback>
            <w:pict>
              <v:rect w14:anchorId="4D6E063D" id="Rectangle 11" o:spid="_x0000_s1031" style="position:absolute;left:0;text-align:left;margin-left:82.6pt;margin-top:32.8pt;width:133.8pt;height:141.3pt;z-index:-25166438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" fillcolor="#f2f2f2 [3052]" stroked="f" strokeweight="1.25pt">
                <v:fill opacity="32896f"/>
                <v:textbox inset="0,1mm,0">
                  <w:txbxContent>
                    <w:p w14:paraId="3A5A2E05" w14:textId="77777777" w:rsidR="00B2222A" w:rsidRPr="002E7603" w:rsidRDefault="00B2222A" w:rsidP="009E2879">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v:textbox>
                <w10:wrap type="topAndBottom" anchorx="margin"/>
              </v:rect>
            </w:pict>
          </mc:Fallback>
        </mc:AlternateContent>
      </w:r>
      <w:r>
        <w:rPr>
          <w:noProof/>
        </w:rPr>
        <w:drawing>
          <wp:anchor distT="0" distB="0" distL="114300" distR="114300" simplePos="0" relativeHeight="251663360" behindDoc="0" locked="0" layoutInCell="1" allowOverlap="1" wp14:anchorId="7AFD8F2F" wp14:editId="35CFA50F">
            <wp:simplePos x="0" y="0"/>
            <wp:positionH relativeFrom="column">
              <wp:posOffset>29220</wp:posOffset>
            </wp:positionH>
            <wp:positionV relativeFrom="paragraph">
              <wp:posOffset>294953</wp:posOffset>
            </wp:positionV>
            <wp:extent cx="5760000" cy="2519680"/>
            <wp:effectExtent l="0" t="0" r="0" b="0"/>
            <wp:wrapSquare wrapText="bothSides"/>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r w:rsidR="00026B20" w:rsidRPr="00BA5673">
        <w:t xml:space="preserve">Граф. 2-3: </w:t>
      </w:r>
      <w:r w:rsidR="00B552D5">
        <w:tab/>
      </w:r>
      <w:r w:rsidR="00026B20" w:rsidRPr="00BA5673">
        <w:t>Динамика на номинални РТЕП и компоненти (%)</w:t>
      </w:r>
    </w:p>
    <w:p w14:paraId="1A6D4073" w14:textId="25E5BA43" w:rsidR="00026B20" w:rsidRPr="00ED632B" w:rsidRDefault="00026B20" w:rsidP="001E2E3D">
      <w:pPr>
        <w:pStyle w:val="a"/>
        <w:spacing w:after="120"/>
      </w:pPr>
      <w:r w:rsidRPr="00ED632B">
        <w:t>Източник: НСИ, МФ</w:t>
      </w:r>
    </w:p>
    <w:p w14:paraId="0F6077D0" w14:textId="2519F15C" w:rsidR="00026B20" w:rsidRPr="00BD710A" w:rsidRDefault="00026B20" w:rsidP="000F76FE">
      <w:r w:rsidRPr="00BD710A">
        <w:t>През следващата, 2024</w:t>
      </w:r>
      <w:r w:rsidR="00B552D5">
        <w:t> г.</w:t>
      </w:r>
      <w:r w:rsidRPr="00BD710A">
        <w:t>, заедно с ускоряването на растежа на българската икономика, се очаква покачване на броя на заетите с 0.7%. През годината се очаква също броят на заетите да надхвърли тяхното равнище регистрирано през 2019</w:t>
      </w:r>
      <w:r w:rsidR="00B552D5">
        <w:t> г.</w:t>
      </w:r>
      <w:r w:rsidRPr="00BD710A">
        <w:t>, последната пред-COVID-19 година. През 2025 и 2026</w:t>
      </w:r>
      <w:r w:rsidR="00B552D5">
        <w:t> г.</w:t>
      </w:r>
      <w:r w:rsidRPr="00BD710A">
        <w:t xml:space="preserve"> българската икономика ще продължи да нараства с относително високи темпове, но въпреки това растежът на заетостта ще се забави. Търсенето на трудов ресурс ще продължи да бъде високо, но възможностите за екстензивно увеличаване на предлагането на труд все повече ще бъдат ограничени (основно поради неблагоприятните демографски процеси в страната). Коефициентът на заетост на населението (15–64) се очаква да достигне около 75% към края на прогнозния период.</w:t>
      </w:r>
    </w:p>
    <w:p w14:paraId="02E12522" w14:textId="05C80A55" w:rsidR="00026B20" w:rsidRPr="00BD710A" w:rsidRDefault="00026B20" w:rsidP="000F76FE">
      <w:r w:rsidRPr="00BD710A">
        <w:t>Успоредно с нарастването на заетостта се очаква безработицата в страната да следва постоянна тенденция на намаление. Все пак, очакванията са темповете на намаление да са относително ниски, тъй като все повече са ограничени възможностите за преход от безработица към заетост без допълнителни мерки и програми за повишаване на вероятността на реализация на твърдото ядро безработни, които като цяло са без определена квалификация и дори без завършена степен на образование по-висока от основното. Според прогнозата коефициентът на безработица за 2023</w:t>
      </w:r>
      <w:r w:rsidR="00B552D5">
        <w:t> г.</w:t>
      </w:r>
      <w:r w:rsidRPr="00BD710A">
        <w:t xml:space="preserve"> ще е 4.1% (с 0.2 пр.п. по-нисък спрямо предходната година), а към края на прогнозния период ще е намалял до 3.8%. Относително малкия спад на коефициента на безработица през периода 2024–2026</w:t>
      </w:r>
      <w:r w:rsidR="00B552D5">
        <w:t> г.</w:t>
      </w:r>
      <w:r w:rsidRPr="00BD710A">
        <w:t xml:space="preserve"> означава, че прогнозираният ръст на заетостта през този период ще се осъществи преимуществено чрез привличане на част от неактивните лица обратно в работната сила или чрез привличането на работна сила от други държави.</w:t>
      </w:r>
    </w:p>
    <w:p w14:paraId="125A302B" w14:textId="55B39939" w:rsidR="00026B20" w:rsidRDefault="00026B20" w:rsidP="000F76FE">
      <w:r>
        <w:t>Д</w:t>
      </w:r>
      <w:r w:rsidRPr="0024310F">
        <w:t>инамиката на компенсацията на един на</w:t>
      </w:r>
      <w:r>
        <w:t>ет се очаква да се забави от 18.4% през 2022</w:t>
      </w:r>
      <w:r w:rsidR="00B552D5">
        <w:t> г.</w:t>
      </w:r>
      <w:r>
        <w:t xml:space="preserve"> до 11.</w:t>
      </w:r>
      <w:r w:rsidRPr="0024310F">
        <w:t>5%</w:t>
      </w:r>
      <w:r>
        <w:t xml:space="preserve"> п</w:t>
      </w:r>
      <w:r w:rsidRPr="0024310F">
        <w:t>рез 2023</w:t>
      </w:r>
      <w:r w:rsidR="00B552D5">
        <w:t> г.</w:t>
      </w:r>
      <w:r w:rsidRPr="0024310F">
        <w:t xml:space="preserve"> </w:t>
      </w:r>
      <w:r>
        <w:t>в номинално изражение</w:t>
      </w:r>
      <w:r w:rsidRPr="0024310F">
        <w:t xml:space="preserve">, следвайки ограничаването на инфлацията, икономическата активност, заетостта, както и по-ниския принос на публичния сектор. </w:t>
      </w:r>
      <w:r>
        <w:t>Въпреки очакваното забавяне, разгледано в исторически план този номинален темп остава висок</w:t>
      </w:r>
      <w:r w:rsidRPr="0024310F">
        <w:t>.</w:t>
      </w:r>
      <w:r>
        <w:t xml:space="preserve"> </w:t>
      </w:r>
      <w:r w:rsidRPr="0024310F">
        <w:t xml:space="preserve">През </w:t>
      </w:r>
      <w:r>
        <w:t>2024</w:t>
      </w:r>
      <w:r w:rsidR="00B552D5">
        <w:t> г.</w:t>
      </w:r>
      <w:r w:rsidRPr="0024310F">
        <w:t>, номиналното нарастване на компенсация</w:t>
      </w:r>
      <w:r>
        <w:t>та на един нает е оценено на 10.</w:t>
      </w:r>
      <w:r w:rsidRPr="0024310F">
        <w:t xml:space="preserve">6%. С очакваното продължаващо ограничаване на инфлацията, динамиката на доходите от труд ще се обуславя преди всичко от ускоряването на растежа на реалната производителност, наетите лица, както и повишението на минималната работна заплата в страната, в съответствие с приетите промени за актуализация на показателя. В периода </w:t>
      </w:r>
      <w:r w:rsidR="00B552D5">
        <w:t>2025–2026 г.</w:t>
      </w:r>
      <w:r w:rsidRPr="0024310F">
        <w:t xml:space="preserve"> номиналният растеж на компенсацията на </w:t>
      </w:r>
      <w:r>
        <w:t xml:space="preserve">един нает ще се забави по-съществено, </w:t>
      </w:r>
      <w:r w:rsidRPr="0024310F">
        <w:t>съответно</w:t>
      </w:r>
      <w:r>
        <w:t xml:space="preserve"> до 7.7 и 7.</w:t>
      </w:r>
      <w:r w:rsidRPr="0024310F">
        <w:t xml:space="preserve">1%. </w:t>
      </w:r>
    </w:p>
    <w:p w14:paraId="6D7A0014" w14:textId="5D1F4CB1" w:rsidR="00013BCD" w:rsidRPr="005B2032" w:rsidRDefault="00026B20" w:rsidP="000F76FE">
      <w:pPr>
        <w:rPr>
          <w:rFonts w:asciiTheme="minorHAnsi" w:hAnsiTheme="minorHAnsi" w:cstheme="minorHAnsi"/>
          <w:b/>
          <w:bCs/>
          <w:sz w:val="26"/>
          <w:szCs w:val="26"/>
        </w:rPr>
      </w:pPr>
      <w:r w:rsidRPr="0024310F">
        <w:lastRenderedPageBreak/>
        <w:t xml:space="preserve">В рамките на прогнозния период средногодишният темп на </w:t>
      </w:r>
      <w:r>
        <w:t xml:space="preserve">реален </w:t>
      </w:r>
      <w:r w:rsidRPr="0024310F">
        <w:t>растеж на производителността на труда е оценен на 2.3%.</w:t>
      </w:r>
      <w:r w:rsidRPr="00686BC7">
        <w:t xml:space="preserve"> </w:t>
      </w:r>
      <w:r>
        <w:t>Възстановяването на растежа на производителността на труда след 2023</w:t>
      </w:r>
      <w:r w:rsidR="00B552D5">
        <w:t> г.</w:t>
      </w:r>
      <w:r>
        <w:t xml:space="preserve">, съчетано с очакваното забавяне в динамиката на доходите ще допринесе за постепенно отслабване на натиска върху разходите за труд на единица продукция. В края на прогнозния период номиналният растеж на </w:t>
      </w:r>
      <w:r w:rsidRPr="00686BC7">
        <w:t>разходи</w:t>
      </w:r>
      <w:r>
        <w:t>те</w:t>
      </w:r>
      <w:r w:rsidRPr="00686BC7">
        <w:t xml:space="preserve"> за труд на единица продукция</w:t>
      </w:r>
      <w:r>
        <w:t xml:space="preserve"> ще се забави до около 4%, докато нарастването на показателя в р</w:t>
      </w:r>
      <w:r w:rsidRPr="00686BC7">
        <w:t>еалн</w:t>
      </w:r>
      <w:r>
        <w:t>о изражение е оценена да се повишава умерено със средногодишен темп от 2%.</w:t>
      </w:r>
    </w:p>
    <w:p w14:paraId="7C6202E9" w14:textId="77777777" w:rsidR="002F3E21" w:rsidRPr="004018C2" w:rsidRDefault="002F3E21" w:rsidP="00B552D5">
      <w:pPr>
        <w:pStyle w:val="Heading3"/>
      </w:pPr>
      <w:r w:rsidRPr="004018C2">
        <w:t>Инфлация</w:t>
      </w:r>
    </w:p>
    <w:p w14:paraId="72928225" w14:textId="39AE41DB" w:rsidR="00026B20" w:rsidRPr="006F331D" w:rsidRDefault="00026B20" w:rsidP="000F76FE">
      <w:bookmarkStart w:id="56" w:name="_Toc448227268"/>
      <w:bookmarkStart w:id="57" w:name="_Toc479332416"/>
      <w:r w:rsidRPr="006F331D">
        <w:t>Годишният темп на инфлация в страната следваше тенденция на ускорение до септември 2022</w:t>
      </w:r>
      <w:r w:rsidR="00B552D5">
        <w:t> г.</w:t>
      </w:r>
      <w:r w:rsidRPr="006F331D">
        <w:t xml:space="preserve">, когато беше отчетена най-високата стойност </w:t>
      </w:r>
      <w:r>
        <w:t>от 15.</w:t>
      </w:r>
      <w:r w:rsidRPr="006F331D">
        <w:t xml:space="preserve">6% на годишна база според </w:t>
      </w:r>
      <w:r w:rsidR="00136A1F">
        <w:t>хармонизирания индекс на потребителските цени (</w:t>
      </w:r>
      <w:r w:rsidRPr="006F331D">
        <w:t>ХИПЦ</w:t>
      </w:r>
      <w:r w:rsidR="00136A1F">
        <w:t>)</w:t>
      </w:r>
      <w:r w:rsidRPr="006F331D">
        <w:t>. Като водещ фактор за това може да се посочи същественото поскъпване на суровините на международните пазари, и най-вече на енергоносителите, и техните преки и косвени ефекти. В допълнение към факторите от страна на предлагането, с проинфлационно влияние бе и силното вътрешно търсене. От последното тримесечие на 2022</w:t>
      </w:r>
      <w:r w:rsidR="00B552D5">
        <w:t> г.</w:t>
      </w:r>
      <w:r w:rsidRPr="006F331D">
        <w:t xml:space="preserve"> бе наблюдавано забавяне на инфлационните процеси в страната, като инфлацията в к</w:t>
      </w:r>
      <w:r>
        <w:t>рая на годината се понижи до 14.</w:t>
      </w:r>
      <w:r w:rsidRPr="006F331D">
        <w:t>3%, а с</w:t>
      </w:r>
      <w:r>
        <w:t>редногодишната ѝ стойност бе 13.</w:t>
      </w:r>
      <w:r w:rsidRPr="006F331D">
        <w:t>0%.</w:t>
      </w:r>
    </w:p>
    <w:p w14:paraId="7997C3C4" w14:textId="522179BE" w:rsidR="00026B20" w:rsidRPr="00BA5673" w:rsidRDefault="00026B20" w:rsidP="00B552D5">
      <w:pPr>
        <w:pStyle w:val="Caption"/>
      </w:pPr>
      <w:r w:rsidRPr="00BA5673">
        <w:t xml:space="preserve">Граф. 2-4: </w:t>
      </w:r>
      <w:r w:rsidR="00B552D5">
        <w:tab/>
      </w:r>
      <w:r w:rsidRPr="00BA5673">
        <w:t>Годишен темп на инфлация (%) и приноси по основни компоненти (пр. п.)</w:t>
      </w:r>
    </w:p>
    <w:p w14:paraId="4E3E3FFF" w14:textId="77777777" w:rsidR="00026B20" w:rsidRPr="005320B8" w:rsidRDefault="00026B20" w:rsidP="00026B20">
      <w:pPr>
        <w:spacing w:line="288" w:lineRule="auto"/>
      </w:pPr>
      <w:r>
        <w:rPr>
          <w:noProof/>
        </w:rPr>
        <w:drawing>
          <wp:inline distT="0" distB="0" distL="0" distR="0" wp14:anchorId="01D8F18B" wp14:editId="562913BE">
            <wp:extent cx="5760000" cy="25200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529F4F9" w14:textId="77777777" w:rsidR="00026B20" w:rsidRPr="005809F2" w:rsidRDefault="00026B20" w:rsidP="005809F2">
      <w:pPr>
        <w:spacing w:after="0" w:line="288" w:lineRule="auto"/>
        <w:jc w:val="left"/>
        <w:rPr>
          <w:sz w:val="18"/>
        </w:rPr>
      </w:pPr>
      <w:r w:rsidRPr="005809F2">
        <w:rPr>
          <w:sz w:val="18"/>
          <w:lang w:val="en-US"/>
        </w:rPr>
        <w:t xml:space="preserve">* </w:t>
      </w:r>
      <w:r w:rsidRPr="005809F2">
        <w:rPr>
          <w:sz w:val="18"/>
        </w:rPr>
        <w:t>преработени храни вкл. алкохол и цигари</w:t>
      </w:r>
    </w:p>
    <w:p w14:paraId="75A7DE67" w14:textId="77777777" w:rsidR="00026B20" w:rsidRPr="000F76FE" w:rsidRDefault="00026B20" w:rsidP="000F76FE">
      <w:pPr>
        <w:spacing w:line="288" w:lineRule="auto"/>
        <w:jc w:val="right"/>
        <w:rPr>
          <w:sz w:val="18"/>
        </w:rPr>
      </w:pPr>
      <w:r w:rsidRPr="000F76FE">
        <w:rPr>
          <w:sz w:val="18"/>
        </w:rPr>
        <w:t>Източник: Евростат, собствени изчисления</w:t>
      </w:r>
    </w:p>
    <w:p w14:paraId="1DBA911E" w14:textId="44CF807C" w:rsidR="00026B20" w:rsidRPr="006F331D" w:rsidRDefault="00026B20" w:rsidP="001E2E3D">
      <w:r w:rsidRPr="006F331D">
        <w:t>Темпът на поскъпване на потребителските цени продължи да се забавя и през първ</w:t>
      </w:r>
      <w:r>
        <w:t>ите два месеца на 2023</w:t>
      </w:r>
      <w:r w:rsidR="00B552D5">
        <w:t> г.</w:t>
      </w:r>
      <w:r>
        <w:t xml:space="preserve"> до 13.</w:t>
      </w:r>
      <w:r w:rsidRPr="006F331D">
        <w:t xml:space="preserve">7% </w:t>
      </w:r>
      <w:r>
        <w:t xml:space="preserve">на годишна база </w:t>
      </w:r>
      <w:r w:rsidRPr="006F331D">
        <w:t>през февруари. То се дължи в най-голяма степен на понижението на международните цени на енергийните стоки и другите суровини, както и на ефект от по-високата база през предходната година. Базисната инфлация</w:t>
      </w:r>
      <w:r w:rsidRPr="006F331D">
        <w:rPr>
          <w:vertAlign w:val="superscript"/>
        </w:rPr>
        <w:footnoteReference w:id="7"/>
      </w:r>
      <w:r w:rsidRPr="006F331D">
        <w:t xml:space="preserve"> отчете ле</w:t>
      </w:r>
      <w:r>
        <w:t>ко забавяне през февруари до 10.</w:t>
      </w:r>
      <w:r w:rsidRPr="006F331D">
        <w:t>9% на годишна база по линия на намаление на поскъпването най-вече при транспортните услуги и дълготрайните потребителски стоки.</w:t>
      </w:r>
    </w:p>
    <w:p w14:paraId="195DDE8D" w14:textId="5AB4F0FA" w:rsidR="00026B20" w:rsidRDefault="00026B20" w:rsidP="003A4EC2">
      <w:r w:rsidRPr="006F331D">
        <w:t>Инфлацията в края на 2023</w:t>
      </w:r>
      <w:r w:rsidR="00B552D5">
        <w:t> г.</w:t>
      </w:r>
      <w:r>
        <w:t xml:space="preserve"> се очаква да се понижи до 5.6%, а средногодишната да бъде 8.</w:t>
      </w:r>
      <w:r w:rsidRPr="006F331D">
        <w:t xml:space="preserve">7%. В най-голяма степен очакваното забавяне ще се дължи на значително намаление на приносите на групите храни и енергийни стоки, като последните се очаква да имат лек </w:t>
      </w:r>
      <w:r w:rsidRPr="006F331D">
        <w:lastRenderedPageBreak/>
        <w:t>спад в края на годината. Очакваното намаление в международните цени на суровините през целия прогнозен период ще забави нарастването на цените при компонентите на базисната инфлация, а именно неенергийните промишлени стоки и услугите. Поради прогнозираното нарастване на вътрешното търсене обаче, както и на разходите за труд, двете потребителски групи ще формират съществен принос към общата инфлация в страната.</w:t>
      </w:r>
    </w:p>
    <w:p w14:paraId="5A0C4273" w14:textId="7BC45ABA" w:rsidR="00026B20" w:rsidRDefault="00026B20" w:rsidP="00B552D5">
      <w:pPr>
        <w:pStyle w:val="Caption"/>
      </w:pPr>
      <w:r w:rsidRPr="000B1D0D">
        <w:t>Табл. 2-2</w:t>
      </w:r>
      <w:r w:rsidR="001E2E3D">
        <w:rPr>
          <w:lang w:val="en-US"/>
        </w:rPr>
        <w:t>:</w:t>
      </w:r>
      <w:r w:rsidRPr="000B1D0D">
        <w:t xml:space="preserve"> </w:t>
      </w:r>
      <w:r w:rsidR="001E2E3D">
        <w:tab/>
      </w:r>
      <w:r w:rsidRPr="000B1D0D">
        <w:t>Прогноза за динамикат</w:t>
      </w:r>
      <w:r>
        <w:t>а на ХИПЦ в периода 2023–2026</w:t>
      </w:r>
      <w:r w:rsidR="00B552D5">
        <w:t> г.</w:t>
      </w:r>
    </w:p>
    <w:tbl>
      <w:tblPr>
        <w:tblW w:w="5000" w:type="pct"/>
        <w:jc w:val="center"/>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CellMar>
          <w:left w:w="70" w:type="dxa"/>
          <w:right w:w="70" w:type="dxa"/>
        </w:tblCellMar>
        <w:tblLook w:val="04A0" w:firstRow="1" w:lastRow="0" w:firstColumn="1" w:lastColumn="0" w:noHBand="0" w:noVBand="1"/>
      </w:tblPr>
      <w:tblGrid>
        <w:gridCol w:w="4448"/>
        <w:gridCol w:w="1154"/>
        <w:gridCol w:w="1154"/>
        <w:gridCol w:w="1154"/>
        <w:gridCol w:w="1154"/>
      </w:tblGrid>
      <w:tr w:rsidR="004662F7" w:rsidRPr="009A3730" w14:paraId="68561349" w14:textId="77777777" w:rsidTr="004662F7">
        <w:trPr>
          <w:trHeight w:val="510"/>
          <w:jc w:val="center"/>
        </w:trPr>
        <w:tc>
          <w:tcPr>
            <w:tcW w:w="4448" w:type="dxa"/>
            <w:shd w:val="clear" w:color="auto" w:fill="D8EDFC"/>
            <w:vAlign w:val="center"/>
            <w:hideMark/>
          </w:tcPr>
          <w:p w14:paraId="118447D6" w14:textId="77777777" w:rsidR="004662F7" w:rsidRPr="009A3730" w:rsidRDefault="004662F7" w:rsidP="00B5035B">
            <w:pPr>
              <w:spacing w:after="0"/>
              <w:rPr>
                <w:sz w:val="20"/>
              </w:rPr>
            </w:pPr>
            <w:r w:rsidRPr="009A3730">
              <w:rPr>
                <w:sz w:val="20"/>
              </w:rPr>
              <w:t> </w:t>
            </w:r>
          </w:p>
        </w:tc>
        <w:tc>
          <w:tcPr>
            <w:tcW w:w="1154" w:type="dxa"/>
            <w:shd w:val="clear" w:color="auto" w:fill="D8EDFC"/>
            <w:vAlign w:val="center"/>
            <w:hideMark/>
          </w:tcPr>
          <w:p w14:paraId="1AC4A174" w14:textId="172A20FA" w:rsidR="004662F7" w:rsidRPr="009A3730" w:rsidRDefault="004662F7" w:rsidP="004662F7">
            <w:pPr>
              <w:spacing w:after="0"/>
              <w:jc w:val="center"/>
              <w:rPr>
                <w:b/>
                <w:bCs/>
                <w:sz w:val="20"/>
              </w:rPr>
            </w:pPr>
            <w:r w:rsidRPr="009A3730">
              <w:rPr>
                <w:b/>
                <w:bCs/>
                <w:sz w:val="20"/>
              </w:rPr>
              <w:t>202</w:t>
            </w:r>
            <w:r>
              <w:rPr>
                <w:b/>
                <w:bCs/>
                <w:sz w:val="20"/>
                <w:lang w:val="en-US"/>
              </w:rPr>
              <w:t>3</w:t>
            </w:r>
            <w:r w:rsidRPr="009A3730">
              <w:rPr>
                <w:b/>
                <w:bCs/>
                <w:sz w:val="20"/>
              </w:rPr>
              <w:t> г.</w:t>
            </w:r>
          </w:p>
        </w:tc>
        <w:tc>
          <w:tcPr>
            <w:tcW w:w="1154" w:type="dxa"/>
            <w:shd w:val="clear" w:color="auto" w:fill="D8EDFC"/>
            <w:vAlign w:val="center"/>
            <w:hideMark/>
          </w:tcPr>
          <w:p w14:paraId="0472A846" w14:textId="18B1729E" w:rsidR="004662F7" w:rsidRPr="009A3730" w:rsidRDefault="004662F7" w:rsidP="004662F7">
            <w:pPr>
              <w:spacing w:after="0"/>
              <w:jc w:val="center"/>
              <w:rPr>
                <w:b/>
                <w:bCs/>
                <w:sz w:val="20"/>
              </w:rPr>
            </w:pPr>
            <w:r w:rsidRPr="009A3730">
              <w:rPr>
                <w:b/>
                <w:bCs/>
                <w:sz w:val="20"/>
              </w:rPr>
              <w:t>202</w:t>
            </w:r>
            <w:r>
              <w:rPr>
                <w:b/>
                <w:bCs/>
                <w:sz w:val="20"/>
                <w:lang w:val="en-US"/>
              </w:rPr>
              <w:t>4</w:t>
            </w:r>
            <w:r w:rsidRPr="009A3730">
              <w:rPr>
                <w:b/>
                <w:bCs/>
                <w:sz w:val="20"/>
              </w:rPr>
              <w:t> г.</w:t>
            </w:r>
          </w:p>
        </w:tc>
        <w:tc>
          <w:tcPr>
            <w:tcW w:w="1154" w:type="dxa"/>
            <w:shd w:val="clear" w:color="auto" w:fill="D8EDFC"/>
            <w:vAlign w:val="center"/>
            <w:hideMark/>
          </w:tcPr>
          <w:p w14:paraId="3DAE43B2" w14:textId="3779776B" w:rsidR="004662F7" w:rsidRPr="009A3730" w:rsidRDefault="004662F7" w:rsidP="004662F7">
            <w:pPr>
              <w:spacing w:after="0"/>
              <w:jc w:val="center"/>
              <w:rPr>
                <w:b/>
                <w:bCs/>
                <w:sz w:val="20"/>
              </w:rPr>
            </w:pPr>
            <w:r w:rsidRPr="009A3730">
              <w:rPr>
                <w:b/>
                <w:bCs/>
                <w:sz w:val="20"/>
              </w:rPr>
              <w:t>202</w:t>
            </w:r>
            <w:r>
              <w:rPr>
                <w:b/>
                <w:bCs/>
                <w:sz w:val="20"/>
                <w:lang w:val="en-US"/>
              </w:rPr>
              <w:t>5</w:t>
            </w:r>
            <w:r w:rsidRPr="009A3730">
              <w:rPr>
                <w:b/>
                <w:bCs/>
                <w:sz w:val="20"/>
              </w:rPr>
              <w:t> г.</w:t>
            </w:r>
          </w:p>
        </w:tc>
        <w:tc>
          <w:tcPr>
            <w:tcW w:w="1154" w:type="dxa"/>
            <w:shd w:val="clear" w:color="auto" w:fill="D8EDFC"/>
            <w:vAlign w:val="center"/>
            <w:hideMark/>
          </w:tcPr>
          <w:p w14:paraId="6167DB54" w14:textId="3884FC5C" w:rsidR="004662F7" w:rsidRPr="009A3730" w:rsidRDefault="004662F7" w:rsidP="004662F7">
            <w:pPr>
              <w:spacing w:after="0"/>
              <w:jc w:val="center"/>
              <w:rPr>
                <w:b/>
                <w:bCs/>
                <w:sz w:val="20"/>
              </w:rPr>
            </w:pPr>
            <w:r w:rsidRPr="009A3730">
              <w:rPr>
                <w:b/>
                <w:bCs/>
                <w:sz w:val="20"/>
              </w:rPr>
              <w:t>202</w:t>
            </w:r>
            <w:r>
              <w:rPr>
                <w:b/>
                <w:bCs/>
                <w:sz w:val="20"/>
                <w:lang w:val="en-US"/>
              </w:rPr>
              <w:t>6</w:t>
            </w:r>
            <w:r w:rsidRPr="009A3730">
              <w:rPr>
                <w:b/>
                <w:bCs/>
                <w:sz w:val="20"/>
              </w:rPr>
              <w:t> г.</w:t>
            </w:r>
          </w:p>
        </w:tc>
      </w:tr>
      <w:tr w:rsidR="004662F7" w:rsidRPr="009A3730" w14:paraId="4D899138" w14:textId="77777777" w:rsidTr="004662F7">
        <w:trPr>
          <w:trHeight w:val="510"/>
          <w:jc w:val="center"/>
        </w:trPr>
        <w:tc>
          <w:tcPr>
            <w:tcW w:w="4448" w:type="dxa"/>
            <w:vAlign w:val="center"/>
            <w:hideMark/>
          </w:tcPr>
          <w:p w14:paraId="492EB554" w14:textId="77777777" w:rsidR="004662F7" w:rsidRPr="009A3730" w:rsidRDefault="004662F7" w:rsidP="004662F7">
            <w:pPr>
              <w:spacing w:after="0"/>
              <w:rPr>
                <w:sz w:val="20"/>
              </w:rPr>
            </w:pPr>
            <w:r w:rsidRPr="009A3730">
              <w:rPr>
                <w:sz w:val="20"/>
              </w:rPr>
              <w:t>Средногодишна инфлация (в %)</w:t>
            </w:r>
          </w:p>
        </w:tc>
        <w:tc>
          <w:tcPr>
            <w:tcW w:w="1154" w:type="dxa"/>
            <w:vAlign w:val="center"/>
            <w:hideMark/>
          </w:tcPr>
          <w:p w14:paraId="1FEF413E" w14:textId="48043EB1" w:rsidR="004662F7" w:rsidRPr="009A3730" w:rsidRDefault="004662F7" w:rsidP="004662F7">
            <w:pPr>
              <w:spacing w:after="0"/>
              <w:jc w:val="center"/>
              <w:rPr>
                <w:sz w:val="20"/>
              </w:rPr>
            </w:pPr>
            <w:r w:rsidRPr="004662F7">
              <w:rPr>
                <w:color w:val="262626" w:themeColor="text1" w:themeTint="D9"/>
                <w:sz w:val="20"/>
              </w:rPr>
              <w:t>8.7</w:t>
            </w:r>
          </w:p>
        </w:tc>
        <w:tc>
          <w:tcPr>
            <w:tcW w:w="1154" w:type="dxa"/>
            <w:vAlign w:val="center"/>
            <w:hideMark/>
          </w:tcPr>
          <w:p w14:paraId="38A6A650" w14:textId="3E0018AB" w:rsidR="004662F7" w:rsidRPr="009A3730" w:rsidRDefault="004662F7" w:rsidP="004662F7">
            <w:pPr>
              <w:spacing w:after="0"/>
              <w:jc w:val="center"/>
              <w:rPr>
                <w:sz w:val="20"/>
              </w:rPr>
            </w:pPr>
            <w:r w:rsidRPr="004662F7">
              <w:rPr>
                <w:color w:val="262626" w:themeColor="text1" w:themeTint="D9"/>
                <w:sz w:val="20"/>
              </w:rPr>
              <w:t>3.8</w:t>
            </w:r>
          </w:p>
        </w:tc>
        <w:tc>
          <w:tcPr>
            <w:tcW w:w="1154" w:type="dxa"/>
            <w:vAlign w:val="center"/>
            <w:hideMark/>
          </w:tcPr>
          <w:p w14:paraId="6C472D24" w14:textId="533A9B14" w:rsidR="004662F7" w:rsidRPr="009A3730" w:rsidRDefault="004662F7" w:rsidP="004662F7">
            <w:pPr>
              <w:spacing w:after="0"/>
              <w:jc w:val="center"/>
              <w:rPr>
                <w:sz w:val="20"/>
              </w:rPr>
            </w:pPr>
            <w:r w:rsidRPr="004662F7">
              <w:rPr>
                <w:color w:val="262626" w:themeColor="text1" w:themeTint="D9"/>
                <w:sz w:val="20"/>
              </w:rPr>
              <w:t>2.8</w:t>
            </w:r>
          </w:p>
        </w:tc>
        <w:tc>
          <w:tcPr>
            <w:tcW w:w="1154" w:type="dxa"/>
            <w:vAlign w:val="center"/>
            <w:hideMark/>
          </w:tcPr>
          <w:p w14:paraId="019BB55E" w14:textId="0B2834BF" w:rsidR="004662F7" w:rsidRPr="009A3730" w:rsidRDefault="004662F7" w:rsidP="004662F7">
            <w:pPr>
              <w:spacing w:after="0"/>
              <w:jc w:val="center"/>
              <w:rPr>
                <w:sz w:val="20"/>
              </w:rPr>
            </w:pPr>
            <w:r w:rsidRPr="004662F7">
              <w:rPr>
                <w:color w:val="262626" w:themeColor="text1" w:themeTint="D9"/>
                <w:sz w:val="20"/>
              </w:rPr>
              <w:t>2.2</w:t>
            </w:r>
          </w:p>
        </w:tc>
      </w:tr>
      <w:tr w:rsidR="004662F7" w:rsidRPr="009A3730" w14:paraId="494656EB" w14:textId="77777777" w:rsidTr="004662F7">
        <w:trPr>
          <w:trHeight w:val="510"/>
          <w:jc w:val="center"/>
        </w:trPr>
        <w:tc>
          <w:tcPr>
            <w:tcW w:w="4448" w:type="dxa"/>
            <w:vAlign w:val="center"/>
            <w:hideMark/>
          </w:tcPr>
          <w:p w14:paraId="3194E26B" w14:textId="77777777" w:rsidR="004662F7" w:rsidRPr="009A3730" w:rsidRDefault="004662F7" w:rsidP="004662F7">
            <w:pPr>
              <w:spacing w:after="0"/>
              <w:rPr>
                <w:sz w:val="20"/>
              </w:rPr>
            </w:pPr>
            <w:r w:rsidRPr="009A3730">
              <w:rPr>
                <w:sz w:val="20"/>
              </w:rPr>
              <w:t>Инфлация в края на годината (в %)</w:t>
            </w:r>
          </w:p>
        </w:tc>
        <w:tc>
          <w:tcPr>
            <w:tcW w:w="1154" w:type="dxa"/>
            <w:vAlign w:val="center"/>
            <w:hideMark/>
          </w:tcPr>
          <w:p w14:paraId="37BEF658" w14:textId="1CB33BC6" w:rsidR="004662F7" w:rsidRPr="009A3730" w:rsidRDefault="004662F7" w:rsidP="004662F7">
            <w:pPr>
              <w:spacing w:after="0"/>
              <w:jc w:val="center"/>
              <w:rPr>
                <w:sz w:val="20"/>
              </w:rPr>
            </w:pPr>
            <w:r w:rsidRPr="004662F7">
              <w:rPr>
                <w:color w:val="262626" w:themeColor="text1" w:themeTint="D9"/>
                <w:sz w:val="20"/>
              </w:rPr>
              <w:t>5.6</w:t>
            </w:r>
          </w:p>
        </w:tc>
        <w:tc>
          <w:tcPr>
            <w:tcW w:w="1154" w:type="dxa"/>
            <w:vAlign w:val="center"/>
            <w:hideMark/>
          </w:tcPr>
          <w:p w14:paraId="33FD4EC8" w14:textId="25C627BA" w:rsidR="004662F7" w:rsidRPr="009A3730" w:rsidRDefault="004662F7" w:rsidP="004662F7">
            <w:pPr>
              <w:spacing w:after="0"/>
              <w:jc w:val="center"/>
              <w:rPr>
                <w:sz w:val="20"/>
              </w:rPr>
            </w:pPr>
            <w:r w:rsidRPr="004662F7">
              <w:rPr>
                <w:color w:val="262626" w:themeColor="text1" w:themeTint="D9"/>
                <w:sz w:val="20"/>
              </w:rPr>
              <w:t>3.2</w:t>
            </w:r>
          </w:p>
        </w:tc>
        <w:tc>
          <w:tcPr>
            <w:tcW w:w="1154" w:type="dxa"/>
            <w:vAlign w:val="center"/>
            <w:hideMark/>
          </w:tcPr>
          <w:p w14:paraId="17C42D12" w14:textId="106725B3" w:rsidR="004662F7" w:rsidRPr="009A3730" w:rsidRDefault="004662F7" w:rsidP="004662F7">
            <w:pPr>
              <w:spacing w:after="0"/>
              <w:jc w:val="center"/>
              <w:rPr>
                <w:sz w:val="20"/>
              </w:rPr>
            </w:pPr>
            <w:r w:rsidRPr="004662F7">
              <w:rPr>
                <w:color w:val="262626" w:themeColor="text1" w:themeTint="D9"/>
                <w:sz w:val="20"/>
              </w:rPr>
              <w:t>2.4</w:t>
            </w:r>
          </w:p>
        </w:tc>
        <w:tc>
          <w:tcPr>
            <w:tcW w:w="1154" w:type="dxa"/>
            <w:vAlign w:val="center"/>
            <w:hideMark/>
          </w:tcPr>
          <w:p w14:paraId="5C01B9EB" w14:textId="79E35391" w:rsidR="004662F7" w:rsidRPr="009A3730" w:rsidRDefault="004662F7" w:rsidP="004662F7">
            <w:pPr>
              <w:spacing w:after="0"/>
              <w:jc w:val="center"/>
              <w:rPr>
                <w:sz w:val="20"/>
              </w:rPr>
            </w:pPr>
            <w:r w:rsidRPr="004662F7">
              <w:rPr>
                <w:color w:val="262626" w:themeColor="text1" w:themeTint="D9"/>
                <w:sz w:val="20"/>
              </w:rPr>
              <w:t>2.1</w:t>
            </w:r>
          </w:p>
        </w:tc>
      </w:tr>
    </w:tbl>
    <w:p w14:paraId="36D9918C" w14:textId="35963608" w:rsidR="004662F7" w:rsidRDefault="004662F7" w:rsidP="004662F7"/>
    <w:p w14:paraId="31D0B38E" w14:textId="13B27860" w:rsidR="00013BCD" w:rsidRPr="00026B20" w:rsidRDefault="00026B20" w:rsidP="00515861">
      <w:pPr>
        <w:rPr>
          <w:highlight w:val="yellow"/>
        </w:rPr>
      </w:pPr>
      <w:r w:rsidRPr="006F331D">
        <w:t>През 2024</w:t>
      </w:r>
      <w:r w:rsidR="00B552D5">
        <w:t> г.</w:t>
      </w:r>
      <w:r w:rsidRPr="006F331D">
        <w:t xml:space="preserve"> прогнозата е инфлацията да продължи да се забавя, като в</w:t>
      </w:r>
      <w:r>
        <w:t xml:space="preserve"> края на годината ще достигне 3.</w:t>
      </w:r>
      <w:r w:rsidRPr="006F331D">
        <w:t>2%</w:t>
      </w:r>
      <w:r>
        <w:t>, а средногодишната – 3.</w:t>
      </w:r>
      <w:r w:rsidRPr="006F331D">
        <w:t>8%. Цените на енергийните стоки ще имат спад до края на прогнозния хоризонт. През 2025 и 2026</w:t>
      </w:r>
      <w:r w:rsidR="00B552D5">
        <w:t> г.</w:t>
      </w:r>
      <w:r w:rsidRPr="006F331D">
        <w:t xml:space="preserve"> средногодишната инфлация ще продъл</w:t>
      </w:r>
      <w:r>
        <w:t>жи да се забавя, съответно до 2.8 и 2.</w:t>
      </w:r>
      <w:r w:rsidRPr="006F331D">
        <w:t>2%.</w:t>
      </w:r>
    </w:p>
    <w:p w14:paraId="2E8524E8" w14:textId="77777777" w:rsidR="002F3E21" w:rsidRPr="004018C2" w:rsidRDefault="002F3E21" w:rsidP="00B552D5">
      <w:pPr>
        <w:pStyle w:val="Heading3"/>
      </w:pPr>
      <w:r w:rsidRPr="004018C2">
        <w:t>Външен сектор</w:t>
      </w:r>
      <w:bookmarkEnd w:id="56"/>
      <w:bookmarkEnd w:id="57"/>
      <w:r w:rsidR="006152DC" w:rsidRPr="0017344F">
        <w:rPr>
          <w:rStyle w:val="FootnoteReference"/>
        </w:rPr>
        <w:footnoteReference w:id="8"/>
      </w:r>
    </w:p>
    <w:p w14:paraId="2919533D" w14:textId="4F20F5C3" w:rsidR="00026B20" w:rsidRPr="005B2032" w:rsidRDefault="00026B20" w:rsidP="00026B20">
      <w:pPr>
        <w:rPr>
          <w:szCs w:val="24"/>
        </w:rPr>
      </w:pPr>
      <w:r w:rsidRPr="005B2032">
        <w:rPr>
          <w:szCs w:val="24"/>
        </w:rPr>
        <w:t>През 202</w:t>
      </w:r>
      <w:r>
        <w:rPr>
          <w:szCs w:val="24"/>
        </w:rPr>
        <w:t>2</w:t>
      </w:r>
      <w:r w:rsidR="00B552D5">
        <w:rPr>
          <w:szCs w:val="24"/>
        </w:rPr>
        <w:t> г.</w:t>
      </w:r>
      <w:r w:rsidRPr="005B2032">
        <w:rPr>
          <w:szCs w:val="24"/>
        </w:rPr>
        <w:t xml:space="preserve"> по текущата и капиталовата сметка бе отчетен излишък в размер на </w:t>
      </w:r>
      <w:r>
        <w:rPr>
          <w:szCs w:val="24"/>
        </w:rPr>
        <w:t>216 </w:t>
      </w:r>
      <w:r w:rsidRPr="005B2032">
        <w:rPr>
          <w:szCs w:val="24"/>
        </w:rPr>
        <w:t>млн.</w:t>
      </w:r>
      <w:r>
        <w:rPr>
          <w:szCs w:val="24"/>
        </w:rPr>
        <w:t> </w:t>
      </w:r>
      <w:r w:rsidRPr="005B2032">
        <w:rPr>
          <w:szCs w:val="24"/>
        </w:rPr>
        <w:t xml:space="preserve">евро (0.3% от БВП) при </w:t>
      </w:r>
      <w:r>
        <w:rPr>
          <w:szCs w:val="24"/>
        </w:rPr>
        <w:t>отрицателен баланс</w:t>
      </w:r>
      <w:r w:rsidRPr="005B2032">
        <w:rPr>
          <w:szCs w:val="24"/>
        </w:rPr>
        <w:t xml:space="preserve"> през 202</w:t>
      </w:r>
      <w:r>
        <w:rPr>
          <w:szCs w:val="24"/>
        </w:rPr>
        <w:t>1</w:t>
      </w:r>
      <w:r w:rsidR="00B552D5">
        <w:rPr>
          <w:szCs w:val="24"/>
        </w:rPr>
        <w:t> г.</w:t>
      </w:r>
    </w:p>
    <w:p w14:paraId="4B9B11F8" w14:textId="77777777" w:rsidR="00026B20" w:rsidRPr="005B2032" w:rsidRDefault="00026B20" w:rsidP="00026B20">
      <w:pPr>
        <w:rPr>
          <w:szCs w:val="24"/>
        </w:rPr>
      </w:pPr>
      <w:r>
        <w:rPr>
          <w:szCs w:val="24"/>
        </w:rPr>
        <w:t xml:space="preserve">Подобрението отразяваше благоприятно изменение както в капиталовата, така и във всички подстатии на текущата сметка, с изключение на баланса на стоки. </w:t>
      </w:r>
      <w:r w:rsidRPr="005B2032">
        <w:rPr>
          <w:szCs w:val="24"/>
        </w:rPr>
        <w:t xml:space="preserve">В България износът на стоки нарасна с </w:t>
      </w:r>
      <w:r>
        <w:rPr>
          <w:szCs w:val="24"/>
        </w:rPr>
        <w:t>33.5</w:t>
      </w:r>
      <w:r w:rsidRPr="005B2032">
        <w:rPr>
          <w:szCs w:val="24"/>
        </w:rPr>
        <w:t>%, а вносът</w:t>
      </w:r>
      <w:r>
        <w:rPr>
          <w:szCs w:val="24"/>
        </w:rPr>
        <w:t xml:space="preserve"> – </w:t>
      </w:r>
      <w:r w:rsidRPr="005B2032">
        <w:rPr>
          <w:szCs w:val="24"/>
        </w:rPr>
        <w:t xml:space="preserve">с </w:t>
      </w:r>
      <w:r>
        <w:rPr>
          <w:szCs w:val="24"/>
        </w:rPr>
        <w:t>36.3</w:t>
      </w:r>
      <w:r w:rsidRPr="005B2032">
        <w:rPr>
          <w:szCs w:val="24"/>
        </w:rPr>
        <w:t>%, което определи и увеличението на търговския дефицит с 1.</w:t>
      </w:r>
      <w:r>
        <w:rPr>
          <w:szCs w:val="24"/>
        </w:rPr>
        <w:t>7</w:t>
      </w:r>
      <w:r w:rsidRPr="005B2032">
        <w:rPr>
          <w:szCs w:val="24"/>
        </w:rPr>
        <w:t xml:space="preserve"> пр.п. до </w:t>
      </w:r>
      <w:r>
        <w:rPr>
          <w:szCs w:val="24"/>
        </w:rPr>
        <w:t>5.8</w:t>
      </w:r>
      <w:r w:rsidRPr="005B2032">
        <w:rPr>
          <w:szCs w:val="24"/>
        </w:rPr>
        <w:t xml:space="preserve">% от БВП. През годината </w:t>
      </w:r>
      <w:r>
        <w:rPr>
          <w:szCs w:val="24"/>
        </w:rPr>
        <w:t>търговският баланс</w:t>
      </w:r>
      <w:r w:rsidRPr="005B2032">
        <w:rPr>
          <w:szCs w:val="24"/>
        </w:rPr>
        <w:t xml:space="preserve"> бе движен от изпреварващия реален растеж на вноса спрямо износа</w:t>
      </w:r>
      <w:r>
        <w:rPr>
          <w:szCs w:val="24"/>
        </w:rPr>
        <w:t>.</w:t>
      </w:r>
      <w:r w:rsidRPr="005B2032">
        <w:rPr>
          <w:szCs w:val="24"/>
        </w:rPr>
        <w:t xml:space="preserve"> Повишението на вноса в количествено отношение бе движено от силното потребление на домакинствата, докато ръстът на износа </w:t>
      </w:r>
      <w:r>
        <w:rPr>
          <w:szCs w:val="24"/>
        </w:rPr>
        <w:t>бе благоприятстван от активна търговия с минерални горива (нефт и нефтопродукти и електрически енергия), както и с метални суровини и специализирана продукция</w:t>
      </w:r>
      <w:r w:rsidRPr="005B2032">
        <w:rPr>
          <w:szCs w:val="24"/>
        </w:rPr>
        <w:t>.</w:t>
      </w:r>
      <w:r>
        <w:rPr>
          <w:szCs w:val="24"/>
        </w:rPr>
        <w:t xml:space="preserve"> Същественото нарастване на цените на минералните горива и увеличението на дела им в износа на страната предопредели и формирането на положителни условия на търговия (превишение на дефлатора на износа спрямо този на вноса).</w:t>
      </w:r>
    </w:p>
    <w:p w14:paraId="170D2386" w14:textId="6C9EE7EA" w:rsidR="00026B20" w:rsidRDefault="00026B20" w:rsidP="00026B20">
      <w:pPr>
        <w:rPr>
          <w:szCs w:val="24"/>
        </w:rPr>
      </w:pPr>
      <w:r>
        <w:rPr>
          <w:szCs w:val="24"/>
        </w:rPr>
        <w:t xml:space="preserve">Нарастването на износа се отрази и в </w:t>
      </w:r>
      <w:r w:rsidRPr="005B2032">
        <w:rPr>
          <w:szCs w:val="24"/>
        </w:rPr>
        <w:t>подобрение на пазарните позиции на страната. Средно за периода януари-септември 202</w:t>
      </w:r>
      <w:r>
        <w:rPr>
          <w:szCs w:val="24"/>
        </w:rPr>
        <w:t>2</w:t>
      </w:r>
      <w:r w:rsidR="00B552D5">
        <w:rPr>
          <w:szCs w:val="24"/>
        </w:rPr>
        <w:t> г.</w:t>
      </w:r>
      <w:r w:rsidRPr="005B2032">
        <w:rPr>
          <w:szCs w:val="24"/>
        </w:rPr>
        <w:t xml:space="preserve"> дяловете на българския износ в световния внос и във вноса в рамките на ЕС</w:t>
      </w:r>
      <w:r>
        <w:rPr>
          <w:szCs w:val="24"/>
        </w:rPr>
        <w:t xml:space="preserve"> се повишиха съществено</w:t>
      </w:r>
      <w:r w:rsidRPr="005B2032">
        <w:rPr>
          <w:szCs w:val="24"/>
        </w:rPr>
        <w:t>.</w:t>
      </w:r>
    </w:p>
    <w:p w14:paraId="2733FD43" w14:textId="799577C8" w:rsidR="0017344F" w:rsidRDefault="0017344F" w:rsidP="00026B20">
      <w:pPr>
        <w:rPr>
          <w:szCs w:val="24"/>
        </w:rPr>
      </w:pPr>
      <w:r w:rsidRPr="0017344F">
        <w:rPr>
          <w:szCs w:val="24"/>
        </w:rPr>
        <w:t xml:space="preserve">Динамиката на реалния ефективен валутен курс показа съществено ускорение от средата на </w:t>
      </w:r>
      <w:r w:rsidRPr="0017344F">
        <w:rPr>
          <w:szCs w:val="24"/>
          <w:lang w:val="en-US"/>
        </w:rPr>
        <w:t>2021</w:t>
      </w:r>
      <w:r w:rsidRPr="0017344F">
        <w:rPr>
          <w:szCs w:val="24"/>
        </w:rPr>
        <w:t xml:space="preserve"> г. Поради значителното нарастване на инфлацията в глобален мащаб за периода, </w:t>
      </w:r>
      <w:r w:rsidR="00213F2A">
        <w:rPr>
          <w:szCs w:val="24"/>
        </w:rPr>
        <w:t>реалния ефективен валутен курс (</w:t>
      </w:r>
      <w:r w:rsidRPr="0017344F">
        <w:rPr>
          <w:szCs w:val="24"/>
        </w:rPr>
        <w:t>РЕВК</w:t>
      </w:r>
      <w:r w:rsidR="00213F2A">
        <w:rPr>
          <w:szCs w:val="24"/>
        </w:rPr>
        <w:t>)</w:t>
      </w:r>
      <w:r w:rsidRPr="0017344F">
        <w:rPr>
          <w:szCs w:val="24"/>
        </w:rPr>
        <w:t xml:space="preserve"> изчислен с индекс на потребителски цени (ИПЦ) отчете по-слабо повишение, което се дължеше най-вече на поскъпването на номиналния ефективен валутен курс. При показателя с разходите за труд на единица продукция (РТЕП) обаче по-съществен принос имаше по линия на дефлатора. През 2022 г. номиналният растеж на РТЕП се ускори със значителен темп от 16%. Разгледано общо за икономиката, това отразяваше същественото нарастване на компенсацията на един </w:t>
      </w:r>
      <w:r w:rsidRPr="0017344F">
        <w:rPr>
          <w:szCs w:val="24"/>
        </w:rPr>
        <w:lastRenderedPageBreak/>
        <w:t>нает. Следва да се отбележи обаче, че в преработващата промишленост, която в най-висока степен е изложена на конкуренция от външната среда, бе отчетен спад на РТЕП, както в номинално, така и в реално изражение, което означава, че нарастването на доходите от труд не е оказало негативен ефект на разходната конкурентоспособност на експортно-ориентираните дейности.</w:t>
      </w:r>
    </w:p>
    <w:p w14:paraId="6E1889A5" w14:textId="0BEC85B0" w:rsidR="00026B20" w:rsidRPr="00CE1113" w:rsidRDefault="00026B20" w:rsidP="00026B20">
      <w:pPr>
        <w:pStyle w:val="Caption"/>
      </w:pPr>
      <w:r w:rsidRPr="00CE1113">
        <w:t xml:space="preserve">Граф. </w:t>
      </w:r>
      <w:r w:rsidR="00031455">
        <w:fldChar w:fldCharType="begin"/>
      </w:r>
      <w:r w:rsidR="00031455">
        <w:instrText xml:space="preserve"> STYLEREF 1 \s </w:instrText>
      </w:r>
      <w:r w:rsidR="00031455">
        <w:fldChar w:fldCharType="separate"/>
      </w:r>
      <w:r w:rsidR="00541E16">
        <w:rPr>
          <w:noProof/>
        </w:rPr>
        <w:t>2</w:t>
      </w:r>
      <w:r w:rsidR="00031455">
        <w:rPr>
          <w:noProof/>
        </w:rPr>
        <w:fldChar w:fldCharType="end"/>
      </w:r>
      <w:r w:rsidRPr="00CE1113">
        <w:noBreakHyphen/>
      </w:r>
      <w:r>
        <w:rPr>
          <w:lang w:val="en-US"/>
        </w:rPr>
        <w:t>5</w:t>
      </w:r>
      <w:r w:rsidRPr="00CE1113">
        <w:t xml:space="preserve">: </w:t>
      </w:r>
      <w:r w:rsidRPr="00CE1113">
        <w:tab/>
      </w:r>
      <w:r w:rsidR="001E2E3D">
        <w:tab/>
      </w:r>
      <w:r w:rsidRPr="001D4F41">
        <w:t xml:space="preserve">Дял на България в международния </w:t>
      </w:r>
      <w:r w:rsidRPr="00CE1113">
        <w:t>стокообмен (%)</w:t>
      </w:r>
    </w:p>
    <w:p w14:paraId="3E656119" w14:textId="6A98F89B" w:rsidR="00026B20" w:rsidRPr="005B2032" w:rsidRDefault="00F64279" w:rsidP="00026B20">
      <w:pPr>
        <w:spacing w:after="0"/>
      </w:pPr>
      <w:r>
        <w:rPr>
          <w:noProof/>
        </w:rPr>
        <w:drawing>
          <wp:inline distT="0" distB="0" distL="0" distR="0" wp14:anchorId="09863CB6" wp14:editId="7E957D0D">
            <wp:extent cx="5759450" cy="25200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24AD41F" w14:textId="483B5AD2" w:rsidR="00026B20" w:rsidRDefault="00026B20" w:rsidP="00026B20">
      <w:pPr>
        <w:pStyle w:val="a"/>
      </w:pPr>
      <w:r w:rsidRPr="005B2032">
        <w:t>Източник: И</w:t>
      </w:r>
      <w:r>
        <w:t>зчисления на МФ по данни на СТО</w:t>
      </w:r>
    </w:p>
    <w:p w14:paraId="28180926" w14:textId="77777777" w:rsidR="0017344F" w:rsidRPr="005B2032" w:rsidRDefault="0017344F" w:rsidP="00026B20">
      <w:pPr>
        <w:pStyle w:val="a"/>
      </w:pPr>
    </w:p>
    <w:p w14:paraId="1BB89383" w14:textId="5CDB5B58" w:rsidR="00026B20" w:rsidRPr="001E2E3D" w:rsidRDefault="00026B20" w:rsidP="001E2E3D">
      <w:pPr>
        <w:pStyle w:val="Caption"/>
      </w:pPr>
      <w:r w:rsidRPr="001E2E3D">
        <w:t xml:space="preserve">Граф. 2-6: </w:t>
      </w:r>
      <w:r w:rsidR="00B552D5" w:rsidRPr="001E2E3D">
        <w:tab/>
      </w:r>
      <w:r w:rsidR="001E2E3D">
        <w:tab/>
      </w:r>
      <w:r w:rsidRPr="001E2E3D">
        <w:t>РЕВК на България спрямо 36 индустриални страни, 2015=100</w:t>
      </w:r>
    </w:p>
    <w:p w14:paraId="12FFD1CC" w14:textId="77777777" w:rsidR="00026B20" w:rsidRDefault="00026B20" w:rsidP="00D52B0E">
      <w:pPr>
        <w:spacing w:after="0" w:line="288" w:lineRule="auto"/>
        <w:rPr>
          <w:lang w:val="en-US"/>
        </w:rPr>
      </w:pPr>
      <w:r>
        <w:rPr>
          <w:noProof/>
        </w:rPr>
        <w:drawing>
          <wp:inline distT="0" distB="0" distL="0" distR="0" wp14:anchorId="77A46E8F" wp14:editId="59992EB2">
            <wp:extent cx="5760000" cy="25200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B204457" w14:textId="77777777" w:rsidR="00026B20" w:rsidRDefault="00026B20" w:rsidP="00D52B0E">
      <w:pPr>
        <w:pStyle w:val="a"/>
        <w:spacing w:after="0"/>
        <w:jc w:val="left"/>
      </w:pPr>
      <w:r>
        <w:t xml:space="preserve">* </w:t>
      </w:r>
      <w:r w:rsidRPr="005A691C">
        <w:t>Номинални разходи за труд на единица продукция общо за икономиката</w:t>
      </w:r>
    </w:p>
    <w:p w14:paraId="0A8F0AD0" w14:textId="5B6AF078" w:rsidR="00026B20" w:rsidRPr="005A691C" w:rsidRDefault="008A5F19" w:rsidP="001E2E3D">
      <w:pPr>
        <w:pStyle w:val="a"/>
      </w:pPr>
      <w:r>
        <w:t xml:space="preserve">   </w:t>
      </w:r>
      <w:r w:rsidR="00026B20" w:rsidRPr="008A5F19">
        <w:t>Източник: ЕК</w:t>
      </w:r>
    </w:p>
    <w:p w14:paraId="58E5C180" w14:textId="544536E5" w:rsidR="00026B20" w:rsidRPr="005B2032" w:rsidRDefault="00026B20" w:rsidP="00026B20">
      <w:pPr>
        <w:rPr>
          <w:szCs w:val="24"/>
        </w:rPr>
      </w:pPr>
      <w:r w:rsidRPr="005B2032">
        <w:rPr>
          <w:szCs w:val="24"/>
        </w:rPr>
        <w:t>През 202</w:t>
      </w:r>
      <w:r>
        <w:rPr>
          <w:szCs w:val="24"/>
        </w:rPr>
        <w:t>2</w:t>
      </w:r>
      <w:r w:rsidR="00B552D5">
        <w:rPr>
          <w:szCs w:val="24"/>
        </w:rPr>
        <w:t> г.</w:t>
      </w:r>
      <w:r w:rsidRPr="005B2032">
        <w:rPr>
          <w:szCs w:val="24"/>
        </w:rPr>
        <w:t xml:space="preserve"> излишъкът при услугите </w:t>
      </w:r>
      <w:r>
        <w:rPr>
          <w:szCs w:val="24"/>
        </w:rPr>
        <w:t>продължи да н</w:t>
      </w:r>
      <w:r w:rsidR="001136AF">
        <w:rPr>
          <w:szCs w:val="24"/>
        </w:rPr>
        <w:t>араства, достигайки 6.3% от БВП. О</w:t>
      </w:r>
      <w:r w:rsidRPr="00BC121B">
        <w:rPr>
          <w:szCs w:val="24"/>
        </w:rPr>
        <w:t xml:space="preserve">сновен принос за </w:t>
      </w:r>
      <w:r w:rsidRPr="008A5F19">
        <w:rPr>
          <w:szCs w:val="24"/>
        </w:rPr>
        <w:t>подобрението от 0.6</w:t>
      </w:r>
      <w:r w:rsidRPr="00BC121B">
        <w:rPr>
          <w:szCs w:val="24"/>
        </w:rPr>
        <w:t> пр.п. имаха приходите от пътувания</w:t>
      </w:r>
      <w:r>
        <w:rPr>
          <w:szCs w:val="24"/>
        </w:rPr>
        <w:t xml:space="preserve"> на чужденци в страната</w:t>
      </w:r>
      <w:r w:rsidRPr="00BC121B">
        <w:rPr>
          <w:szCs w:val="24"/>
        </w:rPr>
        <w:t xml:space="preserve">, както и услугите, свързани с </w:t>
      </w:r>
      <w:r>
        <w:rPr>
          <w:szCs w:val="24"/>
        </w:rPr>
        <w:t>информационни технологии</w:t>
      </w:r>
      <w:r w:rsidRPr="00BC121B">
        <w:rPr>
          <w:szCs w:val="24"/>
        </w:rPr>
        <w:t xml:space="preserve"> и далекосъобщения.</w:t>
      </w:r>
      <w:r w:rsidRPr="006B0C5C">
        <w:rPr>
          <w:color w:val="FF0000"/>
          <w:szCs w:val="24"/>
        </w:rPr>
        <w:t xml:space="preserve"> </w:t>
      </w:r>
      <w:r w:rsidRPr="005B2032">
        <w:rPr>
          <w:szCs w:val="24"/>
        </w:rPr>
        <w:t xml:space="preserve">Салдото на доходните статии </w:t>
      </w:r>
      <w:r>
        <w:rPr>
          <w:szCs w:val="24"/>
        </w:rPr>
        <w:t>също се подобри, отразявайки по-нисък изплатен инвестиционен доход към нерезиденти и първия входящ трансфер по Плана за възстановяване и устойчивост.</w:t>
      </w:r>
      <w:r w:rsidRPr="005B2032">
        <w:rPr>
          <w:szCs w:val="24"/>
        </w:rPr>
        <w:t xml:space="preserve"> Дефицитът по текущата сметка </w:t>
      </w:r>
      <w:r>
        <w:rPr>
          <w:szCs w:val="24"/>
        </w:rPr>
        <w:t>през</w:t>
      </w:r>
      <w:r w:rsidRPr="005B2032">
        <w:rPr>
          <w:szCs w:val="24"/>
        </w:rPr>
        <w:t xml:space="preserve"> 202</w:t>
      </w:r>
      <w:r>
        <w:rPr>
          <w:szCs w:val="24"/>
        </w:rPr>
        <w:t>2</w:t>
      </w:r>
      <w:r w:rsidR="00B552D5">
        <w:rPr>
          <w:szCs w:val="24"/>
        </w:rPr>
        <w:t> г.</w:t>
      </w:r>
      <w:r w:rsidRPr="005B2032">
        <w:rPr>
          <w:szCs w:val="24"/>
        </w:rPr>
        <w:t xml:space="preserve"> се </w:t>
      </w:r>
      <w:r>
        <w:rPr>
          <w:szCs w:val="24"/>
        </w:rPr>
        <w:t>понижи</w:t>
      </w:r>
      <w:r w:rsidRPr="005B2032">
        <w:rPr>
          <w:szCs w:val="24"/>
        </w:rPr>
        <w:t xml:space="preserve"> до 0.</w:t>
      </w:r>
      <w:r>
        <w:rPr>
          <w:szCs w:val="24"/>
        </w:rPr>
        <w:t>7</w:t>
      </w:r>
      <w:r w:rsidRPr="005B2032">
        <w:rPr>
          <w:szCs w:val="24"/>
        </w:rPr>
        <w:t>% от БВП</w:t>
      </w:r>
      <w:r>
        <w:rPr>
          <w:szCs w:val="24"/>
        </w:rPr>
        <w:t>, при 1.9% през 2021</w:t>
      </w:r>
      <w:r w:rsidR="00B552D5">
        <w:rPr>
          <w:szCs w:val="24"/>
        </w:rPr>
        <w:t> г.</w:t>
      </w:r>
      <w:r w:rsidRPr="005B2032">
        <w:rPr>
          <w:szCs w:val="24"/>
        </w:rPr>
        <w:t xml:space="preserve"> </w:t>
      </w:r>
    </w:p>
    <w:p w14:paraId="013D32E8" w14:textId="0A37F907" w:rsidR="00026B20" w:rsidRDefault="00026B20" w:rsidP="00026B20">
      <w:pPr>
        <w:rPr>
          <w:szCs w:val="24"/>
        </w:rPr>
      </w:pPr>
      <w:r w:rsidRPr="00333CDF">
        <w:rPr>
          <w:szCs w:val="24"/>
        </w:rPr>
        <w:lastRenderedPageBreak/>
        <w:t xml:space="preserve">През прогнозния период </w:t>
      </w:r>
      <w:r w:rsidR="00B552D5">
        <w:rPr>
          <w:szCs w:val="24"/>
        </w:rPr>
        <w:t>2023–2026 г.</w:t>
      </w:r>
      <w:r w:rsidRPr="00333CDF">
        <w:rPr>
          <w:szCs w:val="24"/>
        </w:rPr>
        <w:t xml:space="preserve"> се очаква запазване на устойчивата външна позиция на страната. </w:t>
      </w:r>
    </w:p>
    <w:p w14:paraId="23D694DF" w14:textId="1AB84274" w:rsidR="00026B20" w:rsidRDefault="00026B20" w:rsidP="00026B20">
      <w:pPr>
        <w:rPr>
          <w:iCs/>
          <w:szCs w:val="24"/>
        </w:rPr>
      </w:pPr>
      <w:r w:rsidRPr="00333CDF">
        <w:rPr>
          <w:szCs w:val="24"/>
        </w:rPr>
        <w:t>Балансът по текущата сметка ще бъде без съществени изменения през 2023</w:t>
      </w:r>
      <w:r w:rsidR="00B552D5">
        <w:rPr>
          <w:szCs w:val="24"/>
        </w:rPr>
        <w:t> г.</w:t>
      </w:r>
      <w:r w:rsidRPr="00333CDF">
        <w:rPr>
          <w:szCs w:val="24"/>
        </w:rPr>
        <w:t xml:space="preserve"> При търговията със стоки, очакваното изпреварващо нарастване на реалния внос спрямо износа, ще бъде компенсирано от положителни условия на търговия</w:t>
      </w:r>
      <w:r>
        <w:rPr>
          <w:szCs w:val="24"/>
        </w:rPr>
        <w:t>. Търговският дефицит ще се повиши в стойностно изражение, но ще има подобрение в отношението спрямо БВП, поради по-силното номиналното нарастване на знаменателя.</w:t>
      </w:r>
      <w:r>
        <w:rPr>
          <w:color w:val="FF0000"/>
          <w:szCs w:val="24"/>
        </w:rPr>
        <w:t xml:space="preserve"> </w:t>
      </w:r>
      <w:r w:rsidRPr="00827952">
        <w:rPr>
          <w:szCs w:val="24"/>
        </w:rPr>
        <w:t xml:space="preserve">Очакваното забавяне на икономическата активност в основните ни партньори и </w:t>
      </w:r>
      <w:r>
        <w:rPr>
          <w:szCs w:val="24"/>
        </w:rPr>
        <w:t>низходящата динамика</w:t>
      </w:r>
      <w:r w:rsidRPr="00827952">
        <w:rPr>
          <w:szCs w:val="24"/>
        </w:rPr>
        <w:t xml:space="preserve"> в цени</w:t>
      </w:r>
      <w:r>
        <w:rPr>
          <w:szCs w:val="24"/>
        </w:rPr>
        <w:t>те</w:t>
      </w:r>
      <w:r w:rsidRPr="00827952">
        <w:rPr>
          <w:szCs w:val="24"/>
        </w:rPr>
        <w:t xml:space="preserve"> ще се отрази и в по-ниски растежи на </w:t>
      </w:r>
      <w:r w:rsidRPr="00827952">
        <w:rPr>
          <w:iCs/>
          <w:szCs w:val="24"/>
        </w:rPr>
        <w:t>приходите от туристически и транспортни услуги. Излишъкът по статията Услуги леко ще се понижи</w:t>
      </w:r>
      <w:r>
        <w:rPr>
          <w:iCs/>
          <w:szCs w:val="24"/>
        </w:rPr>
        <w:t xml:space="preserve"> като процент от БВП, а общото салдо по доходните статии ще остане без промяна. </w:t>
      </w:r>
    </w:p>
    <w:p w14:paraId="7A19F764" w14:textId="307123AA" w:rsidR="00026B20" w:rsidRPr="00153959" w:rsidRDefault="00026B20" w:rsidP="00026B20">
      <w:pPr>
        <w:rPr>
          <w:szCs w:val="24"/>
          <w:lang w:val="en-GB"/>
        </w:rPr>
      </w:pPr>
      <w:r w:rsidRPr="00FE7D48">
        <w:rPr>
          <w:szCs w:val="24"/>
        </w:rPr>
        <w:t>През останалите години от прогнозния период</w:t>
      </w:r>
      <w:r>
        <w:rPr>
          <w:szCs w:val="24"/>
        </w:rPr>
        <w:t xml:space="preserve"> отрицателното салдо на текущата сметка </w:t>
      </w:r>
      <w:r w:rsidRPr="00FE7D48">
        <w:rPr>
          <w:szCs w:val="24"/>
        </w:rPr>
        <w:t>ще се повиши до около 2% от БВП</w:t>
      </w:r>
      <w:r w:rsidRPr="00FE7D48">
        <w:rPr>
          <w:szCs w:val="24"/>
          <w:lang w:val="en-GB"/>
        </w:rPr>
        <w:t xml:space="preserve">. </w:t>
      </w:r>
      <w:r w:rsidRPr="00FE7D48">
        <w:rPr>
          <w:szCs w:val="24"/>
        </w:rPr>
        <w:t xml:space="preserve">По-силното вътрешно търсене ще </w:t>
      </w:r>
      <w:r>
        <w:rPr>
          <w:szCs w:val="24"/>
        </w:rPr>
        <w:t>е причина за</w:t>
      </w:r>
      <w:r w:rsidRPr="00FE7D48">
        <w:rPr>
          <w:szCs w:val="24"/>
        </w:rPr>
        <w:t xml:space="preserve"> изпреварващ </w:t>
      </w:r>
      <w:r>
        <w:rPr>
          <w:szCs w:val="24"/>
        </w:rPr>
        <w:t xml:space="preserve">номинален </w:t>
      </w:r>
      <w:r w:rsidRPr="00FE7D48">
        <w:rPr>
          <w:szCs w:val="24"/>
        </w:rPr>
        <w:t xml:space="preserve">растеж на вноса </w:t>
      </w:r>
      <w:r>
        <w:rPr>
          <w:szCs w:val="24"/>
        </w:rPr>
        <w:t xml:space="preserve">на стоки </w:t>
      </w:r>
      <w:r w:rsidRPr="00FE7D48">
        <w:rPr>
          <w:szCs w:val="24"/>
        </w:rPr>
        <w:t>спрямо износа, въпреки благ</w:t>
      </w:r>
      <w:r>
        <w:rPr>
          <w:szCs w:val="24"/>
        </w:rPr>
        <w:t>оприятните условия на търговия. Очаква се увеличение на търговския дефицит, по-съществено през 2024</w:t>
      </w:r>
      <w:r w:rsidR="00B552D5">
        <w:rPr>
          <w:szCs w:val="24"/>
        </w:rPr>
        <w:t> г.</w:t>
      </w:r>
      <w:r>
        <w:rPr>
          <w:szCs w:val="24"/>
        </w:rPr>
        <w:t xml:space="preserve"> и с минимални изменения през </w:t>
      </w:r>
      <w:r w:rsidR="00B552D5">
        <w:rPr>
          <w:szCs w:val="24"/>
        </w:rPr>
        <w:t>2025–2026 г.</w:t>
      </w:r>
      <w:r>
        <w:rPr>
          <w:szCs w:val="24"/>
        </w:rPr>
        <w:t xml:space="preserve"> Излишъкът по статия </w:t>
      </w:r>
      <w:r w:rsidRPr="00496CE0">
        <w:rPr>
          <w:i/>
          <w:szCs w:val="24"/>
        </w:rPr>
        <w:t>Услуги</w:t>
      </w:r>
      <w:r>
        <w:rPr>
          <w:szCs w:val="24"/>
        </w:rPr>
        <w:t xml:space="preserve"> ще се подобрява през целия период, отразявайки пълното възстановяване на международните пътувания след кризата от </w:t>
      </w:r>
      <w:r>
        <w:rPr>
          <w:szCs w:val="24"/>
          <w:lang w:val="en-GB"/>
        </w:rPr>
        <w:t xml:space="preserve">COVID-19 </w:t>
      </w:r>
      <w:r>
        <w:rPr>
          <w:szCs w:val="24"/>
        </w:rPr>
        <w:t>и постепенното подобрение на външната среда.</w:t>
      </w:r>
    </w:p>
    <w:p w14:paraId="5134AE80" w14:textId="2036BC17" w:rsidR="00026B20" w:rsidRPr="00CE1113" w:rsidRDefault="00026B20" w:rsidP="00026B20">
      <w:pPr>
        <w:pStyle w:val="Caption"/>
      </w:pPr>
      <w:r w:rsidRPr="00CE1113">
        <w:t xml:space="preserve">Граф. </w:t>
      </w:r>
      <w:r w:rsidR="00031455">
        <w:fldChar w:fldCharType="begin"/>
      </w:r>
      <w:r w:rsidR="00031455">
        <w:instrText xml:space="preserve"> STYLEREF 1 \s </w:instrText>
      </w:r>
      <w:r w:rsidR="00031455">
        <w:fldChar w:fldCharType="separate"/>
      </w:r>
      <w:r w:rsidR="00541E16">
        <w:rPr>
          <w:noProof/>
        </w:rPr>
        <w:t>2</w:t>
      </w:r>
      <w:r w:rsidR="00031455">
        <w:rPr>
          <w:noProof/>
        </w:rPr>
        <w:fldChar w:fldCharType="end"/>
      </w:r>
      <w:r w:rsidRPr="00CE1113">
        <w:noBreakHyphen/>
      </w:r>
      <w:r>
        <w:rPr>
          <w:lang w:val="en-US"/>
        </w:rPr>
        <w:t>7</w:t>
      </w:r>
      <w:r w:rsidRPr="00CE1113">
        <w:t xml:space="preserve">: </w:t>
      </w:r>
      <w:r w:rsidR="00B552D5">
        <w:tab/>
      </w:r>
      <w:r w:rsidR="001E2E3D">
        <w:tab/>
      </w:r>
      <w:r w:rsidRPr="00CE1113">
        <w:t>Текуща сметка (% от БВП)</w:t>
      </w:r>
      <w:r w:rsidRPr="002E7603">
        <w:rPr>
          <w:noProof/>
        </w:rPr>
        <w:t xml:space="preserve"> </w:t>
      </w:r>
    </w:p>
    <w:p w14:paraId="6D174DC6" w14:textId="6EDA7520" w:rsidR="00026B20" w:rsidRPr="005B2032" w:rsidRDefault="001F79E4" w:rsidP="00026B20">
      <w:pPr>
        <w:spacing w:after="0" w:line="256" w:lineRule="auto"/>
        <w:rPr>
          <w:rFonts w:ascii="Calibri" w:eastAsia="Calibri" w:hAnsi="Calibri"/>
          <w:sz w:val="18"/>
          <w:lang w:val="en-US" w:eastAsia="en-US"/>
        </w:rPr>
      </w:pPr>
      <w:r w:rsidRPr="002E7603">
        <w:rPr>
          <w:noProof/>
        </w:rPr>
        <mc:AlternateContent>
          <mc:Choice Requires="wps">
            <w:drawing>
              <wp:anchor distT="0" distB="0" distL="114300" distR="114300" simplePos="0" relativeHeight="251669504" behindDoc="1" locked="0" layoutInCell="1" allowOverlap="1" wp14:anchorId="1ABC4949" wp14:editId="581ED22D">
                <wp:simplePos x="0" y="0"/>
                <wp:positionH relativeFrom="margin">
                  <wp:posOffset>3222996</wp:posOffset>
                </wp:positionH>
                <wp:positionV relativeFrom="paragraph">
                  <wp:posOffset>75589</wp:posOffset>
                </wp:positionV>
                <wp:extent cx="2336657" cy="1862922"/>
                <wp:effectExtent l="0" t="0" r="6985" b="4445"/>
                <wp:wrapNone/>
                <wp:docPr id="12" name="Rectangle 12"/>
                <wp:cNvGraphicFramePr/>
                <a:graphic xmlns:a="http://schemas.openxmlformats.org/drawingml/2006/main">
                  <a:graphicData uri="http://schemas.microsoft.com/office/word/2010/wordprocessingShape">
                    <wps:wsp>
                      <wps:cNvSpPr/>
                      <wps:spPr>
                        <a:xfrm>
                          <a:off x="0" y="0"/>
                          <a:ext cx="2336657" cy="1862922"/>
                        </a:xfrm>
                        <a:prstGeom prst="rect">
                          <a:avLst/>
                        </a:prstGeom>
                        <a:solidFill>
                          <a:schemeClr val="bg1">
                            <a:lumMod val="9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B42F17" w14:textId="77777777" w:rsidR="00B2222A" w:rsidRPr="002E7603" w:rsidRDefault="00B2222A" w:rsidP="001F79E4">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wps:txbx>
                      <wps:bodyPr wrap="square" lIns="0" tIns="36000" rIns="0">
                        <a:noAutofit/>
                      </wps:bodyPr>
                    </wps:wsp>
                  </a:graphicData>
                </a:graphic>
                <wp14:sizeRelH relativeFrom="margin">
                  <wp14:pctWidth>0</wp14:pctWidth>
                </wp14:sizeRelH>
                <wp14:sizeRelV relativeFrom="margin">
                  <wp14:pctHeight>0</wp14:pctHeight>
                </wp14:sizeRelV>
              </wp:anchor>
            </w:drawing>
          </mc:Choice>
          <mc:Fallback>
            <w:pict>
              <v:rect w14:anchorId="1ABC4949" id="Rectangle 12" o:spid="_x0000_s1032" style="position:absolute;left:0;text-align:left;margin-left:253.8pt;margin-top:5.95pt;width:184pt;height:146.7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" fillcolor="#f2f2f2 [3052]" stroked="f" strokeweight="1.25pt">
                <v:fill opacity="32896f"/>
                <v:textbox inset="0,1mm,0">
                  <w:txbxContent>
                    <w:p w14:paraId="4CB42F17" w14:textId="77777777" w:rsidR="00B2222A" w:rsidRPr="002E7603" w:rsidRDefault="00B2222A" w:rsidP="001F79E4">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v:textbox>
                <w10:wrap anchorx="margin"/>
              </v:rect>
            </w:pict>
          </mc:Fallback>
        </mc:AlternateContent>
      </w:r>
      <w:r w:rsidR="00026B20">
        <w:rPr>
          <w:noProof/>
        </w:rPr>
        <w:drawing>
          <wp:inline distT="0" distB="0" distL="0" distR="0" wp14:anchorId="76424BA4" wp14:editId="2E5F4194">
            <wp:extent cx="5760000" cy="2520000"/>
            <wp:effectExtent l="0" t="0" r="0" b="0"/>
            <wp:docPr id="2" name="Chart 2">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026B20" w:rsidRPr="002E7603">
        <w:rPr>
          <w:noProof/>
        </w:rPr>
        <w:t xml:space="preserve"> </w:t>
      </w:r>
    </w:p>
    <w:p w14:paraId="320F86A3" w14:textId="77777777" w:rsidR="00026B20" w:rsidRPr="00CE1113" w:rsidRDefault="00026B20" w:rsidP="00026B20">
      <w:pPr>
        <w:pStyle w:val="a"/>
      </w:pPr>
      <w:r w:rsidRPr="00CE1113">
        <w:t>Източник: БНБ, НСИ, МФ</w:t>
      </w:r>
    </w:p>
    <w:p w14:paraId="18ACEFA9" w14:textId="33B5D448" w:rsidR="00026B20" w:rsidRPr="005B2032" w:rsidRDefault="00026B20" w:rsidP="00026B20">
      <w:pPr>
        <w:rPr>
          <w:lang w:val="en-US"/>
        </w:rPr>
      </w:pPr>
      <w:r w:rsidRPr="005B2032">
        <w:t>През 202</w:t>
      </w:r>
      <w:r>
        <w:t>2</w:t>
      </w:r>
      <w:r w:rsidR="00B552D5">
        <w:t> г.</w:t>
      </w:r>
      <w:r w:rsidRPr="005B2032">
        <w:t xml:space="preserve"> потокът на </w:t>
      </w:r>
      <w:r>
        <w:t>активите</w:t>
      </w:r>
      <w:r w:rsidRPr="005B2032">
        <w:t xml:space="preserve"> по финансовата сметка</w:t>
      </w:r>
      <w:r w:rsidRPr="005B2032">
        <w:rPr>
          <w:vertAlign w:val="superscript"/>
        </w:rPr>
        <w:footnoteReference w:id="9"/>
      </w:r>
      <w:r w:rsidRPr="005B2032">
        <w:t xml:space="preserve"> надвиши този на </w:t>
      </w:r>
      <w:r>
        <w:t>пасивите</w:t>
      </w:r>
      <w:r w:rsidRPr="005B2032">
        <w:t xml:space="preserve"> с </w:t>
      </w:r>
      <w:r>
        <w:t>689.2</w:t>
      </w:r>
      <w:r w:rsidRPr="005B2032">
        <w:t xml:space="preserve"> млн. евро. Годишните входящи потоци по </w:t>
      </w:r>
      <w:r>
        <w:t>преките чуждестранни инвестиции (</w:t>
      </w:r>
      <w:r w:rsidRPr="005B2032">
        <w:t>ПЧИ</w:t>
      </w:r>
      <w:r>
        <w:t>)</w:t>
      </w:r>
      <w:r w:rsidRPr="005B2032">
        <w:t xml:space="preserve"> достигнаха </w:t>
      </w:r>
      <w:r>
        <w:t>3 млрд. евро или 3</w:t>
      </w:r>
      <w:r w:rsidRPr="005B2032">
        <w:t xml:space="preserve">.6% от БВП. </w:t>
      </w:r>
      <w:r>
        <w:t>Преобладаващ дял от</w:t>
      </w:r>
      <w:r w:rsidRPr="005B2032">
        <w:t xml:space="preserve"> входящи</w:t>
      </w:r>
      <w:r>
        <w:t>те</w:t>
      </w:r>
      <w:r w:rsidRPr="005B2032">
        <w:t xml:space="preserve"> ПЧИ в страната бе под формата на реинвестирана печалба</w:t>
      </w:r>
      <w:r w:rsidRPr="005B2032">
        <w:rPr>
          <w:lang w:val="en-US"/>
        </w:rPr>
        <w:t xml:space="preserve"> </w:t>
      </w:r>
      <w:r w:rsidRPr="005B2032">
        <w:t xml:space="preserve">от компаниите-майки към местните дружества. </w:t>
      </w:r>
    </w:p>
    <w:p w14:paraId="122C291A" w14:textId="12352F13" w:rsidR="00013BCD" w:rsidRPr="005B2032" w:rsidRDefault="00026B20" w:rsidP="00515861">
      <w:pPr>
        <w:rPr>
          <w:rFonts w:asciiTheme="minorHAnsi" w:hAnsiTheme="minorHAnsi" w:cstheme="minorHAnsi"/>
        </w:rPr>
      </w:pPr>
      <w:r w:rsidRPr="00987D6A">
        <w:t>В целия прогнозен период се очаква нарастване на ПЧИ</w:t>
      </w:r>
      <w:r>
        <w:t>, като т</w:t>
      </w:r>
      <w:r w:rsidRPr="00987D6A">
        <w:t xml:space="preserve">емпът ще е близък до </w:t>
      </w:r>
      <w:r>
        <w:t>общата икономическа активност и, съответно, съотношението на ПЧИ към БВП ще се запази в диапазона 3.6-3.8%</w:t>
      </w:r>
      <w:r w:rsidRPr="00987D6A">
        <w:t>.</w:t>
      </w:r>
      <w:r w:rsidR="0005652B">
        <w:rPr>
          <w:highlight w:val="yellow"/>
        </w:rPr>
        <w:t xml:space="preserve"> </w:t>
      </w:r>
      <w:r w:rsidR="00BD2C3E">
        <w:t xml:space="preserve"> </w:t>
      </w:r>
    </w:p>
    <w:p w14:paraId="43317CDF" w14:textId="77777777" w:rsidR="0040503E" w:rsidRPr="004018C2" w:rsidRDefault="002F3E21" w:rsidP="00B552D5">
      <w:pPr>
        <w:pStyle w:val="Heading3"/>
      </w:pPr>
      <w:r w:rsidRPr="004018C2">
        <w:lastRenderedPageBreak/>
        <w:t>Паричен и финансов сектор</w:t>
      </w:r>
    </w:p>
    <w:p w14:paraId="2B782D1A" w14:textId="77777777" w:rsidR="00A332B1" w:rsidRDefault="00A332B1" w:rsidP="00A332B1">
      <w:pPr>
        <w:pStyle w:val="a5"/>
        <w:spacing w:before="0" w:after="120" w:line="240" w:lineRule="auto"/>
        <w:ind w:firstLine="0"/>
        <w:rPr>
          <w:szCs w:val="24"/>
        </w:rPr>
      </w:pPr>
      <w:r>
        <w:rPr>
          <w:szCs w:val="24"/>
        </w:rPr>
        <w:t xml:space="preserve">Основната цел на паричната политика в България е поддържане на ценовата стабилност чрез осигуряване стабилността на националната парична единица. Постигането на тази цел се осъществява чрез режим на паричен съвет с фиксиран валутен курс на националната валута към еврото. </w:t>
      </w:r>
    </w:p>
    <w:p w14:paraId="3C6707BA" w14:textId="35453F2C" w:rsidR="00A332B1" w:rsidRDefault="00A332B1" w:rsidP="006F79F8">
      <w:pPr>
        <w:rPr>
          <w:color w:val="FF0000"/>
          <w:lang w:val="en-US"/>
        </w:rPr>
      </w:pPr>
      <w:r>
        <w:t>Към края на декември 202</w:t>
      </w:r>
      <w:r>
        <w:rPr>
          <w:lang w:val="en-US"/>
        </w:rPr>
        <w:t>2</w:t>
      </w:r>
      <w:r w:rsidR="00B552D5">
        <w:t> г.</w:t>
      </w:r>
      <w:r>
        <w:t xml:space="preserve"> пазарната стойност на международните валутни резерви на България – актив по баланса на управление „Емисионно“</w:t>
      </w:r>
      <w:r>
        <w:rPr>
          <w:rStyle w:val="FootnoteReference"/>
          <w:szCs w:val="24"/>
        </w:rPr>
        <w:footnoteReference w:id="10"/>
      </w:r>
      <w:r>
        <w:t xml:space="preserve"> на Българската народна банка (БНБ) възлезе на 38.4 млрд. евро (45.4% от БВП), като отбеляза нарастване с 3.8 млрд. евро на годишна база. Съгласно принципите на функциониране на паричния съвет</w:t>
      </w:r>
      <w:r>
        <w:rPr>
          <w:lang w:val="en-US"/>
        </w:rPr>
        <w:t xml:space="preserve">, </w:t>
      </w:r>
      <w:r>
        <w:t>динамиката на международните валутни резерви съответстваше на нарастването на балансовата стойност на пасивите на управление „Емисионно“. С основен принос за по-високия размер на пасивите на управление „Емисионно“ в края на 2022</w:t>
      </w:r>
      <w:r w:rsidR="00B552D5">
        <w:t> г.</w:t>
      </w:r>
      <w:r>
        <w:t xml:space="preserve"> спрямо декември 2021</w:t>
      </w:r>
      <w:r w:rsidR="00B552D5">
        <w:t> г.</w:t>
      </w:r>
      <w:r>
        <w:t xml:space="preserve"> бяха повишението на банкнотите и монетите в обращение, задълженията към банки и задълженията към правителството и други бюджетни организации. Към края на декември 2022</w:t>
      </w:r>
      <w:r w:rsidR="00B552D5">
        <w:t> г.</w:t>
      </w:r>
      <w:r>
        <w:t xml:space="preserve"> валутните резерви осигуряваха покритие на 8.0 месеца внос на стоки и нефакторни услуги, а съотношението им към краткосрочния външен дълг на страната възлезе на 438.4%. Към края на февруари 2023</w:t>
      </w:r>
      <w:r w:rsidR="00B552D5">
        <w:t> г.</w:t>
      </w:r>
      <w:r>
        <w:t xml:space="preserve"> международните валутни резерви възлязоха на 36.4 млрд. евро, като отбелязаха повишение с 5.4 млрд. евро спрямо февруари 2022</w:t>
      </w:r>
      <w:r w:rsidR="00B552D5">
        <w:t> г.</w:t>
      </w:r>
    </w:p>
    <w:p w14:paraId="57A036C5" w14:textId="097E69AC" w:rsidR="00A332B1" w:rsidRDefault="00A332B1" w:rsidP="00A332B1">
      <w:pPr>
        <w:pStyle w:val="a5"/>
        <w:spacing w:before="0" w:after="120" w:line="240" w:lineRule="auto"/>
        <w:ind w:firstLine="0"/>
      </w:pPr>
      <w:r>
        <w:t>През 2022</w:t>
      </w:r>
      <w:r w:rsidR="00B552D5">
        <w:t> г.</w:t>
      </w:r>
      <w:r>
        <w:t xml:space="preserve"> годишният растеж на депозитите на неправителствения сектор следваше възходяща динамика, като в края на годината достигна 14.3% (9.1% през декември 2021</w:t>
      </w:r>
      <w:r w:rsidR="00B552D5">
        <w:t> г.</w:t>
      </w:r>
      <w:r>
        <w:t>). За наблюдаваната тенденция допринесоха депозитите на нефинансовите предприятия, които в края на 2022</w:t>
      </w:r>
      <w:r w:rsidR="00B552D5">
        <w:t> г.</w:t>
      </w:r>
      <w:r>
        <w:t xml:space="preserve"> се повишиха с 26.6% на годишна база (8.5% към края на 2021</w:t>
      </w:r>
      <w:r w:rsidR="00B552D5">
        <w:t> г.</w:t>
      </w:r>
      <w:r>
        <w:t>). Основен принос за растежа на депозитите на нефинансовите предприятия в края на годината имаха секторите на търговията и на преработващата промишленост. Нарастването на номиналните обороти в сектора на търговията и на номиналния брутен опериращ излишък в промишлеността допринесоха за силния растеж на фирмените депозити. Допълнителен фактор за ускорения растеж на депозитите през годината бе слабата инвестиционна активност, която беше предпоставка за съхранение на</w:t>
      </w:r>
      <w:r w:rsidR="0005652B">
        <w:t xml:space="preserve"> </w:t>
      </w:r>
      <w:r>
        <w:t>свободните</w:t>
      </w:r>
      <w:r w:rsidR="0005652B">
        <w:t xml:space="preserve"> </w:t>
      </w:r>
      <w:r>
        <w:t>ресурси на фирмите под формата на депозити. Тенденцията на забавяне на растежа на депозитите на домакинствата, наблюдавана в края на 2021</w:t>
      </w:r>
      <w:r w:rsidR="00B552D5">
        <w:t> г.</w:t>
      </w:r>
      <w:r>
        <w:t xml:space="preserve"> и началото на 2022</w:t>
      </w:r>
      <w:r w:rsidR="00B552D5">
        <w:t> г.</w:t>
      </w:r>
      <w:r>
        <w:t>, бе преустановена и от третото тримесечие растежът им се ускори, като достигна 8.3% в края на годината. Отмяната на таксата за поддържане на парични наличности над определен размер от страна на големите търговски банки от третото тримесечие на 2022</w:t>
      </w:r>
      <w:r w:rsidR="00B552D5">
        <w:t> г.</w:t>
      </w:r>
      <w:r>
        <w:t xml:space="preserve"> е потенциален фактор за по-силния темп на нарастване на депозитите на домакинствата в края на годината.</w:t>
      </w:r>
      <w:r w:rsidR="0005652B">
        <w:t xml:space="preserve"> </w:t>
      </w:r>
    </w:p>
    <w:p w14:paraId="3862195B" w14:textId="0D3F980C" w:rsidR="00A332B1" w:rsidRDefault="00A332B1" w:rsidP="001E2E3D">
      <w:r>
        <w:t>Към декември 2022</w:t>
      </w:r>
      <w:r w:rsidR="00B552D5">
        <w:t> г.</w:t>
      </w:r>
      <w:r>
        <w:t xml:space="preserve"> широкият паричен агрегат </w:t>
      </w:r>
      <w:r>
        <w:rPr>
          <w:lang w:val="en-US"/>
        </w:rPr>
        <w:t xml:space="preserve">M3 </w:t>
      </w:r>
      <w:r>
        <w:t>отбеляза годишен растеж от 13.2% (10.7% в края на 2021</w:t>
      </w:r>
      <w:r w:rsidR="00B552D5">
        <w:t> г.</w:t>
      </w:r>
      <w:r>
        <w:t>), като основен принос за него имаха овърнайт депозитите. При депозитите с договорен матуритет до 2 години се наблюдаваше постепенно свиване на отрицателния принос, по-силно изразено през последното тримесечие. Към февруари 2023</w:t>
      </w:r>
      <w:r w:rsidR="00B552D5">
        <w:t> г.</w:t>
      </w:r>
      <w:r>
        <w:t xml:space="preserve"> годишният темп на нарастване на депозитите на неправителствения сектор възлезе на 14.3%, а този на широките пари – на 13.1%. </w:t>
      </w:r>
    </w:p>
    <w:p w14:paraId="26738037" w14:textId="16616789" w:rsidR="00A332B1" w:rsidRDefault="00A332B1" w:rsidP="001E2E3D">
      <w:r>
        <w:t>Годишният растеж на кредита за нефинансовите предприятия и домакинствата се запази висок през 2022</w:t>
      </w:r>
      <w:r w:rsidR="00B552D5">
        <w:t> г.</w:t>
      </w:r>
      <w:r>
        <w:t xml:space="preserve"> под влияние на силно отрицателните нива на реалните лихвени проценти, значителния обем на привлечените средства и високата ликвидност в банковата </w:t>
      </w:r>
      <w:r>
        <w:lastRenderedPageBreak/>
        <w:t>система. Растежът на кредита за нефинансовите предприятия следваше тенденция на ускорение през първите осем месеца на годината, за която допринесе силното търсене на финансов ресурс за оборотни средства и натрупване на запаси поради значителното поскъпване на основни суровини и материали, затруднения във веригите за доставки и повишена несигурност в икономическата среда. Отчетеният спад на запасите в икономиката след високите нива, достигнати през първата половина на 2022</w:t>
      </w:r>
      <w:r w:rsidR="00B552D5">
        <w:t> г.</w:t>
      </w:r>
      <w:r>
        <w:t>, повлия за известно понижаване на растежа на фирмените кредити през последните месеци на годината и той възлезе на 10.4% през декември (4.6% през декември 2021</w:t>
      </w:r>
      <w:r w:rsidR="00B552D5">
        <w:t> г.</w:t>
      </w:r>
      <w:r>
        <w:t>). По-високият растеж на заплатите спрямо инфлацията и отрицателните реални лихвени проценти стимулираха търсенето на потребителски и жилищни кредити, като растежът на жилищните кредити остана на високи нива през цялата година, а при потребителските кредити растежът се забави слабо в края на 2022</w:t>
      </w:r>
      <w:r w:rsidR="00B552D5">
        <w:t> г.</w:t>
      </w:r>
      <w:r>
        <w:t xml:space="preserve"> За високия растеж на жилищните кредити (17.8% към декември 2022</w:t>
      </w:r>
      <w:r w:rsidR="00B552D5">
        <w:t> г.</w:t>
      </w:r>
      <w:r>
        <w:t xml:space="preserve"> спрямо 16.5% в края на 2021</w:t>
      </w:r>
      <w:r w:rsidR="00B552D5">
        <w:t> г.</w:t>
      </w:r>
      <w:r>
        <w:t>) оказаха влияние и запазващите се предпочитания на домакинствата за покупка на недвижими имоти като алтернативна форма на спестявания или инвестиция. През декември 2022</w:t>
      </w:r>
      <w:r w:rsidR="00B552D5">
        <w:t> г.</w:t>
      </w:r>
      <w:r>
        <w:t xml:space="preserve"> при потребителските кредити бе отчетено нарастване с 12.4% на годишна база (12.2% в края на 2021</w:t>
      </w:r>
      <w:r w:rsidR="00B552D5">
        <w:t> г.</w:t>
      </w:r>
      <w:r>
        <w:t>). Към февруари 2023</w:t>
      </w:r>
      <w:r w:rsidR="00B552D5">
        <w:t> г.</w:t>
      </w:r>
      <w:r>
        <w:t xml:space="preserve"> годишният растеж на кредита за нефинансови предприятия се забави допълнително до 8.7%, растежът на потребителските кредити остана на ниво от 12.3%, а този на жилищните кредити се ускори до 18.1% на годишна база.</w:t>
      </w:r>
    </w:p>
    <w:p w14:paraId="380A94C0" w14:textId="724F1C3C" w:rsidR="00A332B1" w:rsidRDefault="00A332B1" w:rsidP="00A332B1">
      <w:pPr>
        <w:autoSpaceDE w:val="0"/>
        <w:autoSpaceDN w:val="0"/>
        <w:adjustRightInd w:val="0"/>
        <w:rPr>
          <w:szCs w:val="24"/>
        </w:rPr>
      </w:pPr>
      <w:r>
        <w:rPr>
          <w:szCs w:val="24"/>
        </w:rPr>
        <w:t xml:space="preserve">В условията на функциониращия в страната паричния съвет започналото увеличение на основните лихвени проценти от страна на </w:t>
      </w:r>
      <w:r w:rsidR="00213F2A">
        <w:rPr>
          <w:szCs w:val="24"/>
        </w:rPr>
        <w:t>Европейската централна банка (</w:t>
      </w:r>
      <w:r>
        <w:rPr>
          <w:szCs w:val="24"/>
        </w:rPr>
        <w:t>ЕЦБ</w:t>
      </w:r>
      <w:r w:rsidR="00213F2A">
        <w:rPr>
          <w:szCs w:val="24"/>
        </w:rPr>
        <w:t>)</w:t>
      </w:r>
      <w:r>
        <w:rPr>
          <w:szCs w:val="24"/>
        </w:rPr>
        <w:t xml:space="preserve"> през втората половина на 2022</w:t>
      </w:r>
      <w:r w:rsidR="00B552D5">
        <w:rPr>
          <w:szCs w:val="24"/>
        </w:rPr>
        <w:t> г.</w:t>
      </w:r>
      <w:r>
        <w:rPr>
          <w:szCs w:val="24"/>
        </w:rPr>
        <w:t xml:space="preserve"> беше пренесено бързо върху лихвените проценти по сключените сделки на междубанковия паричен пазар. Същевременно поради запазващия се значителен приток на привлечени ресурси, висока ликвидност и конкуренция в банковия сектор пренасянето на промените в паричната политика на ЕЦБ към лихвените проценти по депозитите и кредитите в България бе силно ограничено. От достигнатите ниски в исторически план нива, през втората половина на 2022</w:t>
      </w:r>
      <w:r w:rsidR="00B552D5">
        <w:rPr>
          <w:szCs w:val="24"/>
        </w:rPr>
        <w:t> г.</w:t>
      </w:r>
      <w:r>
        <w:rPr>
          <w:szCs w:val="24"/>
        </w:rPr>
        <w:t xml:space="preserve"> лихвените проценти по новите</w:t>
      </w:r>
      <w:r>
        <w:rPr>
          <w:rStyle w:val="FootnoteReference"/>
          <w:szCs w:val="24"/>
        </w:rPr>
        <w:footnoteReference w:id="11"/>
      </w:r>
      <w:r>
        <w:rPr>
          <w:szCs w:val="24"/>
        </w:rPr>
        <w:t xml:space="preserve"> срочни депозити за домакинствата и нефинансовите предприятия започнаха слабо да се повишават, като към декември 2022</w:t>
      </w:r>
      <w:r w:rsidR="00B552D5">
        <w:rPr>
          <w:szCs w:val="24"/>
        </w:rPr>
        <w:t> г.</w:t>
      </w:r>
      <w:r>
        <w:rPr>
          <w:szCs w:val="24"/>
        </w:rPr>
        <w:t xml:space="preserve"> достигнаха съответно 0.94% и 1.05% (при нива съответно от 0.12% и -0.41% през юни 2022</w:t>
      </w:r>
      <w:r w:rsidR="00B552D5">
        <w:rPr>
          <w:szCs w:val="24"/>
        </w:rPr>
        <w:t> г.</w:t>
      </w:r>
      <w:r>
        <w:rPr>
          <w:szCs w:val="24"/>
        </w:rPr>
        <w:t xml:space="preserve"> ). В началото на 2023</w:t>
      </w:r>
      <w:r w:rsidR="00B552D5">
        <w:rPr>
          <w:szCs w:val="24"/>
        </w:rPr>
        <w:t> г.</w:t>
      </w:r>
      <w:r>
        <w:rPr>
          <w:szCs w:val="24"/>
        </w:rPr>
        <w:t xml:space="preserve"> при лихвения процент по новoдоговорените срочни депозити на нефинансовите предприятия бе отчетено допълнително повишение до 1.29% през февруари, докато при домакинствата лихвеният процент се понижи до 0.69%. През първите осем месеца на 2022</w:t>
      </w:r>
      <w:r w:rsidR="00B552D5">
        <w:rPr>
          <w:szCs w:val="24"/>
        </w:rPr>
        <w:t> г.</w:t>
      </w:r>
      <w:r>
        <w:rPr>
          <w:szCs w:val="24"/>
        </w:rPr>
        <w:t xml:space="preserve"> продължи да се наблюдава тенденция на слабо понижение на лихвените проценти по новоотпуснатите кредити на фирмите и домакинствата. В периода септември – декември се наблюдаваше покачване на лихвените проценти при кредитите за предприятия и при потребителските кредити за домакинствата, докато при жилищните кредити повишението бе незначително. Към февруари 2023</w:t>
      </w:r>
      <w:r w:rsidR="00B552D5">
        <w:rPr>
          <w:szCs w:val="24"/>
        </w:rPr>
        <w:t> г.</w:t>
      </w:r>
      <w:r>
        <w:rPr>
          <w:szCs w:val="24"/>
        </w:rPr>
        <w:t xml:space="preserve"> лихвените проценти по нови фирмени, потребителски и жилищни кредити възлязоха съответно на 3.71%, 8.32% и 2.72% (при нива от 2.30%, 8.22% и 2.51% през август 2022</w:t>
      </w:r>
      <w:r w:rsidR="00B552D5">
        <w:rPr>
          <w:szCs w:val="24"/>
        </w:rPr>
        <w:t> г.</w:t>
      </w:r>
      <w:r>
        <w:rPr>
          <w:szCs w:val="24"/>
        </w:rPr>
        <w:t>).</w:t>
      </w:r>
      <w:r w:rsidR="0005652B">
        <w:rPr>
          <w:szCs w:val="24"/>
        </w:rPr>
        <w:t xml:space="preserve"> </w:t>
      </w:r>
    </w:p>
    <w:p w14:paraId="08F94A44" w14:textId="1FDD37D9" w:rsidR="00A332B1" w:rsidRDefault="00A332B1" w:rsidP="00A332B1">
      <w:pPr>
        <w:autoSpaceDE w:val="0"/>
        <w:autoSpaceDN w:val="0"/>
        <w:adjustRightInd w:val="0"/>
        <w:rPr>
          <w:szCs w:val="24"/>
          <w:lang w:val="en-US"/>
        </w:rPr>
      </w:pPr>
      <w:r>
        <w:rPr>
          <w:szCs w:val="24"/>
        </w:rPr>
        <w:t>През 2022</w:t>
      </w:r>
      <w:r w:rsidR="00B552D5">
        <w:rPr>
          <w:szCs w:val="24"/>
        </w:rPr>
        <w:t> г.</w:t>
      </w:r>
      <w:r>
        <w:rPr>
          <w:szCs w:val="24"/>
        </w:rPr>
        <w:t xml:space="preserve"> бе отчетено ускорение на годишния растеж на кредитите и на общите активи на банковия сектор, като същевременно продължи намалението на необслужваните кредити и аванси в балансите на банките. Общият размер на рисковите експозиции се увеличи, докато равнищата на капиталовите съотношения на банковия сектор останаха значително над минималните регулаторни изисквания и изискванията за капиталови буфери. Ликвидната позиция на банковия сектор остана стабилна.</w:t>
      </w:r>
      <w:r>
        <w:rPr>
          <w:rStyle w:val="FootnoteReference"/>
          <w:szCs w:val="24"/>
        </w:rPr>
        <w:footnoteReference w:id="12"/>
      </w:r>
    </w:p>
    <w:p w14:paraId="5EA2D53D" w14:textId="665E3FC8" w:rsidR="00A332B1" w:rsidRDefault="00A332B1" w:rsidP="00A332B1">
      <w:pPr>
        <w:autoSpaceDE w:val="0"/>
        <w:autoSpaceDN w:val="0"/>
        <w:adjustRightInd w:val="0"/>
        <w:rPr>
          <w:szCs w:val="24"/>
          <w:lang w:val="en-US"/>
        </w:rPr>
      </w:pPr>
      <w:r>
        <w:rPr>
          <w:szCs w:val="24"/>
        </w:rPr>
        <w:lastRenderedPageBreak/>
        <w:t>За намаляването на размера на необслужваните кредити и аванси и на дела им в общите кредити и аванси</w:t>
      </w:r>
      <w:r>
        <w:rPr>
          <w:szCs w:val="24"/>
          <w:lang w:val="en-US"/>
        </w:rPr>
        <w:t xml:space="preserve"> </w:t>
      </w:r>
      <w:r>
        <w:rPr>
          <w:szCs w:val="24"/>
        </w:rPr>
        <w:t>през 2022</w:t>
      </w:r>
      <w:r w:rsidR="00B552D5">
        <w:rPr>
          <w:szCs w:val="24"/>
          <w:lang w:val="en-US"/>
        </w:rPr>
        <w:t> г.</w:t>
      </w:r>
      <w:r>
        <w:rPr>
          <w:szCs w:val="24"/>
        </w:rPr>
        <w:t xml:space="preserve"> допринесоха както операциите на банките по отписвания и продажби на необслужвани кредити, така и нарастването на обема на кредитния портфейл.</w:t>
      </w:r>
      <w:r>
        <w:rPr>
          <w:szCs w:val="24"/>
          <w:lang w:val="en-US"/>
        </w:rPr>
        <w:t xml:space="preserve"> </w:t>
      </w:r>
      <w:r>
        <w:rPr>
          <w:szCs w:val="24"/>
        </w:rPr>
        <w:t xml:space="preserve">Брутните необслужвани кредити и аванси в банковата система намаляха с </w:t>
      </w:r>
      <w:r>
        <w:rPr>
          <w:szCs w:val="24"/>
          <w:lang w:val="en-US"/>
        </w:rPr>
        <w:t>9.0</w:t>
      </w:r>
      <w:r>
        <w:rPr>
          <w:szCs w:val="24"/>
        </w:rPr>
        <w:t xml:space="preserve">%, като в края на годината възлязоха на </w:t>
      </w:r>
      <w:r>
        <w:rPr>
          <w:szCs w:val="24"/>
          <w:lang w:val="en-US"/>
        </w:rPr>
        <w:t>4.4</w:t>
      </w:r>
      <w:r>
        <w:rPr>
          <w:szCs w:val="24"/>
        </w:rPr>
        <w:t xml:space="preserve"> млрд. лв. Брутната сума на всички необслужвани експозиции</w:t>
      </w:r>
      <w:r>
        <w:rPr>
          <w:rStyle w:val="FootnoteReference"/>
          <w:szCs w:val="24"/>
        </w:rPr>
        <w:footnoteReference w:id="13"/>
      </w:r>
      <w:r>
        <w:rPr>
          <w:szCs w:val="24"/>
        </w:rPr>
        <w:t xml:space="preserve"> бе </w:t>
      </w:r>
      <w:r>
        <w:rPr>
          <w:szCs w:val="24"/>
          <w:lang w:val="en-US"/>
        </w:rPr>
        <w:t>4.6</w:t>
      </w:r>
      <w:r>
        <w:rPr>
          <w:szCs w:val="24"/>
        </w:rPr>
        <w:t xml:space="preserve"> млрд. лв., а нейният дял – </w:t>
      </w:r>
      <w:r>
        <w:rPr>
          <w:szCs w:val="24"/>
          <w:lang w:val="en-US"/>
        </w:rPr>
        <w:t>3.1</w:t>
      </w:r>
      <w:r>
        <w:rPr>
          <w:szCs w:val="24"/>
        </w:rPr>
        <w:t>% от общите брутни експозиции (при размер от 4.9 млрд. лв.</w:t>
      </w:r>
      <w:r>
        <w:rPr>
          <w:szCs w:val="24"/>
          <w:lang w:val="en-US"/>
        </w:rPr>
        <w:t xml:space="preserve"> </w:t>
      </w:r>
      <w:r>
        <w:rPr>
          <w:szCs w:val="24"/>
        </w:rPr>
        <w:t>и дял от 3.8% към 31 декември 2021</w:t>
      </w:r>
      <w:r w:rsidR="00B552D5">
        <w:rPr>
          <w:szCs w:val="24"/>
        </w:rPr>
        <w:t> г.</w:t>
      </w:r>
      <w:r>
        <w:rPr>
          <w:szCs w:val="24"/>
        </w:rPr>
        <w:t>). Според „стеснения обхват“ (прилаган от юни 2020</w:t>
      </w:r>
      <w:r w:rsidR="00B552D5">
        <w:rPr>
          <w:szCs w:val="24"/>
        </w:rPr>
        <w:t> г.</w:t>
      </w:r>
      <w:r>
        <w:rPr>
          <w:szCs w:val="24"/>
        </w:rPr>
        <w:t xml:space="preserve"> с Регламент на ЕС</w:t>
      </w:r>
      <w:r>
        <w:rPr>
          <w:rStyle w:val="FootnoteReference"/>
          <w:szCs w:val="24"/>
        </w:rPr>
        <w:footnoteReference w:id="14"/>
      </w:r>
      <w:r>
        <w:rPr>
          <w:szCs w:val="24"/>
        </w:rPr>
        <w:t>) размерът на брутните кредити и аванси в банковата система в края на 2022</w:t>
      </w:r>
      <w:r w:rsidR="00B552D5">
        <w:rPr>
          <w:szCs w:val="24"/>
        </w:rPr>
        <w:t> г.</w:t>
      </w:r>
      <w:r>
        <w:rPr>
          <w:szCs w:val="24"/>
        </w:rPr>
        <w:t xml:space="preserve"> възлезе на 96.1 млрд. лв., като изчисленото на тази база съотношение на необслужваните кредити се понижи до 4.6% (5.9% в края на 2021</w:t>
      </w:r>
      <w:r w:rsidR="00B552D5">
        <w:rPr>
          <w:szCs w:val="24"/>
        </w:rPr>
        <w:t> г.</w:t>
      </w:r>
      <w:r>
        <w:rPr>
          <w:szCs w:val="24"/>
        </w:rPr>
        <w:t>)</w:t>
      </w:r>
      <w:r>
        <w:rPr>
          <w:szCs w:val="24"/>
          <w:lang w:val="en-US"/>
        </w:rPr>
        <w:t xml:space="preserve">. </w:t>
      </w:r>
      <w:r>
        <w:rPr>
          <w:szCs w:val="24"/>
        </w:rPr>
        <w:t>Според така наречения „широк обхват“</w:t>
      </w:r>
      <w:r>
        <w:rPr>
          <w:rStyle w:val="FootnoteReference"/>
          <w:szCs w:val="24"/>
        </w:rPr>
        <w:footnoteReference w:id="15"/>
      </w:r>
      <w:r>
        <w:rPr>
          <w:szCs w:val="24"/>
        </w:rPr>
        <w:t xml:space="preserve"> (включващ и „парични салда при централни банки и други депозити на виждане“) общият размер на брутните кредити и аванси в края на 2022</w:t>
      </w:r>
      <w:r w:rsidR="00B552D5">
        <w:rPr>
          <w:szCs w:val="24"/>
        </w:rPr>
        <w:t> г.</w:t>
      </w:r>
      <w:r>
        <w:rPr>
          <w:szCs w:val="24"/>
        </w:rPr>
        <w:t xml:space="preserve"> възлезе на 125.3 млрд. лв., като отбеляза нарастване с 16.2% на годишна база. Изчисленото съотношение на необслужваните кредити въз основа на „широкия обхват“ се понижи до 3.5% в края на 2022</w:t>
      </w:r>
      <w:r w:rsidR="00B552D5">
        <w:rPr>
          <w:szCs w:val="24"/>
        </w:rPr>
        <w:t> г.</w:t>
      </w:r>
      <w:r>
        <w:rPr>
          <w:szCs w:val="24"/>
        </w:rPr>
        <w:t xml:space="preserve"> (4.5% към края на декември 2021</w:t>
      </w:r>
      <w:r w:rsidR="00B552D5">
        <w:rPr>
          <w:szCs w:val="24"/>
        </w:rPr>
        <w:t> г.</w:t>
      </w:r>
      <w:r>
        <w:rPr>
          <w:szCs w:val="24"/>
        </w:rPr>
        <w:t>). Нетната стойност на необслужваните кредити и аванси</w:t>
      </w:r>
      <w:r>
        <w:rPr>
          <w:rStyle w:val="FootnoteReference"/>
          <w:szCs w:val="24"/>
        </w:rPr>
        <w:footnoteReference w:id="16"/>
      </w:r>
      <w:r>
        <w:rPr>
          <w:szCs w:val="24"/>
        </w:rPr>
        <w:t xml:space="preserve"> в края на декември 2022</w:t>
      </w:r>
      <w:r w:rsidR="00B552D5">
        <w:rPr>
          <w:szCs w:val="24"/>
        </w:rPr>
        <w:t> г.</w:t>
      </w:r>
      <w:r>
        <w:rPr>
          <w:szCs w:val="24"/>
        </w:rPr>
        <w:t xml:space="preserve"> възлезе на 2.3</w:t>
      </w:r>
      <w:r>
        <w:rPr>
          <w:szCs w:val="24"/>
          <w:lang w:val="en-US"/>
        </w:rPr>
        <w:t xml:space="preserve"> </w:t>
      </w:r>
      <w:r>
        <w:rPr>
          <w:szCs w:val="24"/>
        </w:rPr>
        <w:t>млрд. лв. Тази стойност представлява потенциалния остатъчен кредитен риск в баланса на банковата система, който остава изцяло покрит с превишението на капитала над капиталовите изисквания и приложимите капиталови буфери. Спрямо края на 2021</w:t>
      </w:r>
      <w:r w:rsidR="00B552D5">
        <w:rPr>
          <w:szCs w:val="24"/>
        </w:rPr>
        <w:t> г.</w:t>
      </w:r>
      <w:r>
        <w:rPr>
          <w:szCs w:val="24"/>
        </w:rPr>
        <w:t xml:space="preserve"> нетната стойност на необслужваните кредити и аванси в стеснения обхват намаля с 11.3%, а съотношението ѝ спрямо нетните кредити и аванси в края на декември 2022</w:t>
      </w:r>
      <w:r w:rsidR="00B552D5">
        <w:rPr>
          <w:szCs w:val="24"/>
        </w:rPr>
        <w:t> г.</w:t>
      </w:r>
      <w:r>
        <w:rPr>
          <w:szCs w:val="24"/>
        </w:rPr>
        <w:t xml:space="preserve"> възлезе на 2.4% </w:t>
      </w:r>
      <w:r>
        <w:rPr>
          <w:szCs w:val="24"/>
          <w:lang w:val="en-US"/>
        </w:rPr>
        <w:t>(</w:t>
      </w:r>
      <w:r>
        <w:rPr>
          <w:szCs w:val="24"/>
        </w:rPr>
        <w:t>3.2% в края на декември 2021</w:t>
      </w:r>
      <w:r w:rsidR="00B552D5">
        <w:rPr>
          <w:szCs w:val="24"/>
        </w:rPr>
        <w:t> г.</w:t>
      </w:r>
      <w:r>
        <w:rPr>
          <w:szCs w:val="24"/>
          <w:lang w:val="en-US"/>
        </w:rPr>
        <w:t>)</w:t>
      </w:r>
      <w:r>
        <w:rPr>
          <w:szCs w:val="24"/>
        </w:rPr>
        <w:t>. Съгласно „широкия обхват“ съотношението на нетните необслужвани кредити и аванси в края на 2022</w:t>
      </w:r>
      <w:r w:rsidR="00B552D5">
        <w:rPr>
          <w:szCs w:val="24"/>
        </w:rPr>
        <w:t> г.</w:t>
      </w:r>
      <w:r>
        <w:rPr>
          <w:szCs w:val="24"/>
        </w:rPr>
        <w:t xml:space="preserve"> се понижи до 1.9% (2.4% в края на 2021</w:t>
      </w:r>
      <w:r w:rsidR="00B552D5">
        <w:rPr>
          <w:szCs w:val="24"/>
        </w:rPr>
        <w:t> г.</w:t>
      </w:r>
      <w:r>
        <w:rPr>
          <w:szCs w:val="24"/>
        </w:rPr>
        <w:t xml:space="preserve">). </w:t>
      </w:r>
    </w:p>
    <w:p w14:paraId="27DB6A64" w14:textId="07957A60" w:rsidR="00A332B1" w:rsidRDefault="00A332B1" w:rsidP="00541E16">
      <w:r>
        <w:t>В резултат на по-високия годишен растеж на общия размер на рисковите експозиции спрямо този на собствения капитал, съотношенията за капиталова адекватност към края на 2022</w:t>
      </w:r>
      <w:r w:rsidR="00B552D5">
        <w:t> г.</w:t>
      </w:r>
      <w:r>
        <w:t xml:space="preserve"> се понижиха спрямо тези от края 2021</w:t>
      </w:r>
      <w:r w:rsidR="00B552D5">
        <w:t> г.</w:t>
      </w:r>
      <w:r>
        <w:t>, но се запазиха на нива, които значително надвишават регулаторните изисквания. Към 31 декември 2022</w:t>
      </w:r>
      <w:r w:rsidR="00B552D5">
        <w:t> г.</w:t>
      </w:r>
      <w:r>
        <w:t xml:space="preserve"> съотношенията на базовия собствен капитал от първи ред, на капитала от първи ред и на общата капиталова адекватност възлязоха съответно на 19.98%, 20.48% и 20.88% (при съответно 21.66%, 22.04% и 22.62% в края на 2021</w:t>
      </w:r>
      <w:r w:rsidR="00B552D5">
        <w:t> г.</w:t>
      </w:r>
      <w:r>
        <w:t>). Печалбата на банковата система към 31 декември 2022</w:t>
      </w:r>
      <w:r w:rsidR="00B552D5">
        <w:t> г.</w:t>
      </w:r>
      <w:r>
        <w:t xml:space="preserve"> възлезе на 2.1 млрд. лв., като основен принос за отчетеното повишение със 733 млн. лева спрямо отчетената за 2021</w:t>
      </w:r>
      <w:r w:rsidR="00B552D5">
        <w:t> г.</w:t>
      </w:r>
      <w:r>
        <w:t xml:space="preserve"> имаше увеличението на нетния лихвен доход.</w:t>
      </w:r>
      <w:r>
        <w:rPr>
          <w:lang w:val="en-US"/>
        </w:rPr>
        <w:t xml:space="preserve"> </w:t>
      </w:r>
      <w:r>
        <w:t xml:space="preserve">Допълнителен принос за увеличаването на печалбата имаха по-високият размер </w:t>
      </w:r>
      <w:r>
        <w:lastRenderedPageBreak/>
        <w:t>на нетния доход от такси и комисионни и на другите нетни доходи, по-ниските разходи за обезценка, както и извършеното обратно възстановяване на провизии. В резултат на по-високата отчетена печалба, показателите за възвръщаемост на активите (ROA) и възвръщаемост на капитала (ROE) се подобриха, като в края на 2022</w:t>
      </w:r>
      <w:r w:rsidR="00B552D5">
        <w:t> г.</w:t>
      </w:r>
      <w:r>
        <w:t xml:space="preserve"> възвръщаемостта на активите (ROA) възлезе на 1.34% (0.99% към 31 декември 2021</w:t>
      </w:r>
      <w:r w:rsidR="00B552D5">
        <w:t> г.</w:t>
      </w:r>
      <w:r>
        <w:t>), а възвръщаемостта на собствения капитал (ROE) се повиши до 12.01% (8.11% към 31 декември 2021</w:t>
      </w:r>
      <w:r w:rsidR="00B552D5">
        <w:t> г.</w:t>
      </w:r>
      <w:r>
        <w:t>).</w:t>
      </w:r>
    </w:p>
    <w:p w14:paraId="278D4104" w14:textId="3040A5F2" w:rsidR="00A332B1" w:rsidRDefault="00A332B1" w:rsidP="00A332B1">
      <w:pPr>
        <w:autoSpaceDE w:val="0"/>
        <w:autoSpaceDN w:val="0"/>
        <w:adjustRightInd w:val="0"/>
        <w:rPr>
          <w:szCs w:val="24"/>
        </w:rPr>
      </w:pPr>
      <w:r>
        <w:rPr>
          <w:szCs w:val="24"/>
        </w:rPr>
        <w:t>Към 31 декември 2022</w:t>
      </w:r>
      <w:r w:rsidR="00B552D5">
        <w:rPr>
          <w:szCs w:val="24"/>
        </w:rPr>
        <w:t> г.</w:t>
      </w:r>
      <w:r>
        <w:rPr>
          <w:szCs w:val="24"/>
        </w:rPr>
        <w:t xml:space="preserve"> всички банки в България спазваха капиталовите изисквания и определените буфери</w:t>
      </w:r>
      <w:r w:rsidRPr="00687035">
        <w:rPr>
          <w:rStyle w:val="FootnoteReference"/>
          <w:szCs w:val="24"/>
        </w:rPr>
        <w:footnoteReference w:id="17"/>
      </w:r>
      <w:r>
        <w:rPr>
          <w:szCs w:val="24"/>
        </w:rPr>
        <w:t>. Общо за банковата система превишението на капитала над регулаторния минимум по Стълб 1 възлезе на 9.6 млрд. лв., като се понижи с 3.5% спрямо края на 2021</w:t>
      </w:r>
      <w:r w:rsidR="00B552D5">
        <w:rPr>
          <w:szCs w:val="24"/>
        </w:rPr>
        <w:t> г.</w:t>
      </w:r>
      <w:r>
        <w:rPr>
          <w:szCs w:val="24"/>
        </w:rPr>
        <w:t xml:space="preserve"> В края на 2022</w:t>
      </w:r>
      <w:r w:rsidR="00B552D5">
        <w:rPr>
          <w:szCs w:val="24"/>
        </w:rPr>
        <w:t> г.</w:t>
      </w:r>
      <w:r>
        <w:rPr>
          <w:szCs w:val="24"/>
        </w:rPr>
        <w:t xml:space="preserve"> капиталът, който превишава изискванията по Стълб 1, Стълб 2 и комбинираното изискване за буфер</w:t>
      </w:r>
      <w:r>
        <w:rPr>
          <w:rStyle w:val="FootnoteReference"/>
          <w:szCs w:val="24"/>
        </w:rPr>
        <w:footnoteReference w:id="18"/>
      </w:r>
      <w:r>
        <w:rPr>
          <w:szCs w:val="24"/>
        </w:rPr>
        <w:t>, се понижи с 1.9 млрд. лева до 2.9 млрд. лв. Основни фактори за отчетеното понижение бяха нарасналия през периода общ размер на рисковата експозиция, както и повишените капиталови изисквания и изискванията за буфери.</w:t>
      </w:r>
    </w:p>
    <w:p w14:paraId="71040341" w14:textId="523CC603" w:rsidR="00A332B1" w:rsidRDefault="00A332B1" w:rsidP="00A332B1">
      <w:pPr>
        <w:autoSpaceDE w:val="0"/>
        <w:autoSpaceDN w:val="0"/>
        <w:adjustRightInd w:val="0"/>
        <w:rPr>
          <w:szCs w:val="24"/>
        </w:rPr>
      </w:pPr>
      <w:r>
        <w:rPr>
          <w:szCs w:val="24"/>
        </w:rPr>
        <w:t>Към 31.12.2022</w:t>
      </w:r>
      <w:r w:rsidR="00B552D5">
        <w:rPr>
          <w:szCs w:val="24"/>
        </w:rPr>
        <w:t> г.</w:t>
      </w:r>
      <w:r>
        <w:rPr>
          <w:szCs w:val="24"/>
        </w:rPr>
        <w:t xml:space="preserve"> агрегираното за банковата система съотношение на ливъридж</w:t>
      </w:r>
      <w:r>
        <w:rPr>
          <w:rStyle w:val="FootnoteReference"/>
          <w:szCs w:val="24"/>
        </w:rPr>
        <w:footnoteReference w:id="19"/>
      </w:r>
      <w:r>
        <w:rPr>
          <w:szCs w:val="24"/>
        </w:rPr>
        <w:t xml:space="preserve"> (при напълно въведено определение за капитала от първи ред) възлезе на 9.41% (10.48% в края на 2021</w:t>
      </w:r>
      <w:r w:rsidR="00B552D5">
        <w:rPr>
          <w:szCs w:val="24"/>
        </w:rPr>
        <w:t> г.</w:t>
      </w:r>
      <w:r>
        <w:rPr>
          <w:szCs w:val="24"/>
        </w:rPr>
        <w:t>) и показва ниска степен на задлъжнялост и високо капиталово покритие на общата експозиция (формирана от</w:t>
      </w:r>
      <w:r w:rsidR="0005652B">
        <w:rPr>
          <w:szCs w:val="24"/>
        </w:rPr>
        <w:t xml:space="preserve"> </w:t>
      </w:r>
      <w:r>
        <w:rPr>
          <w:szCs w:val="24"/>
        </w:rPr>
        <w:t>активи, задбалансови позиции, деривати, сделки за финансиране с ценни книжа и стандартни покупки и продажби с предстоящ сетълмент). През периода общата рискова експозиция на системата нарасна с по-висок темп от този на капитала от първи ред. През годината отчетеното от всички банки в България съотношение на ливъридж беше над минималното регулаторно изискване от 3.0%.</w:t>
      </w:r>
      <w:r w:rsidR="0005652B">
        <w:rPr>
          <w:szCs w:val="24"/>
        </w:rPr>
        <w:t xml:space="preserve"> </w:t>
      </w:r>
    </w:p>
    <w:p w14:paraId="41FDB56C" w14:textId="701DEE91" w:rsidR="00A332B1" w:rsidRDefault="00A332B1" w:rsidP="00A332B1">
      <w:pPr>
        <w:autoSpaceDE w:val="0"/>
        <w:autoSpaceDN w:val="0"/>
        <w:adjustRightInd w:val="0"/>
        <w:rPr>
          <w:szCs w:val="24"/>
        </w:rPr>
      </w:pPr>
      <w:r>
        <w:rPr>
          <w:szCs w:val="24"/>
        </w:rPr>
        <w:t>През 2022</w:t>
      </w:r>
      <w:r w:rsidR="00B552D5">
        <w:rPr>
          <w:szCs w:val="24"/>
        </w:rPr>
        <w:t> г.</w:t>
      </w:r>
      <w:r>
        <w:rPr>
          <w:szCs w:val="24"/>
        </w:rPr>
        <w:t xml:space="preserve"> ликвидността на банковата система се запази стабилна, като съотношението на ликвидно покритие (</w:t>
      </w:r>
      <w:r>
        <w:rPr>
          <w:szCs w:val="24"/>
          <w:lang w:val="en-US"/>
        </w:rPr>
        <w:t xml:space="preserve">liquidity coverage ratio, </w:t>
      </w:r>
      <w:r>
        <w:rPr>
          <w:szCs w:val="24"/>
        </w:rPr>
        <w:t>LCR</w:t>
      </w:r>
      <w:r>
        <w:rPr>
          <w:rStyle w:val="FootnoteReference"/>
          <w:szCs w:val="24"/>
        </w:rPr>
        <w:footnoteReference w:id="20"/>
      </w:r>
      <w:r>
        <w:rPr>
          <w:szCs w:val="24"/>
        </w:rPr>
        <w:t>) общо за банковата система в края на годината възлезе на 235.0% (274.0% в края на 2021</w:t>
      </w:r>
      <w:r w:rsidR="00B552D5">
        <w:rPr>
          <w:szCs w:val="24"/>
        </w:rPr>
        <w:t> г.</w:t>
      </w:r>
      <w:r>
        <w:rPr>
          <w:szCs w:val="24"/>
        </w:rPr>
        <w:t>). При всички кредитни институции съотношението на ликвидно покритие значително надвишаваше минималното регулаторно изискване от 100%. Агрегираното за банковата система ниво на съотношение на нетно стабилно финансиране</w:t>
      </w:r>
      <w:r>
        <w:rPr>
          <w:rStyle w:val="FootnoteReference"/>
          <w:szCs w:val="24"/>
        </w:rPr>
        <w:footnoteReference w:id="21"/>
      </w:r>
      <w:r>
        <w:rPr>
          <w:szCs w:val="24"/>
        </w:rPr>
        <w:t xml:space="preserve"> (net stable funding ratio, NSFR) възлезе на 162.4% в края на декември 2022</w:t>
      </w:r>
      <w:r w:rsidR="00B552D5">
        <w:rPr>
          <w:szCs w:val="24"/>
        </w:rPr>
        <w:t> г.</w:t>
      </w:r>
      <w:r>
        <w:rPr>
          <w:szCs w:val="24"/>
        </w:rPr>
        <w:t xml:space="preserve"> (при 166.1% към декември 2021</w:t>
      </w:r>
      <w:r w:rsidR="00B552D5">
        <w:rPr>
          <w:szCs w:val="24"/>
        </w:rPr>
        <w:t> г.</w:t>
      </w:r>
      <w:r>
        <w:rPr>
          <w:szCs w:val="24"/>
        </w:rPr>
        <w:t xml:space="preserve">), като всички банки в България спазваха минималното регулаторно изискване от 100%. </w:t>
      </w:r>
    </w:p>
    <w:p w14:paraId="3D25BDC9" w14:textId="3F999A06" w:rsidR="00A332B1" w:rsidRDefault="00A332B1" w:rsidP="00A332B1">
      <w:pPr>
        <w:autoSpaceDE w:val="0"/>
        <w:autoSpaceDN w:val="0"/>
        <w:adjustRightInd w:val="0"/>
        <w:rPr>
          <w:szCs w:val="24"/>
        </w:rPr>
      </w:pPr>
      <w:r>
        <w:rPr>
          <w:szCs w:val="24"/>
        </w:rPr>
        <w:t>Дейността на банковия надзор върху кредитните институции през 2022</w:t>
      </w:r>
      <w:r w:rsidR="00B552D5">
        <w:rPr>
          <w:szCs w:val="24"/>
        </w:rPr>
        <w:t> г.</w:t>
      </w:r>
      <w:r>
        <w:rPr>
          <w:szCs w:val="24"/>
        </w:rPr>
        <w:t xml:space="preserve"> продължи да бъде насочена към анализ и оценка на финансовото състояние на системата и на отделните банки с цел идентифициране на присъщите и потенциални рискове и предприемане на своевременни надзорни мерки. През февруари 2022</w:t>
      </w:r>
      <w:r w:rsidR="00B552D5">
        <w:rPr>
          <w:szCs w:val="24"/>
        </w:rPr>
        <w:t> г.</w:t>
      </w:r>
      <w:r>
        <w:rPr>
          <w:szCs w:val="24"/>
        </w:rPr>
        <w:t xml:space="preserve"> Управителният съвет (УС) на БНБ, като отчете стабилното състояние на банковия сектор и намаляването на рисковете, свързани с пандемията от COVID-19, прие решение за преустановяване на действието на </w:t>
      </w:r>
      <w:r>
        <w:rPr>
          <w:szCs w:val="24"/>
        </w:rPr>
        <w:lastRenderedPageBreak/>
        <w:t>макропруденциалните мерки, наложени през март 2020</w:t>
      </w:r>
      <w:r w:rsidR="00B552D5">
        <w:rPr>
          <w:szCs w:val="24"/>
        </w:rPr>
        <w:t> г.</w:t>
      </w:r>
      <w:r>
        <w:rPr>
          <w:szCs w:val="24"/>
        </w:rPr>
        <w:t xml:space="preserve"> и потвърдени през януари 2021</w:t>
      </w:r>
      <w:r w:rsidR="00B552D5">
        <w:rPr>
          <w:szCs w:val="24"/>
        </w:rPr>
        <w:t> г.</w:t>
      </w:r>
      <w:r>
        <w:rPr>
          <w:szCs w:val="24"/>
        </w:rPr>
        <w:t>, свързани с ограничението за разпределяне на печалбите на банките за 2019</w:t>
      </w:r>
      <w:r w:rsidR="00B552D5">
        <w:rPr>
          <w:szCs w:val="24"/>
        </w:rPr>
        <w:t> г.</w:t>
      </w:r>
      <w:r>
        <w:rPr>
          <w:szCs w:val="24"/>
        </w:rPr>
        <w:t xml:space="preserve"> и 2020</w:t>
      </w:r>
      <w:r w:rsidR="00B552D5">
        <w:rPr>
          <w:szCs w:val="24"/>
        </w:rPr>
        <w:t> г.</w:t>
      </w:r>
      <w:r>
        <w:rPr>
          <w:szCs w:val="24"/>
        </w:rPr>
        <w:t xml:space="preserve"> и наложените лимити за чуждестранните експозиции на банките. Преустановяването на действието на мярката за ограничение за разпределяне на печалбите е в съответствие с решението на Европейската централна банка и Европейския съвет за системен риск (ЕССР) да не се подновява действието на препоръката на ЕССР за ограниченията върху разпределенията на печалбите на банките. БНБ, като компетентен надзорен орган, изисква от така наречените „по-малко значими“ банки, които възнамеряват да изплатят дивидент или да предприемат обратни изкупувания и други разпределения, включително и от печалбата за 2021</w:t>
      </w:r>
      <w:r w:rsidR="00B552D5">
        <w:rPr>
          <w:szCs w:val="24"/>
        </w:rPr>
        <w:t> г.</w:t>
      </w:r>
      <w:r>
        <w:rPr>
          <w:szCs w:val="24"/>
        </w:rPr>
        <w:t>, да представят планове за разпределение, които са предмет на надзорния диалог. С решението на УС на БНБ от февруари 2022</w:t>
      </w:r>
      <w:r w:rsidR="00B552D5">
        <w:rPr>
          <w:szCs w:val="24"/>
        </w:rPr>
        <w:t> г.</w:t>
      </w:r>
      <w:r>
        <w:rPr>
          <w:szCs w:val="24"/>
        </w:rPr>
        <w:t xml:space="preserve"> беше преустановено, считано от 1 април 2022</w:t>
      </w:r>
      <w:r w:rsidR="00B552D5">
        <w:rPr>
          <w:szCs w:val="24"/>
        </w:rPr>
        <w:t> г.</w:t>
      </w:r>
      <w:r>
        <w:rPr>
          <w:szCs w:val="24"/>
        </w:rPr>
        <w:t>, и действието на мярката за налагане индивидуални и съвкупни лимити на банките към чуждестранни контрагенти, целяща да ограничи кредитния риск и риска от концентрация в техните баланси. Мярката, въведена през март 2020</w:t>
      </w:r>
      <w:r w:rsidR="00B552D5">
        <w:rPr>
          <w:szCs w:val="24"/>
        </w:rPr>
        <w:t> г.</w:t>
      </w:r>
      <w:r>
        <w:rPr>
          <w:szCs w:val="24"/>
        </w:rPr>
        <w:t>, и продължена през януари 2021</w:t>
      </w:r>
      <w:r w:rsidR="00B552D5">
        <w:rPr>
          <w:szCs w:val="24"/>
        </w:rPr>
        <w:t> г.</w:t>
      </w:r>
      <w:r>
        <w:rPr>
          <w:szCs w:val="24"/>
        </w:rPr>
        <w:t>, допринесе за устойчивото подобрение на ликвидната позиция на банковата система. БНБ преустанови мярката, като отчете постигнатия положителен ефект от нейното действие върху стабилността на банковата система, като същевременно продължи редовно да анализира съответните рискове и остана в готовност да приложи подходяща макропруденциална мярка при необходимост.</w:t>
      </w:r>
    </w:p>
    <w:p w14:paraId="6BEEA1C8" w14:textId="32C3FC79" w:rsidR="00A332B1" w:rsidRDefault="00A332B1" w:rsidP="00A332B1">
      <w:pPr>
        <w:autoSpaceDE w:val="0"/>
        <w:autoSpaceDN w:val="0"/>
        <w:adjustRightInd w:val="0"/>
        <w:rPr>
          <w:szCs w:val="24"/>
        </w:rPr>
      </w:pPr>
      <w:r>
        <w:rPr>
          <w:szCs w:val="24"/>
        </w:rPr>
        <w:t>В съответствие с взетите през 2021</w:t>
      </w:r>
      <w:r w:rsidR="00B552D5">
        <w:rPr>
          <w:szCs w:val="24"/>
        </w:rPr>
        <w:t> г.</w:t>
      </w:r>
      <w:r>
        <w:rPr>
          <w:szCs w:val="24"/>
        </w:rPr>
        <w:t xml:space="preserve"> и оповестени 12 месеца преди влизането им в сила решения на УС на БНБ нивото на антицикличния капиталов буфер</w:t>
      </w:r>
      <w:r w:rsidR="0005652B">
        <w:rPr>
          <w:szCs w:val="24"/>
        </w:rPr>
        <w:t xml:space="preserve"> </w:t>
      </w:r>
      <w:r>
        <w:rPr>
          <w:szCs w:val="24"/>
        </w:rPr>
        <w:t>бе повишено от 0.5% на 1.0%, считано от 1 октомври 2022</w:t>
      </w:r>
      <w:r w:rsidR="00B552D5">
        <w:rPr>
          <w:szCs w:val="24"/>
        </w:rPr>
        <w:t> г.</w:t>
      </w:r>
      <w:r>
        <w:rPr>
          <w:szCs w:val="24"/>
        </w:rPr>
        <w:t>, и на 1.5%, считано от 1 януари 2023</w:t>
      </w:r>
      <w:r w:rsidR="00B552D5">
        <w:rPr>
          <w:szCs w:val="24"/>
        </w:rPr>
        <w:t> г.</w:t>
      </w:r>
      <w:r>
        <w:rPr>
          <w:szCs w:val="24"/>
        </w:rPr>
        <w:t xml:space="preserve"> През март и през юни 2022</w:t>
      </w:r>
      <w:r w:rsidR="00B552D5">
        <w:rPr>
          <w:szCs w:val="24"/>
        </w:rPr>
        <w:t> г.</w:t>
      </w:r>
      <w:r>
        <w:rPr>
          <w:szCs w:val="24"/>
        </w:rPr>
        <w:t>, в рамките на тримесечния преглед на този буфер, УС на БНБ запази нивото му на 1.5% за второто и третото тримесечие на 2023</w:t>
      </w:r>
      <w:r w:rsidR="00B552D5">
        <w:rPr>
          <w:szCs w:val="24"/>
        </w:rPr>
        <w:t> г.</w:t>
      </w:r>
      <w:r>
        <w:rPr>
          <w:szCs w:val="24"/>
        </w:rPr>
        <w:t xml:space="preserve"> Предвид трайно запазилите се високи темпове на кредитен растеж и с оглед на повишилата се несигурност в икономическата среда, през септември 2022</w:t>
      </w:r>
      <w:r w:rsidR="00B552D5">
        <w:rPr>
          <w:szCs w:val="24"/>
        </w:rPr>
        <w:t> г.</w:t>
      </w:r>
      <w:r>
        <w:rPr>
          <w:szCs w:val="24"/>
        </w:rPr>
        <w:t xml:space="preserve"> УС на БНБ взе решение да повиши нивото на антицикличния капиталов буфер до 2.0%, считано от 1 октомври 2023</w:t>
      </w:r>
      <w:r w:rsidR="00B552D5">
        <w:rPr>
          <w:szCs w:val="24"/>
        </w:rPr>
        <w:t> г.</w:t>
      </w:r>
      <w:r>
        <w:rPr>
          <w:szCs w:val="24"/>
        </w:rPr>
        <w:t>, а с решение през декември 2022</w:t>
      </w:r>
      <w:r w:rsidR="00B552D5">
        <w:rPr>
          <w:szCs w:val="24"/>
        </w:rPr>
        <w:t> г.</w:t>
      </w:r>
      <w:r>
        <w:rPr>
          <w:szCs w:val="24"/>
        </w:rPr>
        <w:t xml:space="preserve"> това ниво бе запазено и за първото тримесечие на 2024</w:t>
      </w:r>
      <w:r w:rsidR="00B552D5">
        <w:rPr>
          <w:szCs w:val="24"/>
        </w:rPr>
        <w:t> г.</w:t>
      </w:r>
    </w:p>
    <w:p w14:paraId="3CC166B9" w14:textId="15E24D13" w:rsidR="00A332B1" w:rsidRDefault="00A332B1" w:rsidP="00A332B1">
      <w:pPr>
        <w:autoSpaceDE w:val="0"/>
        <w:autoSpaceDN w:val="0"/>
        <w:adjustRightInd w:val="0"/>
        <w:rPr>
          <w:szCs w:val="24"/>
        </w:rPr>
      </w:pPr>
      <w:r>
        <w:rPr>
          <w:szCs w:val="24"/>
        </w:rPr>
        <w:t>През 2022</w:t>
      </w:r>
      <w:r w:rsidR="00B552D5">
        <w:rPr>
          <w:szCs w:val="24"/>
        </w:rPr>
        <w:t> г.</w:t>
      </w:r>
      <w:r>
        <w:rPr>
          <w:szCs w:val="24"/>
        </w:rPr>
        <w:t xml:space="preserve"> бе извършен ежегодният преглед на идентифицираните като други системно значими институции (ДСЗИ) и определените за тях нива на капиталов буфер за ДСЗИ. При прегледа бяха идентифицирани осем банки, като определените нива на буфер за тях през 2023</w:t>
      </w:r>
      <w:r w:rsidR="00B552D5">
        <w:rPr>
          <w:szCs w:val="24"/>
        </w:rPr>
        <w:t> г.</w:t>
      </w:r>
      <w:r>
        <w:rPr>
          <w:szCs w:val="24"/>
        </w:rPr>
        <w:t xml:space="preserve"> са в интервала между 0.50% и 1.00%.</w:t>
      </w:r>
    </w:p>
    <w:p w14:paraId="628EA4CA" w14:textId="2FF0B799" w:rsidR="00A332B1" w:rsidRDefault="00A332B1" w:rsidP="00A332B1">
      <w:pPr>
        <w:rPr>
          <w:szCs w:val="24"/>
        </w:rPr>
      </w:pPr>
      <w:r>
        <w:rPr>
          <w:szCs w:val="24"/>
        </w:rPr>
        <w:t>Дейността на БНБ по отношение на регулаторната рамка през 2022</w:t>
      </w:r>
      <w:r w:rsidR="00B552D5">
        <w:rPr>
          <w:szCs w:val="24"/>
        </w:rPr>
        <w:t> г.</w:t>
      </w:r>
      <w:r>
        <w:rPr>
          <w:szCs w:val="24"/>
        </w:rPr>
        <w:t xml:space="preserve"> бе насочена в областта на покритите облигации. С приемането на</w:t>
      </w:r>
      <w:r w:rsidR="0005652B">
        <w:rPr>
          <w:szCs w:val="24"/>
        </w:rPr>
        <w:t xml:space="preserve"> </w:t>
      </w:r>
      <w:r>
        <w:rPr>
          <w:szCs w:val="24"/>
        </w:rPr>
        <w:t>Закона за покритите облигации се въведоха изискванията на Директива (ЕС) 2019/2162 на Европейския парламент и на Съвета от 27 ноември 2019</w:t>
      </w:r>
      <w:r w:rsidR="00B552D5">
        <w:rPr>
          <w:szCs w:val="24"/>
        </w:rPr>
        <w:t> г.</w:t>
      </w:r>
      <w:r>
        <w:rPr>
          <w:szCs w:val="24"/>
        </w:rPr>
        <w:t xml:space="preserve"> относно емитирането на покрити облигации и публичния надзор върху тях и за изменение на директиви 2009/65/ЕО и 2014/59/ЕС. През юни 2022</w:t>
      </w:r>
      <w:r w:rsidR="00B552D5">
        <w:rPr>
          <w:szCs w:val="24"/>
        </w:rPr>
        <w:t> г.</w:t>
      </w:r>
      <w:r>
        <w:rPr>
          <w:szCs w:val="24"/>
        </w:rPr>
        <w:t xml:space="preserve"> УС на БНБ прие Наредба № 42 за реда и условията за издаване на покрити облигации, с приемането на която завърши работата по създаване на цялостна правна рамка за издаване на покрити облигации от банки в страната в съответствие с Директива (ЕС) 2019/2162.</w:t>
      </w:r>
      <w:r w:rsidR="0005652B">
        <w:rPr>
          <w:szCs w:val="24"/>
        </w:rPr>
        <w:t xml:space="preserve">  </w:t>
      </w:r>
    </w:p>
    <w:p w14:paraId="367A305C" w14:textId="2762A1B5" w:rsidR="00026B20" w:rsidRPr="001E67ED" w:rsidRDefault="00026B20" w:rsidP="00931426">
      <w:r w:rsidRPr="001E67ED">
        <w:t>Според прогнозата на Министерството на финансите, темпът на растеж на вземанията от частния сектор ще се забави до края на 2023</w:t>
      </w:r>
      <w:r w:rsidR="00B552D5">
        <w:t> г.</w:t>
      </w:r>
      <w:r w:rsidRPr="001E67ED">
        <w:t xml:space="preserve">, като това ще се случи едновременно при вземанията от предприятия и от домакинства. Влияние за това ще окажат забавянето на икономическия растеж, очакваното повишаване на лихвените проценти по кредитите, в резултат на преноса на паричната политика на ЕЦБ, както и в по-малка степен на влизането в сила на по-високите нива на антицикличния капиталов буфер, определени от БНБ. Общо вземанията от неправителствения сектор ще нараснат с 9%. Вземанията от предприятия ще се увеличат със 7.2%, като по-ниският им темп на нарастване ще бъде за </w:t>
      </w:r>
      <w:r w:rsidRPr="001E67ED">
        <w:lastRenderedPageBreak/>
        <w:t xml:space="preserve">сметка на значително понижение на ръста на овърдрафта и по-бавно увеличение на краткосрочните кредити. Вземанията от домакинства ще нараснат с 11.7%. </w:t>
      </w:r>
    </w:p>
    <w:p w14:paraId="089DFA3D" w14:textId="577AA1B8" w:rsidR="00026B20" w:rsidRPr="001E67ED" w:rsidRDefault="00026B20" w:rsidP="00931426">
      <w:r w:rsidRPr="001E67ED">
        <w:t>През 2024</w:t>
      </w:r>
      <w:r w:rsidR="00B552D5">
        <w:t> г.</w:t>
      </w:r>
      <w:r w:rsidRPr="001E67ED">
        <w:t xml:space="preserve"> вземанията от неправителствения сектор ще ускорят нарастването си до 9.3%, водени от по-висок растеж на вземанията от предприятия. Очаква се те да бъдат положително повлияни от изпълнението на </w:t>
      </w:r>
      <w:r w:rsidR="00213F2A" w:rsidRPr="003D4DBD">
        <w:rPr>
          <w:rFonts w:eastAsia="Times New Roman"/>
          <w:szCs w:val="24"/>
          <w:lang w:eastAsia="zh-CN"/>
        </w:rPr>
        <w:t xml:space="preserve">Националния план за възстановяване и устойчивост </w:t>
      </w:r>
      <w:r w:rsidR="00213F2A">
        <w:rPr>
          <w:rFonts w:eastAsia="Times New Roman"/>
          <w:szCs w:val="24"/>
          <w:lang w:eastAsia="zh-CN"/>
        </w:rPr>
        <w:t>(</w:t>
      </w:r>
      <w:r w:rsidRPr="001E67ED">
        <w:t>НПВУ</w:t>
      </w:r>
      <w:r w:rsidR="00213F2A">
        <w:t>)</w:t>
      </w:r>
      <w:r w:rsidRPr="001E67ED">
        <w:t>, както и от положителен ръст на частните инвестиции. В края на 2024</w:t>
      </w:r>
      <w:r w:rsidR="00B552D5">
        <w:t> г.</w:t>
      </w:r>
      <w:r w:rsidRPr="001E67ED">
        <w:t xml:space="preserve"> вземанията от предприятия ще нараснат със 7.9%. Вземанията от домакинства леко ще се забавят до 11.2%, като ще бъдат подкрепени от по-високия ръст на частното потребление. </w:t>
      </w:r>
    </w:p>
    <w:p w14:paraId="2F95AE35" w14:textId="7F832584" w:rsidR="00026B20" w:rsidRPr="00B745E9" w:rsidRDefault="00026B20" w:rsidP="00931426">
      <w:pPr>
        <w:rPr>
          <w:sz w:val="23"/>
          <w:szCs w:val="23"/>
          <w:highlight w:val="yellow"/>
        </w:rPr>
      </w:pPr>
      <w:r w:rsidRPr="001E67ED">
        <w:t>През периода 2025–2026</w:t>
      </w:r>
      <w:r w:rsidR="00B552D5">
        <w:t> г.</w:t>
      </w:r>
      <w:r w:rsidRPr="001E67ED">
        <w:t xml:space="preserve"> вземанията от домакинства ще продължат да се забавят и в края на 2026</w:t>
      </w:r>
      <w:r w:rsidR="00B552D5">
        <w:t> г.</w:t>
      </w:r>
      <w:r w:rsidRPr="001E67ED">
        <w:t xml:space="preserve"> ще нараснат с 8.9%. Вземанията от нефинансови предприятия ще запазят относително стабилен темп на растеж до края на прогнозния период, който тогава ще достигне 7.7%. Общо вземанията от частния сектор ще се забавят плавно до края на прогнозния период и в края на 2026</w:t>
      </w:r>
      <w:r w:rsidR="00B552D5">
        <w:t> г.</w:t>
      </w:r>
      <w:r w:rsidRPr="001E67ED">
        <w:t xml:space="preserve"> годишният им растеж ще достигне 8.2%.</w:t>
      </w:r>
    </w:p>
    <w:p w14:paraId="4A6D9B23" w14:textId="5900E571" w:rsidR="00BA0865" w:rsidRPr="005B2032" w:rsidRDefault="00BA0865" w:rsidP="00515861">
      <w:pPr>
        <w:rPr>
          <w:rFonts w:asciiTheme="minorHAnsi" w:hAnsiTheme="minorHAnsi" w:cstheme="minorHAnsi"/>
        </w:rPr>
      </w:pPr>
    </w:p>
    <w:p w14:paraId="7DE807F1" w14:textId="77777777" w:rsidR="00D359FF" w:rsidRPr="001364E0" w:rsidRDefault="00D359FF" w:rsidP="001364E0">
      <w:pPr>
        <w:pStyle w:val="Heading1"/>
      </w:pPr>
      <w:bookmarkStart w:id="58" w:name="_Toc352851592"/>
      <w:bookmarkStart w:id="59" w:name="_Toc448227270"/>
      <w:bookmarkStart w:id="60" w:name="_Toc479332418"/>
      <w:bookmarkStart w:id="61" w:name="_Toc133597269"/>
      <w:r w:rsidRPr="001364E0">
        <w:lastRenderedPageBreak/>
        <w:t>Правителствен баланс и дълг</w:t>
      </w:r>
      <w:bookmarkEnd w:id="58"/>
      <w:bookmarkEnd w:id="59"/>
      <w:bookmarkEnd w:id="60"/>
      <w:bookmarkEnd w:id="61"/>
    </w:p>
    <w:p w14:paraId="498593C6" w14:textId="77777777" w:rsidR="00D359FF" w:rsidRPr="004018C2" w:rsidRDefault="00D359FF" w:rsidP="00EE53B2">
      <w:pPr>
        <w:pStyle w:val="Heading2"/>
      </w:pPr>
      <w:bookmarkStart w:id="62" w:name="_Toc352851593"/>
      <w:bookmarkStart w:id="63" w:name="_Toc448227271"/>
      <w:bookmarkStart w:id="64" w:name="_Toc479332419"/>
      <w:bookmarkStart w:id="65" w:name="_Toc133597270"/>
      <w:r w:rsidRPr="004018C2">
        <w:t>Стратегия на политиката</w:t>
      </w:r>
      <w:bookmarkEnd w:id="62"/>
      <w:bookmarkEnd w:id="63"/>
      <w:bookmarkEnd w:id="64"/>
      <w:bookmarkEnd w:id="65"/>
    </w:p>
    <w:p w14:paraId="756E1962" w14:textId="12E7E288" w:rsidR="00561555" w:rsidRDefault="00561555" w:rsidP="00561555">
      <w:r w:rsidRPr="00CA5073">
        <w:t xml:space="preserve">Страната ни ще се стреми да се придържа към провежданата през последните години благоразумна фискална политика, въпреки повишената икономическа несигурност, породена от конфликта в Украйна и невъзможността към момента да се предвидят и оценят краткосрочните и дългосрочните ефекти от него. </w:t>
      </w:r>
    </w:p>
    <w:p w14:paraId="5E7AEF6D" w14:textId="04F09162" w:rsidR="00647960" w:rsidRDefault="00647960" w:rsidP="00647960">
      <w:r w:rsidRPr="00C61DE5">
        <w:t xml:space="preserve">Подготовката на Бюджет 2023 и актуализираната средносрочна бюджетна прогноза за периода </w:t>
      </w:r>
      <w:r w:rsidR="00931426">
        <w:t>2023–2025</w:t>
      </w:r>
      <w:r w:rsidR="00B552D5">
        <w:t> г.</w:t>
      </w:r>
      <w:r w:rsidRPr="00C61DE5">
        <w:t xml:space="preserve"> беше повлияна от късното приемане на Бюджет 2022 и последващата му актуализация, а също така и от политическия цикъл, свързан с провеждането на предсрочни парламентарни избори както в края на 2022</w:t>
      </w:r>
      <w:r w:rsidR="00B552D5">
        <w:t> г.</w:t>
      </w:r>
      <w:r w:rsidRPr="00C61DE5">
        <w:t>, така и в началото на месец април 2023</w:t>
      </w:r>
      <w:r w:rsidR="00B552D5">
        <w:t> г.</w:t>
      </w:r>
    </w:p>
    <w:p w14:paraId="2D400A88" w14:textId="37469C79" w:rsidR="00647960" w:rsidRDefault="00647960" w:rsidP="00647960">
      <w:r w:rsidRPr="00DC12C3">
        <w:rPr>
          <w:rFonts w:eastAsia="Batang"/>
        </w:rPr>
        <w:t>Реализирането на Бюджет 2023 в рамките на обичайния срок беше затруднено от липсата на редовно правителство, което да вземе управленско решение относно внасянето в Народното събрание на проектобюджета за 2023</w:t>
      </w:r>
      <w:r w:rsidR="00B552D5">
        <w:rPr>
          <w:rFonts w:eastAsia="Batang"/>
        </w:rPr>
        <w:t> г.</w:t>
      </w:r>
      <w:r w:rsidRPr="00DC12C3">
        <w:rPr>
          <w:rFonts w:eastAsia="Batang"/>
        </w:rPr>
        <w:t xml:space="preserve"> с включени дългосрочни допускания за развитие на политиките при спазване на правилата по </w:t>
      </w:r>
      <w:r w:rsidR="00213F2A">
        <w:rPr>
          <w:rFonts w:eastAsia="Batang"/>
        </w:rPr>
        <w:t>Закона за публичните финанси (</w:t>
      </w:r>
      <w:r w:rsidRPr="00DC12C3">
        <w:rPr>
          <w:rFonts w:eastAsia="Batang"/>
        </w:rPr>
        <w:t>ЗПФ</w:t>
      </w:r>
      <w:r w:rsidR="00213F2A">
        <w:rPr>
          <w:rFonts w:eastAsia="Batang"/>
        </w:rPr>
        <w:t>)</w:t>
      </w:r>
      <w:r w:rsidRPr="00DC12C3">
        <w:rPr>
          <w:rFonts w:eastAsia="Batang"/>
        </w:rPr>
        <w:t>, поради което служебното правителство внесе в Народното събрание</w:t>
      </w:r>
      <w:r w:rsidRPr="00C61DE5">
        <w:t xml:space="preserve"> </w:t>
      </w:r>
      <w:r w:rsidRPr="00CA5073">
        <w:t>т.нар. „удължителен закон“ за 2022</w:t>
      </w:r>
      <w:r w:rsidR="00B552D5">
        <w:t> г.</w:t>
      </w:r>
      <w:r w:rsidRPr="00CA5073">
        <w:t xml:space="preserve"> със срок до приемането на Бюджет 2023.</w:t>
      </w:r>
      <w:r w:rsidR="001F5959">
        <w:t xml:space="preserve"> Продължаващата политическа несигурност забави</w:t>
      </w:r>
      <w:r w:rsidR="001F5959" w:rsidRPr="0013232D">
        <w:t xml:space="preserve"> внасяне</w:t>
      </w:r>
      <w:r w:rsidR="001F5959">
        <w:t>то</w:t>
      </w:r>
      <w:r w:rsidR="001F5959" w:rsidRPr="0013232D">
        <w:t xml:space="preserve"> от служебното правителство в парламента на законопроекта за държавния бюджет за 2023 г. и на съпътстващата го Актуализирана средносрочна бюджетна прогноза за периода 2023-2025 г.</w:t>
      </w:r>
      <w:r w:rsidR="001F5959">
        <w:t xml:space="preserve">, както и </w:t>
      </w:r>
      <w:r w:rsidR="001F5959" w:rsidRPr="0013232D">
        <w:t xml:space="preserve">очакваното одобрение </w:t>
      </w:r>
      <w:r w:rsidR="001F5959">
        <w:t xml:space="preserve">от Министерския съвет </w:t>
      </w:r>
      <w:r w:rsidR="001F5959" w:rsidRPr="0013232D">
        <w:t>на Средносрочна бюджетна прогноза за периода 2024-2026 г. като продължение на предходните документи.</w:t>
      </w:r>
    </w:p>
    <w:p w14:paraId="0CE0C665" w14:textId="2F12A0DF" w:rsidR="00647960" w:rsidRDefault="00647960" w:rsidP="00647960">
      <w:r>
        <w:t>Националните бюджетни документи (</w:t>
      </w:r>
      <w:r w:rsidRPr="00CA5073">
        <w:t>Бюджет 2023</w:t>
      </w:r>
      <w:r w:rsidR="001F5959">
        <w:t>,</w:t>
      </w:r>
      <w:r>
        <w:t xml:space="preserve"> </w:t>
      </w:r>
      <w:r w:rsidR="001F5959" w:rsidRPr="00D976CF">
        <w:t>Актуализираната средносрочна бюджетна прогноза з</w:t>
      </w:r>
      <w:r w:rsidR="001F5959">
        <w:t xml:space="preserve">а периода 2023-2025 г., както </w:t>
      </w:r>
      <w:r>
        <w:t>и</w:t>
      </w:r>
      <w:r w:rsidRPr="00CA5073">
        <w:t xml:space="preserve"> </w:t>
      </w:r>
      <w:r>
        <w:t>С</w:t>
      </w:r>
      <w:r w:rsidRPr="00CA5073">
        <w:t xml:space="preserve">редносрочната бюджетна прогноза за периода </w:t>
      </w:r>
      <w:r w:rsidR="001364E0">
        <w:t>2024–2026</w:t>
      </w:r>
      <w:r w:rsidR="00B552D5">
        <w:t> г.</w:t>
      </w:r>
      <w:r>
        <w:t>)</w:t>
      </w:r>
      <w:r w:rsidRPr="00CA5073">
        <w:t xml:space="preserve"> и настоящата Конвергентна програма </w:t>
      </w:r>
      <w:r w:rsidR="00B552D5">
        <w:t>2023–2026 г.</w:t>
      </w:r>
      <w:r w:rsidRPr="00CA5073">
        <w:t xml:space="preserve"> са разработени едновременно и при еднакви параметри и допускания</w:t>
      </w:r>
      <w:r>
        <w:t>.</w:t>
      </w:r>
    </w:p>
    <w:p w14:paraId="2627D301" w14:textId="16DD762F" w:rsidR="00647960" w:rsidRDefault="001F5959" w:rsidP="00647960">
      <w:pPr>
        <w:rPr>
          <w:rFonts w:eastAsia="Times New Roman"/>
        </w:rPr>
      </w:pPr>
      <w:r w:rsidRPr="0013232D">
        <w:t xml:space="preserve">Следва да се подчертае, че законопроектът за държавния бюджет за 2023 г. и Актуализираната средносрочна бюджетна прогноза за периода 2023-2025 г. отразяват фискалните ефекти върху параметрите на бюджетната рамка при сценарий </w:t>
      </w:r>
      <w:r w:rsidRPr="00201C68">
        <w:rPr>
          <w:b/>
        </w:rPr>
        <w:t>на база действащо законодателство</w:t>
      </w:r>
      <w:r>
        <w:t>, като и</w:t>
      </w:r>
      <w:r w:rsidRPr="0013232D">
        <w:t xml:space="preserve">зборът на този сценарий е следствие от ограниченията на настоящото служебно правителство да взема дългосрочни управленски решения за политики извън хоризонта на неговия мандат. </w:t>
      </w:r>
      <w:r w:rsidR="00647960">
        <w:t>П</w:t>
      </w:r>
      <w:r w:rsidR="00647960" w:rsidRPr="00CA5073">
        <w:t>ри бюджетно салдо на сектор „Държавно управление“ за 2022</w:t>
      </w:r>
      <w:r w:rsidR="00B552D5">
        <w:t> г.</w:t>
      </w:r>
      <w:r w:rsidR="00647960" w:rsidRPr="00CA5073">
        <w:t xml:space="preserve"> по предварителни отчетни данни в размер на </w:t>
      </w:r>
      <w:r w:rsidR="001D6D32">
        <w:rPr>
          <w:lang w:val="en-US"/>
        </w:rPr>
        <w:t>-</w:t>
      </w:r>
      <w:r w:rsidR="00647960" w:rsidRPr="00CA5073">
        <w:t>2</w:t>
      </w:r>
      <w:r w:rsidR="00647960">
        <w:rPr>
          <w:lang w:val="en-US"/>
        </w:rPr>
        <w:t>.</w:t>
      </w:r>
      <w:r w:rsidR="001D6D32">
        <w:rPr>
          <w:lang w:val="en-US"/>
        </w:rPr>
        <w:t>8</w:t>
      </w:r>
      <w:r w:rsidR="00647960" w:rsidRPr="00CA5073">
        <w:t>% от БВП</w:t>
      </w:r>
      <w:r w:rsidR="00647960">
        <w:t>,</w:t>
      </w:r>
      <w:r w:rsidR="00647960" w:rsidRPr="00DC12C3">
        <w:rPr>
          <w:rFonts w:eastAsia="Times New Roman"/>
          <w:lang w:bidi="bg-BG"/>
        </w:rPr>
        <w:t xml:space="preserve"> </w:t>
      </w:r>
      <w:r w:rsidR="00647960">
        <w:rPr>
          <w:rFonts w:eastAsia="Times New Roman"/>
          <w:lang w:bidi="bg-BG"/>
        </w:rPr>
        <w:t>р</w:t>
      </w:r>
      <w:r w:rsidR="00647960" w:rsidRPr="00DC12C3">
        <w:rPr>
          <w:rFonts w:eastAsia="Times New Roman"/>
          <w:lang w:bidi="bg-BG"/>
        </w:rPr>
        <w:t xml:space="preserve">азчетите по </w:t>
      </w:r>
      <w:r w:rsidR="00647960">
        <w:rPr>
          <w:rFonts w:eastAsia="Times New Roman"/>
          <w:lang w:bidi="bg-BG"/>
        </w:rPr>
        <w:t xml:space="preserve">бюджетната рамка </w:t>
      </w:r>
      <w:r w:rsidR="00647960" w:rsidRPr="00DC12C3">
        <w:rPr>
          <w:rFonts w:eastAsia="Times New Roman"/>
          <w:lang w:bidi="bg-BG"/>
        </w:rPr>
        <w:t xml:space="preserve">за периода </w:t>
      </w:r>
      <w:r w:rsidR="00B552D5">
        <w:rPr>
          <w:rFonts w:eastAsia="Times New Roman"/>
          <w:lang w:bidi="bg-BG"/>
        </w:rPr>
        <w:t>2023–2026 г.</w:t>
      </w:r>
      <w:r w:rsidR="00647960" w:rsidRPr="00DC12C3">
        <w:rPr>
          <w:rFonts w:eastAsia="Times New Roman"/>
          <w:lang w:bidi="bg-BG"/>
        </w:rPr>
        <w:t xml:space="preserve"> </w:t>
      </w:r>
      <w:r w:rsidR="00647960" w:rsidRPr="00592B3C">
        <w:rPr>
          <w:rFonts w:eastAsia="Times New Roman"/>
          <w:b/>
        </w:rPr>
        <w:t>при запазване на действащото законодателство</w:t>
      </w:r>
      <w:r>
        <w:rPr>
          <w:rFonts w:eastAsia="Times New Roman"/>
        </w:rPr>
        <w:t xml:space="preserve"> и</w:t>
      </w:r>
      <w:r w:rsidR="00647960" w:rsidRPr="00A12BA0">
        <w:rPr>
          <w:rFonts w:eastAsia="Times New Roman"/>
        </w:rPr>
        <w:t xml:space="preserve"> при отразяване</w:t>
      </w:r>
      <w:r w:rsidR="00647960" w:rsidRPr="00955069">
        <w:rPr>
          <w:rFonts w:eastAsia="Times New Roman"/>
        </w:rPr>
        <w:t xml:space="preserve"> на фискалните ефекти от влезли в сила нормативни актове, предопределящи приходите и разходите,</w:t>
      </w:r>
      <w:r w:rsidRPr="001F5959">
        <w:rPr>
          <w:rFonts w:eastAsia="Times New Roman"/>
        </w:rPr>
        <w:t xml:space="preserve"> </w:t>
      </w:r>
      <w:r>
        <w:rPr>
          <w:rFonts w:eastAsia="Times New Roman"/>
        </w:rPr>
        <w:t>показват, че</w:t>
      </w:r>
      <w:r w:rsidR="00647960" w:rsidRPr="00955069">
        <w:rPr>
          <w:rFonts w:eastAsia="Times New Roman"/>
        </w:rPr>
        <w:t xml:space="preserve"> целогодишният ефект за 2023</w:t>
      </w:r>
      <w:r w:rsidR="00B552D5">
        <w:rPr>
          <w:rFonts w:eastAsia="Times New Roman"/>
        </w:rPr>
        <w:t> г.</w:t>
      </w:r>
      <w:r w:rsidR="00647960" w:rsidRPr="00955069">
        <w:rPr>
          <w:rFonts w:eastAsia="Times New Roman"/>
        </w:rPr>
        <w:t xml:space="preserve"> предполага значително влоша</w:t>
      </w:r>
      <w:r w:rsidR="00647960">
        <w:rPr>
          <w:rFonts w:eastAsia="Times New Roman"/>
        </w:rPr>
        <w:t xml:space="preserve">ване на бюджетното салдо </w:t>
      </w:r>
      <w:r w:rsidR="00647960" w:rsidRPr="00955069">
        <w:rPr>
          <w:rFonts w:eastAsia="Times New Roman"/>
        </w:rPr>
        <w:t>на сектор „Държавно управление“</w:t>
      </w:r>
      <w:r w:rsidR="00647960">
        <w:rPr>
          <w:rFonts w:eastAsia="Times New Roman"/>
        </w:rPr>
        <w:t>, което достига</w:t>
      </w:r>
      <w:r w:rsidR="00647960" w:rsidRPr="00EA0218">
        <w:rPr>
          <w:rFonts w:eastAsia="Times New Roman"/>
        </w:rPr>
        <w:t xml:space="preserve"> </w:t>
      </w:r>
      <w:r w:rsidR="001D6D32">
        <w:rPr>
          <w:rFonts w:eastAsia="Times New Roman"/>
        </w:rPr>
        <w:t>-</w:t>
      </w:r>
      <w:r w:rsidR="00647960" w:rsidRPr="00EA0218">
        <w:rPr>
          <w:rFonts w:eastAsia="Times New Roman"/>
        </w:rPr>
        <w:t>6.1% от БВП</w:t>
      </w:r>
      <w:r w:rsidR="00647960">
        <w:rPr>
          <w:rFonts w:eastAsia="Times New Roman"/>
        </w:rPr>
        <w:t xml:space="preserve"> с тенденция на лек сп</w:t>
      </w:r>
      <w:r w:rsidR="002665F1">
        <w:rPr>
          <w:rFonts w:eastAsia="Times New Roman"/>
        </w:rPr>
        <w:t>ад и задържане в границите от</w:t>
      </w:r>
      <w:r w:rsidR="00647960">
        <w:rPr>
          <w:rFonts w:eastAsia="Times New Roman"/>
        </w:rPr>
        <w:t xml:space="preserve"> </w:t>
      </w:r>
      <w:r w:rsidR="001D6D32">
        <w:rPr>
          <w:rFonts w:eastAsia="Times New Roman"/>
        </w:rPr>
        <w:t>-</w:t>
      </w:r>
      <w:r w:rsidR="00647960" w:rsidRPr="00EA0218">
        <w:rPr>
          <w:rFonts w:eastAsia="Times New Roman"/>
        </w:rPr>
        <w:t>4.7</w:t>
      </w:r>
      <w:r w:rsidR="002665F1">
        <w:rPr>
          <w:rFonts w:eastAsia="Times New Roman"/>
        </w:rPr>
        <w:t xml:space="preserve"> до </w:t>
      </w:r>
      <w:r w:rsidR="00647960">
        <w:rPr>
          <w:rFonts w:eastAsia="Times New Roman"/>
        </w:rPr>
        <w:t>-</w:t>
      </w:r>
      <w:r w:rsidR="00647960" w:rsidRPr="00EA0218">
        <w:rPr>
          <w:rFonts w:eastAsia="Times New Roman"/>
        </w:rPr>
        <w:t xml:space="preserve">5.0% от БВП </w:t>
      </w:r>
      <w:r w:rsidR="00647960">
        <w:rPr>
          <w:rFonts w:eastAsia="Times New Roman"/>
        </w:rPr>
        <w:t xml:space="preserve">през периода </w:t>
      </w:r>
      <w:r w:rsidR="001364E0">
        <w:rPr>
          <w:rFonts w:eastAsia="Times New Roman"/>
        </w:rPr>
        <w:t>2024–2026</w:t>
      </w:r>
      <w:r w:rsidR="00B552D5">
        <w:rPr>
          <w:rFonts w:eastAsia="Times New Roman"/>
        </w:rPr>
        <w:t> г.</w:t>
      </w:r>
      <w:r w:rsidR="00647960">
        <w:rPr>
          <w:rFonts w:eastAsia="Times New Roman"/>
        </w:rPr>
        <w:t xml:space="preserve"> </w:t>
      </w:r>
      <w:r w:rsidR="00647960" w:rsidRPr="00EA0218">
        <w:rPr>
          <w:rFonts w:eastAsia="Times New Roman"/>
        </w:rPr>
        <w:t xml:space="preserve">Това е резултат от политически решения и приети законодателни промени от последните Народни събрания, свързани с промени в данъчното законодателство относно въвеждане на данъчни облекчения и на намалени данъчни ставки с отрицателно отражение върху бюджетните приходи, </w:t>
      </w:r>
      <w:r w:rsidR="00CC7182">
        <w:rPr>
          <w:rFonts w:eastAsia="Times New Roman"/>
        </w:rPr>
        <w:t xml:space="preserve">както и на </w:t>
      </w:r>
      <w:r w:rsidR="00647960" w:rsidRPr="00EA0218">
        <w:rPr>
          <w:rFonts w:eastAsia="Times New Roman"/>
        </w:rPr>
        <w:t>увеличение на разходи с постоянен характер</w:t>
      </w:r>
      <w:r w:rsidR="00647960">
        <w:rPr>
          <w:rFonts w:eastAsia="Times New Roman"/>
        </w:rPr>
        <w:t xml:space="preserve">. </w:t>
      </w:r>
    </w:p>
    <w:p w14:paraId="60D69DAF" w14:textId="20899925" w:rsidR="00647960" w:rsidRDefault="00647960" w:rsidP="00647960">
      <w:pPr>
        <w:rPr>
          <w:rFonts w:eastAsia="Times New Roman"/>
        </w:rPr>
      </w:pPr>
      <w:r>
        <w:rPr>
          <w:rFonts w:eastAsia="Times New Roman"/>
        </w:rPr>
        <w:lastRenderedPageBreak/>
        <w:t>Б</w:t>
      </w:r>
      <w:r w:rsidRPr="00010B21">
        <w:rPr>
          <w:rFonts w:eastAsia="Times New Roman"/>
        </w:rPr>
        <w:t>яха изготвени и публикувани за обществено обсъждане предложения за промени в данъчните закони</w:t>
      </w:r>
      <w:r>
        <w:rPr>
          <w:rFonts w:eastAsia="Times New Roman"/>
        </w:rPr>
        <w:t xml:space="preserve"> с </w:t>
      </w:r>
      <w:r w:rsidRPr="00010B21">
        <w:rPr>
          <w:rFonts w:eastAsia="Times New Roman"/>
        </w:rPr>
        <w:t xml:space="preserve">мерки за повишаване на </w:t>
      </w:r>
      <w:r>
        <w:rPr>
          <w:rFonts w:eastAsia="Times New Roman"/>
        </w:rPr>
        <w:t xml:space="preserve">събираемостта, за подобрен фискален контрол и промени в корпоративното облагане, чието въвеждане би имало консолидационен ефект и осигуряване привеждането на дефицита в рамките на ограниченията на Пакта за стабилност и растеж, но същите не срещнаха политическа подкрепа и </w:t>
      </w:r>
      <w:r w:rsidR="001F5959">
        <w:rPr>
          <w:rFonts w:eastAsia="Times New Roman"/>
        </w:rPr>
        <w:t xml:space="preserve">съответно </w:t>
      </w:r>
      <w:r>
        <w:rPr>
          <w:rFonts w:eastAsia="Times New Roman"/>
        </w:rPr>
        <w:t>не бяха отразени в разчетите за бюджетната рамка.</w:t>
      </w:r>
    </w:p>
    <w:p w14:paraId="1B1AAB36" w14:textId="32F346DC" w:rsidR="00647960" w:rsidRDefault="00647960" w:rsidP="00561555">
      <w:pPr>
        <w:rPr>
          <w:rFonts w:eastAsia="Times New Roman"/>
        </w:rPr>
      </w:pPr>
      <w:r>
        <w:rPr>
          <w:rFonts w:eastAsia="Times New Roman"/>
        </w:rPr>
        <w:t xml:space="preserve">В същото време </w:t>
      </w:r>
      <w:r w:rsidRPr="001B38F9">
        <w:rPr>
          <w:rFonts w:eastAsia="Times New Roman"/>
        </w:rPr>
        <w:t xml:space="preserve">са предложени възможни приходни и разходни мерки с оценен годишен фискален ефект, които могат да бъдат разгледани </w:t>
      </w:r>
      <w:r>
        <w:rPr>
          <w:rFonts w:eastAsia="Times New Roman"/>
        </w:rPr>
        <w:t>в Народното събрание,</w:t>
      </w:r>
      <w:r w:rsidRPr="001B38F9">
        <w:rPr>
          <w:rFonts w:eastAsia="Times New Roman"/>
        </w:rPr>
        <w:t xml:space="preserve"> и ако получат необходимата политическа подкрепа биха могли да спомогнат за привеждането на дефицита в рамките на 3%-то ограничение.</w:t>
      </w:r>
      <w:r>
        <w:rPr>
          <w:rFonts w:eastAsia="Times New Roman"/>
        </w:rPr>
        <w:t xml:space="preserve"> Като цяло политическите нагласи са за приемане на бюджет за 2023</w:t>
      </w:r>
      <w:r w:rsidR="00B552D5">
        <w:rPr>
          <w:rFonts w:eastAsia="Times New Roman"/>
        </w:rPr>
        <w:t> г.</w:t>
      </w:r>
      <w:r>
        <w:rPr>
          <w:rFonts w:eastAsia="Times New Roman"/>
        </w:rPr>
        <w:t xml:space="preserve"> в рамките на Маастрихтстките критерии и националните фискални правила.</w:t>
      </w:r>
    </w:p>
    <w:p w14:paraId="12950DD9" w14:textId="6E762804" w:rsidR="00855AD7" w:rsidRPr="005106B8" w:rsidRDefault="00855AD7" w:rsidP="00855AD7">
      <w:pPr>
        <w:rPr>
          <w:szCs w:val="24"/>
          <w:lang w:val="en-US"/>
        </w:rPr>
      </w:pPr>
      <w:r>
        <w:rPr>
          <w:szCs w:val="24"/>
        </w:rPr>
        <w:t xml:space="preserve">През периода </w:t>
      </w:r>
      <w:r w:rsidR="00B552D5">
        <w:rPr>
          <w:szCs w:val="24"/>
        </w:rPr>
        <w:t>2023–2026 г.</w:t>
      </w:r>
      <w:r>
        <w:rPr>
          <w:szCs w:val="24"/>
        </w:rPr>
        <w:t>, като подчертан приоритет се запазва дългосрочното изпълнение на дълговия критерий, респ. поддържане нивото на съотношението дълг на сектор</w:t>
      </w:r>
      <w:r w:rsidRPr="00DD6564">
        <w:rPr>
          <w:szCs w:val="24"/>
        </w:rPr>
        <w:t xml:space="preserve"> </w:t>
      </w:r>
      <w:r>
        <w:rPr>
          <w:szCs w:val="24"/>
        </w:rPr>
        <w:t>„</w:t>
      </w:r>
      <w:r w:rsidRPr="00DD6564">
        <w:rPr>
          <w:szCs w:val="24"/>
        </w:rPr>
        <w:t>Държавно управление</w:t>
      </w:r>
      <w:r>
        <w:rPr>
          <w:szCs w:val="24"/>
        </w:rPr>
        <w:t>“</w:t>
      </w:r>
      <w:r w:rsidR="00284F26">
        <w:rPr>
          <w:szCs w:val="24"/>
        </w:rPr>
        <w:t xml:space="preserve"> към </w:t>
      </w:r>
      <w:r w:rsidRPr="00DD6564">
        <w:rPr>
          <w:szCs w:val="24"/>
        </w:rPr>
        <w:t xml:space="preserve">БВП </w:t>
      </w:r>
      <w:r>
        <w:rPr>
          <w:szCs w:val="24"/>
        </w:rPr>
        <w:t>под пределната граница от 60%. П</w:t>
      </w:r>
      <w:r w:rsidRPr="00DB60F7">
        <w:rPr>
          <w:szCs w:val="24"/>
        </w:rPr>
        <w:t>ри отделните компоненти, формиращи дълга на сектор</w:t>
      </w:r>
      <w:r>
        <w:rPr>
          <w:szCs w:val="24"/>
        </w:rPr>
        <w:t xml:space="preserve"> „Държавно управление“</w:t>
      </w:r>
      <w:r w:rsidRPr="00DB60F7">
        <w:rPr>
          <w:szCs w:val="24"/>
        </w:rPr>
        <w:t xml:space="preserve">, най-значителен </w:t>
      </w:r>
      <w:r>
        <w:rPr>
          <w:szCs w:val="24"/>
        </w:rPr>
        <w:t>принос оказва</w:t>
      </w:r>
      <w:r w:rsidRPr="00DB60F7">
        <w:rPr>
          <w:szCs w:val="24"/>
        </w:rPr>
        <w:t xml:space="preserve"> дългът на подсектор „Централно управление“ </w:t>
      </w:r>
      <w:r w:rsidRPr="00E478AA">
        <w:rPr>
          <w:szCs w:val="24"/>
        </w:rPr>
        <w:t>и в частност държавния</w:t>
      </w:r>
      <w:r>
        <w:rPr>
          <w:szCs w:val="24"/>
        </w:rPr>
        <w:t>т</w:t>
      </w:r>
      <w:r w:rsidRPr="00E478AA">
        <w:rPr>
          <w:szCs w:val="24"/>
        </w:rPr>
        <w:t xml:space="preserve"> дълг като негов основен компонент</w:t>
      </w:r>
      <w:r>
        <w:rPr>
          <w:szCs w:val="24"/>
        </w:rPr>
        <w:t>. П</w:t>
      </w:r>
      <w:r w:rsidRPr="0063056C">
        <w:rPr>
          <w:szCs w:val="24"/>
        </w:rPr>
        <w:t xml:space="preserve">одсектор „Местно управление“ и подсектор „Социалноосигурителни фондове“ </w:t>
      </w:r>
      <w:r>
        <w:rPr>
          <w:szCs w:val="24"/>
        </w:rPr>
        <w:t>запазват м</w:t>
      </w:r>
      <w:r w:rsidRPr="0063056C">
        <w:rPr>
          <w:szCs w:val="24"/>
        </w:rPr>
        <w:t>инималн</w:t>
      </w:r>
      <w:r>
        <w:rPr>
          <w:szCs w:val="24"/>
        </w:rPr>
        <w:t xml:space="preserve">о си влияние върху дълга на сектора, което предопределя и водещото значение на провежданата дългова политика. </w:t>
      </w:r>
    </w:p>
    <w:p w14:paraId="7B4103BD" w14:textId="313BF9DB" w:rsidR="00855AD7" w:rsidRPr="00713F53" w:rsidRDefault="00855AD7" w:rsidP="00855AD7">
      <w:pPr>
        <w:rPr>
          <w:rFonts w:asciiTheme="majorBidi" w:hAnsiTheme="majorBidi" w:cstheme="majorBidi"/>
          <w:szCs w:val="24"/>
        </w:rPr>
      </w:pPr>
      <w:r>
        <w:rPr>
          <w:szCs w:val="24"/>
        </w:rPr>
        <w:t>Политиката по управление на държавния дълг</w:t>
      </w:r>
      <w:r w:rsidRPr="005106B8">
        <w:rPr>
          <w:szCs w:val="24"/>
          <w:vertAlign w:val="superscript"/>
        </w:rPr>
        <w:t xml:space="preserve"> </w:t>
      </w:r>
      <w:r w:rsidRPr="005106B8">
        <w:rPr>
          <w:szCs w:val="24"/>
        </w:rPr>
        <w:t xml:space="preserve">за </w:t>
      </w:r>
      <w:r>
        <w:rPr>
          <w:szCs w:val="24"/>
        </w:rPr>
        <w:t xml:space="preserve">прогнозния </w:t>
      </w:r>
      <w:r w:rsidRPr="005106B8">
        <w:rPr>
          <w:szCs w:val="24"/>
        </w:rPr>
        <w:t xml:space="preserve">период </w:t>
      </w:r>
      <w:r>
        <w:rPr>
          <w:szCs w:val="24"/>
        </w:rPr>
        <w:t>следва</w:t>
      </w:r>
      <w:r w:rsidRPr="005106B8">
        <w:rPr>
          <w:szCs w:val="24"/>
        </w:rPr>
        <w:t xml:space="preserve"> </w:t>
      </w:r>
      <w:r>
        <w:rPr>
          <w:szCs w:val="24"/>
        </w:rPr>
        <w:t xml:space="preserve">очертаните </w:t>
      </w:r>
      <w:r w:rsidRPr="005106B8">
        <w:rPr>
          <w:szCs w:val="24"/>
        </w:rPr>
        <w:t>цели на фискалната политика и ще бъде насочен</w:t>
      </w:r>
      <w:r>
        <w:rPr>
          <w:szCs w:val="24"/>
        </w:rPr>
        <w:t>а</w:t>
      </w:r>
      <w:r w:rsidRPr="005106B8">
        <w:rPr>
          <w:szCs w:val="24"/>
        </w:rPr>
        <w:t xml:space="preserve"> към изпълнение на стратегическата цел за осигуряване </w:t>
      </w:r>
      <w:r w:rsidR="00BF1498">
        <w:rPr>
          <w:szCs w:val="24"/>
        </w:rPr>
        <w:t xml:space="preserve">на </w:t>
      </w:r>
      <w:r w:rsidRPr="005106B8">
        <w:rPr>
          <w:szCs w:val="24"/>
        </w:rPr>
        <w:t>необходимите ресурси за рефинансиране на дълга в обращение, финансиране на планираните нива на дефицит по държавния бюджет и обезпечаване на ликвидната позиция на фискалния резерв.</w:t>
      </w:r>
      <w:r w:rsidRPr="004A54B0">
        <w:rPr>
          <w:rFonts w:asciiTheme="majorBidi" w:hAnsiTheme="majorBidi" w:cstheme="majorBidi"/>
          <w:szCs w:val="24"/>
        </w:rPr>
        <w:t xml:space="preserve"> </w:t>
      </w:r>
    </w:p>
    <w:p w14:paraId="08395590" w14:textId="77777777" w:rsidR="00855AD7" w:rsidRPr="0038710A" w:rsidRDefault="00855AD7" w:rsidP="00855AD7">
      <w:pPr>
        <w:rPr>
          <w:rFonts w:asciiTheme="majorBidi" w:hAnsiTheme="majorBidi" w:cstheme="majorBidi"/>
          <w:szCs w:val="24"/>
        </w:rPr>
      </w:pPr>
      <w:r>
        <w:rPr>
          <w:rFonts w:asciiTheme="majorBidi" w:hAnsiTheme="majorBidi" w:cstheme="majorBidi"/>
          <w:szCs w:val="24"/>
        </w:rPr>
        <w:t xml:space="preserve">В условията на икономическа несигурност в глобален план, усложнена геополитическа обстановка, както и предприетите </w:t>
      </w:r>
      <w:r w:rsidRPr="00AB0786">
        <w:rPr>
          <w:rFonts w:asciiTheme="majorBidi" w:hAnsiTheme="majorBidi" w:cstheme="majorBidi"/>
          <w:szCs w:val="24"/>
        </w:rPr>
        <w:t>мерки от</w:t>
      </w:r>
      <w:r>
        <w:rPr>
          <w:rFonts w:asciiTheme="majorBidi" w:hAnsiTheme="majorBidi" w:cstheme="majorBidi"/>
          <w:szCs w:val="24"/>
        </w:rPr>
        <w:t xml:space="preserve"> </w:t>
      </w:r>
      <w:r w:rsidRPr="00AB0786">
        <w:rPr>
          <w:rFonts w:asciiTheme="majorBidi" w:hAnsiTheme="majorBidi" w:cstheme="majorBidi"/>
          <w:szCs w:val="24"/>
        </w:rPr>
        <w:t>централните банки на водещите икономики за ускоряване на процеса за затягане на паричната политика</w:t>
      </w:r>
      <w:r>
        <w:rPr>
          <w:rFonts w:asciiTheme="majorBidi" w:hAnsiTheme="majorBidi" w:cstheme="majorBidi"/>
          <w:szCs w:val="24"/>
        </w:rPr>
        <w:t>,</w:t>
      </w:r>
      <w:r w:rsidRPr="00AB0786">
        <w:rPr>
          <w:rFonts w:asciiTheme="majorBidi" w:hAnsiTheme="majorBidi" w:cstheme="majorBidi"/>
          <w:szCs w:val="24"/>
        </w:rPr>
        <w:t xml:space="preserve"> основните предизвикателства и цели</w:t>
      </w:r>
      <w:r>
        <w:rPr>
          <w:rFonts w:asciiTheme="majorBidi" w:hAnsiTheme="majorBidi" w:cstheme="majorBidi"/>
          <w:szCs w:val="24"/>
        </w:rPr>
        <w:t xml:space="preserve"> пред дълговото управление</w:t>
      </w:r>
      <w:r w:rsidRPr="00AB0786">
        <w:rPr>
          <w:rFonts w:asciiTheme="majorBidi" w:hAnsiTheme="majorBidi" w:cstheme="majorBidi"/>
          <w:szCs w:val="24"/>
        </w:rPr>
        <w:t xml:space="preserve"> ще бъдат съсредоточени в посока обезпеч</w:t>
      </w:r>
      <w:r>
        <w:rPr>
          <w:rFonts w:asciiTheme="majorBidi" w:hAnsiTheme="majorBidi" w:cstheme="majorBidi"/>
          <w:szCs w:val="24"/>
        </w:rPr>
        <w:t>аване на възможности за пазарно</w:t>
      </w:r>
      <w:r w:rsidRPr="00AB0786">
        <w:rPr>
          <w:rFonts w:asciiTheme="majorBidi" w:hAnsiTheme="majorBidi" w:cstheme="majorBidi"/>
          <w:szCs w:val="24"/>
        </w:rPr>
        <w:t>ориентирано финансиране, както на местния, така и на м</w:t>
      </w:r>
      <w:r>
        <w:rPr>
          <w:rFonts w:asciiTheme="majorBidi" w:hAnsiTheme="majorBidi" w:cstheme="majorBidi"/>
          <w:szCs w:val="24"/>
        </w:rPr>
        <w:t>еждународните капиталови пазари. В</w:t>
      </w:r>
      <w:r w:rsidRPr="0038710A">
        <w:rPr>
          <w:rFonts w:asciiTheme="majorBidi" w:hAnsiTheme="majorBidi" w:cstheme="majorBidi"/>
          <w:szCs w:val="24"/>
        </w:rPr>
        <w:t>олатилността</w:t>
      </w:r>
      <w:r>
        <w:rPr>
          <w:rFonts w:asciiTheme="majorBidi" w:hAnsiTheme="majorBidi" w:cstheme="majorBidi"/>
          <w:szCs w:val="24"/>
        </w:rPr>
        <w:t xml:space="preserve"> и</w:t>
      </w:r>
      <w:r w:rsidRPr="0038710A">
        <w:rPr>
          <w:rFonts w:asciiTheme="majorBidi" w:hAnsiTheme="majorBidi" w:cstheme="majorBidi"/>
          <w:szCs w:val="24"/>
        </w:rPr>
        <w:t xml:space="preserve"> </w:t>
      </w:r>
      <w:r w:rsidRPr="005106B8">
        <w:rPr>
          <w:rFonts w:asciiTheme="majorBidi" w:hAnsiTheme="majorBidi" w:cstheme="majorBidi"/>
          <w:szCs w:val="24"/>
        </w:rPr>
        <w:t>фрагментацията</w:t>
      </w:r>
      <w:r w:rsidRPr="0038710A">
        <w:rPr>
          <w:rFonts w:asciiTheme="majorBidi" w:hAnsiTheme="majorBidi" w:cstheme="majorBidi"/>
          <w:szCs w:val="24"/>
        </w:rPr>
        <w:t xml:space="preserve"> на финансовите пазари</w:t>
      </w:r>
      <w:r>
        <w:rPr>
          <w:rFonts w:asciiTheme="majorBidi" w:hAnsiTheme="majorBidi" w:cstheme="majorBidi"/>
          <w:szCs w:val="24"/>
        </w:rPr>
        <w:t xml:space="preserve">, както и продължаващият цикъл на </w:t>
      </w:r>
      <w:r w:rsidRPr="00AB0786">
        <w:rPr>
          <w:rFonts w:asciiTheme="majorBidi" w:hAnsiTheme="majorBidi" w:cstheme="majorBidi"/>
          <w:szCs w:val="24"/>
        </w:rPr>
        <w:t>покачване на основните лихвени проценти</w:t>
      </w:r>
      <w:r>
        <w:rPr>
          <w:rFonts w:asciiTheme="majorBidi" w:hAnsiTheme="majorBidi" w:cstheme="majorBidi"/>
          <w:szCs w:val="24"/>
        </w:rPr>
        <w:t xml:space="preserve"> </w:t>
      </w:r>
      <w:r w:rsidRPr="00AB0786">
        <w:rPr>
          <w:rFonts w:asciiTheme="majorBidi" w:hAnsiTheme="majorBidi" w:cstheme="majorBidi"/>
          <w:szCs w:val="24"/>
        </w:rPr>
        <w:t>са</w:t>
      </w:r>
      <w:r>
        <w:rPr>
          <w:rFonts w:asciiTheme="majorBidi" w:hAnsiTheme="majorBidi" w:cstheme="majorBidi"/>
          <w:szCs w:val="24"/>
        </w:rPr>
        <w:t xml:space="preserve"> сред</w:t>
      </w:r>
      <w:r w:rsidRPr="00AB0786">
        <w:rPr>
          <w:rFonts w:asciiTheme="majorBidi" w:hAnsiTheme="majorBidi" w:cstheme="majorBidi"/>
          <w:szCs w:val="24"/>
        </w:rPr>
        <w:t xml:space="preserve"> определящи</w:t>
      </w:r>
      <w:r>
        <w:rPr>
          <w:rFonts w:asciiTheme="majorBidi" w:hAnsiTheme="majorBidi" w:cstheme="majorBidi"/>
          <w:szCs w:val="24"/>
        </w:rPr>
        <w:t>те</w:t>
      </w:r>
      <w:r w:rsidRPr="00AB0786">
        <w:rPr>
          <w:rFonts w:asciiTheme="majorBidi" w:hAnsiTheme="majorBidi" w:cstheme="majorBidi"/>
          <w:szCs w:val="24"/>
        </w:rPr>
        <w:t xml:space="preserve"> фактори за </w:t>
      </w:r>
      <w:r>
        <w:rPr>
          <w:rFonts w:asciiTheme="majorBidi" w:hAnsiTheme="majorBidi" w:cstheme="majorBidi"/>
          <w:szCs w:val="24"/>
        </w:rPr>
        <w:t xml:space="preserve">покачване </w:t>
      </w:r>
      <w:r w:rsidRPr="00AB0786">
        <w:rPr>
          <w:rFonts w:asciiTheme="majorBidi" w:hAnsiTheme="majorBidi" w:cstheme="majorBidi"/>
          <w:szCs w:val="24"/>
        </w:rPr>
        <w:t>цената на дълговото финансиране и</w:t>
      </w:r>
      <w:r>
        <w:rPr>
          <w:rFonts w:asciiTheme="majorBidi" w:hAnsiTheme="majorBidi" w:cstheme="majorBidi"/>
          <w:szCs w:val="24"/>
        </w:rPr>
        <w:t xml:space="preserve"> </w:t>
      </w:r>
      <w:r w:rsidRPr="0038710A">
        <w:rPr>
          <w:rFonts w:asciiTheme="majorBidi" w:hAnsiTheme="majorBidi" w:cstheme="majorBidi"/>
          <w:szCs w:val="24"/>
        </w:rPr>
        <w:t>рисковете, съпътстващи неговото осигуряване</w:t>
      </w:r>
      <w:r w:rsidRPr="00AB0786">
        <w:rPr>
          <w:rFonts w:asciiTheme="majorBidi" w:hAnsiTheme="majorBidi" w:cstheme="majorBidi"/>
          <w:szCs w:val="24"/>
        </w:rPr>
        <w:t xml:space="preserve">. </w:t>
      </w:r>
    </w:p>
    <w:p w14:paraId="1A941802" w14:textId="3D8250BF" w:rsidR="00855AD7" w:rsidRPr="00982C10" w:rsidRDefault="00855AD7" w:rsidP="00855AD7">
      <w:pPr>
        <w:rPr>
          <w:rFonts w:asciiTheme="majorBidi" w:hAnsiTheme="majorBidi" w:cstheme="majorBidi"/>
          <w:szCs w:val="24"/>
        </w:rPr>
      </w:pPr>
      <w:r>
        <w:rPr>
          <w:rFonts w:asciiTheme="majorBidi" w:hAnsiTheme="majorBidi" w:cstheme="majorBidi"/>
          <w:szCs w:val="24"/>
        </w:rPr>
        <w:t>За реализиране на постав</w:t>
      </w:r>
      <w:r w:rsidR="00284F26">
        <w:rPr>
          <w:rFonts w:asciiTheme="majorBidi" w:hAnsiTheme="majorBidi" w:cstheme="majorBidi"/>
          <w:szCs w:val="24"/>
        </w:rPr>
        <w:t xml:space="preserve">ените цели, през периода </w:t>
      </w:r>
      <w:r w:rsidR="00B552D5">
        <w:rPr>
          <w:rFonts w:asciiTheme="majorBidi" w:hAnsiTheme="majorBidi" w:cstheme="majorBidi"/>
          <w:szCs w:val="24"/>
        </w:rPr>
        <w:t>2023–2026 г.</w:t>
      </w:r>
      <w:r>
        <w:rPr>
          <w:rFonts w:asciiTheme="majorBidi" w:hAnsiTheme="majorBidi" w:cstheme="majorBidi"/>
          <w:szCs w:val="24"/>
        </w:rPr>
        <w:t xml:space="preserve"> се планира </w:t>
      </w:r>
      <w:r w:rsidRPr="00510AE8">
        <w:rPr>
          <w:rFonts w:asciiTheme="majorBidi" w:hAnsiTheme="majorBidi" w:cstheme="majorBidi"/>
          <w:szCs w:val="24"/>
        </w:rPr>
        <w:t>като основен инструмент</w:t>
      </w:r>
      <w:r>
        <w:rPr>
          <w:rFonts w:asciiTheme="majorBidi" w:hAnsiTheme="majorBidi" w:cstheme="majorBidi"/>
          <w:szCs w:val="24"/>
        </w:rPr>
        <w:t xml:space="preserve"> на дългово финансиране да бъдат използвани емисиите на ДЦК както на вътрешния, така и на външния дългов пазар. О</w:t>
      </w:r>
      <w:r w:rsidRPr="00982C10">
        <w:rPr>
          <w:rFonts w:asciiTheme="majorBidi" w:hAnsiTheme="majorBidi" w:cstheme="majorBidi"/>
          <w:szCs w:val="24"/>
        </w:rPr>
        <w:t>пределяне</w:t>
      </w:r>
      <w:r>
        <w:rPr>
          <w:rFonts w:asciiTheme="majorBidi" w:hAnsiTheme="majorBidi" w:cstheme="majorBidi"/>
          <w:szCs w:val="24"/>
        </w:rPr>
        <w:t>то</w:t>
      </w:r>
      <w:r w:rsidRPr="00982C10">
        <w:rPr>
          <w:rFonts w:asciiTheme="majorBidi" w:hAnsiTheme="majorBidi" w:cstheme="majorBidi"/>
          <w:szCs w:val="24"/>
        </w:rPr>
        <w:t xml:space="preserve"> на </w:t>
      </w:r>
      <w:r>
        <w:rPr>
          <w:rFonts w:asciiTheme="majorBidi" w:hAnsiTheme="majorBidi" w:cstheme="majorBidi"/>
          <w:szCs w:val="24"/>
        </w:rPr>
        <w:t>конкретните характеристики</w:t>
      </w:r>
      <w:r w:rsidRPr="00982C10">
        <w:rPr>
          <w:rFonts w:asciiTheme="majorBidi" w:hAnsiTheme="majorBidi" w:cstheme="majorBidi"/>
          <w:szCs w:val="24"/>
        </w:rPr>
        <w:t xml:space="preserve"> на новопоетия дълг </w:t>
      </w:r>
      <w:r>
        <w:rPr>
          <w:rFonts w:asciiTheme="majorBidi" w:hAnsiTheme="majorBidi" w:cstheme="majorBidi"/>
          <w:szCs w:val="24"/>
        </w:rPr>
        <w:t xml:space="preserve">ще </w:t>
      </w:r>
      <w:r w:rsidRPr="00982C10">
        <w:rPr>
          <w:rFonts w:asciiTheme="majorBidi" w:hAnsiTheme="majorBidi" w:cstheme="majorBidi"/>
          <w:szCs w:val="24"/>
        </w:rPr>
        <w:t>бъде съобразено с преобладаващите пазарни тенденции</w:t>
      </w:r>
      <w:r>
        <w:rPr>
          <w:rFonts w:asciiTheme="majorBidi" w:hAnsiTheme="majorBidi" w:cstheme="majorBidi"/>
          <w:szCs w:val="24"/>
        </w:rPr>
        <w:t>,</w:t>
      </w:r>
      <w:r w:rsidRPr="00982C10">
        <w:rPr>
          <w:rFonts w:asciiTheme="majorBidi" w:hAnsiTheme="majorBidi" w:cstheme="majorBidi"/>
          <w:szCs w:val="24"/>
        </w:rPr>
        <w:t xml:space="preserve"> инвеститорската база,</w:t>
      </w:r>
      <w:r w:rsidRPr="00C12F42">
        <w:rPr>
          <w:rFonts w:asciiTheme="majorBidi" w:hAnsiTheme="majorBidi" w:cstheme="majorBidi"/>
          <w:szCs w:val="24"/>
        </w:rPr>
        <w:t xml:space="preserve"> профила на дълга в обращение</w:t>
      </w:r>
      <w:r>
        <w:rPr>
          <w:rFonts w:asciiTheme="majorBidi" w:hAnsiTheme="majorBidi" w:cstheme="majorBidi"/>
          <w:szCs w:val="24"/>
        </w:rPr>
        <w:t>,</w:t>
      </w:r>
      <w:r w:rsidRPr="00982C10">
        <w:rPr>
          <w:rFonts w:asciiTheme="majorBidi" w:hAnsiTheme="majorBidi" w:cstheme="majorBidi"/>
          <w:szCs w:val="24"/>
        </w:rPr>
        <w:t xml:space="preserve"> възможностите за намаляване на риска за рефинансиране на държавния дълг и минимизиране на ликвидните рискове за държавния бюджет. </w:t>
      </w:r>
    </w:p>
    <w:p w14:paraId="210A1356" w14:textId="49E1771C" w:rsidR="00A57F2C" w:rsidRPr="00493DA8" w:rsidRDefault="00855AD7" w:rsidP="00493DA8">
      <w:pPr>
        <w:rPr>
          <w:rFonts w:asciiTheme="minorHAnsi" w:hAnsiTheme="minorHAnsi" w:cstheme="minorHAnsi"/>
          <w:szCs w:val="24"/>
        </w:rPr>
      </w:pPr>
      <w:r w:rsidRPr="00982C10">
        <w:rPr>
          <w:rFonts w:asciiTheme="majorBidi" w:hAnsiTheme="majorBidi" w:cstheme="majorBidi"/>
          <w:szCs w:val="24"/>
        </w:rPr>
        <w:t xml:space="preserve">В допълнение, към пазарноориентираното финансиране на държавния бюджет законодателно </w:t>
      </w:r>
      <w:r>
        <w:rPr>
          <w:rFonts w:asciiTheme="majorBidi" w:hAnsiTheme="majorBidi" w:cstheme="majorBidi"/>
          <w:szCs w:val="24"/>
        </w:rPr>
        <w:t xml:space="preserve">се предвижда </w:t>
      </w:r>
      <w:r w:rsidRPr="00982C10">
        <w:rPr>
          <w:rFonts w:asciiTheme="majorBidi" w:hAnsiTheme="majorBidi" w:cstheme="majorBidi"/>
          <w:szCs w:val="24"/>
        </w:rPr>
        <w:t>да бъде обезпечена и възможност за поемането на нов външен държавен дълг чрез заеми по линия на финансови инструменти от ЕС и/или от международни финансови ин</w:t>
      </w:r>
      <w:r>
        <w:rPr>
          <w:rFonts w:asciiTheme="majorBidi" w:hAnsiTheme="majorBidi" w:cstheme="majorBidi"/>
          <w:szCs w:val="24"/>
        </w:rPr>
        <w:t>ституции. По отношение на финан</w:t>
      </w:r>
      <w:r w:rsidRPr="00982C10">
        <w:rPr>
          <w:rFonts w:asciiTheme="majorBidi" w:hAnsiTheme="majorBidi" w:cstheme="majorBidi"/>
          <w:szCs w:val="24"/>
        </w:rPr>
        <w:t>сирането на нови инвестиционни проекти и специфични програми с държавни и държавногарантирани заеми възприет</w:t>
      </w:r>
      <w:r>
        <w:rPr>
          <w:rFonts w:asciiTheme="majorBidi" w:hAnsiTheme="majorBidi" w:cstheme="majorBidi"/>
          <w:szCs w:val="24"/>
        </w:rPr>
        <w:t>ият консервативен подход ще про</w:t>
      </w:r>
      <w:r w:rsidRPr="00982C10">
        <w:rPr>
          <w:rFonts w:asciiTheme="majorBidi" w:hAnsiTheme="majorBidi" w:cstheme="majorBidi"/>
          <w:szCs w:val="24"/>
        </w:rPr>
        <w:t>дължи да се прилага.</w:t>
      </w:r>
      <w:r w:rsidR="00CB7812" w:rsidRPr="00493DA8">
        <w:rPr>
          <w:rFonts w:asciiTheme="minorHAnsi" w:hAnsiTheme="minorHAnsi" w:cstheme="minorHAnsi"/>
          <w:szCs w:val="24"/>
        </w:rPr>
        <w:t xml:space="preserve"> </w:t>
      </w:r>
    </w:p>
    <w:p w14:paraId="1A949399" w14:textId="77777777" w:rsidR="002A3EEE" w:rsidRPr="004018C2" w:rsidRDefault="00D359FF" w:rsidP="00EE53B2">
      <w:pPr>
        <w:pStyle w:val="Heading2"/>
      </w:pPr>
      <w:bookmarkStart w:id="66" w:name="_Toc352851594"/>
      <w:bookmarkStart w:id="67" w:name="_Toc448227272"/>
      <w:bookmarkStart w:id="68" w:name="_Toc479332420"/>
      <w:bookmarkStart w:id="69" w:name="_Toc133597271"/>
      <w:r w:rsidRPr="004018C2">
        <w:lastRenderedPageBreak/>
        <w:t>Средносрочни цели</w:t>
      </w:r>
      <w:bookmarkEnd w:id="66"/>
      <w:bookmarkEnd w:id="67"/>
      <w:bookmarkEnd w:id="68"/>
      <w:bookmarkEnd w:id="69"/>
    </w:p>
    <w:p w14:paraId="1AEB49A7" w14:textId="30C174A4" w:rsidR="00561555" w:rsidRPr="00CA5073" w:rsidRDefault="00561555" w:rsidP="00561555">
      <w:bookmarkStart w:id="70" w:name="_Toc352851595"/>
      <w:bookmarkStart w:id="71" w:name="_Toc448227273"/>
      <w:bookmarkStart w:id="72" w:name="_Toc479332421"/>
      <w:r w:rsidRPr="00CA5073">
        <w:t>През 2023</w:t>
      </w:r>
      <w:r w:rsidR="00B552D5">
        <w:t> г.</w:t>
      </w:r>
      <w:r w:rsidRPr="00CA5073">
        <w:t xml:space="preserve"> се очаква бюджетното салдо да бъде отрицателно в размер на </w:t>
      </w:r>
      <w:r w:rsidR="00647960">
        <w:t>6.1</w:t>
      </w:r>
      <w:r w:rsidRPr="00CA5073">
        <w:t xml:space="preserve">% от БВП, а прогнозата за следващите години е за дефицит на сектора в размер съответно на </w:t>
      </w:r>
      <w:r w:rsidR="00647960">
        <w:rPr>
          <w:lang w:val="en-US"/>
        </w:rPr>
        <w:t>4.7</w:t>
      </w:r>
      <w:r w:rsidRPr="00CA5073">
        <w:t>% от БВП за 2024</w:t>
      </w:r>
      <w:r w:rsidR="00B552D5">
        <w:t> г.</w:t>
      </w:r>
      <w:r w:rsidRPr="00CA5073">
        <w:t xml:space="preserve">, </w:t>
      </w:r>
      <w:r w:rsidR="00647960">
        <w:rPr>
          <w:lang w:val="en-US"/>
        </w:rPr>
        <w:t>4.9</w:t>
      </w:r>
      <w:r w:rsidRPr="00CA5073">
        <w:t>% за 2025</w:t>
      </w:r>
      <w:r w:rsidR="00B552D5">
        <w:t> г.</w:t>
      </w:r>
      <w:r w:rsidRPr="00CA5073">
        <w:t xml:space="preserve"> и </w:t>
      </w:r>
      <w:r w:rsidR="00647960">
        <w:t>5</w:t>
      </w:r>
      <w:r w:rsidR="009E4F54">
        <w:t>.0</w:t>
      </w:r>
      <w:r w:rsidRPr="00CA5073">
        <w:t>% от БВП за 2026</w:t>
      </w:r>
      <w:r w:rsidR="00B552D5">
        <w:t> г.</w:t>
      </w:r>
      <w:r w:rsidRPr="00CA5073">
        <w:t xml:space="preserve"> Представената прогноза е разработена на базата на последната макроикономическа прогноза на МФ, както и на предприетите мерки и политики, които оказват фискално въздействие през прогнозния период.</w:t>
      </w:r>
    </w:p>
    <w:p w14:paraId="4F754E34" w14:textId="2302341F" w:rsidR="00561555" w:rsidRPr="00CA5073" w:rsidRDefault="00561555" w:rsidP="00561555">
      <w:r w:rsidRPr="00CA5073">
        <w:t>Част от дефицита на сектор „Държавно управление“, който се отчита на начислена основа, се дължи на времевото изместване при отчитането на разходите за доставки на военна техника, които са платени през предходни години на касова основа. Съгласно методологията ЕСС 2010, държавните разходи за военно оборудване се отчитат през годината на доставката им. Поради това, инвестиционните разходи за придобиване на нов тип боен самолет, направени през 2019</w:t>
      </w:r>
      <w:r w:rsidR="00B552D5">
        <w:t> г.</w:t>
      </w:r>
      <w:r w:rsidRPr="00CA5073">
        <w:t xml:space="preserve"> и 2020</w:t>
      </w:r>
      <w:r w:rsidR="00B552D5">
        <w:t> г.</w:t>
      </w:r>
      <w:r w:rsidRPr="00CA5073">
        <w:t xml:space="preserve"> в размер на 2</w:t>
      </w:r>
      <w:r w:rsidR="00D01DEE">
        <w:t> </w:t>
      </w:r>
      <w:r w:rsidRPr="00CA5073">
        <w:t>197</w:t>
      </w:r>
      <w:r w:rsidR="00D01DEE">
        <w:rPr>
          <w:lang w:val="en-US"/>
        </w:rPr>
        <w:t>.</w:t>
      </w:r>
      <w:r w:rsidRPr="00CA5073">
        <w:t xml:space="preserve">7 млн. лв., имат влияние върху разходите в периода </w:t>
      </w:r>
      <w:r w:rsidR="001364E0">
        <w:t>2024–2026</w:t>
      </w:r>
      <w:r w:rsidR="00B552D5">
        <w:t> г.</w:t>
      </w:r>
      <w:r w:rsidRPr="00CA5073">
        <w:t>, като заедно с изместеното отчитане и на други разходи за военна техника влошават дефицита съответно с 0</w:t>
      </w:r>
      <w:r w:rsidR="00D01DEE">
        <w:rPr>
          <w:lang w:val="en-US"/>
        </w:rPr>
        <w:t>.</w:t>
      </w:r>
      <w:r w:rsidRPr="00CA5073">
        <w:t>13% от БВП през 2024</w:t>
      </w:r>
      <w:r w:rsidR="00B552D5">
        <w:t> г.</w:t>
      </w:r>
      <w:r w:rsidRPr="00CA5073">
        <w:t>, 0</w:t>
      </w:r>
      <w:r w:rsidR="00D01DEE">
        <w:rPr>
          <w:lang w:val="en-US"/>
        </w:rPr>
        <w:t>.</w:t>
      </w:r>
      <w:r w:rsidRPr="00CA5073">
        <w:t>73% през 2025</w:t>
      </w:r>
      <w:r w:rsidR="00B552D5">
        <w:t> г.</w:t>
      </w:r>
      <w:r w:rsidRPr="00CA5073">
        <w:t xml:space="preserve"> и 0</w:t>
      </w:r>
      <w:r w:rsidR="00D01DEE">
        <w:rPr>
          <w:lang w:val="en-US"/>
        </w:rPr>
        <w:t>.</w:t>
      </w:r>
      <w:r w:rsidRPr="00CA5073">
        <w:t>17% през 2026</w:t>
      </w:r>
      <w:r w:rsidR="00B552D5">
        <w:t> г.</w:t>
      </w:r>
      <w:r w:rsidRPr="00CA5073">
        <w:t>, тъй като най-голямата доставка на военна техника през разглеждания период се очаква да е през 2025</w:t>
      </w:r>
      <w:r w:rsidR="00B552D5">
        <w:t> г.</w:t>
      </w:r>
      <w:r w:rsidRPr="00CA5073">
        <w:t xml:space="preserve"> Това влияние е временно и не води до трайно влошаване на бюджетната позиция и до нарушаването на фискалната устойчивост в дългосрочен план.</w:t>
      </w:r>
    </w:p>
    <w:p w14:paraId="6246061E" w14:textId="15C305C5" w:rsidR="00561555" w:rsidRPr="00CA5073" w:rsidRDefault="00561555" w:rsidP="00561555">
      <w:r w:rsidRPr="00CA5073">
        <w:t>С основен принос за намалението на бюджетния дефицит в средносрочен план са разходите, които се очаква да намалеят с 2</w:t>
      </w:r>
      <w:r w:rsidR="00D01DEE">
        <w:rPr>
          <w:lang w:val="en-US"/>
        </w:rPr>
        <w:t>.</w:t>
      </w:r>
      <w:r w:rsidR="00647960">
        <w:t>3</w:t>
      </w:r>
      <w:r w:rsidR="00647960" w:rsidRPr="00CA5073">
        <w:t xml:space="preserve"> </w:t>
      </w:r>
      <w:r w:rsidRPr="00CA5073">
        <w:t>пр.п. през 2026</w:t>
      </w:r>
      <w:r w:rsidR="00B552D5">
        <w:t> г.</w:t>
      </w:r>
      <w:r w:rsidRPr="00CA5073">
        <w:t xml:space="preserve"> спрямо нивото им от 2023</w:t>
      </w:r>
      <w:r w:rsidR="00B552D5">
        <w:t> г.</w:t>
      </w:r>
      <w:r w:rsidRPr="00CA5073">
        <w:t xml:space="preserve"> (достигайки </w:t>
      </w:r>
      <w:r w:rsidR="00647960">
        <w:rPr>
          <w:lang w:val="en-US"/>
        </w:rPr>
        <w:t>39.4</w:t>
      </w:r>
      <w:r w:rsidRPr="00CA5073">
        <w:t xml:space="preserve">% от БВП). В приходната част съотношението на общите приходи спрямо БВП спада до </w:t>
      </w:r>
      <w:r w:rsidR="00647960">
        <w:rPr>
          <w:lang w:val="en-US"/>
        </w:rPr>
        <w:t>34.3</w:t>
      </w:r>
      <w:r w:rsidRPr="00CA5073">
        <w:t>% от БВП през 2026</w:t>
      </w:r>
      <w:r w:rsidR="00B552D5">
        <w:t> г.</w:t>
      </w:r>
      <w:r w:rsidRPr="00CA5073">
        <w:t xml:space="preserve">, спрямо </w:t>
      </w:r>
      <w:r w:rsidR="00647960">
        <w:rPr>
          <w:lang w:val="en-US"/>
        </w:rPr>
        <w:t>35.5</w:t>
      </w:r>
      <w:r w:rsidRPr="00CA5073">
        <w:t xml:space="preserve">% в началото на периода, поради изпреварващо нарастване на БВП. </w:t>
      </w:r>
    </w:p>
    <w:p w14:paraId="336595F3" w14:textId="2B1B3CE5" w:rsidR="00561555" w:rsidRPr="00CA5073" w:rsidRDefault="00561555" w:rsidP="00561555">
      <w:r w:rsidRPr="00CA5073">
        <w:t xml:space="preserve">През периода </w:t>
      </w:r>
      <w:r w:rsidR="00647960" w:rsidRPr="00CA5073">
        <w:t>202</w:t>
      </w:r>
      <w:r w:rsidR="00647960">
        <w:t>3</w:t>
      </w:r>
      <w:r w:rsidR="007A0E1A">
        <w:rPr>
          <w:lang w:val="en-US"/>
        </w:rPr>
        <w:t>–</w:t>
      </w:r>
      <w:r w:rsidRPr="00CA5073">
        <w:t>2026</w:t>
      </w:r>
      <w:r w:rsidR="00B552D5">
        <w:t> г.</w:t>
      </w:r>
      <w:r w:rsidRPr="00CA5073">
        <w:t xml:space="preserve"> се очаква номинално нарастване на всички приходи, което се дължи на увеличение на постъпленията</w:t>
      </w:r>
      <w:r w:rsidR="00793CD3">
        <w:t xml:space="preserve"> по основните приходни елементи. П</w:t>
      </w:r>
      <w:r w:rsidRPr="00CA5073">
        <w:t>ри данъчно-осигурителните приходи най-голямо нарастване има при преките данъци и при социално-осигурителните вноски, което е резултат от нарастването на доходите на домакинствата, на възможността за избор на осигуряване и увеличението на осигурителния стаж при пенсиониране. При неданъчните приходи по-значително нарастване се наблюдава при получените капиталови трансфери през 2024</w:t>
      </w:r>
      <w:r w:rsidR="00B552D5">
        <w:t> г.</w:t>
      </w:r>
      <w:r w:rsidRPr="00CA5073">
        <w:t>, поради нарастването на приходите от ЕС по Плана за възстановяване и устойчивост.</w:t>
      </w:r>
    </w:p>
    <w:p w14:paraId="04A3152D" w14:textId="422C3478" w:rsidR="00647960" w:rsidRPr="00CA5073" w:rsidRDefault="00647960" w:rsidP="00647960">
      <w:r w:rsidRPr="00CA5073">
        <w:t xml:space="preserve">Най-голям </w:t>
      </w:r>
      <w:r>
        <w:t>растеж</w:t>
      </w:r>
      <w:r w:rsidRPr="00CA5073">
        <w:t xml:space="preserve"> </w:t>
      </w:r>
      <w:r>
        <w:t>при</w:t>
      </w:r>
      <w:r w:rsidRPr="00CA5073">
        <w:t xml:space="preserve"> общите разходи на сектор „Държавно управление“ имат </w:t>
      </w:r>
      <w:r>
        <w:t>лихвените разходи</w:t>
      </w:r>
      <w:r>
        <w:rPr>
          <w:lang w:val="en-US"/>
        </w:rPr>
        <w:t xml:space="preserve"> </w:t>
      </w:r>
      <w:r>
        <w:t xml:space="preserve">и </w:t>
      </w:r>
      <w:r w:rsidRPr="00CA5073">
        <w:t>социалните трансфери</w:t>
      </w:r>
      <w:r w:rsidR="00793CD3">
        <w:t>,</w:t>
      </w:r>
      <w:r w:rsidRPr="00CA5073">
        <w:t xml:space="preserve"> </w:t>
      </w:r>
      <w:r w:rsidR="00D213F4" w:rsidRPr="00CA5073">
        <w:t>различни от тези в натура</w:t>
      </w:r>
      <w:r w:rsidRPr="00CA5073">
        <w:t>, които обхващат разходите за пенсии, както и помощите и обезщетенията по социалното осигуряване</w:t>
      </w:r>
      <w:r>
        <w:t xml:space="preserve"> и капиталовите разходи</w:t>
      </w:r>
      <w:r w:rsidRPr="00CA5073">
        <w:t>. Капиталовите разходи за брутообразуване на основен капитал нарастват значително като дял от БВП от 3</w:t>
      </w:r>
      <w:r>
        <w:t>.0</w:t>
      </w:r>
      <w:r w:rsidRPr="00CA5073">
        <w:t>% през 202</w:t>
      </w:r>
      <w:r>
        <w:t>2</w:t>
      </w:r>
      <w:r w:rsidR="00B552D5">
        <w:t> г.</w:t>
      </w:r>
      <w:r w:rsidRPr="00CA5073">
        <w:t xml:space="preserve"> до</w:t>
      </w:r>
      <w:r w:rsidR="00793CD3">
        <w:t xml:space="preserve"> 4.</w:t>
      </w:r>
      <w:r>
        <w:t xml:space="preserve">0% през 2023, </w:t>
      </w:r>
      <w:r w:rsidRPr="00CA5073">
        <w:t>4</w:t>
      </w:r>
      <w:r>
        <w:t>.6</w:t>
      </w:r>
      <w:r w:rsidRPr="00CA5073">
        <w:t>% през 2024</w:t>
      </w:r>
      <w:r w:rsidR="00B552D5">
        <w:t> г.</w:t>
      </w:r>
      <w:r w:rsidRPr="00CA5073">
        <w:t>, 4</w:t>
      </w:r>
      <w:r>
        <w:t>.</w:t>
      </w:r>
      <w:r w:rsidRPr="00CA5073">
        <w:t>7% за 2025</w:t>
      </w:r>
      <w:r w:rsidR="00B552D5">
        <w:t> г.</w:t>
      </w:r>
      <w:r w:rsidRPr="00CA5073">
        <w:t>, като намаляват до 3</w:t>
      </w:r>
      <w:r>
        <w:t>.</w:t>
      </w:r>
      <w:r w:rsidRPr="00CA5073">
        <w:t>5% за 2026</w:t>
      </w:r>
      <w:r w:rsidR="00B552D5">
        <w:t> г.</w:t>
      </w:r>
      <w:r w:rsidRPr="00CA5073">
        <w:t xml:space="preserve"> Изменението в показателя е свързано с доставките на бойна техника, както и с ускоряването в темпа на усвояване на средствата от европейските фондове и по Националния план за възстановяване и устойчивост. </w:t>
      </w:r>
    </w:p>
    <w:p w14:paraId="079BBC91" w14:textId="4CCD16FF" w:rsidR="00063F12" w:rsidRPr="00561555" w:rsidRDefault="00561555" w:rsidP="00063F12">
      <w:r w:rsidRPr="00CA5073">
        <w:t>Значение за нарастването при социалните трансфери оказват увеличението на социалните помощи по</w:t>
      </w:r>
      <w:r w:rsidR="00743D8F">
        <w:t xml:space="preserve"> Закона за социално</w:t>
      </w:r>
      <w:r w:rsidRPr="00CA5073">
        <w:t xml:space="preserve"> подпомагане и по Закона за хората с увреждания</w:t>
      </w:r>
      <w:r w:rsidR="001F5959">
        <w:t>,</w:t>
      </w:r>
      <w:r w:rsidRPr="00CA5073">
        <w:t xml:space="preserve"> поради планираното измене</w:t>
      </w:r>
      <w:r w:rsidR="00793CD3">
        <w:t>ние на линията на бедност, ръстът</w:t>
      </w:r>
      <w:r w:rsidRPr="00CA5073">
        <w:t xml:space="preserve"> на МРЗ при определяне на часовата ставка за положен труд за изчисляване на възнагражденията на личните асистенти по Закона за личната помощ</w:t>
      </w:r>
      <w:r w:rsidR="00793CD3">
        <w:t>,</w:t>
      </w:r>
      <w:r w:rsidRPr="00CA5073">
        <w:t xml:space="preserve"> възнагражденията на приемните семейства по Закона за </w:t>
      </w:r>
      <w:r w:rsidR="00743D8F">
        <w:t>закрила</w:t>
      </w:r>
      <w:r w:rsidRPr="00CA5073">
        <w:t xml:space="preserve"> на детето, както и на ежегодното осъвременяване на пенсиите от 1 юли  всяка година по швейцарското правило на Кодекса за социално осигуряване.</w:t>
      </w:r>
      <w:r w:rsidR="00063F12" w:rsidRPr="00682446">
        <w:rPr>
          <w:rFonts w:cstheme="minorHAnsi"/>
        </w:rPr>
        <w:t xml:space="preserve"> </w:t>
      </w:r>
    </w:p>
    <w:p w14:paraId="44DBE008" w14:textId="43C1CF45" w:rsidR="00D359FF" w:rsidRPr="004018C2" w:rsidRDefault="00D359FF" w:rsidP="00EE53B2">
      <w:pPr>
        <w:pStyle w:val="Heading2"/>
      </w:pPr>
      <w:bookmarkStart w:id="73" w:name="_Toc133597272"/>
      <w:r w:rsidRPr="004018C2">
        <w:lastRenderedPageBreak/>
        <w:t xml:space="preserve">Фактически баланси и актуализирани бюджетни планове за </w:t>
      </w:r>
      <w:r w:rsidR="00F40EA9" w:rsidRPr="004018C2">
        <w:br/>
      </w:r>
      <w:r w:rsidRPr="004018C2">
        <w:t>текущата година</w:t>
      </w:r>
      <w:bookmarkEnd w:id="70"/>
      <w:bookmarkEnd w:id="71"/>
      <w:bookmarkEnd w:id="72"/>
      <w:bookmarkEnd w:id="73"/>
    </w:p>
    <w:p w14:paraId="422E74B0" w14:textId="14CFF1CF" w:rsidR="00AB1E46" w:rsidRPr="004018C2" w:rsidRDefault="00AB1E46" w:rsidP="00B552D5">
      <w:pPr>
        <w:pStyle w:val="Heading3"/>
      </w:pPr>
      <w:r w:rsidRPr="004018C2">
        <w:t>Актуализация на бюджетна</w:t>
      </w:r>
      <w:r w:rsidR="00324CAD" w:rsidRPr="004018C2">
        <w:t>та</w:t>
      </w:r>
      <w:r w:rsidRPr="004018C2">
        <w:t xml:space="preserve"> рамка за </w:t>
      </w:r>
      <w:r w:rsidR="00324CAD" w:rsidRPr="004018C2">
        <w:t>202</w:t>
      </w:r>
      <w:r w:rsidR="00C93A45">
        <w:t>2</w:t>
      </w:r>
      <w:r w:rsidR="00324CAD" w:rsidRPr="004018C2">
        <w:t xml:space="preserve"> </w:t>
      </w:r>
      <w:r w:rsidRPr="004018C2">
        <w:t>година</w:t>
      </w:r>
    </w:p>
    <w:p w14:paraId="4948B728" w14:textId="25756FF3" w:rsidR="00C93A45" w:rsidRPr="00B620C1" w:rsidRDefault="00C93A45" w:rsidP="00C93A45">
      <w:pPr>
        <w:rPr>
          <w:color w:val="000000" w:themeColor="text1"/>
        </w:rPr>
      </w:pPr>
      <w:r w:rsidRPr="00B620C1">
        <w:rPr>
          <w:color w:val="000000" w:themeColor="text1"/>
        </w:rPr>
        <w:t>Икономиката на България се справи сравнително добре през годините на пандемията от COVID-19. След като отчете свиване с 4% през 2020</w:t>
      </w:r>
      <w:r w:rsidR="00B552D5">
        <w:rPr>
          <w:color w:val="000000" w:themeColor="text1"/>
        </w:rPr>
        <w:t> г.</w:t>
      </w:r>
      <w:r w:rsidRPr="00B620C1">
        <w:rPr>
          <w:color w:val="000000" w:themeColor="text1"/>
        </w:rPr>
        <w:t>, през 2021</w:t>
      </w:r>
      <w:r w:rsidR="00B552D5">
        <w:rPr>
          <w:color w:val="000000" w:themeColor="text1"/>
        </w:rPr>
        <w:t> г.</w:t>
      </w:r>
      <w:r w:rsidR="00284F26">
        <w:rPr>
          <w:color w:val="000000" w:themeColor="text1"/>
        </w:rPr>
        <w:t xml:space="preserve"> БВП се възстанови силно със 7.</w:t>
      </w:r>
      <w:r w:rsidRPr="00B620C1">
        <w:rPr>
          <w:color w:val="000000" w:themeColor="text1"/>
        </w:rPr>
        <w:t>6%. Успоредно с това инфлацията се повиши през втората половина на 2021</w:t>
      </w:r>
      <w:r w:rsidR="00B552D5">
        <w:rPr>
          <w:color w:val="000000" w:themeColor="text1"/>
        </w:rPr>
        <w:t> г.</w:t>
      </w:r>
      <w:r w:rsidRPr="00B620C1">
        <w:rPr>
          <w:color w:val="000000" w:themeColor="text1"/>
        </w:rPr>
        <w:t>, движена главно от високите цени на електроенергията,</w:t>
      </w:r>
      <w:r w:rsidR="005F0B60" w:rsidRPr="005F0B60">
        <w:rPr>
          <w:color w:val="000000" w:themeColor="text1"/>
        </w:rPr>
        <w:t xml:space="preserve"> </w:t>
      </w:r>
      <w:r w:rsidR="005F0B60">
        <w:rPr>
          <w:color w:val="000000" w:themeColor="text1"/>
        </w:rPr>
        <w:t>цените на</w:t>
      </w:r>
      <w:r w:rsidRPr="00B620C1">
        <w:rPr>
          <w:color w:val="000000" w:themeColor="text1"/>
        </w:rPr>
        <w:t xml:space="preserve"> някои енергоносители, както и повишаването на цените на храните. Въпреки безпрецедентните шокове, породени от избухването на войната в Украйна</w:t>
      </w:r>
      <w:r w:rsidR="005F0B60">
        <w:rPr>
          <w:color w:val="000000" w:themeColor="text1"/>
        </w:rPr>
        <w:t>,</w:t>
      </w:r>
      <w:r w:rsidRPr="00B620C1">
        <w:rPr>
          <w:color w:val="000000" w:themeColor="text1"/>
        </w:rPr>
        <w:t xml:space="preserve"> икономическа</w:t>
      </w:r>
      <w:r w:rsidR="005F0B60">
        <w:rPr>
          <w:color w:val="000000" w:themeColor="text1"/>
        </w:rPr>
        <w:t>та</w:t>
      </w:r>
      <w:r w:rsidRPr="00B620C1">
        <w:rPr>
          <w:color w:val="000000" w:themeColor="text1"/>
        </w:rPr>
        <w:t xml:space="preserve"> експанзия продължи и през 2022</w:t>
      </w:r>
      <w:r w:rsidR="00B552D5">
        <w:rPr>
          <w:color w:val="000000" w:themeColor="text1"/>
        </w:rPr>
        <w:t> г.</w:t>
      </w:r>
      <w:r w:rsidRPr="00B620C1">
        <w:rPr>
          <w:color w:val="000000" w:themeColor="text1"/>
        </w:rPr>
        <w:t xml:space="preserve"> с растеж на БВП от 3</w:t>
      </w:r>
      <w:r w:rsidR="00284F26">
        <w:rPr>
          <w:color w:val="000000" w:themeColor="text1"/>
        </w:rPr>
        <w:t>.</w:t>
      </w:r>
      <w:r w:rsidRPr="00B620C1">
        <w:rPr>
          <w:color w:val="000000" w:themeColor="text1"/>
        </w:rPr>
        <w:t xml:space="preserve">4%, на фона на висока инфлация и </w:t>
      </w:r>
      <w:r w:rsidR="0084670C" w:rsidRPr="00B620C1">
        <w:rPr>
          <w:color w:val="000000" w:themeColor="text1"/>
        </w:rPr>
        <w:t>политическа</w:t>
      </w:r>
      <w:r w:rsidRPr="00B620C1">
        <w:rPr>
          <w:color w:val="000000" w:themeColor="text1"/>
        </w:rPr>
        <w:t xml:space="preserve"> несигурност. </w:t>
      </w:r>
    </w:p>
    <w:p w14:paraId="05A7619C" w14:textId="3584761F" w:rsidR="00C93A45" w:rsidRPr="00B620C1" w:rsidRDefault="00C93A45" w:rsidP="00C93A45">
      <w:r w:rsidRPr="00B620C1">
        <w:t xml:space="preserve">Фокусът на бюджетните политики </w:t>
      </w:r>
      <w:r>
        <w:t>през 2022</w:t>
      </w:r>
      <w:r w:rsidR="00B552D5">
        <w:t> г.</w:t>
      </w:r>
      <w:r>
        <w:t xml:space="preserve"> </w:t>
      </w:r>
      <w:r w:rsidRPr="00B620C1">
        <w:t xml:space="preserve">бързо бе изместен от мерките за борба с пандемията от </w:t>
      </w:r>
      <w:r w:rsidRPr="00B620C1">
        <w:rPr>
          <w:lang w:val="en-US"/>
        </w:rPr>
        <w:t>COVID-19</w:t>
      </w:r>
      <w:r w:rsidRPr="00B620C1">
        <w:t xml:space="preserve"> към мерки за минимизиране на негативните ефекти </w:t>
      </w:r>
      <w:r w:rsidR="00710F5E" w:rsidRPr="00B620C1">
        <w:t xml:space="preserve">след избухването на военния конфликт в Украйна </w:t>
      </w:r>
      <w:r w:rsidRPr="00B620C1">
        <w:t>за икономиката и уязвимите групи от населението. Още в средата на годината основната част от мерките за борба с пандемията отпадна и през втората половина на годината продължиха да се финансират разходни мерки, единствено засягащи медицинските аспекти на пандемията (закупуване на медикаменти, консумативи, ваксини и др.)</w:t>
      </w:r>
      <w:r w:rsidRPr="00B620C1">
        <w:rPr>
          <w:lang w:val="en-US"/>
        </w:rPr>
        <w:t xml:space="preserve">. </w:t>
      </w:r>
      <w:r w:rsidRPr="00B620C1">
        <w:t>Внезапният шок от избухването на войната в Украйна обаче доведе до рязко влошаване на икономическите перспективи и породи безпрецедентни рискове, включително и по отношение на доставките на горива, енергоносители и суровини в региона. Заедно с това хуманитарния</w:t>
      </w:r>
      <w:r>
        <w:t>т</w:t>
      </w:r>
      <w:r w:rsidRPr="00B620C1">
        <w:t xml:space="preserve"> аспект на кризата изискваше незабавни действия за овладяване на бежанската криза и оказване на хуманитарна помощ за Украйна, устройване на желаещите да останат в страната бежанци и тяхната издръжка по време на престоя им в България.</w:t>
      </w:r>
      <w:r w:rsidR="0005652B">
        <w:t xml:space="preserve"> </w:t>
      </w:r>
    </w:p>
    <w:p w14:paraId="01585C9E" w14:textId="585F5487" w:rsidR="00C93A45" w:rsidRPr="00B620C1" w:rsidRDefault="00C93A45" w:rsidP="00C93A45">
      <w:r w:rsidRPr="00B620C1">
        <w:rPr>
          <w:color w:val="000000" w:themeColor="text1"/>
        </w:rPr>
        <w:t>Няколко основни събития влияеха върху развитието на бюджетните параметри през годината.</w:t>
      </w:r>
      <w:r w:rsidRPr="00B620C1">
        <w:t xml:space="preserve"> На първо място поради създалата се политическа ситуация</w:t>
      </w:r>
      <w:r w:rsidR="00B552D5">
        <w:t xml:space="preserve"> – </w:t>
      </w:r>
      <w:r w:rsidRPr="00B620C1">
        <w:t>парламентарни избори през ноември 2021</w:t>
      </w:r>
      <w:r w:rsidR="00B552D5">
        <w:t> г.</w:t>
      </w:r>
      <w:r w:rsidRPr="00B620C1">
        <w:t xml:space="preserve"> и съставянето на редовно правителство в средата на месец декември 2021</w:t>
      </w:r>
      <w:r w:rsidR="00B552D5">
        <w:t> г.</w:t>
      </w:r>
      <w:r w:rsidRPr="00B620C1">
        <w:t xml:space="preserve"> – първите два месеца на 2022</w:t>
      </w:r>
      <w:r w:rsidR="00B552D5">
        <w:t> г.</w:t>
      </w:r>
      <w:r>
        <w:t xml:space="preserve"> </w:t>
      </w:r>
      <w:r w:rsidRPr="00B620C1">
        <w:t>преминаха в условия на липса на приет р</w:t>
      </w:r>
      <w:r>
        <w:t>егулярен</w:t>
      </w:r>
      <w:r w:rsidRPr="00B620C1">
        <w:t xml:space="preserve"> годишен закон за държавния бюджет и действието на т.н</w:t>
      </w:r>
      <w:r w:rsidR="005F0B60">
        <w:t>ар</w:t>
      </w:r>
      <w:r w:rsidRPr="00B620C1">
        <w:t>. „удължителен закон“, който регламентира прилагането на някои от разпоредбите на Закона за държавния бюджет за 2021</w:t>
      </w:r>
      <w:r w:rsidR="00B552D5">
        <w:t> г.</w:t>
      </w:r>
      <w:r w:rsidRPr="00B620C1">
        <w:t>, ЗБНЗОК за 2021</w:t>
      </w:r>
      <w:r w:rsidR="00B552D5">
        <w:t> г.</w:t>
      </w:r>
      <w:r w:rsidRPr="00B620C1">
        <w:t xml:space="preserve"> и ЗБДОО за 2021</w:t>
      </w:r>
      <w:r w:rsidR="00B552D5">
        <w:t> г.</w:t>
      </w:r>
      <w:r w:rsidRPr="00B620C1">
        <w:t xml:space="preserve"> до приемането на ЗДБРБ за 2022</w:t>
      </w:r>
      <w:r w:rsidR="00B552D5">
        <w:t> г.</w:t>
      </w:r>
      <w:r w:rsidRPr="00B620C1">
        <w:t xml:space="preserve"> от Народното събрание</w:t>
      </w:r>
      <w:r>
        <w:t>.</w:t>
      </w:r>
      <w:r w:rsidRPr="00B620C1">
        <w:t xml:space="preserve"> </w:t>
      </w:r>
      <w:r>
        <w:t xml:space="preserve">Успоредно с това </w:t>
      </w:r>
      <w:r w:rsidRPr="00B620C1">
        <w:t xml:space="preserve">вървеше и процедурата по приемането на </w:t>
      </w:r>
      <w:r>
        <w:t xml:space="preserve">регулярния </w:t>
      </w:r>
      <w:r w:rsidRPr="00B620C1">
        <w:t xml:space="preserve">закон за </w:t>
      </w:r>
      <w:r>
        <w:t xml:space="preserve">държавния </w:t>
      </w:r>
      <w:r w:rsidRPr="00B620C1">
        <w:t>бюджет за 2022</w:t>
      </w:r>
      <w:r w:rsidR="00B552D5">
        <w:t> г.</w:t>
      </w:r>
      <w:r w:rsidRPr="00B620C1">
        <w:t xml:space="preserve"> Това оказа задържащ ефект върху разходите, като общо разходите по консолидираната фискална програма (КФП) за първото тримесечие на 2022</w:t>
      </w:r>
      <w:r w:rsidR="00B552D5">
        <w:t> г.</w:t>
      </w:r>
      <w:r w:rsidRPr="00B620C1">
        <w:t xml:space="preserve"> останаха номинално близки до отчетените за същия период на предходната година (номинален ръст от едва 0</w:t>
      </w:r>
      <w:r w:rsidR="003F0A85">
        <w:rPr>
          <w:lang w:val="en-US"/>
        </w:rPr>
        <w:t>.</w:t>
      </w:r>
      <w:r w:rsidRPr="00B620C1">
        <w:t>9 на сто). Законът за държавния бюджет на Република България за 2022</w:t>
      </w:r>
      <w:r w:rsidR="00B552D5">
        <w:t> г.</w:t>
      </w:r>
      <w:r w:rsidRPr="00B620C1">
        <w:t xml:space="preserve"> беше приет от НС в края на месец февруари 2022</w:t>
      </w:r>
      <w:r w:rsidR="00B552D5">
        <w:t> г.</w:t>
      </w:r>
      <w:r w:rsidRPr="00B620C1">
        <w:t xml:space="preserve"> и обнародван в началото на март.</w:t>
      </w:r>
    </w:p>
    <w:p w14:paraId="35E5BCB1" w14:textId="1197AF5B" w:rsidR="00C93A45" w:rsidRPr="00B620C1" w:rsidRDefault="00C93A45" w:rsidP="00C93A45">
      <w:r>
        <w:t>На следващо място</w:t>
      </w:r>
      <w:r w:rsidRPr="00B620C1">
        <w:t xml:space="preserve"> трябва да се отбележи нахлуването на Русия в Украйна в края на февруари 2022</w:t>
      </w:r>
      <w:r w:rsidR="00B552D5">
        <w:t> г.</w:t>
      </w:r>
      <w:r w:rsidRPr="00B620C1">
        <w:t xml:space="preserve"> и задълбочаването на военния конфликт през следващите месеци. Наличието на военни действия в близост до България и свързаните с това санкции, наложени от ЕС на Русия, доведоха до значителни негативни последици за българската икономика, включително едностранно прекратяване на доставките на природен газ от Русия за България след месец април 2022</w:t>
      </w:r>
      <w:r w:rsidR="00B552D5">
        <w:t> г.</w:t>
      </w:r>
      <w:r w:rsidRPr="00B620C1">
        <w:t xml:space="preserve"> Шоковете върху международните пазари на природен газ и енергоносители доведоха до безпрецедентно пока</w:t>
      </w:r>
      <w:r>
        <w:t>ч</w:t>
      </w:r>
      <w:r w:rsidRPr="00B620C1">
        <w:t xml:space="preserve">ване на цените – в края на месец август цената на природния газ на нидерландската борса </w:t>
      </w:r>
      <w:r w:rsidRPr="00B620C1">
        <w:rPr>
          <w:lang w:val="en-US"/>
        </w:rPr>
        <w:t>TTF</w:t>
      </w:r>
      <w:r w:rsidRPr="00B620C1">
        <w:t xml:space="preserve"> надвиши 330 </w:t>
      </w:r>
      <w:r w:rsidRPr="00B620C1">
        <w:rPr>
          <w:lang w:val="en-US"/>
        </w:rPr>
        <w:t xml:space="preserve">EUR/MWh, </w:t>
      </w:r>
      <w:r w:rsidRPr="00B620C1">
        <w:t>което съответно доведе до верижно поскъ</w:t>
      </w:r>
      <w:r>
        <w:t>п</w:t>
      </w:r>
      <w:r w:rsidRPr="00B620C1">
        <w:t xml:space="preserve">ване и на електрическата енергия и други енергоносители в огромна част от Европа. Заедно с това България бе изправена пред ситуация в изключително кратки срокове да </w:t>
      </w:r>
      <w:r>
        <w:t>осигури нови</w:t>
      </w:r>
      <w:r w:rsidRPr="00B620C1">
        <w:t xml:space="preserve"> източници и трасетата за </w:t>
      </w:r>
      <w:r w:rsidRPr="00B620C1">
        <w:lastRenderedPageBreak/>
        <w:t xml:space="preserve">доставка на природен газ, поради едностранното прекратяване на доставките от Газпром. Повишението на цените на регионалните борси на електрическа енергия се задълбочи, донякъде и поради проблемите с доставките на природен газ. </w:t>
      </w:r>
    </w:p>
    <w:p w14:paraId="49849AFB" w14:textId="05C07DEB" w:rsidR="00C93A45" w:rsidRPr="00B620C1" w:rsidRDefault="00C93A45" w:rsidP="00C93A45">
      <w:pPr>
        <w:rPr>
          <w:color w:val="000000" w:themeColor="text1"/>
        </w:rPr>
      </w:pPr>
      <w:r w:rsidRPr="00B620C1">
        <w:t xml:space="preserve">Това от своя страна </w:t>
      </w:r>
      <w:r w:rsidR="00330764">
        <w:t>засили</w:t>
      </w:r>
      <w:r w:rsidRPr="00B620C1">
        <w:t xml:space="preserve"> започналата още през 2021</w:t>
      </w:r>
      <w:r w:rsidR="00B552D5">
        <w:t> г.</w:t>
      </w:r>
      <w:r w:rsidRPr="00B620C1">
        <w:t xml:space="preserve"> тенденция на покачване на цените на електрическата енергия на свободния пазар в Бъ</w:t>
      </w:r>
      <w:r>
        <w:t>л</w:t>
      </w:r>
      <w:r w:rsidRPr="00B620C1">
        <w:t xml:space="preserve">гария, като наложи предприемането на мерки за смекчаване негативното въздействие на скъпата енергия върху стопанските </w:t>
      </w:r>
      <w:r>
        <w:t>субекти</w:t>
      </w:r>
      <w:r w:rsidRPr="00B620C1">
        <w:t xml:space="preserve"> в страната.</w:t>
      </w:r>
      <w:r w:rsidRPr="00B620C1">
        <w:rPr>
          <w:lang w:val="en-US"/>
        </w:rPr>
        <w:t xml:space="preserve"> </w:t>
      </w:r>
      <w:r w:rsidRPr="00B620C1">
        <w:rPr>
          <w:color w:val="000000" w:themeColor="text1"/>
        </w:rPr>
        <w:t>Наложи се правителството да продължи действието и да доразвие действащите през последното тримесечие на 2021</w:t>
      </w:r>
      <w:r w:rsidR="00B552D5">
        <w:rPr>
          <w:color w:val="000000" w:themeColor="text1"/>
        </w:rPr>
        <w:t> г.</w:t>
      </w:r>
      <w:r w:rsidRPr="00B620C1">
        <w:rPr>
          <w:color w:val="000000" w:themeColor="text1"/>
        </w:rPr>
        <w:t xml:space="preserve"> програми за компенсиране на небитовите потребители на електрическа енергия и природен газ.</w:t>
      </w:r>
      <w:r>
        <w:rPr>
          <w:color w:val="000000" w:themeColor="text1"/>
        </w:rPr>
        <w:t xml:space="preserve"> </w:t>
      </w:r>
      <w:r w:rsidRPr="00B620C1">
        <w:rPr>
          <w:color w:val="000000" w:themeColor="text1"/>
        </w:rPr>
        <w:t>Удължаването на програмите до месец юли</w:t>
      </w:r>
      <w:r w:rsidR="003025EC">
        <w:rPr>
          <w:color w:val="000000" w:themeColor="text1"/>
        </w:rPr>
        <w:t xml:space="preserve"> 2022</w:t>
      </w:r>
      <w:r w:rsidR="00B552D5">
        <w:rPr>
          <w:color w:val="000000" w:themeColor="text1"/>
        </w:rPr>
        <w:t> г.</w:t>
      </w:r>
      <w:r w:rsidRPr="00B620C1">
        <w:rPr>
          <w:color w:val="000000" w:themeColor="text1"/>
        </w:rPr>
        <w:t xml:space="preserve"> бе в рамките на разходните тавани по годишния закон за бюджета, като компенсаторните плащания се извършваха чрез разходи по бюджета на „Фонд сигурност на електроенергийната система“</w:t>
      </w:r>
      <w:r w:rsidRPr="00B620C1">
        <w:rPr>
          <w:color w:val="000000"/>
        </w:rPr>
        <w:t xml:space="preserve"> (ФСЕС)</w:t>
      </w:r>
      <w:r w:rsidRPr="00B620C1">
        <w:rPr>
          <w:color w:val="000000" w:themeColor="text1"/>
        </w:rPr>
        <w:t xml:space="preserve">, включително и за сметка на допълнителни приходи. </w:t>
      </w:r>
    </w:p>
    <w:p w14:paraId="7F3A7BD3" w14:textId="7F598B64" w:rsidR="00C93A45" w:rsidRPr="00B620C1" w:rsidRDefault="00C93A45" w:rsidP="00C93A45">
      <w:pPr>
        <w:rPr>
          <w:rFonts w:eastAsia="Times New Roman"/>
          <w:color w:val="000000"/>
          <w:lang w:eastAsia="en-US"/>
        </w:rPr>
      </w:pPr>
      <w:r w:rsidRPr="00B620C1">
        <w:rPr>
          <w:rFonts w:eastAsia="Times New Roman"/>
          <w:color w:val="000000"/>
          <w:lang w:eastAsia="en-US"/>
        </w:rPr>
        <w:t>В началото на месец юни правителството изготви и внесе в Народното събрание проект на Закон за изменение и допълнение на Закона за държавния бюджет на Република България за 2022</w:t>
      </w:r>
      <w:r w:rsidR="00B552D5">
        <w:rPr>
          <w:rFonts w:eastAsia="Times New Roman"/>
          <w:color w:val="000000"/>
          <w:lang w:eastAsia="en-US"/>
        </w:rPr>
        <w:t> г.</w:t>
      </w:r>
      <w:r w:rsidRPr="00B620C1">
        <w:rPr>
          <w:rFonts w:eastAsia="Times New Roman"/>
          <w:color w:val="000000"/>
          <w:lang w:eastAsia="en-US"/>
        </w:rPr>
        <w:t xml:space="preserve"> (ЗИД на ЗДБРБ за 2022</w:t>
      </w:r>
      <w:r w:rsidR="00B552D5">
        <w:rPr>
          <w:rFonts w:eastAsia="Times New Roman"/>
          <w:color w:val="000000"/>
          <w:lang w:eastAsia="en-US"/>
        </w:rPr>
        <w:t> г.</w:t>
      </w:r>
      <w:r w:rsidRPr="00B620C1">
        <w:rPr>
          <w:rFonts w:eastAsia="Times New Roman"/>
          <w:color w:val="000000"/>
          <w:lang w:eastAsia="en-US"/>
        </w:rPr>
        <w:t>). Предложен бе спешен пакет от антикризисни мерки, насочени към преодоляване на негативните последствия от нарастващия инфлационен натиск върху най-засегнатите групи от обществото и бизнеса. Целта бе да се подкрепят българските граждани и бизнеса в условията на безпрецедентна криза, породена от войната в Украйна и да се смекчат шоковете, породени от високите цени на енергоносителите и суровините, за уязвимите групи от обществото и за икономиката на България. Законопроектът бе окончателно одобрен от Народното събрание в края на месец юни и обнародван в началото на месец юли (ДВ, бр. № 52 от 5.07.2022</w:t>
      </w:r>
      <w:r w:rsidR="00B552D5">
        <w:rPr>
          <w:rFonts w:eastAsia="Times New Roman"/>
          <w:color w:val="000000"/>
          <w:lang w:eastAsia="en-US"/>
        </w:rPr>
        <w:t> г.</w:t>
      </w:r>
      <w:r w:rsidRPr="00B620C1">
        <w:rPr>
          <w:rFonts w:eastAsia="Times New Roman"/>
          <w:color w:val="000000"/>
          <w:lang w:eastAsia="en-US"/>
        </w:rPr>
        <w:t>)</w:t>
      </w:r>
      <w:r w:rsidRPr="00B620C1">
        <w:rPr>
          <w:rFonts w:eastAsia="Times New Roman"/>
          <w:color w:val="000000"/>
          <w:lang w:val="ru-RU" w:eastAsia="en-US"/>
        </w:rPr>
        <w:t xml:space="preserve">, </w:t>
      </w:r>
      <w:r w:rsidRPr="00B620C1">
        <w:rPr>
          <w:rFonts w:eastAsia="Times New Roman"/>
          <w:color w:val="000000"/>
          <w:lang w:eastAsia="en-US"/>
        </w:rPr>
        <w:t>фискалната цел за годината на касова основа бе запазена на равнището от началото на годината – дефицит в размер на 4</w:t>
      </w:r>
      <w:r w:rsidR="003F0A85">
        <w:rPr>
          <w:rFonts w:eastAsia="Times New Roman"/>
          <w:color w:val="000000"/>
          <w:lang w:val="en-US" w:eastAsia="en-US"/>
        </w:rPr>
        <w:t>.</w:t>
      </w:r>
      <w:r w:rsidRPr="00B620C1">
        <w:rPr>
          <w:rFonts w:eastAsia="Times New Roman"/>
          <w:color w:val="000000"/>
          <w:lang w:eastAsia="en-US"/>
        </w:rPr>
        <w:t>1 на сто от прогнозния БВП.</w:t>
      </w:r>
    </w:p>
    <w:p w14:paraId="01AD5C65" w14:textId="00646BE6" w:rsidR="00C93A45" w:rsidRDefault="00C93A45" w:rsidP="00C93A45">
      <w:pPr>
        <w:rPr>
          <w:color w:val="000000"/>
        </w:rPr>
      </w:pPr>
      <w:r w:rsidRPr="00B620C1">
        <w:rPr>
          <w:rFonts w:eastAsia="Times New Roman"/>
          <w:color w:val="000000"/>
          <w:lang w:eastAsia="en-US"/>
        </w:rPr>
        <w:t>Приетите антикризисни мерки в областта на данъчната политика включваха въвеждането от месец юли 2022</w:t>
      </w:r>
      <w:r w:rsidR="00B552D5">
        <w:rPr>
          <w:rFonts w:eastAsia="Times New Roman"/>
          <w:color w:val="000000"/>
          <w:lang w:eastAsia="en-US"/>
        </w:rPr>
        <w:t> г.</w:t>
      </w:r>
      <w:r w:rsidR="003F0A85">
        <w:rPr>
          <w:rFonts w:eastAsia="Times New Roman"/>
          <w:color w:val="000000"/>
          <w:lang w:eastAsia="en-US"/>
        </w:rPr>
        <w:t xml:space="preserve"> на намалена ставка на </w:t>
      </w:r>
      <w:r w:rsidR="00213F2A">
        <w:rPr>
          <w:rFonts w:eastAsia="Times New Roman"/>
          <w:color w:val="000000"/>
          <w:lang w:eastAsia="en-US"/>
        </w:rPr>
        <w:t>данъка върху добавената стойност (</w:t>
      </w:r>
      <w:r w:rsidR="003F0A85">
        <w:rPr>
          <w:rFonts w:eastAsia="Times New Roman"/>
          <w:color w:val="000000"/>
          <w:lang w:eastAsia="en-US"/>
        </w:rPr>
        <w:t>ДДС</w:t>
      </w:r>
      <w:r w:rsidR="00213F2A">
        <w:rPr>
          <w:rFonts w:eastAsia="Times New Roman"/>
          <w:color w:val="000000"/>
          <w:lang w:eastAsia="en-US"/>
        </w:rPr>
        <w:t>)</w:t>
      </w:r>
      <w:r w:rsidR="003F0A85">
        <w:rPr>
          <w:rFonts w:eastAsia="Times New Roman"/>
          <w:color w:val="000000"/>
          <w:lang w:eastAsia="en-US"/>
        </w:rPr>
        <w:t xml:space="preserve"> от 9</w:t>
      </w:r>
      <w:r w:rsidRPr="00B620C1">
        <w:rPr>
          <w:rFonts w:eastAsia="Times New Roman"/>
          <w:color w:val="000000"/>
          <w:lang w:eastAsia="en-US"/>
        </w:rPr>
        <w:t>% за централно отопление и за природен газ, нулева ставка за доставките на хляб и на брашно, както и освобождаване от облагане с акциз на природния газ и втечнения нефтен газ (</w:t>
      </w:r>
      <w:r w:rsidRPr="00B620C1">
        <w:rPr>
          <w:rFonts w:eastAsia="Times New Roman"/>
          <w:color w:val="000000"/>
          <w:lang w:val="en-US" w:eastAsia="en-US"/>
        </w:rPr>
        <w:t>LPG</w:t>
      </w:r>
      <w:r w:rsidRPr="00B620C1">
        <w:rPr>
          <w:rFonts w:eastAsia="Times New Roman"/>
          <w:color w:val="000000"/>
          <w:lang w:eastAsia="en-US"/>
        </w:rPr>
        <w:t>), използвани като моторно гориво, и на електрическата енергия. П</w:t>
      </w:r>
      <w:r>
        <w:rPr>
          <w:rFonts w:eastAsia="Times New Roman"/>
          <w:color w:val="000000"/>
          <w:lang w:eastAsia="en-US"/>
        </w:rPr>
        <w:t>о предварителни оценки</w:t>
      </w:r>
      <w:r w:rsidRPr="00B620C1">
        <w:rPr>
          <w:rFonts w:eastAsia="Times New Roman"/>
          <w:color w:val="000000"/>
          <w:lang w:eastAsia="en-US"/>
        </w:rPr>
        <w:t xml:space="preserve"> ефектът от действието на посочените мерки за 2022</w:t>
      </w:r>
      <w:r w:rsidR="00B552D5">
        <w:rPr>
          <w:rFonts w:eastAsia="Times New Roman"/>
          <w:color w:val="000000"/>
          <w:lang w:eastAsia="en-US"/>
        </w:rPr>
        <w:t> г.</w:t>
      </w:r>
      <w:r w:rsidRPr="00B620C1">
        <w:rPr>
          <w:rFonts w:eastAsia="Times New Roman"/>
          <w:color w:val="000000"/>
          <w:lang w:eastAsia="en-US"/>
        </w:rPr>
        <w:t xml:space="preserve"> се оценяваше на около 222</w:t>
      </w:r>
      <w:r w:rsidR="003F0A85">
        <w:rPr>
          <w:rFonts w:eastAsia="Times New Roman"/>
          <w:color w:val="000000"/>
          <w:lang w:val="en-US" w:eastAsia="en-US"/>
        </w:rPr>
        <w:t>.</w:t>
      </w:r>
      <w:r w:rsidRPr="00B620C1">
        <w:rPr>
          <w:rFonts w:eastAsia="Times New Roman"/>
          <w:color w:val="000000"/>
          <w:lang w:eastAsia="en-US"/>
        </w:rPr>
        <w:t>5 млн. лв. по-малко данъчни приходи</w:t>
      </w:r>
      <w:r w:rsidRPr="00B620C1">
        <w:rPr>
          <w:rFonts w:eastAsia="Times New Roman"/>
          <w:color w:val="000000"/>
          <w:szCs w:val="24"/>
          <w:lang w:eastAsia="en-US"/>
        </w:rPr>
        <w:t>.</w:t>
      </w:r>
      <w:r w:rsidRPr="00B620C1">
        <w:rPr>
          <w:color w:val="000000"/>
        </w:rPr>
        <w:t xml:space="preserve"> </w:t>
      </w:r>
      <w:r>
        <w:rPr>
          <w:color w:val="000000"/>
        </w:rPr>
        <w:t>В</w:t>
      </w:r>
      <w:r w:rsidRPr="00B620C1">
        <w:rPr>
          <w:color w:val="000000"/>
        </w:rPr>
        <w:t xml:space="preserve"> хода на обсъждането на актуализацията на бюджета бе адресиран и друг основен проблем пред бизнеса – високите цени на електрическата енергия за потребителите извън регулирания пазар</w:t>
      </w:r>
      <w:r>
        <w:rPr>
          <w:color w:val="000000"/>
        </w:rPr>
        <w:t xml:space="preserve"> за периода юли-декември 2022</w:t>
      </w:r>
      <w:r w:rsidR="00B552D5">
        <w:rPr>
          <w:color w:val="000000"/>
        </w:rPr>
        <w:t> г.</w:t>
      </w:r>
      <w:r w:rsidRPr="00B620C1">
        <w:rPr>
          <w:color w:val="000000"/>
        </w:rPr>
        <w:t xml:space="preserve"> По време на процедурата по гласуването на законопроекта</w:t>
      </w:r>
      <w:r>
        <w:rPr>
          <w:color w:val="000000"/>
        </w:rPr>
        <w:t xml:space="preserve"> в Народното събрание</w:t>
      </w:r>
      <w:r w:rsidRPr="00B620C1">
        <w:rPr>
          <w:color w:val="000000"/>
        </w:rPr>
        <w:t xml:space="preserve"> бяха направени редица промени, с които се регламентира конкретен механизъм за изплащане на компенсации към небитовите потребители на електрическа енергия за сметка на целеви вноски от публичните предприятия от сектор енергетика със 100 на сто държавно участие в капитала. Размерът и срокът за внасяне на целевите вноски се определя</w:t>
      </w:r>
      <w:r>
        <w:rPr>
          <w:color w:val="000000"/>
        </w:rPr>
        <w:t>ше</w:t>
      </w:r>
      <w:r w:rsidRPr="00B620C1">
        <w:rPr>
          <w:color w:val="000000"/>
        </w:rPr>
        <w:t xml:space="preserve"> от Министерския съвет </w:t>
      </w:r>
      <w:r>
        <w:rPr>
          <w:color w:val="000000"/>
        </w:rPr>
        <w:t>ежемесечно</w:t>
      </w:r>
      <w:r w:rsidRPr="00B620C1">
        <w:rPr>
          <w:color w:val="000000"/>
        </w:rPr>
        <w:t>, като средствата постъпва</w:t>
      </w:r>
      <w:r>
        <w:rPr>
          <w:color w:val="000000"/>
        </w:rPr>
        <w:t>ха</w:t>
      </w:r>
      <w:r w:rsidRPr="00B620C1">
        <w:rPr>
          <w:color w:val="000000"/>
        </w:rPr>
        <w:t xml:space="preserve"> по бюджета на ФСЕС и служ</w:t>
      </w:r>
      <w:r>
        <w:rPr>
          <w:color w:val="000000"/>
        </w:rPr>
        <w:t>еха</w:t>
      </w:r>
      <w:r w:rsidRPr="00B620C1">
        <w:rPr>
          <w:color w:val="000000"/>
        </w:rPr>
        <w:t xml:space="preserve"> за изплащане на компенсации на небитовите потребители на електрическа енергия. Изплащаните от ФСЕС компенсации </w:t>
      </w:r>
      <w:r>
        <w:rPr>
          <w:color w:val="000000"/>
        </w:rPr>
        <w:t>бяха</w:t>
      </w:r>
      <w:r w:rsidRPr="00B620C1">
        <w:rPr>
          <w:color w:val="000000"/>
        </w:rPr>
        <w:t xml:space="preserve"> в размер на 100 на сто от разликата между средната цена на сегмента „ден напред“ на „Б</w:t>
      </w:r>
      <w:r>
        <w:rPr>
          <w:color w:val="000000"/>
        </w:rPr>
        <w:t>ългарската независима енергийна борса</w:t>
      </w:r>
      <w:r w:rsidRPr="00B620C1">
        <w:rPr>
          <w:color w:val="000000"/>
        </w:rPr>
        <w:t>“ ЕАД</w:t>
      </w:r>
      <w:r>
        <w:rPr>
          <w:color w:val="000000"/>
        </w:rPr>
        <w:t xml:space="preserve"> </w:t>
      </w:r>
      <w:r w:rsidRPr="00B620C1">
        <w:rPr>
          <w:color w:val="000000"/>
        </w:rPr>
        <w:t>за съответния месец и базова цена от 250 лв./MWh. Предвидено беше механизмът да се прилага за периода 01.07.2022</w:t>
      </w:r>
      <w:r w:rsidR="00B552D5">
        <w:rPr>
          <w:color w:val="000000"/>
        </w:rPr>
        <w:t> г.</w:t>
      </w:r>
      <w:r w:rsidRPr="00B620C1">
        <w:rPr>
          <w:color w:val="000000"/>
        </w:rPr>
        <w:t xml:space="preserve"> – 31.12.2022</w:t>
      </w:r>
      <w:r w:rsidR="00B552D5">
        <w:rPr>
          <w:color w:val="000000"/>
        </w:rPr>
        <w:t> г.</w:t>
      </w:r>
      <w:r w:rsidRPr="00B620C1">
        <w:rPr>
          <w:color w:val="000000"/>
        </w:rPr>
        <w:t xml:space="preserve"> </w:t>
      </w:r>
    </w:p>
    <w:p w14:paraId="72BE4337" w14:textId="4EACE803" w:rsidR="00C93A45" w:rsidRPr="00B620C1" w:rsidRDefault="00C93A45" w:rsidP="00C93A45">
      <w:pPr>
        <w:rPr>
          <w:color w:val="000000"/>
        </w:rPr>
      </w:pPr>
      <w:r w:rsidRPr="00B620C1">
        <w:rPr>
          <w:color w:val="000000"/>
        </w:rPr>
        <w:t xml:space="preserve">В </w:t>
      </w:r>
      <w:r>
        <w:rPr>
          <w:color w:val="000000"/>
        </w:rPr>
        <w:t>частта</w:t>
      </w:r>
      <w:r w:rsidRPr="00B620C1">
        <w:rPr>
          <w:color w:val="000000"/>
        </w:rPr>
        <w:t xml:space="preserve"> на социалните разходи през втората половина на годината беше извършено увеличение на всич</w:t>
      </w:r>
      <w:r w:rsidR="003F0A85">
        <w:rPr>
          <w:color w:val="000000"/>
        </w:rPr>
        <w:t>ки пенсии от 1 юли 2022</w:t>
      </w:r>
      <w:r w:rsidR="00B552D5">
        <w:rPr>
          <w:color w:val="000000"/>
        </w:rPr>
        <w:t> г.</w:t>
      </w:r>
      <w:r w:rsidR="003F0A85">
        <w:rPr>
          <w:color w:val="000000"/>
        </w:rPr>
        <w:t xml:space="preserve"> с 10</w:t>
      </w:r>
      <w:r w:rsidRPr="00B620C1">
        <w:rPr>
          <w:color w:val="000000"/>
        </w:rPr>
        <w:t>%, като към размера на пенсиите беше добавена и изплащаната добавка в размер на 60 лева. От 1 октомври 2022</w:t>
      </w:r>
      <w:r w:rsidR="00B552D5">
        <w:rPr>
          <w:color w:val="000000"/>
        </w:rPr>
        <w:t> г.</w:t>
      </w:r>
      <w:r w:rsidRPr="00B620C1">
        <w:rPr>
          <w:color w:val="000000"/>
        </w:rPr>
        <w:t xml:space="preserve"> беше направено ново преизчисляване на пенсиите в зависимост от годината на отпускането им. Тези </w:t>
      </w:r>
      <w:r w:rsidRPr="00B620C1">
        <w:rPr>
          <w:color w:val="000000"/>
        </w:rPr>
        <w:lastRenderedPageBreak/>
        <w:t>две уве</w:t>
      </w:r>
      <w:r w:rsidR="00031455">
        <w:rPr>
          <w:color w:val="000000"/>
        </w:rPr>
        <w:t xml:space="preserve">личения, заедно с увеличението </w:t>
      </w:r>
      <w:r w:rsidRPr="00B620C1">
        <w:rPr>
          <w:color w:val="000000"/>
        </w:rPr>
        <w:t>о</w:t>
      </w:r>
      <w:r w:rsidR="00031455">
        <w:rPr>
          <w:color w:val="000000"/>
        </w:rPr>
        <w:t>т</w:t>
      </w:r>
      <w:r w:rsidRPr="00B620C1">
        <w:rPr>
          <w:color w:val="000000"/>
        </w:rPr>
        <w:t xml:space="preserve"> 25.12.2021</w:t>
      </w:r>
      <w:r w:rsidR="00B552D5">
        <w:rPr>
          <w:color w:val="000000"/>
        </w:rPr>
        <w:t> г.</w:t>
      </w:r>
      <w:r w:rsidRPr="00B620C1">
        <w:rPr>
          <w:color w:val="000000"/>
        </w:rPr>
        <w:t>, доведоха до значително нарастване на общия размер на разходите за пенсии. През годината с цел компенсиране на инфлацията бяха увеличени и заплатите на</w:t>
      </w:r>
      <w:r>
        <w:rPr>
          <w:color w:val="000000"/>
        </w:rPr>
        <w:t xml:space="preserve"> част от администрациите</w:t>
      </w:r>
      <w:r w:rsidRPr="00B620C1">
        <w:rPr>
          <w:color w:val="000000"/>
        </w:rPr>
        <w:t xml:space="preserve"> в бюджетната сфера.</w:t>
      </w:r>
    </w:p>
    <w:p w14:paraId="73F51CBE" w14:textId="323B4330" w:rsidR="00AB1E46" w:rsidRPr="005B2032" w:rsidRDefault="00C93A45" w:rsidP="00046164">
      <w:pPr>
        <w:rPr>
          <w:rFonts w:asciiTheme="minorHAnsi" w:hAnsiTheme="minorHAnsi" w:cstheme="minorHAnsi"/>
          <w:bCs/>
        </w:rPr>
      </w:pPr>
      <w:r w:rsidRPr="00B620C1">
        <w:rPr>
          <w:color w:val="000000"/>
        </w:rPr>
        <w:t>През месец юни 2022</w:t>
      </w:r>
      <w:r w:rsidR="00B552D5">
        <w:rPr>
          <w:color w:val="000000"/>
        </w:rPr>
        <w:t> г.</w:t>
      </w:r>
      <w:r w:rsidR="003025EC">
        <w:rPr>
          <w:color w:val="000000"/>
        </w:rPr>
        <w:t>,</w:t>
      </w:r>
      <w:r w:rsidRPr="00B620C1">
        <w:rPr>
          <w:color w:val="000000"/>
        </w:rPr>
        <w:t xml:space="preserve"> след вот на недоверие в Народното събрание</w:t>
      </w:r>
      <w:r w:rsidR="003025EC">
        <w:rPr>
          <w:color w:val="000000"/>
        </w:rPr>
        <w:t>,</w:t>
      </w:r>
      <w:r w:rsidRPr="00B620C1">
        <w:rPr>
          <w:color w:val="000000"/>
        </w:rPr>
        <w:t xml:space="preserve"> правителството подаде оставка. Невъзможността да се състави ново редовно правителство </w:t>
      </w:r>
      <w:r>
        <w:rPr>
          <w:color w:val="000000"/>
        </w:rPr>
        <w:t>и</w:t>
      </w:r>
      <w:r w:rsidRPr="00B620C1">
        <w:rPr>
          <w:color w:val="000000"/>
        </w:rPr>
        <w:t xml:space="preserve"> последвалите предсрочни парламентарни избори, както и сложната политическа ситуация след тях, доведоха до това да не бъде приет закон за бюджета за 2023</w:t>
      </w:r>
      <w:r w:rsidR="00B552D5">
        <w:rPr>
          <w:color w:val="000000"/>
        </w:rPr>
        <w:t> г.</w:t>
      </w:r>
      <w:r w:rsidRPr="00B620C1">
        <w:rPr>
          <w:color w:val="000000"/>
        </w:rPr>
        <w:t xml:space="preserve"> в регламентираните от закона срокове и до удължаване действието на действащия през 2022</w:t>
      </w:r>
      <w:r w:rsidR="00B552D5">
        <w:rPr>
          <w:color w:val="000000"/>
        </w:rPr>
        <w:t> г.</w:t>
      </w:r>
      <w:r w:rsidRPr="00B620C1">
        <w:rPr>
          <w:color w:val="000000"/>
        </w:rPr>
        <w:t xml:space="preserve"> бюджет и в началото на 2023</w:t>
      </w:r>
      <w:r w:rsidR="00B552D5">
        <w:rPr>
          <w:color w:val="000000"/>
        </w:rPr>
        <w:t> г.</w:t>
      </w:r>
    </w:p>
    <w:p w14:paraId="1D5C99EA" w14:textId="15E99308" w:rsidR="00AB1E46" w:rsidRPr="004018C2" w:rsidRDefault="00F71738" w:rsidP="00B552D5">
      <w:pPr>
        <w:pStyle w:val="Heading3"/>
      </w:pPr>
      <w:r w:rsidRPr="004018C2">
        <w:t>Бюджетни развития през 202</w:t>
      </w:r>
      <w:r w:rsidR="00C93A45">
        <w:t>2</w:t>
      </w:r>
      <w:r w:rsidR="00B552D5">
        <w:t> г.</w:t>
      </w:r>
    </w:p>
    <w:p w14:paraId="611F3DD5" w14:textId="6675BC82" w:rsidR="00B32C25" w:rsidRDefault="00B32C25" w:rsidP="00B32C25">
      <w:pPr>
        <w:rPr>
          <w:rFonts w:eastAsia="Calibri"/>
          <w:bCs/>
          <w:lang w:eastAsia="en-US"/>
        </w:rPr>
      </w:pPr>
      <w:r w:rsidRPr="00235387">
        <w:rPr>
          <w:rFonts w:eastAsia="Calibri"/>
          <w:bCs/>
          <w:lang w:eastAsia="en-US"/>
        </w:rPr>
        <w:t xml:space="preserve">Поредица от </w:t>
      </w:r>
      <w:r>
        <w:rPr>
          <w:rFonts w:eastAsia="Calibri"/>
          <w:bCs/>
          <w:lang w:eastAsia="en-US"/>
        </w:rPr>
        <w:t>събития оказваха разнопосочно влияние върху бюджетната позиция през 2022</w:t>
      </w:r>
      <w:r w:rsidR="00B552D5">
        <w:rPr>
          <w:rFonts w:eastAsia="Calibri"/>
          <w:bCs/>
          <w:lang w:eastAsia="en-US"/>
        </w:rPr>
        <w:t> г.</w:t>
      </w:r>
      <w:r>
        <w:rPr>
          <w:rFonts w:eastAsia="Calibri"/>
          <w:bCs/>
          <w:lang w:eastAsia="en-US"/>
        </w:rPr>
        <w:t xml:space="preserve"> От една страна, икономическото възстановяване, започнало през 2021</w:t>
      </w:r>
      <w:r w:rsidR="00B552D5">
        <w:rPr>
          <w:rFonts w:eastAsia="Calibri"/>
          <w:bCs/>
          <w:lang w:eastAsia="en-US"/>
        </w:rPr>
        <w:t> г.</w:t>
      </w:r>
      <w:r>
        <w:rPr>
          <w:rFonts w:eastAsia="Calibri"/>
          <w:bCs/>
          <w:lang w:eastAsia="en-US"/>
        </w:rPr>
        <w:t>, продължи и през 2022</w:t>
      </w:r>
      <w:r w:rsidR="00B552D5">
        <w:rPr>
          <w:rFonts w:eastAsia="Calibri"/>
          <w:bCs/>
          <w:lang w:eastAsia="en-US"/>
        </w:rPr>
        <w:t> г.</w:t>
      </w:r>
      <w:r>
        <w:rPr>
          <w:rFonts w:eastAsia="Calibri"/>
          <w:bCs/>
          <w:lang w:eastAsia="en-US"/>
        </w:rPr>
        <w:t xml:space="preserve"> Това се изразяваше в силно представяне на индустриалното производство, ръст на потреблението и износа и запазване на заетостта, ко</w:t>
      </w:r>
      <w:r w:rsidR="005F0B60">
        <w:rPr>
          <w:rFonts w:eastAsia="Calibri"/>
          <w:bCs/>
          <w:lang w:eastAsia="en-US"/>
        </w:rPr>
        <w:t>и</w:t>
      </w:r>
      <w:r>
        <w:rPr>
          <w:rFonts w:eastAsia="Calibri"/>
          <w:bCs/>
          <w:lang w:eastAsia="en-US"/>
        </w:rPr>
        <w:t>то заедно с инфлацията благоприятства</w:t>
      </w:r>
      <w:r w:rsidR="005F0B60">
        <w:rPr>
          <w:rFonts w:eastAsia="Calibri"/>
          <w:bCs/>
          <w:lang w:eastAsia="en-US"/>
        </w:rPr>
        <w:t>ха</w:t>
      </w:r>
      <w:r>
        <w:rPr>
          <w:rFonts w:eastAsia="Calibri"/>
          <w:bCs/>
          <w:lang w:eastAsia="en-US"/>
        </w:rPr>
        <w:t xml:space="preserve"> постъпленията в бюджета. От друга страна, редица фактори влияеха негативно върху разходната страна на бюджета. Това бяха продължилата през първото тримесечие на 2022</w:t>
      </w:r>
      <w:r w:rsidR="00B552D5">
        <w:rPr>
          <w:rFonts w:eastAsia="Calibri"/>
          <w:bCs/>
          <w:lang w:eastAsia="en-US"/>
        </w:rPr>
        <w:t> г.</w:t>
      </w:r>
      <w:r>
        <w:rPr>
          <w:rFonts w:eastAsia="Calibri"/>
          <w:bCs/>
          <w:lang w:eastAsia="en-US"/>
        </w:rPr>
        <w:t xml:space="preserve"> извънредна епидемична обстановка и свързаните с нея разходи за борба с </w:t>
      </w:r>
      <w:r>
        <w:rPr>
          <w:rFonts w:eastAsia="Calibri"/>
          <w:bCs/>
          <w:lang w:val="en-US" w:eastAsia="en-US"/>
        </w:rPr>
        <w:t>COVID-19</w:t>
      </w:r>
      <w:r>
        <w:rPr>
          <w:rFonts w:eastAsia="Calibri"/>
          <w:bCs/>
          <w:lang w:eastAsia="en-US"/>
        </w:rPr>
        <w:t xml:space="preserve">, както и шоковете на пазарите на горива и енергоносители, наложили незабавната намеса на държавата с мерки за намаляване на негативните последици върху бизнеса и уязвимите групи от населението. Също така бяха отделени средства и за справяне с последиците от военния конфликт в Украйна. Социалните разходи и компенсацията на наетите нараснаха значително поради високият ръст на цените и двуцифрената инфлация през по-голямата част от годината. Въпреки големия фискален ефект от тези неблагоприятни въздействия България </w:t>
      </w:r>
      <w:r w:rsidRPr="00973920">
        <w:rPr>
          <w:rFonts w:eastAsia="Calibri"/>
          <w:bCs/>
          <w:lang w:eastAsia="en-US"/>
        </w:rPr>
        <w:t>успя да запази салдото на сектор „Държавно управление“ през 2022</w:t>
      </w:r>
      <w:r w:rsidR="00B552D5">
        <w:rPr>
          <w:rFonts w:eastAsia="Calibri"/>
          <w:bCs/>
          <w:lang w:eastAsia="en-US"/>
        </w:rPr>
        <w:t> г.</w:t>
      </w:r>
      <w:r w:rsidRPr="00973920">
        <w:rPr>
          <w:rFonts w:eastAsia="Calibri"/>
          <w:bCs/>
          <w:lang w:eastAsia="en-US"/>
        </w:rPr>
        <w:t xml:space="preserve"> на нивото от </w:t>
      </w:r>
      <w:r w:rsidR="00F0703D">
        <w:rPr>
          <w:rFonts w:eastAsia="Calibri"/>
          <w:bCs/>
          <w:lang w:eastAsia="en-US"/>
        </w:rPr>
        <w:t>-</w:t>
      </w:r>
      <w:r w:rsidRPr="00973920">
        <w:rPr>
          <w:rFonts w:eastAsia="Calibri"/>
          <w:bCs/>
          <w:lang w:eastAsia="en-US"/>
        </w:rPr>
        <w:t>2</w:t>
      </w:r>
      <w:r w:rsidR="003F0A85">
        <w:rPr>
          <w:rFonts w:eastAsia="Calibri"/>
          <w:bCs/>
          <w:lang w:val="en-US" w:eastAsia="en-US"/>
        </w:rPr>
        <w:t>.</w:t>
      </w:r>
      <w:r w:rsidR="003F0A85">
        <w:rPr>
          <w:rFonts w:eastAsia="Calibri"/>
          <w:bCs/>
          <w:lang w:eastAsia="en-US"/>
        </w:rPr>
        <w:t>8</w:t>
      </w:r>
      <w:r w:rsidRPr="00973920">
        <w:rPr>
          <w:rFonts w:eastAsia="Calibri"/>
          <w:bCs/>
          <w:lang w:eastAsia="en-US"/>
        </w:rPr>
        <w:t>%, което съответства на изиск</w:t>
      </w:r>
      <w:r w:rsidR="00F0703D">
        <w:rPr>
          <w:rFonts w:eastAsia="Calibri"/>
          <w:bCs/>
          <w:lang w:eastAsia="en-US"/>
        </w:rPr>
        <w:t>ванията</w:t>
      </w:r>
      <w:r w:rsidRPr="00973920">
        <w:rPr>
          <w:rFonts w:eastAsia="Calibri"/>
          <w:bCs/>
          <w:lang w:eastAsia="en-US"/>
        </w:rPr>
        <w:t xml:space="preserve"> от Пакта за стабилност и растеж, където референтна </w:t>
      </w:r>
      <w:r w:rsidR="003F0A85">
        <w:rPr>
          <w:rFonts w:eastAsia="Calibri"/>
          <w:bCs/>
          <w:lang w:eastAsia="en-US"/>
        </w:rPr>
        <w:t>стойност е</w:t>
      </w:r>
      <w:r w:rsidR="00F0703D">
        <w:rPr>
          <w:rFonts w:eastAsia="Calibri"/>
          <w:bCs/>
          <w:lang w:eastAsia="en-US"/>
        </w:rPr>
        <w:t xml:space="preserve"> дефицит от</w:t>
      </w:r>
      <w:r w:rsidR="003F0A85">
        <w:rPr>
          <w:rFonts w:eastAsia="Calibri"/>
          <w:bCs/>
          <w:lang w:eastAsia="en-US"/>
        </w:rPr>
        <w:t xml:space="preserve"> 3</w:t>
      </w:r>
      <w:r w:rsidRPr="00973920">
        <w:rPr>
          <w:rFonts w:eastAsia="Calibri"/>
          <w:bCs/>
          <w:lang w:eastAsia="en-US"/>
        </w:rPr>
        <w:t xml:space="preserve">%. </w:t>
      </w:r>
      <w:r w:rsidRPr="00973920">
        <w:t>Същевременно</w:t>
      </w:r>
      <w:r w:rsidR="003025EC">
        <w:t>,</w:t>
      </w:r>
      <w:r w:rsidRPr="00973920">
        <w:t xml:space="preserve"> в сравнение със заложената цел в предходната Конвергентна програма – дефицит от 5</w:t>
      </w:r>
      <w:r w:rsidR="003F0A85">
        <w:rPr>
          <w:lang w:val="en-US"/>
        </w:rPr>
        <w:t>.</w:t>
      </w:r>
      <w:r w:rsidR="003F0A85">
        <w:t>3</w:t>
      </w:r>
      <w:r w:rsidRPr="00973920">
        <w:t>%, данните от априлските Нотификационни таблици за дефицита и дълга на България отчитат подобрение на бюджетното салдо на сектор „Държавно управление“ с 2</w:t>
      </w:r>
      <w:r w:rsidR="003F0A85">
        <w:rPr>
          <w:lang w:val="en-US"/>
        </w:rPr>
        <w:t>.</w:t>
      </w:r>
      <w:r w:rsidRPr="00973920">
        <w:t>5 пр. п., което се дължи на увеличение в частта на приходите с 0</w:t>
      </w:r>
      <w:r w:rsidR="003F0A85">
        <w:rPr>
          <w:lang w:val="en-US"/>
        </w:rPr>
        <w:t>.</w:t>
      </w:r>
      <w:r w:rsidRPr="00973920">
        <w:t>5 пр.</w:t>
      </w:r>
      <w:r>
        <w:t xml:space="preserve"> </w:t>
      </w:r>
      <w:r w:rsidRPr="00973920">
        <w:t>п., докато в разходната част се отчита свиване на разходите с 2</w:t>
      </w:r>
      <w:r w:rsidR="00191ED1">
        <w:rPr>
          <w:lang w:val="en-US"/>
        </w:rPr>
        <w:t>.</w:t>
      </w:r>
      <w:r w:rsidRPr="00973920">
        <w:t>0 пр.</w:t>
      </w:r>
      <w:r>
        <w:t xml:space="preserve"> </w:t>
      </w:r>
      <w:r w:rsidRPr="00973920">
        <w:t>п. спрямо първоначалните прогнози.</w:t>
      </w:r>
    </w:p>
    <w:p w14:paraId="069410D7" w14:textId="531E9CAE" w:rsidR="00B32C25" w:rsidRPr="00D4118C" w:rsidRDefault="001364E0" w:rsidP="00931426">
      <w:pPr>
        <w:pStyle w:val="Caption"/>
      </w:pPr>
      <w:r>
        <w:rPr>
          <w:noProof/>
        </w:rPr>
        <w:drawing>
          <wp:anchor distT="0" distB="0" distL="114300" distR="114300" simplePos="0" relativeHeight="251670528" behindDoc="1" locked="0" layoutInCell="1" allowOverlap="1" wp14:anchorId="606F4970" wp14:editId="5712E6ED">
            <wp:simplePos x="0" y="0"/>
            <wp:positionH relativeFrom="margin">
              <wp:align>left</wp:align>
            </wp:positionH>
            <wp:positionV relativeFrom="paragraph">
              <wp:posOffset>342277</wp:posOffset>
            </wp:positionV>
            <wp:extent cx="5759450" cy="2520000"/>
            <wp:effectExtent l="0" t="0" r="0" b="0"/>
            <wp:wrapTight wrapText="bothSides">
              <wp:wrapPolygon edited="0">
                <wp:start x="0" y="0"/>
                <wp:lineTo x="0" y="21393"/>
                <wp:lineTo x="21505" y="21393"/>
                <wp:lineTo x="21505" y="0"/>
                <wp:lineTo x="0" y="0"/>
              </wp:wrapPolygon>
            </wp:wrapTight>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r w:rsidR="003F0A85" w:rsidRPr="003F0A85">
        <w:t>Гр</w:t>
      </w:r>
      <w:r w:rsidR="00F703D3">
        <w:t>аф</w:t>
      </w:r>
      <w:r w:rsidR="003F0A85" w:rsidRPr="003F0A85">
        <w:t>.</w:t>
      </w:r>
      <w:r w:rsidRPr="001364E0">
        <w:rPr>
          <w:noProof/>
        </w:rPr>
        <w:t xml:space="preserve"> </w:t>
      </w:r>
      <w:r w:rsidR="003F0A85" w:rsidRPr="003F0A85">
        <w:t xml:space="preserve"> 3-1</w:t>
      </w:r>
      <w:r w:rsidR="00F703D3">
        <w:t>:</w:t>
      </w:r>
      <w:r w:rsidR="00B32C25" w:rsidRPr="00D4118C">
        <w:rPr>
          <w:lang w:val="en-US"/>
        </w:rPr>
        <w:t xml:space="preserve"> </w:t>
      </w:r>
      <w:r w:rsidR="00FE1FC1">
        <w:rPr>
          <w:lang w:val="en-US"/>
        </w:rPr>
        <w:tab/>
      </w:r>
      <w:r w:rsidR="00931426">
        <w:rPr>
          <w:lang w:val="en-US"/>
        </w:rPr>
        <w:tab/>
      </w:r>
      <w:r w:rsidR="00B32C25" w:rsidRPr="00D4118C">
        <w:t>Бюджетен баланс (ЕСС 2010, % от БВП)</w:t>
      </w:r>
    </w:p>
    <w:p w14:paraId="750D6072" w14:textId="77777777" w:rsidR="00B32C25" w:rsidRPr="001364E0" w:rsidRDefault="00B32C25" w:rsidP="001364E0">
      <w:pPr>
        <w:pStyle w:val="a"/>
      </w:pPr>
      <w:r w:rsidRPr="001364E0">
        <w:t>*Прогноза</w:t>
      </w:r>
      <w:r w:rsidRPr="001364E0">
        <w:tab/>
      </w:r>
      <w:r w:rsidRPr="001364E0">
        <w:tab/>
      </w:r>
      <w:r w:rsidRPr="001364E0">
        <w:tab/>
      </w:r>
      <w:r w:rsidRPr="001364E0">
        <w:tab/>
      </w:r>
      <w:r w:rsidRPr="001364E0">
        <w:tab/>
      </w:r>
      <w:r w:rsidRPr="001364E0">
        <w:tab/>
      </w:r>
      <w:r w:rsidRPr="001364E0">
        <w:tab/>
      </w:r>
      <w:r w:rsidRPr="001364E0">
        <w:tab/>
      </w:r>
      <w:r w:rsidRPr="001364E0">
        <w:tab/>
        <w:t>Източник: Евростат, МФ</w:t>
      </w:r>
    </w:p>
    <w:p w14:paraId="1D39DEC4" w14:textId="77777777" w:rsidR="00B32C25" w:rsidRPr="00C60F07" w:rsidRDefault="00B32C25" w:rsidP="00B32C25">
      <w:pPr>
        <w:contextualSpacing/>
        <w:rPr>
          <w:color w:val="4E67C8" w:themeColor="accent1"/>
          <w:highlight w:val="yellow"/>
        </w:rPr>
      </w:pPr>
    </w:p>
    <w:p w14:paraId="07AFA305" w14:textId="3FF75B38" w:rsidR="00B32C25" w:rsidRPr="00231914" w:rsidRDefault="00B32C25" w:rsidP="00B32C25">
      <w:r w:rsidRPr="00231914">
        <w:t xml:space="preserve">Приходите като относителен дял в БВП достигнаха </w:t>
      </w:r>
      <w:r w:rsidRPr="00231914">
        <w:rPr>
          <w:lang w:val="en-US"/>
        </w:rPr>
        <w:t>3</w:t>
      </w:r>
      <w:r w:rsidRPr="00231914">
        <w:t>8</w:t>
      </w:r>
      <w:r w:rsidR="003F0A85">
        <w:rPr>
          <w:lang w:val="en-US"/>
        </w:rPr>
        <w:t>.</w:t>
      </w:r>
      <w:r w:rsidR="003F0A85">
        <w:t>5</w:t>
      </w:r>
      <w:r w:rsidRPr="00231914">
        <w:t>% през 2022</w:t>
      </w:r>
      <w:r w:rsidR="00B552D5">
        <w:t> г.</w:t>
      </w:r>
      <w:r w:rsidRPr="00231914">
        <w:t>, което е увеличение с 0</w:t>
      </w:r>
      <w:r w:rsidR="003F0A85">
        <w:rPr>
          <w:lang w:val="en-US"/>
        </w:rPr>
        <w:t>.</w:t>
      </w:r>
      <w:r w:rsidRPr="00231914">
        <w:t>8</w:t>
      </w:r>
      <w:r w:rsidR="0005652B">
        <w:t xml:space="preserve"> </w:t>
      </w:r>
      <w:r w:rsidRPr="00231914">
        <w:t>пр. п. спрямо нивото през 2021</w:t>
      </w:r>
      <w:r w:rsidR="00B552D5">
        <w:t> г.</w:t>
      </w:r>
      <w:r w:rsidRPr="00231914">
        <w:t xml:space="preserve"> За нарастването на</w:t>
      </w:r>
      <w:r>
        <w:t xml:space="preserve"> относителния дял на</w:t>
      </w:r>
      <w:r w:rsidRPr="00231914">
        <w:t xml:space="preserve"> приходите </w:t>
      </w:r>
      <w:r>
        <w:t xml:space="preserve">в БВП </w:t>
      </w:r>
      <w:r w:rsidRPr="00231914">
        <w:t>допринася</w:t>
      </w:r>
      <w:r>
        <w:t>т</w:t>
      </w:r>
      <w:r w:rsidRPr="00231914">
        <w:t xml:space="preserve"> </w:t>
      </w:r>
      <w:r>
        <w:t>в най-голяма степен</w:t>
      </w:r>
      <w:r w:rsidRPr="00231914">
        <w:t xml:space="preserve"> ръст</w:t>
      </w:r>
      <w:r>
        <w:t>ът</w:t>
      </w:r>
      <w:r w:rsidRPr="00231914">
        <w:t xml:space="preserve"> при данъците върху производството и вноса </w:t>
      </w:r>
      <w:r>
        <w:t xml:space="preserve">(вкл. и еднократните приходи от производителите на електрическа енергия, използвани за изплащане на компенсации на небитовите потребители на електрическа енергия) и увеличението при </w:t>
      </w:r>
      <w:r w:rsidRPr="00231914">
        <w:t>приходите от продажби, доходите от собственост и другите текущи приходи</w:t>
      </w:r>
      <w:r>
        <w:t>, докато при</w:t>
      </w:r>
      <w:r w:rsidRPr="00231914">
        <w:t xml:space="preserve"> текущите данъци въ</w:t>
      </w:r>
      <w:r>
        <w:t>рху доходите, богатството и др. се наблюдава запазване на нивото им от предходната година.</w:t>
      </w:r>
      <w:r w:rsidRPr="00231914">
        <w:t xml:space="preserve"> </w:t>
      </w:r>
    </w:p>
    <w:p w14:paraId="780DBD9F" w14:textId="51EEF64E" w:rsidR="00B32C25" w:rsidRPr="009242A8" w:rsidRDefault="00B32C25" w:rsidP="00B32C25">
      <w:pPr>
        <w:rPr>
          <w:color w:val="4E67C8" w:themeColor="accent1"/>
        </w:rPr>
      </w:pPr>
      <w:r w:rsidRPr="00C90E2D">
        <w:t xml:space="preserve">Данъците върху производството и вноса отбелязват най-голям ръст както в номинално </w:t>
      </w:r>
      <w:r w:rsidR="00F0703D">
        <w:t>изражение</w:t>
      </w:r>
      <w:r w:rsidR="00B552D5">
        <w:t xml:space="preserve"> – </w:t>
      </w:r>
      <w:r w:rsidRPr="00C90E2D">
        <w:t>с над 5</w:t>
      </w:r>
      <w:r w:rsidR="003F0A85">
        <w:rPr>
          <w:lang w:val="en-US"/>
        </w:rPr>
        <w:t>.</w:t>
      </w:r>
      <w:r w:rsidRPr="00C90E2D">
        <w:t xml:space="preserve">5 млрд. лв., така и като процент от БВП – с </w:t>
      </w:r>
      <w:r>
        <w:t>1 пр. п. Тук са отразени целевите вноски, извършвани в изпълнение на разпоредбите на ЗИД на ЗДБРБ за 2022</w:t>
      </w:r>
      <w:r w:rsidR="00B552D5">
        <w:t> г.</w:t>
      </w:r>
      <w:r>
        <w:t xml:space="preserve"> от </w:t>
      </w:r>
      <w:r w:rsidRPr="00771C77">
        <w:rPr>
          <w:rFonts w:eastAsia="Times New Roman"/>
          <w:lang w:eastAsia="en-US"/>
        </w:rPr>
        <w:t>публичните предприятия от сектор енергетика със 100 на сто държавно участие в капитала</w:t>
      </w:r>
      <w:r>
        <w:rPr>
          <w:rFonts w:eastAsia="Times New Roman"/>
          <w:lang w:eastAsia="en-US"/>
        </w:rPr>
        <w:t>, с които се финансираха компенсациите за високите цени на електрическата енергия на небитовите клиенти.</w:t>
      </w:r>
      <w:r w:rsidRPr="00771C77">
        <w:rPr>
          <w:rFonts w:eastAsia="Times New Roman"/>
          <w:lang w:eastAsia="en-US"/>
        </w:rPr>
        <w:t xml:space="preserve"> </w:t>
      </w:r>
      <w:r w:rsidRPr="00585675">
        <w:rPr>
          <w:rFonts w:eastAsia="Times New Roman"/>
          <w:lang w:eastAsia="en-US"/>
        </w:rPr>
        <w:t>Също така н</w:t>
      </w:r>
      <w:r w:rsidRPr="00585675">
        <w:t>арастване на приходите се наблюдава при всички данъци от групата, като най-значително е</w:t>
      </w:r>
      <w:r>
        <w:t xml:space="preserve"> то</w:t>
      </w:r>
      <w:r w:rsidRPr="00585675">
        <w:t xml:space="preserve"> при ДДС. Това отразява</w:t>
      </w:r>
      <w:r w:rsidR="0005652B">
        <w:t xml:space="preserve"> </w:t>
      </w:r>
      <w:r w:rsidRPr="00585675">
        <w:t>както реалния ръст при потреблението през 2022</w:t>
      </w:r>
      <w:r w:rsidR="00B552D5">
        <w:t> г.</w:t>
      </w:r>
      <w:r w:rsidRPr="00585675">
        <w:t xml:space="preserve">, така и </w:t>
      </w:r>
      <w:r>
        <w:t>ускорението на инфлацията</w:t>
      </w:r>
      <w:r w:rsidRPr="00585675">
        <w:t xml:space="preserve">. Значителният ръст в потреблението е резултат в най-голяма степен на продължаващото възстановяване на потребителските разходи след първоначалния шок от </w:t>
      </w:r>
      <w:r w:rsidRPr="00585675">
        <w:rPr>
          <w:lang w:val="en-US"/>
        </w:rPr>
        <w:t>COVID</w:t>
      </w:r>
      <w:r w:rsidRPr="00585675">
        <w:t xml:space="preserve">-19 пандемията и наложените ограничения. Регистрираното увеличение на доходите </w:t>
      </w:r>
      <w:r w:rsidR="00C55659">
        <w:t>на</w:t>
      </w:r>
      <w:r w:rsidRPr="00585675">
        <w:t xml:space="preserve"> пенсионерите и при голяма част от работещите също допринасят за увеличеното потребление и свързаните с него данъчни приходи. </w:t>
      </w:r>
    </w:p>
    <w:p w14:paraId="42306F8D" w14:textId="019127E2" w:rsidR="00B32C25" w:rsidRPr="009242A8" w:rsidRDefault="00B32C25" w:rsidP="00931426">
      <w:pPr>
        <w:rPr>
          <w:color w:val="4E67C8" w:themeColor="accent1"/>
        </w:rPr>
      </w:pPr>
      <w:r w:rsidRPr="008F7CAE">
        <w:t>При текущите данъци върху доходите, богатството и др. се наблюдава нарастване на постъпленията в номинално изражение с 1</w:t>
      </w:r>
      <w:r w:rsidR="003F0A85">
        <w:rPr>
          <w:lang w:val="en-US"/>
        </w:rPr>
        <w:t>.</w:t>
      </w:r>
      <w:r>
        <w:t>7</w:t>
      </w:r>
      <w:r w:rsidRPr="008F7CAE">
        <w:t xml:space="preserve"> млрд. лв., а като дял от БВП спрямо предходната година равнището се запазва</w:t>
      </w:r>
      <w:r w:rsidR="0005652B">
        <w:t xml:space="preserve"> </w:t>
      </w:r>
      <w:r w:rsidRPr="008F7CAE">
        <w:t>– 6</w:t>
      </w:r>
      <w:r w:rsidR="003F0A85">
        <w:rPr>
          <w:lang w:val="en-US"/>
        </w:rPr>
        <w:t>.</w:t>
      </w:r>
      <w:r w:rsidR="003F0A85">
        <w:t>4</w:t>
      </w:r>
      <w:r w:rsidRPr="008F7CAE">
        <w:t>%</w:t>
      </w:r>
      <w:r>
        <w:t xml:space="preserve"> от БВП</w:t>
      </w:r>
      <w:r w:rsidRPr="008F7CAE">
        <w:t xml:space="preserve">. </w:t>
      </w:r>
      <w:r>
        <w:t>Номинално нарастване се отчита при всички да</w:t>
      </w:r>
      <w:r w:rsidR="003F0A85">
        <w:t xml:space="preserve">нъци в групата, като най-голямото </w:t>
      </w:r>
      <w:r>
        <w:t>е при корпоративните данъци. Причините са, от една страна</w:t>
      </w:r>
      <w:r w:rsidR="00C55659">
        <w:t>,</w:t>
      </w:r>
      <w:r>
        <w:t xml:space="preserve"> увеличения</w:t>
      </w:r>
      <w:r w:rsidR="009B4599">
        <w:t>т</w:t>
      </w:r>
      <w:r>
        <w:t xml:space="preserve"> обем на продукцията в индустрията, </w:t>
      </w:r>
      <w:r w:rsidR="009B4599">
        <w:t xml:space="preserve">а </w:t>
      </w:r>
      <w:r>
        <w:t>от друга</w:t>
      </w:r>
      <w:r w:rsidR="00C55659">
        <w:t>,</w:t>
      </w:r>
      <w:r>
        <w:t xml:space="preserve"> ръст</w:t>
      </w:r>
      <w:r w:rsidR="009B4599">
        <w:t>ът</w:t>
      </w:r>
      <w:r>
        <w:t xml:space="preserve"> на цените</w:t>
      </w:r>
      <w:r w:rsidR="0005652B">
        <w:t xml:space="preserve"> </w:t>
      </w:r>
      <w:r>
        <w:t xml:space="preserve">в много отрасли, като енергетика, производство на суровини, хранителни стоки и др. Това води до </w:t>
      </w:r>
      <w:r w:rsidRPr="009E11BB">
        <w:t>нараснали печалби</w:t>
      </w:r>
      <w:r>
        <w:t>,</w:t>
      </w:r>
      <w:r w:rsidRPr="009E11BB">
        <w:t xml:space="preserve"> съответно до по-голям данък върху печалбата. При данъка върху доходите на физическите лица също има номинално увеличение, което е резултат от регистрирания ръст на възнагражденията както в частния сектор, така и в обществения сектор. Същевременно по-сериозното нарастване на данъчните постъпления при този приходоизточник е ограничено от увеличения обем през 2022</w:t>
      </w:r>
      <w:r w:rsidR="00B552D5">
        <w:t> г.</w:t>
      </w:r>
      <w:r w:rsidRPr="009E11BB">
        <w:t xml:space="preserve"> на данъчното облекчение за деца. Трябва да </w:t>
      </w:r>
      <w:r w:rsidRPr="00602BFA">
        <w:t>се отбележи и ръстът при данъците върху богатството (имуществените данъци), където се отразяват нарасналите цени на имотите в страната и броя</w:t>
      </w:r>
      <w:r w:rsidR="009B4599">
        <w:t>т</w:t>
      </w:r>
      <w:r w:rsidRPr="00602BFA">
        <w:t xml:space="preserve"> сделки за придобиване им и др.</w:t>
      </w:r>
      <w:r w:rsidR="0005652B">
        <w:t xml:space="preserve"> </w:t>
      </w:r>
    </w:p>
    <w:p w14:paraId="5734588D" w14:textId="618D147D" w:rsidR="00B32C25" w:rsidRDefault="00B32C25" w:rsidP="00B32C25">
      <w:r w:rsidRPr="009C3B1F">
        <w:t>Приходите от социални и здравно-осигурителни вноски нарастват номинално с 1</w:t>
      </w:r>
      <w:r w:rsidR="009B4599">
        <w:t>.</w:t>
      </w:r>
      <w:r w:rsidRPr="009C3B1F">
        <w:t>6 млрд. лв., а отнесени към БВП отчитат намаление с 0</w:t>
      </w:r>
      <w:r w:rsidR="009B4599">
        <w:t>.</w:t>
      </w:r>
      <w:r w:rsidRPr="009C3B1F">
        <w:t>5 пр. п. спрямо 2021</w:t>
      </w:r>
      <w:r w:rsidR="00B552D5">
        <w:t> г.</w:t>
      </w:r>
      <w:r w:rsidRPr="009C3B1F">
        <w:t xml:space="preserve"> Основният фактор, който допринасят за това, е ръстът на доходите, вкл. на минималната работна заплата и минималните осигурителни прагове и др. </w:t>
      </w:r>
    </w:p>
    <w:p w14:paraId="0E35FB62" w14:textId="55D96882" w:rsidR="00B32C25" w:rsidRPr="00602BFA" w:rsidRDefault="00B32C25" w:rsidP="00B32C25">
      <w:r>
        <w:t xml:space="preserve">Постъпленията от </w:t>
      </w:r>
      <w:r w:rsidRPr="00602BFA">
        <w:t>продажби, доходи от собственост и други текущи приходи се увеличават номинално с 2</w:t>
      </w:r>
      <w:r w:rsidR="009B4599">
        <w:t>.</w:t>
      </w:r>
      <w:r>
        <w:t>5</w:t>
      </w:r>
      <w:r w:rsidRPr="00602BFA">
        <w:t xml:space="preserve"> млрд. лв. и с 0</w:t>
      </w:r>
      <w:r w:rsidR="009B4599">
        <w:t>.</w:t>
      </w:r>
      <w:r>
        <w:t>3</w:t>
      </w:r>
      <w:r w:rsidRPr="00602BFA">
        <w:t xml:space="preserve"> пр. п. като дял от БВП спрямо 2021</w:t>
      </w:r>
      <w:r w:rsidR="00B552D5">
        <w:t> г.</w:t>
      </w:r>
      <w:r w:rsidRPr="00602BFA">
        <w:t xml:space="preserve"> Основната причина тук е увеличените средства от продажба на квоти за емисии на парникови газове, дивиденти от държавни предприятия и други приходи.</w:t>
      </w:r>
    </w:p>
    <w:p w14:paraId="47F99021" w14:textId="380155D1" w:rsidR="00B32C25" w:rsidRPr="009242A8" w:rsidRDefault="00B32C25" w:rsidP="00B32C25">
      <w:pPr>
        <w:rPr>
          <w:color w:val="4E67C8" w:themeColor="accent1"/>
        </w:rPr>
      </w:pPr>
      <w:r w:rsidRPr="00602BFA">
        <w:t>Общите разходи на сектор „Държавно управление“ през 20</w:t>
      </w:r>
      <w:r w:rsidRPr="00602BFA">
        <w:rPr>
          <w:lang w:val="en-US"/>
        </w:rPr>
        <w:t>2</w:t>
      </w:r>
      <w:r w:rsidRPr="00602BFA">
        <w:t>2</w:t>
      </w:r>
      <w:r w:rsidR="00B552D5">
        <w:t> г.</w:t>
      </w:r>
      <w:r w:rsidRPr="00602BFA">
        <w:t xml:space="preserve"> нарастват</w:t>
      </w:r>
      <w:r>
        <w:t xml:space="preserve"> номинално с 10</w:t>
      </w:r>
      <w:r w:rsidR="009B4599">
        <w:t>.</w:t>
      </w:r>
      <w:r>
        <w:t xml:space="preserve">5 млрд. лв. и </w:t>
      </w:r>
      <w:r w:rsidRPr="00B32F08">
        <w:t xml:space="preserve">са в размер на </w:t>
      </w:r>
      <w:r w:rsidRPr="00B32F08">
        <w:rPr>
          <w:lang w:val="en-US"/>
        </w:rPr>
        <w:t>4</w:t>
      </w:r>
      <w:r w:rsidRPr="00B32F08">
        <w:t>1</w:t>
      </w:r>
      <w:r w:rsidR="009B4599">
        <w:t>.</w:t>
      </w:r>
      <w:r w:rsidRPr="00B32F08">
        <w:t>3% от БВП, което е с 0</w:t>
      </w:r>
      <w:r w:rsidR="009B4599">
        <w:t>.</w:t>
      </w:r>
      <w:r>
        <w:t>3</w:t>
      </w:r>
      <w:r w:rsidRPr="00B32F08">
        <w:t xml:space="preserve"> пр. п. по-ниско от отчетеното през 2021</w:t>
      </w:r>
      <w:r w:rsidR="00B552D5">
        <w:t> г.</w:t>
      </w:r>
      <w:r w:rsidRPr="00B32F08">
        <w:t xml:space="preserve"> ниво.</w:t>
      </w:r>
      <w:r>
        <w:t xml:space="preserve"> Номинално нарастване се отчита при почти всички видове разходи с изключение на другите текущи разходи, като най-значително е нарастването при разходите за субсидии и при социалните разходи, различни от тези в натура.</w:t>
      </w:r>
    </w:p>
    <w:p w14:paraId="4C1B1E4D" w14:textId="69DFFBCD" w:rsidR="00B32C25" w:rsidRPr="009242A8" w:rsidRDefault="00B32C25" w:rsidP="00B32C25">
      <w:pPr>
        <w:rPr>
          <w:color w:val="4E67C8" w:themeColor="accent1"/>
        </w:rPr>
      </w:pPr>
      <w:r w:rsidRPr="00602BFA">
        <w:lastRenderedPageBreak/>
        <w:t>Разходите за компенсация на наетите лица се увеличават номинално с 1</w:t>
      </w:r>
      <w:r w:rsidR="003754D4">
        <w:rPr>
          <w:lang w:val="en-US"/>
        </w:rPr>
        <w:t>.</w:t>
      </w:r>
      <w:r w:rsidRPr="00602BFA">
        <w:t>1 млрд. лв., като обаче нивото им спрямо БВП намалява с 1</w:t>
      </w:r>
      <w:r w:rsidR="003754D4">
        <w:rPr>
          <w:lang w:val="en-US"/>
        </w:rPr>
        <w:t>.</w:t>
      </w:r>
      <w:r w:rsidRPr="00602BFA">
        <w:t>1 пр. п. в сравнение с 2021</w:t>
      </w:r>
      <w:r w:rsidR="00B552D5">
        <w:t> г.</w:t>
      </w:r>
      <w:r w:rsidRPr="00602BFA">
        <w:t xml:space="preserve"> Основната причина за номиналното нарастване е увеличението на възнагражденията в обществения сектор, вкл. на педагогическия персонал, с цел компенсиране до известна степен на натрупаната инфлация. Влияние оказва и изплащането до средата на </w:t>
      </w:r>
      <w:r>
        <w:t xml:space="preserve">2022 </w:t>
      </w:r>
      <w:r w:rsidRPr="00602BFA">
        <w:t>година</w:t>
      </w:r>
      <w:r w:rsidRPr="00602BFA">
        <w:rPr>
          <w:color w:val="4E67C8" w:themeColor="accent1"/>
        </w:rPr>
        <w:t xml:space="preserve"> </w:t>
      </w:r>
      <w:r w:rsidRPr="00602BFA">
        <w:t xml:space="preserve">на допълнителни суми към възнагражденията лекарите и медицинските специалисти на първа линия в борбата с пандемията от </w:t>
      </w:r>
      <w:r w:rsidRPr="00602BFA">
        <w:rPr>
          <w:lang w:val="en-US"/>
        </w:rPr>
        <w:t>COVID</w:t>
      </w:r>
      <w:r w:rsidRPr="00602BFA">
        <w:t>-19 и др.</w:t>
      </w:r>
      <w:r w:rsidRPr="009242A8">
        <w:rPr>
          <w:color w:val="4E67C8" w:themeColor="accent1"/>
        </w:rPr>
        <w:t xml:space="preserve"> </w:t>
      </w:r>
    </w:p>
    <w:p w14:paraId="4766416B" w14:textId="4F4D339F" w:rsidR="00B32C25" w:rsidRPr="00C122C0" w:rsidRDefault="00B32C25" w:rsidP="00B32C25">
      <w:r w:rsidRPr="00FF706A">
        <w:t xml:space="preserve">Разходите за </w:t>
      </w:r>
      <w:r>
        <w:t xml:space="preserve">междинно потребление, основна част от което е издръжката, </w:t>
      </w:r>
      <w:r w:rsidRPr="00FF706A">
        <w:t>нарастват и номинално – с 1</w:t>
      </w:r>
      <w:r w:rsidR="003754D4">
        <w:rPr>
          <w:lang w:val="en-US"/>
        </w:rPr>
        <w:t>.</w:t>
      </w:r>
      <w:r w:rsidRPr="00FF706A">
        <w:t>6 млрд. лв., и като относителен дял в БВП – с 0</w:t>
      </w:r>
      <w:r w:rsidR="003754D4">
        <w:rPr>
          <w:lang w:val="en-US"/>
        </w:rPr>
        <w:t>.</w:t>
      </w:r>
      <w:r w:rsidRPr="00FF706A">
        <w:t xml:space="preserve">2 пр. п., като основната причина са увеличените цени на материалите, горивата, енергията, </w:t>
      </w:r>
      <w:r w:rsidRPr="00C122C0">
        <w:t>цените на услугите</w:t>
      </w:r>
      <w:r w:rsidR="0005652B">
        <w:t xml:space="preserve"> </w:t>
      </w:r>
      <w:r w:rsidRPr="00C122C0">
        <w:t xml:space="preserve">и разходите за текущ ремонт. </w:t>
      </w:r>
    </w:p>
    <w:p w14:paraId="38E890B8" w14:textId="79CFD28B" w:rsidR="00B32C25" w:rsidRPr="0027623C" w:rsidRDefault="00B32C25" w:rsidP="00B32C25">
      <w:r w:rsidRPr="00692B2F">
        <w:t>Размерът на социалните трансфери като относителен дял от БВП нараства с 0</w:t>
      </w:r>
      <w:r w:rsidR="003754D4">
        <w:rPr>
          <w:lang w:val="en-US"/>
        </w:rPr>
        <w:t>.</w:t>
      </w:r>
      <w:r w:rsidR="00C55659">
        <w:t>8</w:t>
      </w:r>
      <w:r w:rsidRPr="00692B2F">
        <w:t xml:space="preserve"> пр. п., като в номинално изражение това са </w:t>
      </w:r>
      <w:r w:rsidR="00C55659">
        <w:t>5</w:t>
      </w:r>
      <w:r w:rsidRPr="00692B2F">
        <w:t xml:space="preserve"> млрд. лв. При социалните трансфери в натура, където се отразяват плащанията към изпълнителите на медицинска помощ, номиналното увеличение е с </w:t>
      </w:r>
      <w:r w:rsidR="00C55659">
        <w:t xml:space="preserve">почти </w:t>
      </w:r>
      <w:r w:rsidRPr="00692B2F">
        <w:t>1</w:t>
      </w:r>
      <w:r w:rsidR="003754D4">
        <w:rPr>
          <w:lang w:val="en-US"/>
        </w:rPr>
        <w:t>.</w:t>
      </w:r>
      <w:r w:rsidRPr="00692B2F">
        <w:t>2 млрд. лв., а делът на изразходваните средства в БВП се увеличава с 0</w:t>
      </w:r>
      <w:r w:rsidR="003754D4">
        <w:rPr>
          <w:lang w:val="en-US"/>
        </w:rPr>
        <w:t>.</w:t>
      </w:r>
      <w:r w:rsidRPr="00692B2F">
        <w:t>3 пр. п. в сравнение с 2021</w:t>
      </w:r>
      <w:r w:rsidR="00B552D5">
        <w:t> г.</w:t>
      </w:r>
      <w:r w:rsidRPr="00692B2F">
        <w:t xml:space="preserve"> Това отразява продължилото до средата на 2022</w:t>
      </w:r>
      <w:r w:rsidR="00B552D5">
        <w:t> г.</w:t>
      </w:r>
      <w:r w:rsidRPr="00692B2F">
        <w:t xml:space="preserve"> плащане на допълнителни суми към възнагражденията на медицинските специалисти и другите разходи за борба с </w:t>
      </w:r>
      <w:r w:rsidRPr="00692B2F">
        <w:rPr>
          <w:lang w:val="en-US"/>
        </w:rPr>
        <w:t>COVID-19</w:t>
      </w:r>
      <w:r w:rsidRPr="00692B2F">
        <w:t>.</w:t>
      </w:r>
      <w:r w:rsidRPr="00692B2F">
        <w:rPr>
          <w:lang w:val="en-US"/>
        </w:rPr>
        <w:t xml:space="preserve"> </w:t>
      </w:r>
      <w:r>
        <w:t>Д</w:t>
      </w:r>
      <w:r w:rsidRPr="00692B2F">
        <w:t>ругата категория социални трансфери, различни от тези в натура, отразяват извършените социални плащания за пенсии, помощи и обезщетения на домакинствата, като тук номиналното нарастване е с 3</w:t>
      </w:r>
      <w:r w:rsidR="003754D4">
        <w:rPr>
          <w:lang w:val="en-US"/>
        </w:rPr>
        <w:t>.</w:t>
      </w:r>
      <w:r w:rsidR="00C55659">
        <w:t>8</w:t>
      </w:r>
      <w:r w:rsidRPr="00692B2F">
        <w:t xml:space="preserve"> млрд. лв.</w:t>
      </w:r>
      <w:r>
        <w:t xml:space="preserve"> спрямо 2021</w:t>
      </w:r>
      <w:r w:rsidR="00B552D5">
        <w:t> г.</w:t>
      </w:r>
      <w:r w:rsidRPr="00692B2F">
        <w:t xml:space="preserve">, а делът им в БВП </w:t>
      </w:r>
      <w:r w:rsidR="00C55659">
        <w:t xml:space="preserve">нараства </w:t>
      </w:r>
      <w:r w:rsidRPr="00692B2F">
        <w:t>с 0</w:t>
      </w:r>
      <w:r w:rsidR="003754D4">
        <w:rPr>
          <w:lang w:val="en-US"/>
        </w:rPr>
        <w:t>.</w:t>
      </w:r>
      <w:r w:rsidR="00330764">
        <w:t>5</w:t>
      </w:r>
      <w:r w:rsidRPr="00692B2F">
        <w:t xml:space="preserve"> пр. п. </w:t>
      </w:r>
      <w:r>
        <w:t>През 2022</w:t>
      </w:r>
      <w:r w:rsidR="00B552D5">
        <w:t> г.</w:t>
      </w:r>
      <w:r>
        <w:t xml:space="preserve"> бе реализирано увеличение на пенсиите на няколко стъпки: от 25.12.2021</w:t>
      </w:r>
      <w:r w:rsidR="00B552D5">
        <w:t> г.</w:t>
      </w:r>
      <w:r>
        <w:t>, което практически зас</w:t>
      </w:r>
      <w:r w:rsidR="00C55659">
        <w:t>егна</w:t>
      </w:r>
      <w:r>
        <w:t xml:space="preserve"> целогодишното увеличение за 2022</w:t>
      </w:r>
      <w:r w:rsidR="00B552D5">
        <w:t> г.</w:t>
      </w:r>
      <w:r>
        <w:t>, увеличи се с 12</w:t>
      </w:r>
      <w:r w:rsidR="003754D4">
        <w:rPr>
          <w:lang w:val="en-US"/>
        </w:rPr>
        <w:t>.</w:t>
      </w:r>
      <w:r>
        <w:t>5 на сто в пенсионната формула процента за всяка година осигурителен стаж, увелич</w:t>
      </w:r>
      <w:r w:rsidR="00C55659">
        <w:t>иха</w:t>
      </w:r>
      <w:r>
        <w:t xml:space="preserve"> </w:t>
      </w:r>
      <w:r w:rsidR="00C55659">
        <w:t>се</w:t>
      </w:r>
      <w:r>
        <w:t xml:space="preserve"> минималната и максималната пенсия; от 1 юли 2022</w:t>
      </w:r>
      <w:r w:rsidR="00B552D5">
        <w:t> г.</w:t>
      </w:r>
      <w:r>
        <w:t xml:space="preserve"> всички пенсии бяха увеличени</w:t>
      </w:r>
      <w:r w:rsidR="0005652B">
        <w:t xml:space="preserve"> </w:t>
      </w:r>
      <w:r>
        <w:t xml:space="preserve">с 10%, като към тях беше включена </w:t>
      </w:r>
      <w:r w:rsidR="005D0F41">
        <w:t xml:space="preserve">за постоянно </w:t>
      </w:r>
      <w:r>
        <w:t>и изплащаната до онзи момент „ковид“ добавка, като при минималната и максималната пенсии увеличението беше съответно с 26</w:t>
      </w:r>
      <w:r w:rsidR="003754D4">
        <w:rPr>
          <w:lang w:val="en-US"/>
        </w:rPr>
        <w:t>.</w:t>
      </w:r>
      <w:r>
        <w:t>2 и 33</w:t>
      </w:r>
      <w:r w:rsidR="003754D4">
        <w:rPr>
          <w:lang w:val="en-US"/>
        </w:rPr>
        <w:t>.</w:t>
      </w:r>
      <w:r>
        <w:t>3</w:t>
      </w:r>
      <w:r w:rsidR="008B5514">
        <w:t>%</w:t>
      </w:r>
      <w:r>
        <w:t>; от 1 октомври 2022</w:t>
      </w:r>
      <w:r w:rsidR="00B552D5">
        <w:t> г.</w:t>
      </w:r>
      <w:r>
        <w:t xml:space="preserve"> последва ново увеличение на пенсиите, отпуснати до края на 2021</w:t>
      </w:r>
      <w:r w:rsidR="00B552D5">
        <w:t> г.</w:t>
      </w:r>
      <w:r>
        <w:t>, като процента на увеличение зависеше от годината на отпускане на пенсията. Също така през месеците януари-юни 2022</w:t>
      </w:r>
      <w:r w:rsidR="00B552D5">
        <w:t> г.</w:t>
      </w:r>
      <w:r>
        <w:t xml:space="preserve"> всички пенсионерите получаваха и „</w:t>
      </w:r>
      <w:r w:rsidRPr="007924A3">
        <w:t>кови</w:t>
      </w:r>
      <w:r>
        <w:t>д</w:t>
      </w:r>
      <w:r w:rsidRPr="007924A3">
        <w:t xml:space="preserve">“ добавка от 60 лв., </w:t>
      </w:r>
      <w:r w:rsidR="00C55659">
        <w:t xml:space="preserve">а </w:t>
      </w:r>
      <w:r w:rsidRPr="007924A3">
        <w:t xml:space="preserve">тези от тях, които бяха ваксинирани срещу </w:t>
      </w:r>
      <w:r w:rsidRPr="007924A3">
        <w:rPr>
          <w:lang w:val="en-US"/>
        </w:rPr>
        <w:t>C</w:t>
      </w:r>
      <w:r>
        <w:rPr>
          <w:lang w:val="en-US"/>
        </w:rPr>
        <w:t>O</w:t>
      </w:r>
      <w:r w:rsidRPr="007924A3">
        <w:rPr>
          <w:lang w:val="en-US"/>
        </w:rPr>
        <w:t>VID-19</w:t>
      </w:r>
      <w:r w:rsidRPr="007924A3">
        <w:t>,</w:t>
      </w:r>
      <w:r>
        <w:rPr>
          <w:lang w:val="en-US"/>
        </w:rPr>
        <w:t xml:space="preserve"> </w:t>
      </w:r>
      <w:r w:rsidRPr="007924A3">
        <w:t xml:space="preserve">получиха и еднократна добавка от 75 лв. При разходите за социални трансфери и помощи за домакинствата се отчита увеличение на сумите по обезщетенията за временна нетрудоспособност поради общо заболяване; обезщетенията за отглеждане на малко дете; помощите по линия на социалното </w:t>
      </w:r>
      <w:r w:rsidRPr="0027623C">
        <w:t>подпомагане</w:t>
      </w:r>
      <w:r w:rsidR="00373018">
        <w:t xml:space="preserve">, вкл. на помощите за отопление; </w:t>
      </w:r>
      <w:r w:rsidR="00C55659">
        <w:t>семейните помощи за деца</w:t>
      </w:r>
      <w:r w:rsidRPr="0027623C">
        <w:t xml:space="preserve"> и др.</w:t>
      </w:r>
    </w:p>
    <w:p w14:paraId="4D04BD6E" w14:textId="62748F7B" w:rsidR="00B32C25" w:rsidRPr="009242A8" w:rsidRDefault="00B32C25" w:rsidP="00B32C25">
      <w:pPr>
        <w:rPr>
          <w:color w:val="4E67C8" w:themeColor="accent1"/>
        </w:rPr>
      </w:pPr>
      <w:r w:rsidRPr="0027623C">
        <w:t>Разходите за субсидии отбелязват най-голямото увеличение спрямо 2021</w:t>
      </w:r>
      <w:r w:rsidR="00B552D5">
        <w:t> г.</w:t>
      </w:r>
      <w:r w:rsidRPr="0027623C">
        <w:t xml:space="preserve"> както номинално</w:t>
      </w:r>
      <w:r w:rsidR="00B552D5">
        <w:t xml:space="preserve"> – </w:t>
      </w:r>
      <w:r w:rsidRPr="0027623C">
        <w:t>с 3</w:t>
      </w:r>
      <w:r w:rsidR="003754D4">
        <w:rPr>
          <w:lang w:val="en-US"/>
        </w:rPr>
        <w:t>.</w:t>
      </w:r>
      <w:r w:rsidRPr="0027623C">
        <w:t xml:space="preserve">1 млрд. лв., така и като дял от БВП – с </w:t>
      </w:r>
      <w:r>
        <w:t>1</w:t>
      </w:r>
      <w:r w:rsidR="003754D4">
        <w:rPr>
          <w:lang w:val="en-US"/>
        </w:rPr>
        <w:t>.</w:t>
      </w:r>
      <w:r>
        <w:t>3 пр. п.</w:t>
      </w:r>
      <w:r w:rsidRPr="0027623C">
        <w:t xml:space="preserve"> </w:t>
      </w:r>
      <w:r>
        <w:t xml:space="preserve">Основен принос тук имат субсидиите за компенсиране </w:t>
      </w:r>
      <w:r w:rsidRPr="0027623C">
        <w:rPr>
          <w:rFonts w:eastAsia="Times New Roman"/>
          <w:lang w:eastAsia="en-US"/>
        </w:rPr>
        <w:t xml:space="preserve">на разходите на небитовите крайни </w:t>
      </w:r>
      <w:r>
        <w:rPr>
          <w:rFonts w:eastAsia="Times New Roman"/>
          <w:lang w:eastAsia="en-US"/>
        </w:rPr>
        <w:t>потребители на електрическа енергия</w:t>
      </w:r>
      <w:r w:rsidRPr="0027623C">
        <w:rPr>
          <w:rFonts w:eastAsia="Times New Roman"/>
          <w:lang w:eastAsia="en-US"/>
        </w:rPr>
        <w:t xml:space="preserve"> и на операторите на електропреносната мрежа за закупуване на количества електрическа енергия, потребена за технологични разходи</w:t>
      </w:r>
      <w:r w:rsidRPr="0027623C">
        <w:t xml:space="preserve">, както и субсидиите по останалите програми за компенсиране на високите цени на енергията и природния газ. Същевременно след средата на годината </w:t>
      </w:r>
      <w:r w:rsidR="00C55659" w:rsidRPr="0027623C">
        <w:t>б</w:t>
      </w:r>
      <w:r w:rsidR="00C55659">
        <w:t>яха</w:t>
      </w:r>
      <w:r w:rsidR="00C55659" w:rsidRPr="0027623C">
        <w:t xml:space="preserve"> преустановен</w:t>
      </w:r>
      <w:r w:rsidR="00C55659">
        <w:t>и</w:t>
      </w:r>
      <w:r w:rsidR="00C55659" w:rsidRPr="0027623C">
        <w:t xml:space="preserve"> </w:t>
      </w:r>
      <w:r w:rsidR="00C55659">
        <w:t>плащанията</w:t>
      </w:r>
      <w:r w:rsidR="00C55659" w:rsidRPr="0027623C">
        <w:t xml:space="preserve"> </w:t>
      </w:r>
      <w:r w:rsidR="00C55659">
        <w:t>към</w:t>
      </w:r>
      <w:r w:rsidR="00C55659" w:rsidRPr="0027623C">
        <w:t xml:space="preserve"> </w:t>
      </w:r>
      <w:r w:rsidRPr="0027623C">
        <w:t xml:space="preserve">работодателите по програмата за запазване на работните места </w:t>
      </w:r>
      <w:r>
        <w:t xml:space="preserve">(основно програмата 60/40) </w:t>
      </w:r>
      <w:r w:rsidRPr="0027623C">
        <w:t xml:space="preserve">в условията на епидемична обстановка, породена от пандемията от </w:t>
      </w:r>
      <w:r w:rsidRPr="0027623C">
        <w:rPr>
          <w:lang w:val="en-US"/>
        </w:rPr>
        <w:t>COVID-19</w:t>
      </w:r>
      <w:r w:rsidRPr="0027623C">
        <w:t>.</w:t>
      </w:r>
    </w:p>
    <w:p w14:paraId="49E415F4" w14:textId="63309F75" w:rsidR="00B32C25" w:rsidRPr="00537312" w:rsidRDefault="00B32C25" w:rsidP="00B32C25">
      <w:pPr>
        <w:rPr>
          <w:color w:val="4E67C8" w:themeColor="accent1"/>
        </w:rPr>
      </w:pPr>
      <w:r w:rsidRPr="00537312">
        <w:t>При капиталовите разходи като дял от БВП през 2022</w:t>
      </w:r>
      <w:r w:rsidR="00B552D5">
        <w:t> г.</w:t>
      </w:r>
      <w:r w:rsidRPr="00537312">
        <w:t xml:space="preserve"> се отчита ръст както при бруто образуването на основен капитал – с 0</w:t>
      </w:r>
      <w:r w:rsidR="003754D4">
        <w:rPr>
          <w:lang w:val="en-US"/>
        </w:rPr>
        <w:t>.</w:t>
      </w:r>
      <w:r w:rsidRPr="00537312">
        <w:t>4 пр. п., така и при останалите елемент</w:t>
      </w:r>
      <w:r w:rsidR="003754D4">
        <w:t>и на капиталовите разходи – с 0.</w:t>
      </w:r>
      <w:r w:rsidRPr="00537312">
        <w:t>1 пр. п. Номиналното увеличение е съответно 1</w:t>
      </w:r>
      <w:r w:rsidR="003754D4">
        <w:rPr>
          <w:lang w:val="en-US"/>
        </w:rPr>
        <w:t>.</w:t>
      </w:r>
      <w:r w:rsidRPr="00537312">
        <w:t>4 млрд. лв. и 0</w:t>
      </w:r>
      <w:r w:rsidR="003754D4">
        <w:rPr>
          <w:lang w:val="en-US"/>
        </w:rPr>
        <w:t>.</w:t>
      </w:r>
      <w:r w:rsidRPr="00537312">
        <w:t>3 млрд. л</w:t>
      </w:r>
      <w:r>
        <w:t>е</w:t>
      </w:r>
      <w:r w:rsidRPr="00537312">
        <w:t>в</w:t>
      </w:r>
      <w:r>
        <w:t>а.</w:t>
      </w:r>
      <w:r w:rsidRPr="00537312">
        <w:t xml:space="preserve"> </w:t>
      </w:r>
      <w:r w:rsidR="00811041" w:rsidRPr="00811041">
        <w:t xml:space="preserve">Нарастването при бруто образуването на основен капитал се обуславя главно от направените разходи за инфраструктурни проекти, основно в сектор „Транспорт“, както със средства от държавния бюджет, така и със средства по оперативните програми, </w:t>
      </w:r>
      <w:r w:rsidR="00811041" w:rsidRPr="00811041">
        <w:lastRenderedPageBreak/>
        <w:t>финансирани от ЕС.</w:t>
      </w:r>
      <w:r w:rsidR="00811041" w:rsidRPr="00201C68">
        <w:t xml:space="preserve"> </w:t>
      </w:r>
      <w:r w:rsidRPr="00537312">
        <w:t>Същевременно усложнената политическа ситуация в страната и смяната на правителства забави процеса</w:t>
      </w:r>
      <w:r>
        <w:t xml:space="preserve"> по</w:t>
      </w:r>
      <w:r w:rsidRPr="00537312">
        <w:t xml:space="preserve"> започването на нови проекти и съответно предвидените в предишната Конвергентна програма по-големи капиталови разходи бяха отложени за следващите години. Забавеното одобрение на Плана за възстановяване и устойчивост, както и на необходимите процедури по започването на проекти по него също ограничиха извършването на капиталовите разходи. Забавяне се отчита и при проектите по оперативните програми от новия програмен период на ЕС 2021-2027. </w:t>
      </w:r>
    </w:p>
    <w:p w14:paraId="70DB7C55" w14:textId="26232CB5" w:rsidR="00AB1E46" w:rsidRPr="00B32C25" w:rsidRDefault="00B32C25" w:rsidP="00046164">
      <w:r w:rsidRPr="00537312">
        <w:t>През 2022</w:t>
      </w:r>
      <w:r w:rsidR="00B552D5">
        <w:t> г.</w:t>
      </w:r>
      <w:r w:rsidRPr="00537312">
        <w:t xml:space="preserve"> разходите за лихви запазват непроменен в сравнение 2021</w:t>
      </w:r>
      <w:r w:rsidR="00B552D5">
        <w:t> г.</w:t>
      </w:r>
      <w:r w:rsidRPr="00537312">
        <w:t xml:space="preserve"> дела си спрямо БВП </w:t>
      </w:r>
      <w:r w:rsidR="003754D4">
        <w:t>–</w:t>
      </w:r>
      <w:r w:rsidRPr="00537312">
        <w:t xml:space="preserve"> 0</w:t>
      </w:r>
      <w:r w:rsidR="003754D4">
        <w:rPr>
          <w:lang w:val="en-US"/>
        </w:rPr>
        <w:t>.</w:t>
      </w:r>
      <w:r w:rsidR="003754D4">
        <w:t>5</w:t>
      </w:r>
      <w:r w:rsidRPr="00537312">
        <w:t>%, а номинално нарастват с 0</w:t>
      </w:r>
      <w:r w:rsidR="003754D4">
        <w:rPr>
          <w:lang w:val="en-US"/>
        </w:rPr>
        <w:t>.</w:t>
      </w:r>
      <w:r w:rsidRPr="00537312">
        <w:t>1 млрд. лв.</w:t>
      </w:r>
    </w:p>
    <w:p w14:paraId="2F3DC1BE" w14:textId="22DB6F5C" w:rsidR="00AB1E46" w:rsidRPr="004018C2" w:rsidRDefault="00AB1E46" w:rsidP="00B552D5">
      <w:pPr>
        <w:pStyle w:val="Heading3"/>
      </w:pPr>
      <w:r w:rsidRPr="004018C2">
        <w:t>Мерки за борба с пандемията от COVID-19 през 202</w:t>
      </w:r>
      <w:r w:rsidR="00C93A45">
        <w:t>2</w:t>
      </w:r>
      <w:r w:rsidR="00B552D5">
        <w:t> г.</w:t>
      </w:r>
      <w:r w:rsidR="00495402">
        <w:t>, войната в Украйна и енергийната криза</w:t>
      </w:r>
    </w:p>
    <w:p w14:paraId="64AC2D52" w14:textId="3FFA466F" w:rsidR="00495402" w:rsidRPr="00046164" w:rsidRDefault="00495402" w:rsidP="00C0210D">
      <w:pPr>
        <w:pStyle w:val="Heading4"/>
      </w:pPr>
      <w:r>
        <w:rPr>
          <w:lang w:val="en-US"/>
        </w:rPr>
        <w:t>COVID-19</w:t>
      </w:r>
    </w:p>
    <w:p w14:paraId="6206325D" w14:textId="6775630F" w:rsidR="00495402" w:rsidRDefault="00C93A45" w:rsidP="00495402">
      <w:pPr>
        <w:contextualSpacing/>
      </w:pPr>
      <w:r w:rsidRPr="004A40BB">
        <w:t xml:space="preserve">Данните на </w:t>
      </w:r>
      <w:r w:rsidR="00213F2A">
        <w:t>Националния статистически институт (</w:t>
      </w:r>
      <w:r w:rsidRPr="004A40BB">
        <w:t>НСИ</w:t>
      </w:r>
      <w:r w:rsidR="00213F2A">
        <w:t>)</w:t>
      </w:r>
      <w:r w:rsidRPr="004A40BB">
        <w:t xml:space="preserve"> за 2022</w:t>
      </w:r>
      <w:r w:rsidR="00B552D5">
        <w:t> г.</w:t>
      </w:r>
      <w:r w:rsidRPr="004A40BB">
        <w:t xml:space="preserve"> сочат, че в периода, в който действаше извънредната епидемична обстановка</w:t>
      </w:r>
      <w:r w:rsidR="00B552D5">
        <w:t xml:space="preserve"> – </w:t>
      </w:r>
      <w:r w:rsidRPr="004A40BB">
        <w:t>до 31 март 2022</w:t>
      </w:r>
      <w:r w:rsidR="00B552D5">
        <w:t> г.</w:t>
      </w:r>
      <w:r w:rsidRPr="004A40BB">
        <w:t>, и през следващите месеци, мерките по линия на приходите и извършените разходи от националния бюджет за изпълнение на мерки и фискални стимули за овладяване на пандемията от COVID-19 и последствията от нея са в размер на около 3</w:t>
      </w:r>
      <w:r w:rsidR="0077402C">
        <w:rPr>
          <w:lang w:val="en-US"/>
        </w:rPr>
        <w:t>.</w:t>
      </w:r>
      <w:r w:rsidRPr="004A40BB">
        <w:t xml:space="preserve">3 млрд. лв., </w:t>
      </w:r>
      <w:r w:rsidR="0077402C">
        <w:t>което представлява 2</w:t>
      </w:r>
      <w:r w:rsidRPr="004A40BB">
        <w:t xml:space="preserve">% от БВП. </w:t>
      </w:r>
    </w:p>
    <w:p w14:paraId="010560A7" w14:textId="236C5658" w:rsidR="00424201" w:rsidRPr="006008E0" w:rsidRDefault="00424201" w:rsidP="00666881">
      <w:pPr>
        <w:pStyle w:val="Heading5"/>
        <w:rPr>
          <w:color w:val="0D78CA" w:themeColor="background2" w:themeShade="80"/>
        </w:rPr>
      </w:pPr>
      <w:r w:rsidRPr="006008E0">
        <w:rPr>
          <w:color w:val="0D78CA" w:themeColor="background2" w:themeShade="80"/>
        </w:rPr>
        <w:t>Мерки в частта на приходите</w:t>
      </w:r>
      <w:r w:rsidR="001454AE" w:rsidRPr="006008E0">
        <w:rPr>
          <w:color w:val="0D78CA" w:themeColor="background2" w:themeShade="80"/>
        </w:rPr>
        <w:t xml:space="preserve"> </w:t>
      </w:r>
    </w:p>
    <w:p w14:paraId="121CE27C" w14:textId="1AD9B113" w:rsidR="00C93A45" w:rsidRPr="00C93A45" w:rsidRDefault="00C93A45" w:rsidP="00C93A45">
      <w:pPr>
        <w:ind w:right="-43"/>
        <w:rPr>
          <w:szCs w:val="24"/>
        </w:rPr>
      </w:pPr>
      <w:r w:rsidRPr="00C93A45">
        <w:rPr>
          <w:szCs w:val="24"/>
        </w:rPr>
        <w:t xml:space="preserve">Приетите през предходните години мерки, свързани с прилагане на намалена ставка за ДДС на </w:t>
      </w:r>
      <w:r w:rsidR="00A32996">
        <w:rPr>
          <w:szCs w:val="24"/>
        </w:rPr>
        <w:t>определени стоки и услуги от 20% на 9</w:t>
      </w:r>
      <w:r w:rsidRPr="00C93A45">
        <w:rPr>
          <w:szCs w:val="24"/>
        </w:rPr>
        <w:t>%, и увеличения</w:t>
      </w:r>
      <w:r w:rsidR="00A21972">
        <w:rPr>
          <w:szCs w:val="24"/>
        </w:rPr>
        <w:t xml:space="preserve"> размер</w:t>
      </w:r>
      <w:r w:rsidRPr="00C93A45">
        <w:rPr>
          <w:szCs w:val="24"/>
        </w:rPr>
        <w:t xml:space="preserve"> на данъчните облекчения за деца (чл. 22в и чл. 22г от </w:t>
      </w:r>
      <w:r w:rsidR="00213F2A">
        <w:rPr>
          <w:szCs w:val="24"/>
        </w:rPr>
        <w:t>З</w:t>
      </w:r>
      <w:r w:rsidR="00213F2A" w:rsidRPr="008B1D00">
        <w:rPr>
          <w:szCs w:val="24"/>
        </w:rPr>
        <w:t>акон</w:t>
      </w:r>
      <w:r w:rsidR="00213F2A">
        <w:rPr>
          <w:szCs w:val="24"/>
        </w:rPr>
        <w:t>а</w:t>
      </w:r>
      <w:r w:rsidR="00213F2A" w:rsidRPr="008B1D00">
        <w:rPr>
          <w:szCs w:val="24"/>
        </w:rPr>
        <w:t xml:space="preserve"> за данъците върху доходите на физическите лица </w:t>
      </w:r>
      <w:r w:rsidR="00213F2A">
        <w:rPr>
          <w:szCs w:val="24"/>
        </w:rPr>
        <w:t>(</w:t>
      </w:r>
      <w:r w:rsidRPr="00C93A45">
        <w:rPr>
          <w:szCs w:val="24"/>
        </w:rPr>
        <w:t>ЗДДФЛ</w:t>
      </w:r>
      <w:r w:rsidR="00213F2A">
        <w:rPr>
          <w:szCs w:val="24"/>
        </w:rPr>
        <w:t>)</w:t>
      </w:r>
      <w:r w:rsidRPr="00C93A45">
        <w:rPr>
          <w:szCs w:val="24"/>
        </w:rPr>
        <w:t xml:space="preserve">) продължиха да се </w:t>
      </w:r>
      <w:r w:rsidR="00A21972">
        <w:rPr>
          <w:szCs w:val="24"/>
        </w:rPr>
        <w:t>прилагат през цялата 2022</w:t>
      </w:r>
      <w:r w:rsidR="00B552D5">
        <w:rPr>
          <w:szCs w:val="24"/>
        </w:rPr>
        <w:t> г.</w:t>
      </w:r>
      <w:r w:rsidRPr="00C93A45">
        <w:rPr>
          <w:szCs w:val="24"/>
        </w:rPr>
        <w:t xml:space="preserve"> До края на годината продължиха да се прилагат и мерките, свързани с промените в </w:t>
      </w:r>
      <w:r w:rsidR="00213F2A">
        <w:rPr>
          <w:szCs w:val="24"/>
        </w:rPr>
        <w:t>Закона за данъка върху добавената стойност (</w:t>
      </w:r>
      <w:r w:rsidRPr="00C93A45">
        <w:rPr>
          <w:szCs w:val="24"/>
        </w:rPr>
        <w:t>ЗДДС</w:t>
      </w:r>
      <w:r w:rsidR="00213F2A">
        <w:rPr>
          <w:szCs w:val="24"/>
        </w:rPr>
        <w:t>)</w:t>
      </w:r>
      <w:r w:rsidRPr="00C93A45">
        <w:rPr>
          <w:szCs w:val="24"/>
        </w:rPr>
        <w:t xml:space="preserve"> за облагане с нулева ставка на доставките на ваксини срещу COVID-19 и услугите, пряко свързани с тези ваксини, както и на медицински изделия за инвитро диагностика на COVID-19 и услугите, пряко свързани с тези изделия, с място на изпълнение на територията на страната. Това данъчно третиране се приложи и по отношение на вътреобщностните придобивания с място на изпълнение на територията на страната на тези стоки. Освобождаването от облагане с мита и ДДС върху вноса на стоки от медицински характер и облагането с намалената ставка на ДДС на доставките на бира и вино, като част от ресторантьорски и кетъринг услуги, се прилагаше до 30.06.2022 година.</w:t>
      </w:r>
    </w:p>
    <w:p w14:paraId="4BAB6652" w14:textId="5707E8FA" w:rsidR="00495402" w:rsidRDefault="00C93A45" w:rsidP="00495402">
      <w:pPr>
        <w:ind w:right="-43"/>
        <w:rPr>
          <w:szCs w:val="24"/>
        </w:rPr>
      </w:pPr>
      <w:r w:rsidRPr="00C93A45">
        <w:rPr>
          <w:szCs w:val="24"/>
        </w:rPr>
        <w:t>По предварителни данни на приходните агенции ефектът от действието на посочените мерки за цялата 2022</w:t>
      </w:r>
      <w:r w:rsidR="00B552D5">
        <w:rPr>
          <w:szCs w:val="24"/>
        </w:rPr>
        <w:t> г.</w:t>
      </w:r>
      <w:r w:rsidRPr="00C93A45">
        <w:rPr>
          <w:szCs w:val="24"/>
        </w:rPr>
        <w:t xml:space="preserve"> се оценява на близо 0</w:t>
      </w:r>
      <w:r w:rsidR="00A32996">
        <w:rPr>
          <w:szCs w:val="24"/>
          <w:lang w:val="en-US"/>
        </w:rPr>
        <w:t>.</w:t>
      </w:r>
      <w:r w:rsidRPr="00C93A45">
        <w:rPr>
          <w:szCs w:val="24"/>
        </w:rPr>
        <w:t>7 млрд.</w:t>
      </w:r>
      <w:r w:rsidR="00A32996">
        <w:rPr>
          <w:szCs w:val="24"/>
        </w:rPr>
        <w:t xml:space="preserve"> лв. по-малко данъчни приходи (</w:t>
      </w:r>
      <w:r w:rsidRPr="00C93A45">
        <w:rPr>
          <w:szCs w:val="24"/>
        </w:rPr>
        <w:t>0</w:t>
      </w:r>
      <w:r w:rsidR="00A32996">
        <w:rPr>
          <w:szCs w:val="24"/>
          <w:lang w:val="en-US"/>
        </w:rPr>
        <w:t>.</w:t>
      </w:r>
      <w:r w:rsidRPr="00C93A45">
        <w:rPr>
          <w:szCs w:val="24"/>
        </w:rPr>
        <w:t>4% от БВП).</w:t>
      </w:r>
    </w:p>
    <w:p w14:paraId="1193AAA2" w14:textId="0D8C8F08" w:rsidR="00424201" w:rsidRPr="006008E0" w:rsidRDefault="00424201" w:rsidP="00666881">
      <w:pPr>
        <w:pStyle w:val="Heading5"/>
        <w:rPr>
          <w:color w:val="0D78CA" w:themeColor="background2" w:themeShade="80"/>
          <w:szCs w:val="24"/>
        </w:rPr>
      </w:pPr>
      <w:r w:rsidRPr="006008E0">
        <w:rPr>
          <w:color w:val="0D78CA" w:themeColor="background2" w:themeShade="80"/>
        </w:rPr>
        <w:t>Мерки в частта на разходите</w:t>
      </w:r>
    </w:p>
    <w:p w14:paraId="35E42A27" w14:textId="3790DFA7" w:rsidR="00B32C25" w:rsidRDefault="00B32C25" w:rsidP="00B32C25">
      <w:r>
        <w:t>По предварителни данни общият размер на извършените разходи възлиза на 2</w:t>
      </w:r>
      <w:r w:rsidR="00A32996">
        <w:rPr>
          <w:lang w:val="en-US"/>
        </w:rPr>
        <w:t>.</w:t>
      </w:r>
      <w:r>
        <w:t>6 млрд. лв. (1</w:t>
      </w:r>
      <w:r w:rsidR="00A32996">
        <w:rPr>
          <w:lang w:val="en-US"/>
        </w:rPr>
        <w:t>.</w:t>
      </w:r>
      <w:r w:rsidR="00A32996">
        <w:t>6</w:t>
      </w:r>
      <w:r>
        <w:t>% от БВП). Основните категории разходни мерки, почти всички от които продължават своето действие от предходните години, и чиято основна цел продължава да бъде ограничаване на негативните социално-икономически последствия от пандемията, борба с разпространението на заболяването и лечение на болните от COVID-19 и през 2022</w:t>
      </w:r>
      <w:r w:rsidR="00B552D5">
        <w:t> г.</w:t>
      </w:r>
      <w:r>
        <w:t>, са както следва:</w:t>
      </w:r>
    </w:p>
    <w:p w14:paraId="0D31DFB4" w14:textId="28E54433" w:rsidR="00B32C25" w:rsidRPr="006008E0" w:rsidRDefault="00B32C25" w:rsidP="006008E0">
      <w:pPr>
        <w:rPr>
          <w:b/>
        </w:rPr>
      </w:pPr>
      <w:r w:rsidRPr="006008E0">
        <w:rPr>
          <w:b/>
        </w:rPr>
        <w:t>Мерки за подкрепа на домакинствата и уязвимите групи от населението – от тях най-значителни са :</w:t>
      </w:r>
    </w:p>
    <w:p w14:paraId="4D5FC572" w14:textId="06532B56"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lastRenderedPageBreak/>
        <w:t>с най-голям дял и през 2022</w:t>
      </w:r>
      <w:r w:rsidR="00B552D5" w:rsidRPr="006008E0">
        <w:rPr>
          <w:szCs w:val="24"/>
        </w:rPr>
        <w:t> г.</w:t>
      </w:r>
      <w:r w:rsidRPr="006008E0">
        <w:rPr>
          <w:szCs w:val="24"/>
        </w:rPr>
        <w:t xml:space="preserve"> продължават да бъдат изплатените допълнителни суми към пенсиите на всички пенсионери за периода януари-юни 2022</w:t>
      </w:r>
      <w:r w:rsidR="00B552D5" w:rsidRPr="006008E0">
        <w:rPr>
          <w:szCs w:val="24"/>
        </w:rPr>
        <w:t> г.</w:t>
      </w:r>
      <w:r w:rsidRPr="006008E0">
        <w:rPr>
          <w:szCs w:val="24"/>
        </w:rPr>
        <w:t xml:space="preserve"> Общият размер на сумата по тази мярка е 743</w:t>
      </w:r>
      <w:r w:rsidR="00A32996" w:rsidRPr="006008E0">
        <w:rPr>
          <w:szCs w:val="24"/>
        </w:rPr>
        <w:t>.</w:t>
      </w:r>
      <w:r w:rsidRPr="006008E0">
        <w:rPr>
          <w:szCs w:val="24"/>
        </w:rPr>
        <w:t>9 млн. лв.;</w:t>
      </w:r>
    </w:p>
    <w:p w14:paraId="6E268412" w14:textId="12E13DB1"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на пенсионерите със завършен ваксинационен курс до 31.12.2021</w:t>
      </w:r>
      <w:r w:rsidR="00B552D5" w:rsidRPr="006008E0">
        <w:rPr>
          <w:szCs w:val="24"/>
        </w:rPr>
        <w:t> г.</w:t>
      </w:r>
      <w:r w:rsidRPr="006008E0">
        <w:rPr>
          <w:szCs w:val="24"/>
        </w:rPr>
        <w:t xml:space="preserve"> или поставена бустерна доза срещу COVID-19 в периода 1 януари – 30 юни 2022</w:t>
      </w:r>
      <w:r w:rsidR="00B552D5" w:rsidRPr="006008E0">
        <w:rPr>
          <w:szCs w:val="24"/>
        </w:rPr>
        <w:t> г.</w:t>
      </w:r>
      <w:r w:rsidRPr="006008E0">
        <w:rPr>
          <w:szCs w:val="24"/>
        </w:rPr>
        <w:t xml:space="preserve"> бе изплатена допълнителна сума към пенсията в размер на 75 лева. Общият размер на средствата по тези мярка е 57</w:t>
      </w:r>
      <w:r w:rsidR="00A32996" w:rsidRPr="006008E0">
        <w:rPr>
          <w:szCs w:val="24"/>
        </w:rPr>
        <w:t>.</w:t>
      </w:r>
      <w:r w:rsidRPr="006008E0">
        <w:rPr>
          <w:szCs w:val="24"/>
        </w:rPr>
        <w:t>0 млн. лв.;</w:t>
      </w:r>
    </w:p>
    <w:p w14:paraId="56A5A8B0" w14:textId="01F279FE"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за компенсиране на дохода от пенсии до нивото от декември 2021</w:t>
      </w:r>
      <w:r w:rsidR="00B552D5" w:rsidRPr="006008E0">
        <w:rPr>
          <w:szCs w:val="24"/>
        </w:rPr>
        <w:t> г.</w:t>
      </w:r>
      <w:r w:rsidRPr="006008E0">
        <w:rPr>
          <w:szCs w:val="24"/>
        </w:rPr>
        <w:t xml:space="preserve"> след направените промени в размера на пенсиите в края на 2021</w:t>
      </w:r>
      <w:r w:rsidR="00B552D5" w:rsidRPr="006008E0">
        <w:rPr>
          <w:szCs w:val="24"/>
        </w:rPr>
        <w:t> г.</w:t>
      </w:r>
      <w:r w:rsidRPr="006008E0">
        <w:rPr>
          <w:szCs w:val="24"/>
        </w:rPr>
        <w:t xml:space="preserve"> за периода до края на юни 2022</w:t>
      </w:r>
      <w:r w:rsidR="00B552D5" w:rsidRPr="006008E0">
        <w:rPr>
          <w:szCs w:val="24"/>
        </w:rPr>
        <w:t> г.</w:t>
      </w:r>
      <w:r w:rsidRPr="006008E0">
        <w:rPr>
          <w:szCs w:val="24"/>
        </w:rPr>
        <w:t xml:space="preserve"> беше изразходвана сума от 101</w:t>
      </w:r>
      <w:r w:rsidR="00A32996" w:rsidRPr="006008E0">
        <w:rPr>
          <w:szCs w:val="24"/>
        </w:rPr>
        <w:t>.</w:t>
      </w:r>
      <w:r w:rsidRPr="006008E0">
        <w:rPr>
          <w:szCs w:val="24"/>
        </w:rPr>
        <w:t>9 млн. лв.;</w:t>
      </w:r>
    </w:p>
    <w:p w14:paraId="2C455569" w14:textId="20677A0A"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за осигуряване на ваксини, лекарствени продукти и бързи антигенни тестове в борбата с пандемията от COVID-19 са усвоени средства</w:t>
      </w:r>
      <w:r w:rsidR="0005652B" w:rsidRPr="006008E0">
        <w:rPr>
          <w:szCs w:val="24"/>
        </w:rPr>
        <w:t xml:space="preserve"> </w:t>
      </w:r>
      <w:r w:rsidRPr="006008E0">
        <w:rPr>
          <w:szCs w:val="24"/>
        </w:rPr>
        <w:t>в размер на 265</w:t>
      </w:r>
      <w:r w:rsidR="00A32996" w:rsidRPr="006008E0">
        <w:rPr>
          <w:szCs w:val="24"/>
        </w:rPr>
        <w:t>.</w:t>
      </w:r>
      <w:r w:rsidRPr="006008E0">
        <w:rPr>
          <w:szCs w:val="24"/>
        </w:rPr>
        <w:t>9 млн. лв.;</w:t>
      </w:r>
    </w:p>
    <w:p w14:paraId="7AEA5F14" w14:textId="56D25478"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в подкрепа на семействата с деца до 14</w:t>
      </w:r>
      <w:r w:rsidR="00B552D5" w:rsidRPr="006008E0">
        <w:rPr>
          <w:szCs w:val="24"/>
        </w:rPr>
        <w:t> г.</w:t>
      </w:r>
      <w:r w:rsidRPr="006008E0">
        <w:rPr>
          <w:szCs w:val="24"/>
        </w:rPr>
        <w:t xml:space="preserve"> възраст, при които родителите не могат да извършват дистанционна работа от вкъщи и нямат възможност да ползват платен отпуск</w:t>
      </w:r>
      <w:r w:rsidR="00A21972" w:rsidRPr="006008E0">
        <w:rPr>
          <w:szCs w:val="24"/>
        </w:rPr>
        <w:t>,</w:t>
      </w:r>
      <w:r w:rsidRPr="006008E0">
        <w:rPr>
          <w:szCs w:val="24"/>
        </w:rPr>
        <w:t xml:space="preserve"> са отделени 14</w:t>
      </w:r>
      <w:r w:rsidR="00A32996" w:rsidRPr="006008E0">
        <w:rPr>
          <w:szCs w:val="24"/>
        </w:rPr>
        <w:t>.</w:t>
      </w:r>
      <w:r w:rsidRPr="006008E0">
        <w:rPr>
          <w:szCs w:val="24"/>
        </w:rPr>
        <w:t>7 млн. лв.;</w:t>
      </w:r>
    </w:p>
    <w:p w14:paraId="0C4E7C7A" w14:textId="6AAC8B76"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за реализиране на програми за заетост и мерки за обучение за подкрепа на безработните лица и работодателите са изплатени 6</w:t>
      </w:r>
      <w:r w:rsidR="00A32996" w:rsidRPr="006008E0">
        <w:rPr>
          <w:szCs w:val="24"/>
        </w:rPr>
        <w:t>.</w:t>
      </w:r>
      <w:r w:rsidRPr="006008E0">
        <w:rPr>
          <w:szCs w:val="24"/>
        </w:rPr>
        <w:t>2 млн. лева.</w:t>
      </w:r>
    </w:p>
    <w:p w14:paraId="3A0A11B0" w14:textId="395F9DF5" w:rsidR="00B32C25" w:rsidRPr="006008E0" w:rsidRDefault="00B32C25" w:rsidP="006008E0">
      <w:pPr>
        <w:rPr>
          <w:b/>
        </w:rPr>
      </w:pPr>
      <w:r w:rsidRPr="006008E0">
        <w:rPr>
          <w:b/>
        </w:rPr>
        <w:t>Мерки за подкрепа на бизнеса – с най-съществено значение са:</w:t>
      </w:r>
    </w:p>
    <w:p w14:paraId="2F555DB6" w14:textId="53B1B5D1"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най-голям дял имат извършените разходи по мярката „60/40“ в помощ на работодателите за запазване на заетостта на наетите от тях работници и служители в размер на 290</w:t>
      </w:r>
      <w:r w:rsidR="00A32996" w:rsidRPr="006008E0">
        <w:rPr>
          <w:szCs w:val="24"/>
        </w:rPr>
        <w:t>.</w:t>
      </w:r>
      <w:r w:rsidRPr="006008E0">
        <w:rPr>
          <w:szCs w:val="24"/>
        </w:rPr>
        <w:t>2 млн. лв.;</w:t>
      </w:r>
    </w:p>
    <w:p w14:paraId="78F8E19C" w14:textId="03EF9E67"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допълнителни разходи по бюджета на държавен фон „Земеделие“ за подпомагане на засегнатите от негативните ефекти от пандемията земеделски стопани – 143</w:t>
      </w:r>
      <w:r w:rsidR="00A32996" w:rsidRPr="006008E0">
        <w:rPr>
          <w:szCs w:val="24"/>
        </w:rPr>
        <w:t>.</w:t>
      </w:r>
      <w:r w:rsidRPr="006008E0">
        <w:rPr>
          <w:szCs w:val="24"/>
        </w:rPr>
        <w:t>5 млн. лв.;</w:t>
      </w:r>
    </w:p>
    <w:p w14:paraId="7EF41D59" w14:textId="4C3F29E9"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за подпомагане на бизнеса в областта на туризма, в т.ч. подпомагане на туристическия сектор с безвъзмездни средства, помощ към туроператорите за възстановяване на средства на техни клиенти по нереализирани вследствие на COVID-19 пътувания и еднократна помощ за екскурзоводите – изразходваните средства са в размер на 66</w:t>
      </w:r>
      <w:r w:rsidR="00A32996" w:rsidRPr="006008E0">
        <w:rPr>
          <w:szCs w:val="24"/>
        </w:rPr>
        <w:t>.</w:t>
      </w:r>
      <w:r w:rsidRPr="006008E0">
        <w:rPr>
          <w:szCs w:val="24"/>
        </w:rPr>
        <w:t>0 млн. лв.;</w:t>
      </w:r>
    </w:p>
    <w:p w14:paraId="7616CCF3" w14:textId="26CF17BE"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безвъзмездни средства за въздушните превозвачи с оперативен лиценз на въздушен превозвач на Общността с разрешение за превоз на пътници, издаден от ГД „Гражданска въздухоплавателна администрация“ съгласно чл. 109 от ЗДБРБ за 2021</w:t>
      </w:r>
      <w:r w:rsidR="00B552D5" w:rsidRPr="006008E0">
        <w:rPr>
          <w:szCs w:val="24"/>
        </w:rPr>
        <w:t> г.</w:t>
      </w:r>
      <w:r w:rsidRPr="006008E0">
        <w:rPr>
          <w:szCs w:val="24"/>
        </w:rPr>
        <w:t xml:space="preserve"> – 57</w:t>
      </w:r>
      <w:r w:rsidR="00A32996" w:rsidRPr="006008E0">
        <w:rPr>
          <w:szCs w:val="24"/>
        </w:rPr>
        <w:t>.</w:t>
      </w:r>
      <w:r w:rsidRPr="006008E0">
        <w:rPr>
          <w:szCs w:val="24"/>
        </w:rPr>
        <w:t>3 млн. лв.;</w:t>
      </w:r>
    </w:p>
    <w:p w14:paraId="63C17C96" w14:textId="7AC9B1C8"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подпомагане на автобусните превозвачи, които притежават лиценз на пътници – 35</w:t>
      </w:r>
      <w:r w:rsidR="00A32996" w:rsidRPr="006008E0">
        <w:rPr>
          <w:szCs w:val="24"/>
        </w:rPr>
        <w:t>.</w:t>
      </w:r>
      <w:r w:rsidRPr="006008E0">
        <w:rPr>
          <w:szCs w:val="24"/>
        </w:rPr>
        <w:t>2 млн. лв.;</w:t>
      </w:r>
    </w:p>
    <w:p w14:paraId="10D57F81" w14:textId="2370450F"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финансова подкрепа в областта на културата и изкуствата в условията на обявена извънредна епидемична обстановка – 35</w:t>
      </w:r>
      <w:r w:rsidR="00A32996" w:rsidRPr="006008E0">
        <w:rPr>
          <w:szCs w:val="24"/>
        </w:rPr>
        <w:t>.</w:t>
      </w:r>
      <w:r w:rsidRPr="006008E0">
        <w:rPr>
          <w:szCs w:val="24"/>
        </w:rPr>
        <w:t>8 млн. лв.;</w:t>
      </w:r>
    </w:p>
    <w:p w14:paraId="698938C0" w14:textId="766830DF"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субсидии за туроператори, които използват въздушни превозвачи с валиден оперативен лиценз за изпълнение на чартърни полети до Република България с цел туризъм – 9</w:t>
      </w:r>
      <w:r w:rsidR="00A32996" w:rsidRPr="006008E0">
        <w:rPr>
          <w:szCs w:val="24"/>
        </w:rPr>
        <w:t>.</w:t>
      </w:r>
      <w:r w:rsidRPr="006008E0">
        <w:rPr>
          <w:szCs w:val="24"/>
        </w:rPr>
        <w:t>6 млн. лева.</w:t>
      </w:r>
    </w:p>
    <w:p w14:paraId="50530321" w14:textId="0E1987C4" w:rsidR="00B32C25" w:rsidRPr="006008E0" w:rsidRDefault="00B32C25" w:rsidP="006008E0">
      <w:pPr>
        <w:rPr>
          <w:b/>
        </w:rPr>
      </w:pPr>
      <w:r w:rsidRPr="006008E0">
        <w:rPr>
          <w:b/>
        </w:rPr>
        <w:t>Мерки за подпомагане на органите на държавн</w:t>
      </w:r>
      <w:r w:rsidR="001B3937" w:rsidRPr="006008E0">
        <w:rPr>
          <w:b/>
        </w:rPr>
        <w:t>о</w:t>
      </w:r>
      <w:r w:rsidRPr="006008E0">
        <w:rPr>
          <w:b/>
        </w:rPr>
        <w:t xml:space="preserve"> управление, натоварени с дейности по овладяване на пандемията и последствията от COVID-19 – в най-значителен размер са:</w:t>
      </w:r>
    </w:p>
    <w:p w14:paraId="1BABD99D" w14:textId="11C785E3"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lastRenderedPageBreak/>
        <w:t xml:space="preserve">подкрепа на персонала на първа линия, пряко ангажиран с дейности по предотвратяване разпространението на COVID-19, вкл. за поставяне на ваксини – разходи в размер на </w:t>
      </w:r>
      <w:r w:rsidR="00493623" w:rsidRPr="006008E0">
        <w:rPr>
          <w:szCs w:val="24"/>
        </w:rPr>
        <w:t>369.9</w:t>
      </w:r>
      <w:r w:rsidRPr="006008E0">
        <w:rPr>
          <w:szCs w:val="24"/>
        </w:rPr>
        <w:t xml:space="preserve"> млн. лв.;</w:t>
      </w:r>
    </w:p>
    <w:p w14:paraId="2AC82099" w14:textId="1F8C081E"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изплащане на допълнителни трудови възнаграждения на изпълнителите на болнична медицинска помощ – 74</w:t>
      </w:r>
      <w:r w:rsidR="00A32996" w:rsidRPr="006008E0">
        <w:rPr>
          <w:szCs w:val="24"/>
        </w:rPr>
        <w:t>.</w:t>
      </w:r>
      <w:r w:rsidRPr="006008E0">
        <w:rPr>
          <w:szCs w:val="24"/>
        </w:rPr>
        <w:t>8 млн. лв.;</w:t>
      </w:r>
    </w:p>
    <w:p w14:paraId="5A9748C6" w14:textId="54EFA128"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разходи за антиепидемични мерки в общинските администрации – 63</w:t>
      </w:r>
      <w:r w:rsidR="00A32996" w:rsidRPr="006008E0">
        <w:rPr>
          <w:szCs w:val="24"/>
        </w:rPr>
        <w:t>.</w:t>
      </w:r>
      <w:r w:rsidRPr="006008E0">
        <w:rPr>
          <w:szCs w:val="24"/>
        </w:rPr>
        <w:t>3 млн. лв.;</w:t>
      </w:r>
    </w:p>
    <w:p w14:paraId="78CFC0CC" w14:textId="70B6327D"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разходи за осигуряване на лични предпазни средства (маски, ръкавици, калцуни, предпазно облекло, защитни очила) за нуждите на държавната администрация и лечебните заведения; за дезинфектанти, дезинфекция на работните помещения, термометри за измерване от разстояние, консумативи, реактиви, медикаменти, PCR тестове и др. за лечебните заведения; за бързи антигенни тестове за ученици от I до XII клас и за закупуване на</w:t>
      </w:r>
      <w:r w:rsidR="0005652B" w:rsidRPr="006008E0">
        <w:rPr>
          <w:szCs w:val="24"/>
        </w:rPr>
        <w:t xml:space="preserve"> </w:t>
      </w:r>
      <w:r w:rsidRPr="006008E0">
        <w:rPr>
          <w:szCs w:val="24"/>
        </w:rPr>
        <w:t>въздухопречистватели от образователни институции</w:t>
      </w:r>
      <w:r w:rsidR="00B552D5" w:rsidRPr="006008E0">
        <w:rPr>
          <w:szCs w:val="24"/>
        </w:rPr>
        <w:t xml:space="preserve"> – </w:t>
      </w:r>
      <w:r w:rsidRPr="006008E0">
        <w:rPr>
          <w:szCs w:val="24"/>
        </w:rPr>
        <w:t>са изразходвани 33</w:t>
      </w:r>
      <w:r w:rsidR="00A32996" w:rsidRPr="006008E0">
        <w:rPr>
          <w:szCs w:val="24"/>
        </w:rPr>
        <w:t>.</w:t>
      </w:r>
      <w:r w:rsidRPr="006008E0">
        <w:rPr>
          <w:szCs w:val="24"/>
        </w:rPr>
        <w:t>4 млн. лв.;</w:t>
      </w:r>
    </w:p>
    <w:p w14:paraId="55244F63" w14:textId="32187A75"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 xml:space="preserve">финансиране от НЗОК на изпълнителите на медицинска помощ, на дентална помощ и на медико-диагностични дейности за работа при неблагоприятни условия във връзка с обявената епидемична обстановка и лечените то на COVID-19 – </w:t>
      </w:r>
      <w:r w:rsidR="00493623" w:rsidRPr="006008E0">
        <w:rPr>
          <w:szCs w:val="24"/>
        </w:rPr>
        <w:t>216.2</w:t>
      </w:r>
      <w:r w:rsidRPr="006008E0">
        <w:rPr>
          <w:szCs w:val="24"/>
        </w:rPr>
        <w:t xml:space="preserve"> млн. лв.;</w:t>
      </w:r>
    </w:p>
    <w:p w14:paraId="6D067DC7" w14:textId="2DCE72A9"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разходи във връзка с изпълнението на Националния ваксинационен план срещу COVID-19 – 1</w:t>
      </w:r>
      <w:r w:rsidR="00A32996" w:rsidRPr="006008E0">
        <w:rPr>
          <w:szCs w:val="24"/>
        </w:rPr>
        <w:t>.</w:t>
      </w:r>
      <w:r w:rsidRPr="006008E0">
        <w:rPr>
          <w:szCs w:val="24"/>
        </w:rPr>
        <w:t>3 млн. лв.;</w:t>
      </w:r>
    </w:p>
    <w:p w14:paraId="2D141BF4" w14:textId="0FABB10F" w:rsidR="00B32C25" w:rsidRPr="006008E0" w:rsidRDefault="00B32C25" w:rsidP="00493D7E">
      <w:pPr>
        <w:pStyle w:val="ListParagraph"/>
        <w:numPr>
          <w:ilvl w:val="0"/>
          <w:numId w:val="25"/>
        </w:numPr>
        <w:tabs>
          <w:tab w:val="clear" w:pos="680"/>
          <w:tab w:val="left" w:pos="426"/>
          <w:tab w:val="left" w:pos="851"/>
        </w:tabs>
        <w:ind w:left="426" w:hanging="426"/>
        <w:rPr>
          <w:szCs w:val="24"/>
        </w:rPr>
      </w:pPr>
      <w:r w:rsidRPr="006008E0">
        <w:rPr>
          <w:szCs w:val="24"/>
        </w:rPr>
        <w:t>разходи във връзка с осъществяването на дейностите по граничния здравен контрол</w:t>
      </w:r>
      <w:r w:rsidR="0005652B" w:rsidRPr="006008E0">
        <w:rPr>
          <w:szCs w:val="24"/>
        </w:rPr>
        <w:t xml:space="preserve"> </w:t>
      </w:r>
      <w:r w:rsidR="00A32996" w:rsidRPr="006008E0">
        <w:rPr>
          <w:szCs w:val="24"/>
        </w:rPr>
        <w:t>–</w:t>
      </w:r>
      <w:r w:rsidRPr="006008E0">
        <w:rPr>
          <w:szCs w:val="24"/>
        </w:rPr>
        <w:t xml:space="preserve"> 1</w:t>
      </w:r>
      <w:r w:rsidR="00A32996" w:rsidRPr="006008E0">
        <w:rPr>
          <w:szCs w:val="24"/>
        </w:rPr>
        <w:t>.</w:t>
      </w:r>
      <w:r w:rsidRPr="006008E0">
        <w:rPr>
          <w:szCs w:val="24"/>
        </w:rPr>
        <w:t>3 млн. лева.</w:t>
      </w:r>
    </w:p>
    <w:p w14:paraId="40DD1B2F" w14:textId="1C89FBA8" w:rsidR="006E4A2E" w:rsidRDefault="00B32C25" w:rsidP="00B32C25">
      <w:r>
        <w:t>От 1 април 2022</w:t>
      </w:r>
      <w:r w:rsidR="00B552D5">
        <w:t> г.</w:t>
      </w:r>
      <w:r>
        <w:t xml:space="preserve"> извънредната епидемична обстановка на територията на България бе прекратена поради ниския брой на заразените и спадналия натиск върху здравната система.</w:t>
      </w:r>
    </w:p>
    <w:p w14:paraId="6CBEC56D" w14:textId="00154470" w:rsidR="00495402" w:rsidRPr="00666881" w:rsidRDefault="00666881" w:rsidP="00C0210D">
      <w:pPr>
        <w:pStyle w:val="Heading4"/>
      </w:pPr>
      <w:r>
        <w:rPr>
          <w:lang w:val="en-US"/>
        </w:rPr>
        <w:t xml:space="preserve"> </w:t>
      </w:r>
      <w:r w:rsidR="00495402" w:rsidRPr="00666881">
        <w:t xml:space="preserve">Разходи, свързани с хуманитарната криза, породена от военните действия в </w:t>
      </w:r>
      <w:r>
        <w:br/>
      </w:r>
      <w:r w:rsidR="00495402" w:rsidRPr="00666881">
        <w:t>Украйна</w:t>
      </w:r>
    </w:p>
    <w:p w14:paraId="4FB18190" w14:textId="235D392D" w:rsidR="00B32C25" w:rsidRPr="00DC298B" w:rsidRDefault="00B32C25" w:rsidP="00B32C25">
      <w:pPr>
        <w:spacing w:before="120" w:after="0"/>
        <w:rPr>
          <w:rFonts w:eastAsia="Times New Roman"/>
          <w:bCs/>
          <w:color w:val="0070C0"/>
        </w:rPr>
      </w:pPr>
      <w:r w:rsidRPr="00DC298B">
        <w:rPr>
          <w:rFonts w:eastAsia="Times New Roman"/>
        </w:rPr>
        <w:t>Отчетените разходи към 31.12.2022</w:t>
      </w:r>
      <w:r w:rsidR="00B552D5">
        <w:rPr>
          <w:rFonts w:eastAsia="Times New Roman"/>
        </w:rPr>
        <w:t> г.</w:t>
      </w:r>
      <w:r w:rsidRPr="00DC298B">
        <w:rPr>
          <w:rFonts w:eastAsia="Times New Roman"/>
        </w:rPr>
        <w:t xml:space="preserve"> за финансиране на дейности по оказване на незабавна хуманитарна помощ на живеещите в Украйна български граждани и българи с украинско гражданство, включително при необходимост от евакуация, за предоставяне на хуманитарна помощ за Украйна, за хуманитарна помощ на украинските бежанци в България, както и за извършване на разходи за справяне с последствията от военните действия срещу Украйна са в размер на 5</w:t>
      </w:r>
      <w:r>
        <w:rPr>
          <w:rFonts w:eastAsia="Times New Roman"/>
          <w:lang w:val="en-US"/>
        </w:rPr>
        <w:t>80</w:t>
      </w:r>
      <w:r w:rsidR="00A32996">
        <w:rPr>
          <w:rFonts w:eastAsia="Times New Roman"/>
          <w:lang w:val="en-US"/>
        </w:rPr>
        <w:t>.</w:t>
      </w:r>
      <w:r w:rsidRPr="00DC298B">
        <w:rPr>
          <w:rFonts w:eastAsia="Times New Roman"/>
        </w:rPr>
        <w:t>1 млн.</w:t>
      </w:r>
      <w:r w:rsidRPr="00DC298B">
        <w:rPr>
          <w:rFonts w:eastAsia="Times New Roman"/>
          <w:bCs/>
        </w:rPr>
        <w:t xml:space="preserve"> лв. от националния бюджет</w:t>
      </w:r>
      <w:r>
        <w:rPr>
          <w:rFonts w:eastAsia="Times New Roman"/>
          <w:bCs/>
        </w:rPr>
        <w:t xml:space="preserve"> (0</w:t>
      </w:r>
      <w:r w:rsidR="00A32996">
        <w:rPr>
          <w:rFonts w:eastAsia="Times New Roman"/>
          <w:bCs/>
          <w:lang w:val="en-US"/>
        </w:rPr>
        <w:t>.</w:t>
      </w:r>
      <w:r>
        <w:rPr>
          <w:rFonts w:eastAsia="Times New Roman"/>
          <w:bCs/>
        </w:rPr>
        <w:t>4</w:t>
      </w:r>
      <w:r w:rsidR="008B5514">
        <w:rPr>
          <w:rFonts w:eastAsia="Times New Roman"/>
          <w:bCs/>
        </w:rPr>
        <w:t>%</w:t>
      </w:r>
      <w:r>
        <w:rPr>
          <w:rFonts w:eastAsia="Times New Roman"/>
          <w:bCs/>
        </w:rPr>
        <w:t xml:space="preserve"> от БВП)</w:t>
      </w:r>
      <w:r>
        <w:rPr>
          <w:rFonts w:eastAsia="Times New Roman"/>
          <w:bCs/>
          <w:lang w:val="en-US"/>
        </w:rPr>
        <w:t xml:space="preserve">, </w:t>
      </w:r>
      <w:r w:rsidRPr="009F48C0">
        <w:rPr>
          <w:rFonts w:eastAsia="Times New Roman"/>
          <w:bCs/>
        </w:rPr>
        <w:t>вкл. 2</w:t>
      </w:r>
      <w:r w:rsidR="00A32996">
        <w:rPr>
          <w:rFonts w:eastAsia="Times New Roman"/>
          <w:bCs/>
          <w:lang w:val="en-US"/>
        </w:rPr>
        <w:t>.</w:t>
      </w:r>
      <w:r w:rsidRPr="009F48C0">
        <w:rPr>
          <w:rFonts w:eastAsia="Times New Roman"/>
          <w:bCs/>
        </w:rPr>
        <w:t>0 млн. лв. са отчетените</w:t>
      </w:r>
      <w:r>
        <w:rPr>
          <w:rFonts w:eastAsia="Times New Roman"/>
          <w:bCs/>
        </w:rPr>
        <w:t xml:space="preserve"> разходи по бюджетите на общините</w:t>
      </w:r>
      <w:r w:rsidRPr="00DC298B">
        <w:rPr>
          <w:rFonts w:eastAsia="Times New Roman"/>
          <w:bCs/>
        </w:rPr>
        <w:t xml:space="preserve"> и 142</w:t>
      </w:r>
      <w:r w:rsidR="00A32996">
        <w:rPr>
          <w:rFonts w:eastAsia="Times New Roman"/>
          <w:bCs/>
          <w:lang w:val="en-US"/>
        </w:rPr>
        <w:t>.</w:t>
      </w:r>
      <w:r w:rsidRPr="00DC298B">
        <w:rPr>
          <w:rFonts w:eastAsia="Times New Roman"/>
          <w:bCs/>
        </w:rPr>
        <w:t>0 млн. лв. средства от ЕС</w:t>
      </w:r>
      <w:r>
        <w:rPr>
          <w:rFonts w:eastAsia="Times New Roman"/>
          <w:bCs/>
        </w:rPr>
        <w:t xml:space="preserve"> (0</w:t>
      </w:r>
      <w:r w:rsidR="00A32996">
        <w:rPr>
          <w:rFonts w:eastAsia="Times New Roman"/>
          <w:bCs/>
          <w:lang w:val="en-US"/>
        </w:rPr>
        <w:t>.</w:t>
      </w:r>
      <w:r>
        <w:rPr>
          <w:rFonts w:eastAsia="Times New Roman"/>
          <w:bCs/>
        </w:rPr>
        <w:t>01</w:t>
      </w:r>
      <w:r w:rsidR="008B5514">
        <w:rPr>
          <w:rFonts w:eastAsia="Times New Roman"/>
          <w:bCs/>
        </w:rPr>
        <w:t>%</w:t>
      </w:r>
      <w:r>
        <w:rPr>
          <w:rFonts w:eastAsia="Times New Roman"/>
          <w:bCs/>
        </w:rPr>
        <w:t xml:space="preserve"> от БВП)</w:t>
      </w:r>
      <w:r w:rsidRPr="00DC298B">
        <w:rPr>
          <w:rFonts w:eastAsia="Times New Roman"/>
          <w:bCs/>
        </w:rPr>
        <w:t>.</w:t>
      </w:r>
      <w:r w:rsidR="0005652B">
        <w:rPr>
          <w:rFonts w:eastAsia="Times New Roman"/>
          <w:bCs/>
        </w:rPr>
        <w:t xml:space="preserve"> </w:t>
      </w:r>
    </w:p>
    <w:p w14:paraId="67C45F28" w14:textId="77777777" w:rsidR="00B32C25" w:rsidRPr="00DC298B" w:rsidRDefault="00B32C25" w:rsidP="00C0210D">
      <w:pPr>
        <w:pStyle w:val="Heading5"/>
        <w:rPr>
          <w:rFonts w:eastAsia="Times New Roman"/>
        </w:rPr>
      </w:pPr>
      <w:r w:rsidRPr="00DC298B">
        <w:rPr>
          <w:rFonts w:eastAsia="Times New Roman"/>
        </w:rPr>
        <w:t xml:space="preserve">Програми за хуманитарна помощ за лица с бежански статут </w:t>
      </w:r>
    </w:p>
    <w:p w14:paraId="7383664F" w14:textId="238574BF" w:rsidR="00B32C25" w:rsidRPr="00DC298B" w:rsidRDefault="00B32C25" w:rsidP="00B32C25">
      <w:pPr>
        <w:spacing w:before="120" w:after="0"/>
        <w:rPr>
          <w:rFonts w:eastAsia="Times New Roman"/>
          <w:bCs/>
        </w:rPr>
      </w:pPr>
      <w:r w:rsidRPr="00DC298B">
        <w:rPr>
          <w:rFonts w:eastAsia="Times New Roman"/>
        </w:rPr>
        <w:t xml:space="preserve">В началото на март </w:t>
      </w:r>
      <w:r>
        <w:rPr>
          <w:rFonts w:eastAsia="Times New Roman"/>
        </w:rPr>
        <w:t>2022</w:t>
      </w:r>
      <w:r w:rsidR="00B552D5">
        <w:rPr>
          <w:rFonts w:eastAsia="Times New Roman"/>
        </w:rPr>
        <w:t> г.</w:t>
      </w:r>
      <w:r>
        <w:rPr>
          <w:rFonts w:eastAsia="Times New Roman"/>
        </w:rPr>
        <w:t xml:space="preserve"> </w:t>
      </w:r>
      <w:r w:rsidRPr="00DC298B">
        <w:rPr>
          <w:rFonts w:eastAsia="Times New Roman"/>
        </w:rPr>
        <w:t>с РМС № 145/2022</w:t>
      </w:r>
      <w:r w:rsidR="00B552D5">
        <w:rPr>
          <w:rFonts w:eastAsia="Times New Roman"/>
        </w:rPr>
        <w:t> г.</w:t>
      </w:r>
      <w:r w:rsidRPr="00DC298B">
        <w:rPr>
          <w:rFonts w:eastAsia="Times New Roman"/>
        </w:rPr>
        <w:t xml:space="preserve"> бе одобрена </w:t>
      </w:r>
      <w:r w:rsidRPr="00077ECB">
        <w:rPr>
          <w:rFonts w:eastAsia="Times New Roman"/>
          <w:i/>
        </w:rPr>
        <w:t>„Програма за ползване на хуманитарна помощ за лица, търсещи временна закрила в Република България вследствие на военните действия в Украйна“</w:t>
      </w:r>
      <w:r w:rsidRPr="00E24044">
        <w:rPr>
          <w:rFonts w:eastAsia="Times New Roman"/>
        </w:rPr>
        <w:t xml:space="preserve"> </w:t>
      </w:r>
      <w:r w:rsidRPr="00DC298B">
        <w:rPr>
          <w:rFonts w:eastAsia="Times New Roman"/>
        </w:rPr>
        <w:t>с първоначален срок за периода от 24.02.2022 до 31.05.2022</w:t>
      </w:r>
      <w:r w:rsidR="00B552D5">
        <w:rPr>
          <w:rFonts w:eastAsia="Times New Roman"/>
        </w:rPr>
        <w:t> г.</w:t>
      </w:r>
      <w:r w:rsidRPr="00DC298B">
        <w:rPr>
          <w:rFonts w:eastAsia="Times New Roman"/>
        </w:rPr>
        <w:t xml:space="preserve"> По-късно тази програма </w:t>
      </w:r>
      <w:r w:rsidR="00A32996">
        <w:rPr>
          <w:rFonts w:eastAsia="Times New Roman"/>
        </w:rPr>
        <w:t>бе изменена и допълнена с РМС №181, №239, №241, №298 и №</w:t>
      </w:r>
      <w:r w:rsidRPr="00DC298B">
        <w:rPr>
          <w:rFonts w:eastAsia="Times New Roman"/>
        </w:rPr>
        <w:t>423 от 2022</w:t>
      </w:r>
      <w:r w:rsidR="00B552D5">
        <w:rPr>
          <w:rFonts w:eastAsia="Times New Roman"/>
        </w:rPr>
        <w:t> г.</w:t>
      </w:r>
      <w:r w:rsidRPr="00DC298B">
        <w:rPr>
          <w:rFonts w:eastAsia="Times New Roman"/>
        </w:rPr>
        <w:t xml:space="preserve"> Програмата се администрира от Министерството на туризма, като разходите </w:t>
      </w:r>
      <w:r>
        <w:rPr>
          <w:rFonts w:eastAsia="Times New Roman"/>
        </w:rPr>
        <w:t>с</w:t>
      </w:r>
      <w:r w:rsidRPr="00DC298B">
        <w:rPr>
          <w:rFonts w:eastAsia="Times New Roman"/>
        </w:rPr>
        <w:t>е финансира</w:t>
      </w:r>
      <w:r>
        <w:rPr>
          <w:rFonts w:eastAsia="Times New Roman"/>
        </w:rPr>
        <w:t>ха</w:t>
      </w:r>
      <w:r w:rsidRPr="00DC298B">
        <w:rPr>
          <w:rFonts w:eastAsia="Times New Roman"/>
        </w:rPr>
        <w:t xml:space="preserve"> от инструменти на ЕС и/или от държавния бюджет Отчетените от </w:t>
      </w:r>
      <w:r>
        <w:rPr>
          <w:rFonts w:eastAsia="Times New Roman"/>
        </w:rPr>
        <w:t>министерството</w:t>
      </w:r>
      <w:r w:rsidRPr="00DC298B">
        <w:rPr>
          <w:rFonts w:eastAsia="Times New Roman"/>
        </w:rPr>
        <w:t xml:space="preserve"> средства по тази програма за </w:t>
      </w:r>
      <w:r>
        <w:rPr>
          <w:rFonts w:eastAsia="Times New Roman"/>
        </w:rPr>
        <w:t xml:space="preserve">периода, през който тя се изпълняваше за </w:t>
      </w:r>
      <w:r w:rsidRPr="00DC298B">
        <w:rPr>
          <w:rFonts w:eastAsia="Times New Roman"/>
        </w:rPr>
        <w:t>2022</w:t>
      </w:r>
      <w:r w:rsidR="00B552D5">
        <w:rPr>
          <w:rFonts w:eastAsia="Times New Roman"/>
        </w:rPr>
        <w:t> г.</w:t>
      </w:r>
      <w:r w:rsidRPr="00DC298B">
        <w:rPr>
          <w:rFonts w:eastAsia="Times New Roman"/>
        </w:rPr>
        <w:t xml:space="preserve"> са в размер на 161</w:t>
      </w:r>
      <w:r w:rsidR="00A32996">
        <w:rPr>
          <w:rFonts w:eastAsia="Times New Roman"/>
          <w:lang w:val="en-US"/>
        </w:rPr>
        <w:t>.</w:t>
      </w:r>
      <w:r w:rsidRPr="00DC298B">
        <w:rPr>
          <w:rFonts w:eastAsia="Times New Roman"/>
        </w:rPr>
        <w:t>8 млн. л</w:t>
      </w:r>
      <w:r>
        <w:rPr>
          <w:rFonts w:eastAsia="Times New Roman"/>
        </w:rPr>
        <w:t>е</w:t>
      </w:r>
      <w:r w:rsidRPr="00DC298B">
        <w:rPr>
          <w:rFonts w:eastAsia="Times New Roman"/>
        </w:rPr>
        <w:t>в</w:t>
      </w:r>
      <w:r>
        <w:rPr>
          <w:rFonts w:eastAsia="Times New Roman"/>
        </w:rPr>
        <w:t>а</w:t>
      </w:r>
      <w:r w:rsidRPr="00DC298B">
        <w:rPr>
          <w:rFonts w:eastAsia="Times New Roman"/>
        </w:rPr>
        <w:t>.</w:t>
      </w:r>
    </w:p>
    <w:p w14:paraId="13A25088" w14:textId="5B6ACBE0" w:rsidR="00812D50" w:rsidRPr="00DC298B" w:rsidRDefault="00A32996" w:rsidP="00493623">
      <w:pPr>
        <w:spacing w:before="120" w:after="0"/>
        <w:rPr>
          <w:rFonts w:eastAsia="Times New Roman"/>
        </w:rPr>
      </w:pPr>
      <w:r>
        <w:rPr>
          <w:rFonts w:eastAsia="Times New Roman"/>
        </w:rPr>
        <w:t>С РМС №</w:t>
      </w:r>
      <w:r w:rsidR="00B32C25" w:rsidRPr="00DC298B">
        <w:rPr>
          <w:rFonts w:eastAsia="Times New Roman"/>
        </w:rPr>
        <w:t>317 от 20 май 2022</w:t>
      </w:r>
      <w:r w:rsidR="00B552D5">
        <w:rPr>
          <w:rFonts w:eastAsia="Times New Roman"/>
        </w:rPr>
        <w:t> г.</w:t>
      </w:r>
      <w:r w:rsidR="00B32C25" w:rsidRPr="00DC298B">
        <w:rPr>
          <w:rFonts w:eastAsia="Times New Roman"/>
        </w:rPr>
        <w:t xml:space="preserve"> е одобрена нова </w:t>
      </w:r>
      <w:r w:rsidR="00B32C25" w:rsidRPr="00077ECB">
        <w:rPr>
          <w:rFonts w:eastAsia="Times New Roman"/>
          <w:i/>
        </w:rPr>
        <w:t>„Програма за хуманитарно подпомагане на разселени лица от Украйна с предоставена временна закрила в Република България“</w:t>
      </w:r>
      <w:r w:rsidR="00B32C25" w:rsidRPr="00DC298B">
        <w:rPr>
          <w:rFonts w:eastAsia="Times New Roman"/>
        </w:rPr>
        <w:t xml:space="preserve">, </w:t>
      </w:r>
      <w:r w:rsidR="00B32C25" w:rsidRPr="00DC298B">
        <w:rPr>
          <w:rFonts w:eastAsia="Times New Roman"/>
        </w:rPr>
        <w:lastRenderedPageBreak/>
        <w:t>която по-късно бе изменена и допълнена и бе удължен периодът на действие на програмата до 24.02.2023</w:t>
      </w:r>
      <w:r w:rsidR="00B552D5">
        <w:rPr>
          <w:rFonts w:eastAsia="Times New Roman"/>
        </w:rPr>
        <w:t> г.</w:t>
      </w:r>
      <w:r w:rsidR="00B32C25" w:rsidRPr="00DC298B">
        <w:rPr>
          <w:rFonts w:eastAsia="Times New Roman"/>
        </w:rPr>
        <w:t xml:space="preserve"> Програмата се администрира от М</w:t>
      </w:r>
      <w:r w:rsidR="00B32C25">
        <w:rPr>
          <w:rFonts w:eastAsia="Times New Roman"/>
        </w:rPr>
        <w:t>инистерство на туризма</w:t>
      </w:r>
      <w:r w:rsidR="00B32C25" w:rsidRPr="00DC298B">
        <w:rPr>
          <w:rFonts w:eastAsia="Times New Roman"/>
        </w:rPr>
        <w:t xml:space="preserve">, като помощта се одобрява с акт на Министерския съвет. </w:t>
      </w:r>
      <w:r w:rsidR="00812D50">
        <w:rPr>
          <w:szCs w:val="24"/>
        </w:rPr>
        <w:t>С Решение №</w:t>
      </w:r>
      <w:r w:rsidR="00812D50" w:rsidRPr="003D4DBD">
        <w:rPr>
          <w:szCs w:val="24"/>
        </w:rPr>
        <w:t>212 на Министерския съвет от 2023</w:t>
      </w:r>
      <w:r w:rsidR="00B552D5">
        <w:rPr>
          <w:szCs w:val="24"/>
        </w:rPr>
        <w:t> г.</w:t>
      </w:r>
      <w:r w:rsidR="00812D50" w:rsidRPr="003D4DBD">
        <w:rPr>
          <w:szCs w:val="24"/>
        </w:rPr>
        <w:t xml:space="preserve"> срокът на Програма</w:t>
      </w:r>
      <w:r w:rsidR="00812D50">
        <w:rPr>
          <w:szCs w:val="24"/>
        </w:rPr>
        <w:t>та</w:t>
      </w:r>
      <w:r w:rsidR="00812D50" w:rsidRPr="003D4DBD">
        <w:rPr>
          <w:szCs w:val="24"/>
        </w:rPr>
        <w:t xml:space="preserve"> е удължен до 30 април 2023</w:t>
      </w:r>
      <w:r w:rsidR="00B552D5">
        <w:rPr>
          <w:szCs w:val="24"/>
        </w:rPr>
        <w:t> г.</w:t>
      </w:r>
      <w:r w:rsidR="00812D50" w:rsidRPr="003D4DBD">
        <w:rPr>
          <w:szCs w:val="24"/>
        </w:rPr>
        <w:t xml:space="preserve"> във връзка с удължаването на действието на временната закрила на територията н</w:t>
      </w:r>
      <w:r w:rsidR="00812D50">
        <w:rPr>
          <w:szCs w:val="24"/>
        </w:rPr>
        <w:t>а Република България до 04 март</w:t>
      </w:r>
      <w:r w:rsidR="00812D50" w:rsidRPr="003D4DBD">
        <w:rPr>
          <w:szCs w:val="24"/>
        </w:rPr>
        <w:t xml:space="preserve"> 2024</w:t>
      </w:r>
      <w:r w:rsidR="00B552D5">
        <w:rPr>
          <w:szCs w:val="24"/>
        </w:rPr>
        <w:t> г.</w:t>
      </w:r>
      <w:r w:rsidR="00812D50" w:rsidRPr="003D4DBD">
        <w:rPr>
          <w:szCs w:val="24"/>
        </w:rPr>
        <w:t xml:space="preserve"> </w:t>
      </w:r>
      <w:r w:rsidR="00812D50" w:rsidRPr="00812D50">
        <w:rPr>
          <w:szCs w:val="24"/>
        </w:rPr>
        <w:t>Съгласно ПМС№ 484 от 21 декември 2022</w:t>
      </w:r>
      <w:r w:rsidR="00B552D5">
        <w:rPr>
          <w:szCs w:val="24"/>
        </w:rPr>
        <w:t> г.</w:t>
      </w:r>
      <w:r w:rsidR="00812D50" w:rsidRPr="00812D50">
        <w:rPr>
          <w:szCs w:val="24"/>
        </w:rPr>
        <w:t xml:space="preserve"> по бюджета на Министерството на туризма са осигурени 37 млн. лв. за сметка на държавния бюджет, с които да бъдат финансирани плащанията по Програмата до 30 април 2023</w:t>
      </w:r>
      <w:r w:rsidR="00B552D5">
        <w:rPr>
          <w:szCs w:val="24"/>
        </w:rPr>
        <w:t> г.</w:t>
      </w:r>
      <w:r w:rsidR="00493623" w:rsidRPr="00493623">
        <w:rPr>
          <w:rFonts w:eastAsia="Times New Roman"/>
        </w:rPr>
        <w:t xml:space="preserve"> </w:t>
      </w:r>
      <w:r w:rsidR="00493623" w:rsidRPr="00DC298B">
        <w:rPr>
          <w:rFonts w:eastAsia="Times New Roman"/>
        </w:rPr>
        <w:t xml:space="preserve">Изразходваните средства по тази програма от </w:t>
      </w:r>
      <w:r w:rsidR="00213F2A" w:rsidRPr="00DC298B">
        <w:rPr>
          <w:rFonts w:eastAsia="Times New Roman"/>
        </w:rPr>
        <w:t>М</w:t>
      </w:r>
      <w:r w:rsidR="00213F2A">
        <w:rPr>
          <w:rFonts w:eastAsia="Times New Roman"/>
        </w:rPr>
        <w:t>инистерство на туризма</w:t>
      </w:r>
      <w:r w:rsidR="00213F2A" w:rsidRPr="00DC298B" w:rsidDel="00A61653">
        <w:rPr>
          <w:rFonts w:eastAsia="Times New Roman"/>
        </w:rPr>
        <w:t xml:space="preserve"> </w:t>
      </w:r>
      <w:r w:rsidR="00493623" w:rsidRPr="00DC298B">
        <w:rPr>
          <w:rFonts w:eastAsia="Times New Roman"/>
        </w:rPr>
        <w:t>към 31.12.2022</w:t>
      </w:r>
      <w:r w:rsidR="00B552D5">
        <w:rPr>
          <w:rFonts w:eastAsia="Times New Roman"/>
        </w:rPr>
        <w:t> г.</w:t>
      </w:r>
      <w:r w:rsidR="00493623" w:rsidRPr="00DC298B">
        <w:rPr>
          <w:rFonts w:eastAsia="Times New Roman"/>
        </w:rPr>
        <w:t xml:space="preserve"> са в размер на</w:t>
      </w:r>
      <w:r w:rsidR="00493623">
        <w:rPr>
          <w:rFonts w:eastAsia="Times New Roman"/>
        </w:rPr>
        <w:t xml:space="preserve"> </w:t>
      </w:r>
      <w:r w:rsidR="00493623" w:rsidRPr="00DC298B">
        <w:rPr>
          <w:rFonts w:eastAsia="Times New Roman"/>
        </w:rPr>
        <w:t>77</w:t>
      </w:r>
      <w:r w:rsidR="00493623">
        <w:rPr>
          <w:rFonts w:eastAsia="Times New Roman"/>
          <w:lang w:val="en-US"/>
        </w:rPr>
        <w:t>.</w:t>
      </w:r>
      <w:r w:rsidR="00493623" w:rsidRPr="00DC298B">
        <w:rPr>
          <w:rFonts w:eastAsia="Times New Roman"/>
        </w:rPr>
        <w:t>3 млн. л</w:t>
      </w:r>
      <w:r w:rsidR="00493623">
        <w:rPr>
          <w:rFonts w:eastAsia="Times New Roman"/>
        </w:rPr>
        <w:t>е</w:t>
      </w:r>
      <w:r w:rsidR="00493623" w:rsidRPr="00DC298B">
        <w:rPr>
          <w:rFonts w:eastAsia="Times New Roman"/>
        </w:rPr>
        <w:t>в</w:t>
      </w:r>
      <w:r w:rsidR="00493623">
        <w:rPr>
          <w:rFonts w:eastAsia="Times New Roman"/>
        </w:rPr>
        <w:t>а</w:t>
      </w:r>
      <w:r w:rsidR="00493623" w:rsidRPr="00DC298B">
        <w:rPr>
          <w:rFonts w:eastAsia="Times New Roman"/>
        </w:rPr>
        <w:t>.</w:t>
      </w:r>
    </w:p>
    <w:p w14:paraId="6D75D17F" w14:textId="1D124231" w:rsidR="00B32C25" w:rsidRPr="00DC298B" w:rsidRDefault="00B32C25" w:rsidP="00B32C25">
      <w:pPr>
        <w:spacing w:after="0"/>
        <w:rPr>
          <w:rFonts w:eastAsia="Times New Roman"/>
          <w:lang w:eastAsia="en-US"/>
        </w:rPr>
      </w:pPr>
      <w:r w:rsidRPr="00DC298B">
        <w:rPr>
          <w:rFonts w:eastAsia="Times New Roman"/>
        </w:rPr>
        <w:t>Към 31.12.2022</w:t>
      </w:r>
      <w:r w:rsidR="00B552D5">
        <w:rPr>
          <w:rFonts w:eastAsia="Times New Roman"/>
        </w:rPr>
        <w:t> г.</w:t>
      </w:r>
      <w:r w:rsidRPr="00DC298B">
        <w:rPr>
          <w:rFonts w:eastAsia="Times New Roman"/>
        </w:rPr>
        <w:t xml:space="preserve"> по бюджета на М</w:t>
      </w:r>
      <w:r>
        <w:rPr>
          <w:rFonts w:eastAsia="Times New Roman"/>
        </w:rPr>
        <w:t>инистерство на туризма</w:t>
      </w:r>
      <w:r w:rsidRPr="00DC298B">
        <w:rPr>
          <w:rFonts w:eastAsia="Times New Roman"/>
        </w:rPr>
        <w:t xml:space="preserve"> са отчетени разходи в общ размер на 239</w:t>
      </w:r>
      <w:r w:rsidR="00A32996">
        <w:rPr>
          <w:rFonts w:eastAsia="Times New Roman"/>
          <w:lang w:val="en-US"/>
        </w:rPr>
        <w:t>.</w:t>
      </w:r>
      <w:r w:rsidRPr="00DC298B">
        <w:rPr>
          <w:rFonts w:eastAsia="Times New Roman"/>
        </w:rPr>
        <w:t>1 млн. лв. по двете програми за хуманитарна помощ във връзка с военните действия в Украйна</w:t>
      </w:r>
      <w:r w:rsidRPr="00DC298B">
        <w:rPr>
          <w:rFonts w:eastAsia="Times New Roman"/>
          <w:lang w:eastAsia="en-US"/>
        </w:rPr>
        <w:t>, като част от разходите в размер на 137</w:t>
      </w:r>
      <w:r w:rsidR="00A32996">
        <w:rPr>
          <w:rFonts w:eastAsia="Times New Roman"/>
          <w:lang w:val="en-US" w:eastAsia="en-US"/>
        </w:rPr>
        <w:t>.</w:t>
      </w:r>
      <w:r w:rsidRPr="00DC298B">
        <w:rPr>
          <w:rFonts w:eastAsia="Times New Roman"/>
          <w:lang w:eastAsia="en-US"/>
        </w:rPr>
        <w:t>5 млн. лв. бяха възстановени от оперативните програми на Европейския съюз.</w:t>
      </w:r>
      <w:r>
        <w:rPr>
          <w:rFonts w:eastAsia="Times New Roman"/>
          <w:lang w:eastAsia="en-US"/>
        </w:rPr>
        <w:t xml:space="preserve"> </w:t>
      </w:r>
    </w:p>
    <w:p w14:paraId="5BF2FA0F" w14:textId="77FAB118" w:rsidR="00B32C25" w:rsidRDefault="00B32C25" w:rsidP="00C0210D">
      <w:pPr>
        <w:spacing w:before="120"/>
        <w:ind w:firstLine="397"/>
        <w:rPr>
          <w:rFonts w:eastAsia="Times New Roman"/>
          <w:lang w:eastAsia="en-US"/>
        </w:rPr>
      </w:pPr>
      <w:r w:rsidRPr="00C0210D">
        <w:rPr>
          <w:rStyle w:val="Heading5Char"/>
        </w:rPr>
        <w:t>В областта на социалната закрила</w:t>
      </w:r>
      <w:r w:rsidR="00B552D5">
        <w:rPr>
          <w:rFonts w:eastAsia="Times New Roman"/>
          <w:lang w:eastAsia="en-US"/>
        </w:rPr>
        <w:t xml:space="preserve"> – </w:t>
      </w:r>
      <w:r w:rsidRPr="00DC298B">
        <w:rPr>
          <w:rFonts w:eastAsia="Times New Roman"/>
          <w:lang w:eastAsia="en-US"/>
        </w:rPr>
        <w:t xml:space="preserve">в рамките на действащата нормативна уредба в областта на системата на социалното подпомагане, пристигащите в страната </w:t>
      </w:r>
      <w:r>
        <w:rPr>
          <w:rFonts w:eastAsia="Times New Roman"/>
          <w:lang w:eastAsia="en-US"/>
        </w:rPr>
        <w:t>украински граждани са със статут на временна закрила. Ако</w:t>
      </w:r>
      <w:r w:rsidRPr="00DC298B">
        <w:rPr>
          <w:rFonts w:eastAsia="Times New Roman"/>
          <w:lang w:eastAsia="en-US"/>
        </w:rPr>
        <w:t xml:space="preserve"> след оценка на всеки конкретен случай се констатира, че </w:t>
      </w:r>
      <w:r>
        <w:rPr>
          <w:rFonts w:eastAsia="Times New Roman"/>
          <w:lang w:eastAsia="en-US"/>
        </w:rPr>
        <w:t xml:space="preserve">лицето </w:t>
      </w:r>
      <w:r w:rsidRPr="00DC298B">
        <w:rPr>
          <w:rFonts w:eastAsia="Times New Roman"/>
          <w:lang w:eastAsia="en-US"/>
        </w:rPr>
        <w:t>се нужда</w:t>
      </w:r>
      <w:r>
        <w:rPr>
          <w:rFonts w:eastAsia="Times New Roman"/>
          <w:lang w:eastAsia="en-US"/>
        </w:rPr>
        <w:t>е</w:t>
      </w:r>
      <w:r w:rsidRPr="00DC298B">
        <w:rPr>
          <w:rFonts w:eastAsia="Times New Roman"/>
          <w:lang w:eastAsia="en-US"/>
        </w:rPr>
        <w:t xml:space="preserve"> от подкрепа за задоволяване на основните</w:t>
      </w:r>
      <w:r>
        <w:rPr>
          <w:rFonts w:eastAsia="Times New Roman"/>
          <w:lang w:eastAsia="en-US"/>
        </w:rPr>
        <w:t xml:space="preserve"> му</w:t>
      </w:r>
      <w:r w:rsidRPr="00DC298B">
        <w:rPr>
          <w:rFonts w:eastAsia="Times New Roman"/>
          <w:lang w:eastAsia="en-US"/>
        </w:rPr>
        <w:t xml:space="preserve"> жизнени потребности, </w:t>
      </w:r>
      <w:r>
        <w:rPr>
          <w:rFonts w:eastAsia="Times New Roman"/>
          <w:lang w:eastAsia="en-US"/>
        </w:rPr>
        <w:t>то</w:t>
      </w:r>
      <w:r w:rsidRPr="00DC298B">
        <w:rPr>
          <w:rFonts w:eastAsia="Times New Roman"/>
          <w:lang w:eastAsia="en-US"/>
        </w:rPr>
        <w:t xml:space="preserve"> </w:t>
      </w:r>
      <w:r>
        <w:rPr>
          <w:rFonts w:eastAsia="Times New Roman"/>
          <w:lang w:eastAsia="en-US"/>
        </w:rPr>
        <w:t xml:space="preserve">има </w:t>
      </w:r>
      <w:r w:rsidRPr="00DC298B">
        <w:rPr>
          <w:rFonts w:eastAsia="Times New Roman"/>
          <w:lang w:eastAsia="en-US"/>
        </w:rPr>
        <w:t xml:space="preserve">право на социални помощи и защита, в т. ч. и хора с увреждания. Наред с това, пристигащите от Украйна имат право да работят </w:t>
      </w:r>
      <w:r>
        <w:rPr>
          <w:rFonts w:eastAsia="Times New Roman"/>
          <w:lang w:eastAsia="en-US"/>
        </w:rPr>
        <w:t>в България</w:t>
      </w:r>
      <w:r w:rsidRPr="00DC298B">
        <w:rPr>
          <w:rFonts w:eastAsia="Times New Roman"/>
          <w:lang w:eastAsia="en-US"/>
        </w:rPr>
        <w:t xml:space="preserve"> без разрешение за достъп до пазара на труда, както и да ползват облекчени процедури за достъп до българския пазар на труда. Към 31.12.2022</w:t>
      </w:r>
      <w:r w:rsidR="00B552D5">
        <w:rPr>
          <w:rFonts w:eastAsia="Times New Roman"/>
          <w:lang w:eastAsia="en-US"/>
        </w:rPr>
        <w:t> г.</w:t>
      </w:r>
      <w:r w:rsidRPr="00DC298B">
        <w:rPr>
          <w:rFonts w:eastAsia="Times New Roman"/>
          <w:lang w:eastAsia="en-US"/>
        </w:rPr>
        <w:t xml:space="preserve"> Министерството на труда и социалната политика отчита разходи в размер на 16</w:t>
      </w:r>
      <w:r w:rsidR="00A32996">
        <w:rPr>
          <w:rFonts w:eastAsia="Times New Roman"/>
          <w:lang w:val="en-US" w:eastAsia="en-US"/>
        </w:rPr>
        <w:t>.</w:t>
      </w:r>
      <w:r w:rsidRPr="00DC298B">
        <w:rPr>
          <w:rFonts w:eastAsia="Times New Roman"/>
          <w:lang w:eastAsia="en-US"/>
        </w:rPr>
        <w:t xml:space="preserve">3 млн. лв. за сметка на бюджета </w:t>
      </w:r>
      <w:r>
        <w:rPr>
          <w:rFonts w:eastAsia="Times New Roman"/>
          <w:lang w:eastAsia="en-US"/>
        </w:rPr>
        <w:t xml:space="preserve">си </w:t>
      </w:r>
      <w:r w:rsidRPr="00DC298B">
        <w:rPr>
          <w:rFonts w:eastAsia="Times New Roman"/>
          <w:lang w:eastAsia="en-US"/>
        </w:rPr>
        <w:t>и 4</w:t>
      </w:r>
      <w:r w:rsidR="00A32996">
        <w:rPr>
          <w:rFonts w:eastAsia="Times New Roman"/>
          <w:lang w:val="en-US" w:eastAsia="en-US"/>
        </w:rPr>
        <w:t>.</w:t>
      </w:r>
      <w:r w:rsidRPr="00DC298B">
        <w:rPr>
          <w:rFonts w:eastAsia="Times New Roman"/>
          <w:lang w:eastAsia="en-US"/>
        </w:rPr>
        <w:t>5 млн. лв. средства от ЕС</w:t>
      </w:r>
      <w:r>
        <w:rPr>
          <w:rFonts w:eastAsia="Times New Roman"/>
          <w:lang w:eastAsia="en-US"/>
        </w:rPr>
        <w:t>.</w:t>
      </w:r>
      <w:r w:rsidR="0005652B">
        <w:rPr>
          <w:rFonts w:eastAsia="Times New Roman"/>
          <w:lang w:eastAsia="en-US"/>
        </w:rPr>
        <w:t xml:space="preserve"> </w:t>
      </w:r>
      <w:r>
        <w:rPr>
          <w:rFonts w:eastAsia="Times New Roman"/>
          <w:lang w:eastAsia="en-US"/>
        </w:rPr>
        <w:t>Като</w:t>
      </w:r>
      <w:r w:rsidRPr="00DC298B">
        <w:rPr>
          <w:rFonts w:eastAsia="Times New Roman"/>
          <w:lang w:eastAsia="en-US"/>
        </w:rPr>
        <w:t xml:space="preserve"> социални разходи </w:t>
      </w:r>
      <w:r>
        <w:rPr>
          <w:rFonts w:eastAsia="Times New Roman"/>
          <w:lang w:eastAsia="en-US"/>
        </w:rPr>
        <w:t>са отчетени</w:t>
      </w:r>
      <w:r w:rsidRPr="00DC298B">
        <w:rPr>
          <w:rFonts w:eastAsia="Times New Roman"/>
          <w:lang w:eastAsia="en-US"/>
        </w:rPr>
        <w:t xml:space="preserve"> отпуснати</w:t>
      </w:r>
      <w:r>
        <w:rPr>
          <w:rFonts w:eastAsia="Times New Roman"/>
          <w:lang w:eastAsia="en-US"/>
        </w:rPr>
        <w:t>те</w:t>
      </w:r>
      <w:r w:rsidRPr="00DC298B">
        <w:rPr>
          <w:rFonts w:eastAsia="Times New Roman"/>
          <w:lang w:eastAsia="en-US"/>
        </w:rPr>
        <w:t xml:space="preserve"> еднократни помощи по реда на чл. 16 от Правилника за прилагане на Закона за социално подпомагане на разселени от Украйна лица с предоставена временна закрила, </w:t>
      </w:r>
      <w:r>
        <w:rPr>
          <w:rFonts w:eastAsia="Times New Roman"/>
          <w:lang w:eastAsia="en-US"/>
        </w:rPr>
        <w:t xml:space="preserve">като сумата е </w:t>
      </w:r>
      <w:r w:rsidRPr="00DC298B">
        <w:rPr>
          <w:rFonts w:eastAsia="Times New Roman"/>
          <w:lang w:eastAsia="en-US"/>
        </w:rPr>
        <w:t>до петкратния размер на гарантирания минимален доход (375 лв.). За периода от 24.02.2022</w:t>
      </w:r>
      <w:r w:rsidR="00B552D5">
        <w:rPr>
          <w:rFonts w:eastAsia="Times New Roman"/>
          <w:lang w:eastAsia="en-US"/>
        </w:rPr>
        <w:t> г.</w:t>
      </w:r>
      <w:r w:rsidRPr="00DC298B">
        <w:rPr>
          <w:rFonts w:eastAsia="Times New Roman"/>
          <w:lang w:eastAsia="en-US"/>
        </w:rPr>
        <w:t xml:space="preserve"> до 31.12.2022</w:t>
      </w:r>
      <w:r w:rsidR="00B552D5">
        <w:rPr>
          <w:rFonts w:eastAsia="Times New Roman"/>
          <w:lang w:eastAsia="en-US"/>
        </w:rPr>
        <w:t> г.</w:t>
      </w:r>
      <w:r w:rsidRPr="00DC298B">
        <w:rPr>
          <w:rFonts w:eastAsia="Times New Roman"/>
          <w:lang w:eastAsia="en-US"/>
        </w:rPr>
        <w:t xml:space="preserve"> са изплатени еднократни помощи на 43 483 лица с предоставена временна закрила.</w:t>
      </w:r>
    </w:p>
    <w:p w14:paraId="6D5B7A7F" w14:textId="7C87F7AA" w:rsidR="00812D50" w:rsidRPr="003D4DBD" w:rsidRDefault="00B32C25" w:rsidP="00A21972">
      <w:pPr>
        <w:rPr>
          <w:szCs w:val="24"/>
        </w:rPr>
      </w:pPr>
      <w:r w:rsidRPr="00DC298B">
        <w:rPr>
          <w:rFonts w:eastAsia="Times New Roman"/>
          <w:lang w:eastAsia="en-US"/>
        </w:rPr>
        <w:t>По проект „Солидарност“</w:t>
      </w:r>
      <w:r>
        <w:rPr>
          <w:rFonts w:eastAsia="Times New Roman"/>
          <w:lang w:eastAsia="en-US"/>
        </w:rPr>
        <w:t>, администриран от Министерството на труда и социалната политика</w:t>
      </w:r>
      <w:r w:rsidR="00A21972">
        <w:rPr>
          <w:rFonts w:eastAsia="Times New Roman"/>
          <w:lang w:eastAsia="en-US"/>
        </w:rPr>
        <w:t xml:space="preserve">, </w:t>
      </w:r>
      <w:r w:rsidR="0005652B">
        <w:rPr>
          <w:rFonts w:eastAsia="Times New Roman"/>
          <w:lang w:eastAsia="en-US"/>
        </w:rPr>
        <w:t xml:space="preserve"> </w:t>
      </w:r>
      <w:r w:rsidRPr="00DC298B">
        <w:rPr>
          <w:rFonts w:eastAsia="Times New Roman"/>
          <w:lang w:eastAsia="en-US"/>
        </w:rPr>
        <w:t>изплатените средства за предоставени субсидии в размер на 4</w:t>
      </w:r>
      <w:r w:rsidR="00A32996">
        <w:rPr>
          <w:rFonts w:eastAsia="Times New Roman"/>
          <w:lang w:val="en-US" w:eastAsia="en-US"/>
        </w:rPr>
        <w:t>.</w:t>
      </w:r>
      <w:r w:rsidRPr="00DC298B">
        <w:rPr>
          <w:rFonts w:eastAsia="Times New Roman"/>
          <w:lang w:eastAsia="en-US"/>
        </w:rPr>
        <w:t>3 млн. лв. включват минимална помощ по смисъла на Регламент</w:t>
      </w:r>
      <w:r>
        <w:rPr>
          <w:rFonts w:eastAsia="Times New Roman"/>
          <w:lang w:eastAsia="en-US"/>
        </w:rPr>
        <w:t> </w:t>
      </w:r>
      <w:r w:rsidR="00A32996">
        <w:rPr>
          <w:rFonts w:eastAsia="Times New Roman"/>
          <w:lang w:eastAsia="en-US"/>
        </w:rPr>
        <w:t>(ЕС) №</w:t>
      </w:r>
      <w:r w:rsidRPr="00DC298B">
        <w:rPr>
          <w:rFonts w:eastAsia="Times New Roman"/>
          <w:lang w:eastAsia="en-US"/>
        </w:rPr>
        <w:t>1407/2013</w:t>
      </w:r>
      <w:r w:rsidR="00B552D5">
        <w:rPr>
          <w:rFonts w:eastAsia="Times New Roman"/>
          <w:lang w:eastAsia="en-US"/>
        </w:rPr>
        <w:t> г.</w:t>
      </w:r>
      <w:r w:rsidRPr="00DC298B">
        <w:rPr>
          <w:rFonts w:eastAsia="Times New Roman"/>
          <w:lang w:eastAsia="en-US"/>
        </w:rPr>
        <w:t xml:space="preserve"> и интеграционна добавка за настаняване на лица, украински граждани. Възнагражденията на 2 785 украински граждани възлизат на стойност 2</w:t>
      </w:r>
      <w:r w:rsidR="00A32996">
        <w:rPr>
          <w:rFonts w:eastAsia="Times New Roman"/>
          <w:lang w:val="en-US" w:eastAsia="en-US"/>
        </w:rPr>
        <w:t>.</w:t>
      </w:r>
      <w:r w:rsidRPr="00DC298B">
        <w:rPr>
          <w:rFonts w:eastAsia="Times New Roman"/>
          <w:lang w:eastAsia="en-US"/>
        </w:rPr>
        <w:t>71</w:t>
      </w:r>
      <w:r>
        <w:rPr>
          <w:rFonts w:eastAsia="Times New Roman"/>
          <w:lang w:eastAsia="en-US"/>
        </w:rPr>
        <w:t xml:space="preserve"> млн.</w:t>
      </w:r>
      <w:r w:rsidRPr="00DC298B">
        <w:rPr>
          <w:rFonts w:eastAsia="Times New Roman"/>
          <w:lang w:eastAsia="en-US"/>
        </w:rPr>
        <w:t xml:space="preserve"> лв. От интеграционната добавка в </w:t>
      </w:r>
      <w:r>
        <w:rPr>
          <w:rFonts w:eastAsia="Times New Roman"/>
          <w:lang w:eastAsia="en-US"/>
        </w:rPr>
        <w:t xml:space="preserve">общ </w:t>
      </w:r>
      <w:r w:rsidRPr="00DC298B">
        <w:rPr>
          <w:rFonts w:eastAsia="Times New Roman"/>
          <w:lang w:eastAsia="en-US"/>
        </w:rPr>
        <w:t>размер на 1</w:t>
      </w:r>
      <w:r w:rsidR="00A32996">
        <w:rPr>
          <w:rFonts w:eastAsia="Times New Roman"/>
          <w:lang w:val="en-US" w:eastAsia="en-US"/>
        </w:rPr>
        <w:t>.</w:t>
      </w:r>
      <w:r w:rsidRPr="00DC298B">
        <w:rPr>
          <w:rFonts w:eastAsia="Times New Roman"/>
          <w:lang w:eastAsia="en-US"/>
        </w:rPr>
        <w:t>2</w:t>
      </w:r>
      <w:r>
        <w:rPr>
          <w:rFonts w:eastAsia="Times New Roman"/>
          <w:lang w:eastAsia="en-US"/>
        </w:rPr>
        <w:t>5 млн. лв.</w:t>
      </w:r>
      <w:r w:rsidRPr="00DC298B">
        <w:rPr>
          <w:rFonts w:eastAsia="Times New Roman"/>
          <w:lang w:eastAsia="en-US"/>
        </w:rPr>
        <w:t xml:space="preserve"> лв. са се възползвали</w:t>
      </w:r>
      <w:r w:rsidR="0005652B">
        <w:rPr>
          <w:rFonts w:eastAsia="Times New Roman"/>
          <w:lang w:eastAsia="en-US"/>
        </w:rPr>
        <w:t xml:space="preserve"> </w:t>
      </w:r>
      <w:r w:rsidRPr="00DC298B">
        <w:rPr>
          <w:rFonts w:eastAsia="Times New Roman"/>
          <w:lang w:eastAsia="en-US"/>
        </w:rPr>
        <w:t xml:space="preserve">1 960 украински граждани. Възнагражденията на 633 ментори са в размер на </w:t>
      </w:r>
      <w:r>
        <w:rPr>
          <w:rFonts w:eastAsia="Times New Roman"/>
          <w:lang w:eastAsia="en-US"/>
        </w:rPr>
        <w:t>0</w:t>
      </w:r>
      <w:r w:rsidR="00A32996">
        <w:rPr>
          <w:rFonts w:eastAsia="Times New Roman"/>
          <w:lang w:val="en-US" w:eastAsia="en-US"/>
        </w:rPr>
        <w:t>.</w:t>
      </w:r>
      <w:r>
        <w:rPr>
          <w:rFonts w:eastAsia="Times New Roman"/>
          <w:lang w:eastAsia="en-US"/>
        </w:rPr>
        <w:t>34 млн. лв</w:t>
      </w:r>
      <w:r w:rsidRPr="00DC298B">
        <w:rPr>
          <w:rFonts w:eastAsia="Times New Roman"/>
          <w:lang w:eastAsia="en-US"/>
        </w:rPr>
        <w:t>.</w:t>
      </w:r>
      <w:r w:rsidRPr="00DC298B">
        <w:rPr>
          <w:rFonts w:eastAsia="Times New Roman"/>
          <w:bCs/>
          <w:lang w:eastAsia="en-US"/>
        </w:rPr>
        <w:t xml:space="preserve"> Средствата по проекта се предоставят съгласно Регламент (ЕС) 2022/613 на Европейския Парламент и на</w:t>
      </w:r>
      <w:r w:rsidR="0005652B">
        <w:rPr>
          <w:rFonts w:eastAsia="Times New Roman"/>
          <w:bCs/>
          <w:lang w:eastAsia="en-US"/>
        </w:rPr>
        <w:t xml:space="preserve"> </w:t>
      </w:r>
      <w:r w:rsidRPr="00DC298B">
        <w:rPr>
          <w:rFonts w:eastAsia="Times New Roman"/>
          <w:bCs/>
          <w:lang w:eastAsia="en-US"/>
        </w:rPr>
        <w:t>Съвета от 12 април 2022</w:t>
      </w:r>
      <w:r w:rsidR="00B552D5">
        <w:rPr>
          <w:rFonts w:eastAsia="Times New Roman"/>
          <w:bCs/>
          <w:lang w:eastAsia="en-US"/>
        </w:rPr>
        <w:t> г.</w:t>
      </w:r>
      <w:r w:rsidRPr="00DC298B">
        <w:rPr>
          <w:rFonts w:eastAsia="Times New Roman"/>
          <w:bCs/>
          <w:lang w:eastAsia="en-US"/>
        </w:rPr>
        <w:t xml:space="preserve"> за</w:t>
      </w:r>
      <w:r w:rsidR="00A32996">
        <w:rPr>
          <w:rFonts w:eastAsia="Times New Roman"/>
          <w:bCs/>
          <w:lang w:eastAsia="en-US"/>
        </w:rPr>
        <w:t xml:space="preserve"> изменение на Регламенти (ЕС) №1303/2013 и (ЕС) №</w:t>
      </w:r>
      <w:r w:rsidRPr="00DC298B">
        <w:rPr>
          <w:rFonts w:eastAsia="Times New Roman"/>
          <w:bCs/>
          <w:lang w:eastAsia="en-US"/>
        </w:rPr>
        <w:t xml:space="preserve">223/2014 по отношение на увеличено предварително финансиране със средства по линия на REACT-EU и за определяне на разход за единица продукт. По проекта са изплатени средства на разселени лица от Украйна и техните семейства. </w:t>
      </w:r>
      <w:r w:rsidR="00812D50">
        <w:rPr>
          <w:rFonts w:eastAsia="Times New Roman"/>
          <w:bCs/>
          <w:lang w:eastAsia="en-US"/>
        </w:rPr>
        <w:t xml:space="preserve"> </w:t>
      </w:r>
    </w:p>
    <w:p w14:paraId="68A18EDA" w14:textId="77777777" w:rsidR="00B32C25" w:rsidRPr="00DC298B" w:rsidRDefault="00B32C25" w:rsidP="00C0210D">
      <w:pPr>
        <w:pStyle w:val="Heading5"/>
        <w:rPr>
          <w:rFonts w:eastAsia="Calibri"/>
          <w:lang w:eastAsia="en-US"/>
        </w:rPr>
      </w:pPr>
      <w:r w:rsidRPr="00DC298B">
        <w:rPr>
          <w:rFonts w:eastAsia="Calibri"/>
          <w:lang w:eastAsia="en-US"/>
        </w:rPr>
        <w:t>Компенсации за българските земеделски производители за неблагоприятните последици от войната в Украйна</w:t>
      </w:r>
    </w:p>
    <w:p w14:paraId="18F23C61" w14:textId="3078EE85" w:rsidR="00B32C25" w:rsidRPr="00DC298B" w:rsidRDefault="00A32996" w:rsidP="00B32C25">
      <w:pPr>
        <w:spacing w:before="120" w:after="0"/>
        <w:rPr>
          <w:rFonts w:eastAsia="Calibri"/>
          <w:color w:val="0070C0"/>
          <w:lang w:eastAsia="en-US"/>
        </w:rPr>
      </w:pPr>
      <w:r>
        <w:rPr>
          <w:rFonts w:eastAsia="Calibri"/>
          <w:lang w:eastAsia="en-US"/>
        </w:rPr>
        <w:t>С ПМС №</w:t>
      </w:r>
      <w:r w:rsidR="00B32C25" w:rsidRPr="00DC298B">
        <w:rPr>
          <w:rFonts w:eastAsia="Calibri"/>
          <w:lang w:eastAsia="en-US"/>
        </w:rPr>
        <w:t>247 от 17.08.2022</w:t>
      </w:r>
      <w:r w:rsidR="00B552D5">
        <w:rPr>
          <w:rFonts w:eastAsia="Calibri"/>
          <w:lang w:eastAsia="en-US"/>
        </w:rPr>
        <w:t> г.</w:t>
      </w:r>
      <w:r w:rsidR="00B32C25" w:rsidRPr="00DC298B">
        <w:rPr>
          <w:rFonts w:eastAsia="Calibri"/>
          <w:lang w:eastAsia="en-US"/>
        </w:rPr>
        <w:t xml:space="preserve"> на Държавен фонд „Земеделие“ са предоставени средства за осигуряване на ликвидност на земеделските стопани и за подкрепа на свиневъдите и птицевъдите за хуманно отношение към животните, както и за осигуряване на подкрепа на земеделските стопани по национални мерки за компенсации на повишените цени на енергоносители, фуражи, препарати за растителна защита, горива и торове. </w:t>
      </w:r>
      <w:r w:rsidR="00B32C25" w:rsidRPr="00DC298B">
        <w:rPr>
          <w:rFonts w:eastAsia="Times New Roman"/>
          <w:lang w:eastAsia="en-US"/>
        </w:rPr>
        <w:t>Към 31.12.2022</w:t>
      </w:r>
      <w:r w:rsidR="00B552D5">
        <w:rPr>
          <w:rFonts w:eastAsia="Times New Roman"/>
          <w:lang w:eastAsia="en-US"/>
        </w:rPr>
        <w:t> г.</w:t>
      </w:r>
      <w:r w:rsidR="00B32C25" w:rsidRPr="00DC298B">
        <w:rPr>
          <w:rFonts w:eastAsia="Times New Roman"/>
          <w:lang w:eastAsia="en-US"/>
        </w:rPr>
        <w:t xml:space="preserve"> Държавен фонд „Земеделие“ отчита</w:t>
      </w:r>
      <w:r w:rsidR="0005652B">
        <w:rPr>
          <w:rFonts w:eastAsia="Times New Roman"/>
          <w:lang w:eastAsia="en-US"/>
        </w:rPr>
        <w:t xml:space="preserve"> </w:t>
      </w:r>
      <w:r w:rsidR="00B32C25" w:rsidRPr="00DC298B">
        <w:rPr>
          <w:rFonts w:eastAsia="Times New Roman"/>
          <w:lang w:eastAsia="en-US"/>
        </w:rPr>
        <w:t xml:space="preserve">разходи </w:t>
      </w:r>
      <w:r w:rsidR="00B32C25">
        <w:rPr>
          <w:rFonts w:eastAsia="Times New Roman"/>
          <w:lang w:eastAsia="en-US"/>
        </w:rPr>
        <w:t xml:space="preserve">за субсидии </w:t>
      </w:r>
      <w:r w:rsidR="00B32C25" w:rsidRPr="00DC298B">
        <w:rPr>
          <w:rFonts w:eastAsia="Times New Roman"/>
          <w:lang w:eastAsia="en-US"/>
        </w:rPr>
        <w:t xml:space="preserve">в общ размер на </w:t>
      </w:r>
      <w:r w:rsidR="00B32C25" w:rsidRPr="00DC298B">
        <w:rPr>
          <w:rFonts w:eastAsia="Times New Roman"/>
          <w:lang w:eastAsia="en-US"/>
        </w:rPr>
        <w:lastRenderedPageBreak/>
        <w:t>444</w:t>
      </w:r>
      <w:r>
        <w:rPr>
          <w:rFonts w:eastAsia="Times New Roman"/>
          <w:lang w:val="en-US" w:eastAsia="en-US"/>
        </w:rPr>
        <w:t>.</w:t>
      </w:r>
      <w:r w:rsidR="00B32C25" w:rsidRPr="00DC298B">
        <w:rPr>
          <w:rFonts w:eastAsia="Times New Roman"/>
          <w:lang w:eastAsia="en-US"/>
        </w:rPr>
        <w:t xml:space="preserve">0 млн. лв. за осигуряване на ликвидност на земеделските стопани </w:t>
      </w:r>
      <w:r w:rsidR="00B32C25" w:rsidRPr="00DC298B">
        <w:rPr>
          <w:rFonts w:eastAsia="Calibri"/>
          <w:lang w:eastAsia="en-US"/>
        </w:rPr>
        <w:t>по Временната рамка във връзка с военните действия в Украйна</w:t>
      </w:r>
      <w:r w:rsidR="00B32C25" w:rsidRPr="00DC298B">
        <w:rPr>
          <w:rFonts w:eastAsia="Times New Roman"/>
          <w:lang w:eastAsia="en-US"/>
        </w:rPr>
        <w:t xml:space="preserve"> и за подкрепа на свиневъдите и птицевъдите за хуманно отношение към животните, както и за осигуряване на подкрепа на земеделските стопани по национални мерки за компенсации на повишените цени на енергоносители, фуражи, препарати за растителна защита, горива и торове. </w:t>
      </w:r>
    </w:p>
    <w:p w14:paraId="20032065" w14:textId="77777777" w:rsidR="00B32C25" w:rsidRPr="00DC298B" w:rsidRDefault="00B32C25" w:rsidP="00C0210D">
      <w:pPr>
        <w:pStyle w:val="Heading5"/>
        <w:rPr>
          <w:rFonts w:eastAsia="Times New Roman"/>
        </w:rPr>
      </w:pPr>
      <w:r w:rsidRPr="00DC298B">
        <w:rPr>
          <w:rFonts w:eastAsia="Times New Roman"/>
        </w:rPr>
        <w:t>Други разходи</w:t>
      </w:r>
    </w:p>
    <w:p w14:paraId="32FE7D49" w14:textId="3D498C11" w:rsidR="00B32C25" w:rsidRPr="00DC298B" w:rsidRDefault="00B32C25" w:rsidP="00B32C25">
      <w:pPr>
        <w:spacing w:after="0"/>
        <w:rPr>
          <w:rFonts w:eastAsia="Times New Roman"/>
          <w:lang w:eastAsia="en-US"/>
        </w:rPr>
      </w:pPr>
      <w:r w:rsidRPr="00DC298B">
        <w:rPr>
          <w:rFonts w:eastAsia="Times New Roman"/>
          <w:bCs/>
          <w:lang w:eastAsia="en-US"/>
        </w:rPr>
        <w:t>Министерство на вътрешните работи отчита извършени разходи в размер на 3</w:t>
      </w:r>
      <w:r w:rsidR="00A32996">
        <w:rPr>
          <w:rFonts w:eastAsia="Times New Roman"/>
          <w:bCs/>
          <w:lang w:val="en-US" w:eastAsia="en-US"/>
        </w:rPr>
        <w:t>.</w:t>
      </w:r>
      <w:r w:rsidRPr="00DC298B">
        <w:rPr>
          <w:rFonts w:eastAsia="Times New Roman"/>
          <w:bCs/>
          <w:lang w:eastAsia="en-US"/>
        </w:rPr>
        <w:t>0 млн. лв. за</w:t>
      </w:r>
      <w:r w:rsidR="0005652B">
        <w:rPr>
          <w:rFonts w:eastAsia="Times New Roman"/>
          <w:bCs/>
          <w:lang w:eastAsia="en-US"/>
        </w:rPr>
        <w:t xml:space="preserve"> </w:t>
      </w:r>
      <w:r w:rsidRPr="00DC298B">
        <w:rPr>
          <w:rFonts w:eastAsia="Times New Roman"/>
          <w:color w:val="000000"/>
          <w:lang w:eastAsia="en-US"/>
        </w:rPr>
        <w:t>хуманитарна помощ, както и за справяне с последствията във връзка с военните действия в Украйна</w:t>
      </w:r>
      <w:r w:rsidRPr="00DC298B">
        <w:rPr>
          <w:rFonts w:eastAsia="Times New Roman"/>
          <w:lang w:eastAsia="en-US"/>
        </w:rPr>
        <w:t xml:space="preserve"> за периода 01.01</w:t>
      </w:r>
      <w:r w:rsidR="00B552D5">
        <w:rPr>
          <w:rFonts w:eastAsia="Times New Roman"/>
          <w:lang w:eastAsia="en-US"/>
        </w:rPr>
        <w:t xml:space="preserve"> – </w:t>
      </w:r>
      <w:r w:rsidRPr="00DC298B">
        <w:rPr>
          <w:rFonts w:eastAsia="Times New Roman"/>
          <w:lang w:eastAsia="en-US"/>
        </w:rPr>
        <w:t>31.12.2022</w:t>
      </w:r>
      <w:r w:rsidR="00B552D5">
        <w:rPr>
          <w:rFonts w:eastAsia="Times New Roman"/>
          <w:lang w:eastAsia="en-US"/>
        </w:rPr>
        <w:t> г.</w:t>
      </w:r>
      <w:r w:rsidRPr="00DC298B">
        <w:rPr>
          <w:rFonts w:eastAsia="Times New Roman"/>
          <w:lang w:eastAsia="en-US"/>
        </w:rPr>
        <w:t xml:space="preserve"> Посочените данни включват разходи за положен извънреден труд и дължимите осигурителни вноски върху него, както и заплати и съответните осигурителни вноски за персонала в почивните бази на МВР, обслужващ настанените членове на семейства на служители на МВР на Украйна. </w:t>
      </w:r>
      <w:r>
        <w:rPr>
          <w:rFonts w:eastAsia="Times New Roman"/>
          <w:lang w:eastAsia="en-US"/>
        </w:rPr>
        <w:t>В сумата са включени и разходи за издръжка и за капиталови разходи.</w:t>
      </w:r>
    </w:p>
    <w:p w14:paraId="68193501" w14:textId="7C42D06C" w:rsidR="00B32C25" w:rsidRPr="00DC298B" w:rsidRDefault="00B32C25" w:rsidP="00B32C25">
      <w:pPr>
        <w:tabs>
          <w:tab w:val="right" w:pos="8364"/>
        </w:tabs>
        <w:spacing w:after="0"/>
        <w:rPr>
          <w:rFonts w:eastAsia="Times New Roman"/>
          <w:lang w:eastAsia="en-US"/>
        </w:rPr>
      </w:pPr>
      <w:r w:rsidRPr="00DC298B">
        <w:rPr>
          <w:rFonts w:eastAsia="Times New Roman"/>
          <w:lang w:eastAsia="en-US"/>
        </w:rPr>
        <w:t>Разходите на Министерския съвет в това направление са в размер на 5</w:t>
      </w:r>
      <w:r w:rsidR="00A32996">
        <w:rPr>
          <w:rFonts w:eastAsia="Times New Roman"/>
          <w:lang w:val="en-US" w:eastAsia="en-US"/>
        </w:rPr>
        <w:t>.</w:t>
      </w:r>
      <w:r w:rsidRPr="00DC298B">
        <w:rPr>
          <w:rFonts w:eastAsia="Times New Roman"/>
          <w:lang w:eastAsia="en-US"/>
        </w:rPr>
        <w:t>4 млн. лв., от които за издръжка са отчетени 5</w:t>
      </w:r>
      <w:r w:rsidR="00A32996">
        <w:rPr>
          <w:rFonts w:eastAsia="Times New Roman"/>
          <w:lang w:val="en-US" w:eastAsia="en-US"/>
        </w:rPr>
        <w:t>.</w:t>
      </w:r>
      <w:r w:rsidRPr="00DC298B">
        <w:rPr>
          <w:rFonts w:eastAsia="Times New Roman"/>
          <w:lang w:eastAsia="en-US"/>
        </w:rPr>
        <w:t xml:space="preserve">2 млн. лева. </w:t>
      </w:r>
    </w:p>
    <w:p w14:paraId="2A135F40" w14:textId="2AB36274" w:rsidR="00B32C25" w:rsidRDefault="00B32C25" w:rsidP="00B32C25">
      <w:pPr>
        <w:spacing w:before="120" w:after="0"/>
        <w:rPr>
          <w:rFonts w:eastAsia="Times New Roman"/>
          <w:bCs/>
          <w:lang w:eastAsia="en-US"/>
        </w:rPr>
      </w:pPr>
      <w:r w:rsidRPr="00DC298B">
        <w:rPr>
          <w:rFonts w:eastAsia="Times New Roman"/>
          <w:bCs/>
          <w:lang w:eastAsia="en-US"/>
        </w:rPr>
        <w:t>Извършените разходи от Министерството на отбраната за хуманитарна помощ, както и за справяне с последствията във връзка с военните действия в Украйна са в размер на 2</w:t>
      </w:r>
      <w:r w:rsidR="00A32996">
        <w:rPr>
          <w:rFonts w:eastAsia="Times New Roman"/>
          <w:bCs/>
          <w:lang w:val="en-US" w:eastAsia="en-US"/>
        </w:rPr>
        <w:t>.</w:t>
      </w:r>
      <w:r w:rsidRPr="00DC298B">
        <w:rPr>
          <w:rFonts w:eastAsia="Times New Roman"/>
          <w:bCs/>
          <w:lang w:eastAsia="en-US"/>
        </w:rPr>
        <w:t>6 млн. лв. за сметка на бюджета на Министерството на отбраната.</w:t>
      </w:r>
    </w:p>
    <w:p w14:paraId="4439E5B4" w14:textId="6F0CD59F" w:rsidR="00B32C25" w:rsidRPr="00DC298B" w:rsidRDefault="00B32C25" w:rsidP="00A21972">
      <w:pPr>
        <w:spacing w:before="120"/>
        <w:rPr>
          <w:rFonts w:eastAsia="Times New Roman"/>
          <w:bCs/>
          <w:color w:val="0070C0"/>
        </w:rPr>
      </w:pPr>
      <w:r>
        <w:rPr>
          <w:rFonts w:eastAsia="Times New Roman"/>
          <w:bCs/>
          <w:lang w:eastAsia="en-US"/>
        </w:rPr>
        <w:t>Като разходи за субсидии се отчитат похарчените 2</w:t>
      </w:r>
      <w:r w:rsidR="00A32996">
        <w:rPr>
          <w:rFonts w:eastAsia="Times New Roman"/>
          <w:bCs/>
          <w:lang w:val="en-US" w:eastAsia="en-US"/>
        </w:rPr>
        <w:t>.</w:t>
      </w:r>
      <w:r>
        <w:rPr>
          <w:rFonts w:eastAsia="Times New Roman"/>
          <w:bCs/>
          <w:lang w:eastAsia="en-US"/>
        </w:rPr>
        <w:t>6 млн. лв. по бюджета на Министерството на транспорта и съобщенията, с които се покрива безплатния превоз на украински граждани на територията на страната.</w:t>
      </w:r>
    </w:p>
    <w:p w14:paraId="22BCFDE6" w14:textId="3DC7E2DD" w:rsidR="00E708A2" w:rsidRPr="00E708A2" w:rsidRDefault="00B32C25" w:rsidP="00C0210D">
      <w:pPr>
        <w:spacing w:before="120"/>
        <w:ind w:firstLine="397"/>
        <w:rPr>
          <w:szCs w:val="24"/>
        </w:rPr>
      </w:pPr>
      <w:r w:rsidRPr="00C0210D">
        <w:rPr>
          <w:rStyle w:val="Heading5Char"/>
        </w:rPr>
        <w:t>В областта на здравеопазването</w:t>
      </w:r>
      <w:r w:rsidR="00B552D5">
        <w:rPr>
          <w:rFonts w:eastAsia="Times New Roman"/>
          <w:lang w:eastAsia="en-US"/>
        </w:rPr>
        <w:t xml:space="preserve"> – </w:t>
      </w:r>
      <w:r w:rsidRPr="00DC298B">
        <w:rPr>
          <w:rFonts w:eastAsia="Times New Roman"/>
          <w:lang w:eastAsia="en-US"/>
        </w:rPr>
        <w:t>с приети</w:t>
      </w:r>
      <w:r w:rsidR="00493623">
        <w:rPr>
          <w:rFonts w:eastAsia="Times New Roman"/>
          <w:lang w:eastAsia="en-US"/>
        </w:rPr>
        <w:t xml:space="preserve"> през 2022</w:t>
      </w:r>
      <w:r w:rsidR="00B552D5">
        <w:rPr>
          <w:rFonts w:eastAsia="Times New Roman"/>
          <w:lang w:eastAsia="en-US"/>
        </w:rPr>
        <w:t> г.</w:t>
      </w:r>
      <w:r w:rsidRPr="00DC298B">
        <w:rPr>
          <w:rFonts w:eastAsia="Times New Roman"/>
          <w:lang w:eastAsia="en-US"/>
        </w:rPr>
        <w:t xml:space="preserve"> от Народното събрание промени в Закона за здравното осигуряване на чуждите граждани с временна закрила бе осигурен достъп до пълния обхват медицинска помощ, заплащана от НЗОК, като конкретните въпроси, свързани с определяне на размера и реда за внасянето на здравноосигурителните вноски, лицата които ги внасят, момента на възникване на задълженията за заплащане и момента на възникване на правата на осигурените лица са определени с Постановление №69 от 5 май 2022</w:t>
      </w:r>
      <w:r w:rsidR="00B552D5">
        <w:rPr>
          <w:rFonts w:eastAsia="Times New Roman"/>
          <w:lang w:eastAsia="en-US"/>
        </w:rPr>
        <w:t> г.</w:t>
      </w:r>
      <w:r w:rsidRPr="00DC298B">
        <w:rPr>
          <w:rFonts w:eastAsia="Times New Roman"/>
          <w:lang w:eastAsia="en-US"/>
        </w:rPr>
        <w:t xml:space="preserve"> на Министерския съвет за здравно осигуряване на лицата с временна закрила по чл. 1а, ал. 3 от Закона за убежището и бежанците и на лицата по чл. 39, ал. 6, т. 2 и чл. 40а, ал. 3а от </w:t>
      </w:r>
      <w:r w:rsidR="00812D50">
        <w:rPr>
          <w:rFonts w:eastAsia="Times New Roman"/>
          <w:lang w:eastAsia="en-US"/>
        </w:rPr>
        <w:t xml:space="preserve">Закона за здравното осигуряване, </w:t>
      </w:r>
      <w:r w:rsidR="00812D50" w:rsidRPr="003D4DBD">
        <w:rPr>
          <w:szCs w:val="24"/>
        </w:rPr>
        <w:t xml:space="preserve">като за целта </w:t>
      </w:r>
      <w:r w:rsidR="00031455" w:rsidRPr="00CA551E">
        <w:rPr>
          <w:szCs w:val="24"/>
        </w:rPr>
        <w:t xml:space="preserve">от държавния  бюджет през 2022 г. бяха осигурени 7,3 млн. лв., а </w:t>
      </w:r>
      <w:r w:rsidR="00812D50" w:rsidRPr="003D4DBD">
        <w:rPr>
          <w:szCs w:val="24"/>
        </w:rPr>
        <w:t>в проекта на закон за 2023</w:t>
      </w:r>
      <w:r w:rsidR="00B552D5">
        <w:rPr>
          <w:szCs w:val="24"/>
        </w:rPr>
        <w:t> г.</w:t>
      </w:r>
      <w:r w:rsidR="00812D50" w:rsidRPr="003D4DBD">
        <w:rPr>
          <w:szCs w:val="24"/>
        </w:rPr>
        <w:t xml:space="preserve"> са разчетени 10</w:t>
      </w:r>
      <w:r w:rsidR="00B52736">
        <w:rPr>
          <w:szCs w:val="24"/>
        </w:rPr>
        <w:t>.</w:t>
      </w:r>
      <w:r w:rsidR="00812D50" w:rsidRPr="003D4DBD">
        <w:rPr>
          <w:szCs w:val="24"/>
        </w:rPr>
        <w:t>0 млн. лв.</w:t>
      </w:r>
    </w:p>
    <w:p w14:paraId="68B1DBC9" w14:textId="366E8C8E" w:rsidR="00493623" w:rsidRDefault="00B32C25" w:rsidP="00C0210D">
      <w:pPr>
        <w:ind w:firstLine="397"/>
        <w:rPr>
          <w:rFonts w:eastAsia="Times New Roman"/>
          <w:lang w:eastAsia="en-US"/>
        </w:rPr>
      </w:pPr>
      <w:r w:rsidRPr="00C0210D">
        <w:rPr>
          <w:rStyle w:val="Heading5Char"/>
        </w:rPr>
        <w:t>В областта на образованието</w:t>
      </w:r>
      <w:r w:rsidR="00B552D5">
        <w:rPr>
          <w:rFonts w:eastAsia="Times New Roman"/>
          <w:lang w:eastAsia="en-US"/>
        </w:rPr>
        <w:t xml:space="preserve"> – </w:t>
      </w:r>
      <w:r w:rsidRPr="00DC298B">
        <w:rPr>
          <w:rFonts w:eastAsia="Times New Roman"/>
          <w:lang w:eastAsia="en-US"/>
        </w:rPr>
        <w:t>по отношение на образованието следва да се има предвид че системата е отворена за</w:t>
      </w:r>
      <w:r w:rsidR="0005652B">
        <w:rPr>
          <w:rFonts w:eastAsia="Times New Roman"/>
          <w:lang w:eastAsia="en-US"/>
        </w:rPr>
        <w:t xml:space="preserve"> </w:t>
      </w:r>
      <w:r w:rsidRPr="00DC298B">
        <w:rPr>
          <w:rFonts w:eastAsia="Times New Roman"/>
          <w:lang w:eastAsia="en-US"/>
        </w:rPr>
        <w:t>приемане и обучение на деца и ученици в предучилищна и училищна възраст от Украйна в български държавни и общински детски градини и училища, което разширява обхвата на децата и съответно на разходите, свързани с тях.</w:t>
      </w:r>
    </w:p>
    <w:p w14:paraId="308D6C7E" w14:textId="22D4A60C" w:rsidR="00812D50" w:rsidRDefault="00B32C25" w:rsidP="00812D50">
      <w:pPr>
        <w:rPr>
          <w:rFonts w:eastAsia="Times New Roman"/>
          <w:szCs w:val="20"/>
          <w:lang w:eastAsia="en-US"/>
        </w:rPr>
      </w:pPr>
      <w:r w:rsidRPr="00077ECB">
        <w:rPr>
          <w:rFonts w:eastAsia="Times New Roman"/>
          <w:lang w:eastAsia="en-US"/>
        </w:rPr>
        <w:t>Във връзка с обезпечаването на дейности, насочени към лицата търсещи временна закрила в Република България в следствие на военните действия в Република Украйна, през</w:t>
      </w:r>
      <w:r w:rsidR="0005652B">
        <w:rPr>
          <w:rFonts w:eastAsia="Times New Roman"/>
          <w:lang w:eastAsia="en-US"/>
        </w:rPr>
        <w:t xml:space="preserve"> </w:t>
      </w:r>
      <w:r w:rsidRPr="00077ECB">
        <w:rPr>
          <w:rFonts w:eastAsia="Times New Roman"/>
          <w:lang w:eastAsia="en-US"/>
        </w:rPr>
        <w:t>2022</w:t>
      </w:r>
      <w:r w:rsidR="00B552D5">
        <w:rPr>
          <w:rFonts w:eastAsia="Times New Roman"/>
          <w:lang w:eastAsia="en-US"/>
        </w:rPr>
        <w:t> г.</w:t>
      </w:r>
      <w:r w:rsidRPr="00077ECB">
        <w:rPr>
          <w:rFonts w:eastAsia="Times New Roman"/>
          <w:lang w:eastAsia="en-US"/>
        </w:rPr>
        <w:t xml:space="preserve"> са приети следните актове на Министерски съвет: РМС №144/2022</w:t>
      </w:r>
      <w:r w:rsidR="00B552D5">
        <w:rPr>
          <w:rFonts w:eastAsia="Times New Roman"/>
          <w:lang w:eastAsia="en-US"/>
        </w:rPr>
        <w:t> г.</w:t>
      </w:r>
      <w:r w:rsidRPr="00077ECB">
        <w:rPr>
          <w:rFonts w:eastAsia="Times New Roman"/>
          <w:lang w:eastAsia="en-US"/>
        </w:rPr>
        <w:t xml:space="preserve"> за предоставяне на временна закрила на разселени лица от Украйна и за изменение на Националния план за действие при временна закрила в Република България; ПМС №105/2022</w:t>
      </w:r>
      <w:r w:rsidR="00B552D5">
        <w:rPr>
          <w:rFonts w:eastAsia="Times New Roman"/>
          <w:lang w:eastAsia="en-US"/>
        </w:rPr>
        <w:t> г.</w:t>
      </w:r>
      <w:r w:rsidR="0005652B">
        <w:rPr>
          <w:rFonts w:eastAsia="Times New Roman"/>
          <w:lang w:eastAsia="en-US"/>
        </w:rPr>
        <w:t xml:space="preserve"> </w:t>
      </w:r>
      <w:r w:rsidRPr="00077ECB">
        <w:rPr>
          <w:rFonts w:eastAsia="Times New Roman"/>
          <w:lang w:eastAsia="en-US"/>
        </w:rPr>
        <w:t>за одобряване на допълнителни разходи по бюджетите на Министерския съвет и на Министерството на здравеопазването за 2022</w:t>
      </w:r>
      <w:r w:rsidR="00B552D5">
        <w:rPr>
          <w:rFonts w:eastAsia="Times New Roman"/>
          <w:lang w:eastAsia="en-US"/>
        </w:rPr>
        <w:t> г.</w:t>
      </w:r>
      <w:r w:rsidRPr="00077ECB">
        <w:rPr>
          <w:rFonts w:eastAsia="Times New Roman"/>
          <w:lang w:eastAsia="en-US"/>
        </w:rPr>
        <w:t xml:space="preserve"> за авансово финансиране на разходи за лица, търсещи временна закрила в Република България вследствие на военните действия в Украйна (изменено и допълнено с ПМС №106/2022</w:t>
      </w:r>
      <w:r w:rsidR="00B552D5">
        <w:rPr>
          <w:rFonts w:eastAsia="Times New Roman"/>
          <w:lang w:eastAsia="en-US"/>
        </w:rPr>
        <w:t> г.</w:t>
      </w:r>
      <w:r w:rsidRPr="00077ECB">
        <w:rPr>
          <w:rFonts w:eastAsia="Times New Roman"/>
          <w:lang w:eastAsia="en-US"/>
        </w:rPr>
        <w:t xml:space="preserve"> и ПМС №194/2022</w:t>
      </w:r>
      <w:r w:rsidR="00B552D5">
        <w:rPr>
          <w:rFonts w:eastAsia="Times New Roman"/>
          <w:lang w:eastAsia="en-US"/>
        </w:rPr>
        <w:t> г.</w:t>
      </w:r>
      <w:r w:rsidRPr="00077ECB">
        <w:rPr>
          <w:rFonts w:eastAsia="Times New Roman"/>
          <w:lang w:eastAsia="en-US"/>
        </w:rPr>
        <w:t>) и ПМС №</w:t>
      </w:r>
      <w:r w:rsidR="00493623" w:rsidRPr="00077ECB">
        <w:rPr>
          <w:rFonts w:eastAsia="Times New Roman"/>
          <w:lang w:eastAsia="en-US"/>
        </w:rPr>
        <w:t>41</w:t>
      </w:r>
      <w:r w:rsidR="00493623">
        <w:rPr>
          <w:rFonts w:eastAsia="Times New Roman"/>
          <w:lang w:eastAsia="en-US"/>
        </w:rPr>
        <w:t>2</w:t>
      </w:r>
      <w:r w:rsidRPr="00077ECB">
        <w:rPr>
          <w:rFonts w:eastAsia="Times New Roman"/>
          <w:lang w:eastAsia="en-US"/>
        </w:rPr>
        <w:t>/2022</w:t>
      </w:r>
      <w:r w:rsidR="00B552D5">
        <w:rPr>
          <w:rFonts w:eastAsia="Times New Roman"/>
          <w:lang w:eastAsia="en-US"/>
        </w:rPr>
        <w:t> г.</w:t>
      </w:r>
      <w:r w:rsidRPr="00077ECB">
        <w:rPr>
          <w:rFonts w:eastAsia="Times New Roman"/>
          <w:lang w:eastAsia="en-US"/>
        </w:rPr>
        <w:t xml:space="preserve"> за одобряване на допълнителни средства по бюджета на Министерството </w:t>
      </w:r>
      <w:r w:rsidRPr="00077ECB">
        <w:rPr>
          <w:rFonts w:eastAsia="Times New Roman"/>
          <w:lang w:eastAsia="en-US"/>
        </w:rPr>
        <w:lastRenderedPageBreak/>
        <w:t>на здравеопазването и одобряване на допълнителен трансфер по бюджета на Националната здравноосигурителна каса</w:t>
      </w:r>
      <w:r w:rsidR="00213F2A">
        <w:rPr>
          <w:rFonts w:eastAsia="Times New Roman"/>
          <w:lang w:eastAsia="en-US"/>
        </w:rPr>
        <w:t xml:space="preserve"> (НЗОК)</w:t>
      </w:r>
      <w:r w:rsidRPr="00077ECB">
        <w:rPr>
          <w:rFonts w:eastAsia="Times New Roman"/>
          <w:lang w:eastAsia="en-US"/>
        </w:rPr>
        <w:t xml:space="preserve"> за 2022</w:t>
      </w:r>
      <w:r w:rsidR="00B552D5">
        <w:rPr>
          <w:rFonts w:eastAsia="Times New Roman"/>
          <w:lang w:eastAsia="en-US"/>
        </w:rPr>
        <w:t> г.</w:t>
      </w:r>
      <w:r w:rsidRPr="00077ECB">
        <w:rPr>
          <w:rFonts w:eastAsia="Times New Roman"/>
          <w:lang w:eastAsia="en-US"/>
        </w:rPr>
        <w:t xml:space="preserve"> за заплащане на медицинската помощ и здравноосигурителните вноски на лицата с предоставена временна закрила</w:t>
      </w:r>
      <w:r w:rsidRPr="00077ECB">
        <w:rPr>
          <w:rFonts w:eastAsia="Times New Roman"/>
          <w:szCs w:val="20"/>
          <w:lang w:eastAsia="en-US"/>
        </w:rPr>
        <w:t>.</w:t>
      </w:r>
      <w:r w:rsidR="00812D50">
        <w:rPr>
          <w:rFonts w:eastAsia="Times New Roman"/>
          <w:szCs w:val="20"/>
          <w:lang w:eastAsia="en-US"/>
        </w:rPr>
        <w:t xml:space="preserve"> </w:t>
      </w:r>
    </w:p>
    <w:p w14:paraId="629B2F7F" w14:textId="3596C3FD" w:rsidR="00B32C25" w:rsidRPr="00495402" w:rsidRDefault="00B32C25" w:rsidP="00C0210D">
      <w:pPr>
        <w:pStyle w:val="Heading4"/>
        <w:rPr>
          <w:rFonts w:ascii="Times New Roman" w:eastAsia="Times New Roman" w:hAnsi="Times New Roman"/>
          <w:color w:val="000000"/>
          <w:u w:val="single"/>
          <w:lang w:eastAsia="en-US"/>
        </w:rPr>
      </w:pPr>
      <w:r w:rsidRPr="00495402">
        <w:t xml:space="preserve">Програми за компенсации за високите цени на електрическата енергия и </w:t>
      </w:r>
      <w:r w:rsidR="00C0210D">
        <w:br/>
      </w:r>
      <w:r w:rsidRPr="00495402">
        <w:t>природния газ</w:t>
      </w:r>
    </w:p>
    <w:p w14:paraId="767A0E26" w14:textId="2C16C960" w:rsidR="00B32C25" w:rsidRDefault="00B32C25" w:rsidP="00B32C25">
      <w:pPr>
        <w:rPr>
          <w:rFonts w:eastAsia="Times New Roman"/>
          <w:color w:val="000000"/>
          <w:lang w:eastAsia="en-US"/>
        </w:rPr>
      </w:pPr>
      <w:r>
        <w:rPr>
          <w:rFonts w:eastAsia="Times New Roman"/>
          <w:color w:val="000000"/>
          <w:lang w:eastAsia="en-US"/>
        </w:rPr>
        <w:t xml:space="preserve">В </w:t>
      </w:r>
      <w:r w:rsidRPr="00771C77">
        <w:rPr>
          <w:rFonts w:eastAsia="Times New Roman"/>
          <w:color w:val="000000"/>
          <w:lang w:eastAsia="en-US"/>
        </w:rPr>
        <w:t>края на 2021</w:t>
      </w:r>
      <w:r w:rsidR="00B552D5">
        <w:rPr>
          <w:rFonts w:eastAsia="Times New Roman"/>
          <w:color w:val="000000"/>
          <w:lang w:eastAsia="en-US"/>
        </w:rPr>
        <w:t> г.</w:t>
      </w:r>
      <w:r w:rsidRPr="00771C77">
        <w:rPr>
          <w:rFonts w:eastAsia="Times New Roman"/>
          <w:color w:val="000000"/>
          <w:lang w:eastAsia="en-US"/>
        </w:rPr>
        <w:t xml:space="preserve"> бяха одобрени</w:t>
      </w:r>
      <w:r>
        <w:rPr>
          <w:rFonts w:eastAsia="Times New Roman"/>
          <w:color w:val="000000"/>
          <w:lang w:eastAsia="en-US"/>
        </w:rPr>
        <w:t xml:space="preserve"> </w:t>
      </w:r>
      <w:r w:rsidRPr="00077ECB">
        <w:rPr>
          <w:rFonts w:eastAsia="Times New Roman"/>
          <w:i/>
          <w:color w:val="000000"/>
          <w:lang w:eastAsia="en-US"/>
        </w:rPr>
        <w:t xml:space="preserve">Програма за компенсиране на небитови крайни клиенти на електрическа енергия </w:t>
      </w:r>
      <w:r w:rsidRPr="00077ECB">
        <w:rPr>
          <w:rFonts w:eastAsia="Times New Roman"/>
          <w:color w:val="000000"/>
          <w:lang w:eastAsia="en-US"/>
        </w:rPr>
        <w:t>и</w:t>
      </w:r>
      <w:r w:rsidRPr="00077ECB">
        <w:rPr>
          <w:rFonts w:eastAsia="Times New Roman"/>
          <w:i/>
          <w:color w:val="000000"/>
          <w:lang w:eastAsia="en-US"/>
        </w:rPr>
        <w:t xml:space="preserve"> Програма за компенсиране на разходите на операторите на електропреносната и на електроразпределителните мрежи за закупуване на количества електрическа енергия, потребена за технологични разходи</w:t>
      </w:r>
      <w:r w:rsidR="00A32996">
        <w:rPr>
          <w:rFonts w:eastAsia="Times New Roman"/>
          <w:color w:val="000000"/>
          <w:lang w:eastAsia="en-US"/>
        </w:rPr>
        <w:t xml:space="preserve"> (РМС №</w:t>
      </w:r>
      <w:r w:rsidRPr="00E52AA0">
        <w:rPr>
          <w:rFonts w:eastAsia="Times New Roman"/>
          <w:color w:val="000000"/>
          <w:lang w:eastAsia="en-US"/>
        </w:rPr>
        <w:t xml:space="preserve">739/2021; РМС </w:t>
      </w:r>
      <w:r w:rsidR="00A32996">
        <w:rPr>
          <w:rFonts w:eastAsia="Times New Roman"/>
          <w:color w:val="000000"/>
          <w:lang w:eastAsia="en-US"/>
        </w:rPr>
        <w:t>№771/2021; РМС №885/2021; РМС №</w:t>
      </w:r>
      <w:r w:rsidRPr="00E52AA0">
        <w:rPr>
          <w:rFonts w:eastAsia="Times New Roman"/>
          <w:color w:val="000000"/>
          <w:lang w:eastAsia="en-US"/>
        </w:rPr>
        <w:t xml:space="preserve">893/2021). </w:t>
      </w:r>
      <w:r>
        <w:rPr>
          <w:rFonts w:eastAsia="Times New Roman"/>
          <w:color w:val="000000"/>
          <w:lang w:eastAsia="en-US"/>
        </w:rPr>
        <w:t>Подкрепата по програмите е насочена към всички небитови крайни клиенти по смисъла на § 1, т.27г и 33а от Допълнителните разпоредби на Закона за енергетиката. Програмите предвиждат механизъм за подкрепа на небитовите крайни клиенти чрез търговците на електрическа енергия, доставчиците от последна инстанция, производителите на електрическа енергия, продаващи директно на небитови крайни клиенти, и оператора на организиран борсов пазар на електрическа енергия. Възползвалите се от тази програма се оценяват на около 633 000 небитови крайни клиенти на електрическа енергия. Същите са подпомогнати ежемесечно чрез извършване на компенсация на базата на количествата активна електрическа енергия, върху която по принцип следва да се начисли</w:t>
      </w:r>
      <w:r w:rsidR="0005652B">
        <w:rPr>
          <w:rFonts w:eastAsia="Times New Roman"/>
          <w:color w:val="000000"/>
          <w:lang w:eastAsia="en-US"/>
        </w:rPr>
        <w:t xml:space="preserve"> </w:t>
      </w:r>
      <w:r>
        <w:rPr>
          <w:rFonts w:eastAsia="Times New Roman"/>
          <w:color w:val="000000"/>
          <w:lang w:eastAsia="en-US"/>
        </w:rPr>
        <w:t>цена</w:t>
      </w:r>
      <w:r w:rsidR="0005652B">
        <w:rPr>
          <w:rFonts w:eastAsia="Times New Roman"/>
          <w:color w:val="000000"/>
          <w:lang w:eastAsia="en-US"/>
        </w:rPr>
        <w:t xml:space="preserve"> </w:t>
      </w:r>
      <w:r>
        <w:rPr>
          <w:rFonts w:eastAsia="Times New Roman"/>
          <w:color w:val="000000"/>
          <w:lang w:eastAsia="en-US"/>
        </w:rPr>
        <w:t xml:space="preserve">„задължение към обществото“, с фиксирана сума за подпомагане на един </w:t>
      </w:r>
      <w:r>
        <w:rPr>
          <w:rFonts w:eastAsia="Times New Roman"/>
          <w:color w:val="000000"/>
          <w:lang w:val="en-US" w:eastAsia="en-US"/>
        </w:rPr>
        <w:t>MWh</w:t>
      </w:r>
      <w:r>
        <w:rPr>
          <w:rFonts w:eastAsia="Times New Roman"/>
          <w:color w:val="000000"/>
          <w:lang w:eastAsia="en-US"/>
        </w:rPr>
        <w:t xml:space="preserve">. </w:t>
      </w:r>
      <w:r w:rsidRPr="00E52AA0">
        <w:rPr>
          <w:rFonts w:eastAsia="Times New Roman"/>
          <w:color w:val="000000"/>
          <w:lang w:eastAsia="en-US"/>
        </w:rPr>
        <w:t xml:space="preserve">Действието на тези програми бе продължено първоначално до края на първото </w:t>
      </w:r>
      <w:r>
        <w:rPr>
          <w:rFonts w:eastAsia="Times New Roman"/>
          <w:color w:val="000000"/>
          <w:lang w:eastAsia="en-US"/>
        </w:rPr>
        <w:t>тримесечие</w:t>
      </w:r>
      <w:r w:rsidRPr="00E52AA0">
        <w:rPr>
          <w:rFonts w:eastAsia="Times New Roman"/>
          <w:color w:val="000000"/>
          <w:lang w:eastAsia="en-US"/>
        </w:rPr>
        <w:t xml:space="preserve">, а в последствие и </w:t>
      </w:r>
      <w:r>
        <w:rPr>
          <w:rFonts w:eastAsia="Times New Roman"/>
          <w:color w:val="000000"/>
          <w:lang w:eastAsia="en-US"/>
        </w:rPr>
        <w:t xml:space="preserve">до края полугодието на </w:t>
      </w:r>
      <w:r w:rsidRPr="00E52AA0">
        <w:rPr>
          <w:rFonts w:eastAsia="Times New Roman"/>
          <w:color w:val="000000"/>
          <w:lang w:eastAsia="en-US"/>
        </w:rPr>
        <w:t>2022</w:t>
      </w:r>
      <w:r w:rsidR="00B552D5">
        <w:rPr>
          <w:rFonts w:eastAsia="Times New Roman"/>
          <w:color w:val="000000"/>
          <w:lang w:eastAsia="en-US"/>
        </w:rPr>
        <w:t> г.</w:t>
      </w:r>
      <w:r w:rsidRPr="00E52AA0">
        <w:rPr>
          <w:rFonts w:eastAsia="Times New Roman"/>
          <w:color w:val="000000"/>
          <w:lang w:eastAsia="en-US"/>
        </w:rPr>
        <w:t>, като те бяха многократно модифицирани и</w:t>
      </w:r>
      <w:r w:rsidR="00A32996">
        <w:rPr>
          <w:rFonts w:eastAsia="Times New Roman"/>
          <w:color w:val="000000"/>
          <w:lang w:eastAsia="en-US"/>
        </w:rPr>
        <w:t xml:space="preserve"> доразвити (</w:t>
      </w:r>
      <w:r w:rsidR="00031455" w:rsidRPr="00556709">
        <w:rPr>
          <w:rFonts w:eastAsia="Times New Roman"/>
          <w:color w:val="000000"/>
          <w:lang w:eastAsia="en-US"/>
        </w:rPr>
        <w:t>РМС №</w:t>
      </w:r>
      <w:r w:rsidR="00031455">
        <w:rPr>
          <w:rFonts w:eastAsia="Times New Roman"/>
          <w:color w:val="000000"/>
          <w:lang w:eastAsia="en-US"/>
        </w:rPr>
        <w:t xml:space="preserve"> </w:t>
      </w:r>
      <w:r w:rsidR="00031455" w:rsidRPr="00556709">
        <w:rPr>
          <w:rFonts w:eastAsia="Times New Roman"/>
          <w:color w:val="000000"/>
          <w:lang w:eastAsia="en-US"/>
        </w:rPr>
        <w:t>15/2022 г.,</w:t>
      </w:r>
      <w:r w:rsidR="00031455">
        <w:rPr>
          <w:rFonts w:eastAsia="Times New Roman"/>
          <w:color w:val="000000"/>
          <w:lang w:eastAsia="en-US"/>
        </w:rPr>
        <w:t xml:space="preserve"> </w:t>
      </w:r>
      <w:r w:rsidR="00A32996">
        <w:rPr>
          <w:rFonts w:eastAsia="Times New Roman"/>
          <w:color w:val="000000"/>
          <w:lang w:eastAsia="en-US"/>
        </w:rPr>
        <w:t>РМС №30/2022; РМС №92/2022; РМС №105/2022; РМС №202/2022; РМС №301/2022; РМС №</w:t>
      </w:r>
      <w:r w:rsidRPr="00E52AA0">
        <w:rPr>
          <w:rFonts w:eastAsia="Times New Roman"/>
          <w:color w:val="000000"/>
          <w:lang w:eastAsia="en-US"/>
        </w:rPr>
        <w:t xml:space="preserve">356/2022). Общата сума </w:t>
      </w:r>
      <w:r>
        <w:rPr>
          <w:rFonts w:eastAsia="Times New Roman"/>
          <w:color w:val="000000"/>
          <w:lang w:eastAsia="en-US"/>
        </w:rPr>
        <w:t xml:space="preserve">изплатена по програмите </w:t>
      </w:r>
      <w:r w:rsidRPr="00E52AA0">
        <w:rPr>
          <w:rFonts w:eastAsia="Times New Roman"/>
          <w:color w:val="000000"/>
          <w:lang w:eastAsia="en-US"/>
        </w:rPr>
        <w:t xml:space="preserve">в периода януари – </w:t>
      </w:r>
      <w:r>
        <w:rPr>
          <w:rFonts w:eastAsia="Times New Roman"/>
          <w:color w:val="000000"/>
          <w:lang w:eastAsia="en-US"/>
        </w:rPr>
        <w:t>юли</w:t>
      </w:r>
      <w:r w:rsidRPr="00E52AA0">
        <w:rPr>
          <w:rFonts w:eastAsia="Times New Roman"/>
          <w:color w:val="000000"/>
          <w:lang w:eastAsia="en-US"/>
        </w:rPr>
        <w:t xml:space="preserve"> 2022</w:t>
      </w:r>
      <w:r w:rsidR="00B552D5">
        <w:rPr>
          <w:rFonts w:eastAsia="Times New Roman"/>
          <w:color w:val="000000"/>
          <w:lang w:eastAsia="en-US"/>
        </w:rPr>
        <w:t> г.</w:t>
      </w:r>
      <w:r w:rsidRPr="00E52AA0">
        <w:rPr>
          <w:rFonts w:eastAsia="Times New Roman"/>
          <w:color w:val="000000"/>
          <w:lang w:eastAsia="en-US"/>
        </w:rPr>
        <w:t xml:space="preserve"> </w:t>
      </w:r>
      <w:r w:rsidRPr="00CB4322">
        <w:rPr>
          <w:rFonts w:eastAsia="Times New Roman"/>
          <w:color w:val="000000"/>
          <w:lang w:eastAsia="en-US"/>
        </w:rPr>
        <w:t xml:space="preserve">е </w:t>
      </w:r>
      <w:r w:rsidRPr="00334C37">
        <w:rPr>
          <w:rFonts w:eastAsia="Times New Roman"/>
          <w:color w:val="000000"/>
          <w:lang w:eastAsia="en-US"/>
        </w:rPr>
        <w:t>1</w:t>
      </w:r>
      <w:r w:rsidR="00A32996">
        <w:rPr>
          <w:rFonts w:eastAsia="Times New Roman"/>
          <w:color w:val="000000"/>
          <w:lang w:eastAsia="en-US"/>
        </w:rPr>
        <w:t> </w:t>
      </w:r>
      <w:r w:rsidRPr="00334C37">
        <w:rPr>
          <w:rFonts w:eastAsia="Times New Roman"/>
          <w:color w:val="000000"/>
          <w:lang w:eastAsia="en-US"/>
        </w:rPr>
        <w:t>647</w:t>
      </w:r>
      <w:r w:rsidR="00A32996">
        <w:rPr>
          <w:rFonts w:eastAsia="Times New Roman"/>
          <w:color w:val="000000"/>
          <w:lang w:val="en-US" w:eastAsia="en-US"/>
        </w:rPr>
        <w:t>.</w:t>
      </w:r>
      <w:r w:rsidRPr="00334C37">
        <w:rPr>
          <w:rFonts w:eastAsia="Times New Roman"/>
          <w:color w:val="000000"/>
          <w:lang w:eastAsia="en-US"/>
        </w:rPr>
        <w:t>6 млн. лв</w:t>
      </w:r>
      <w:r w:rsidRPr="00E52AA0">
        <w:rPr>
          <w:rFonts w:eastAsia="Times New Roman"/>
          <w:color w:val="000000"/>
          <w:lang w:eastAsia="en-US"/>
        </w:rPr>
        <w:t>. (</w:t>
      </w:r>
      <w:r>
        <w:rPr>
          <w:rFonts w:eastAsia="Times New Roman"/>
          <w:color w:val="000000"/>
          <w:lang w:eastAsia="en-US"/>
        </w:rPr>
        <w:t>1</w:t>
      </w:r>
      <w:r w:rsidRPr="00E52AA0">
        <w:rPr>
          <w:rFonts w:eastAsia="Times New Roman"/>
          <w:color w:val="000000"/>
          <w:lang w:eastAsia="en-US"/>
        </w:rPr>
        <w:t>% от БВП).</w:t>
      </w:r>
      <w:r>
        <w:rPr>
          <w:rFonts w:eastAsia="Times New Roman"/>
          <w:color w:val="000000"/>
          <w:lang w:eastAsia="en-US"/>
        </w:rPr>
        <w:t xml:space="preserve"> </w:t>
      </w:r>
    </w:p>
    <w:p w14:paraId="437DC10A" w14:textId="77777777" w:rsidR="00B32C25" w:rsidRDefault="00B32C25" w:rsidP="00B32C25">
      <w:pPr>
        <w:rPr>
          <w:rFonts w:eastAsia="Times New Roman"/>
          <w:color w:val="000000"/>
          <w:lang w:eastAsia="en-US"/>
        </w:rPr>
      </w:pPr>
      <w:r>
        <w:rPr>
          <w:rFonts w:eastAsia="Times New Roman"/>
          <w:color w:val="000000"/>
          <w:lang w:eastAsia="en-US"/>
        </w:rPr>
        <w:t>О</w:t>
      </w:r>
      <w:r w:rsidRPr="00771C77">
        <w:rPr>
          <w:rFonts w:eastAsia="Times New Roman"/>
          <w:color w:val="000000"/>
          <w:lang w:eastAsia="en-US"/>
        </w:rPr>
        <w:t>свен компенсациите за небитовите потребители на електрическа енергия и за операторите на електропреносната и на електроразпределителните мрежи за закупуване на количества електрическа енергия, потребена за технологични разходи</w:t>
      </w:r>
      <w:r>
        <w:rPr>
          <w:rFonts w:eastAsia="Times New Roman"/>
          <w:color w:val="000000"/>
          <w:lang w:eastAsia="en-US"/>
        </w:rPr>
        <w:t>, бяха одобрени и:</w:t>
      </w:r>
    </w:p>
    <w:p w14:paraId="4A637293" w14:textId="5D6A40F4" w:rsidR="00B32C25" w:rsidRPr="000232AD" w:rsidRDefault="00B32C25" w:rsidP="00493D7E">
      <w:pPr>
        <w:pStyle w:val="ListParagraph"/>
        <w:numPr>
          <w:ilvl w:val="0"/>
          <w:numId w:val="26"/>
        </w:numPr>
        <w:tabs>
          <w:tab w:val="clear" w:pos="680"/>
        </w:tabs>
        <w:rPr>
          <w:rFonts w:eastAsia="Times New Roman"/>
          <w:color w:val="000000"/>
          <w:lang w:eastAsia="en-US"/>
        </w:rPr>
      </w:pPr>
      <w:r w:rsidRPr="00077ECB">
        <w:rPr>
          <w:rFonts w:eastAsia="Times New Roman"/>
          <w:i/>
          <w:color w:val="000000"/>
          <w:lang w:eastAsia="en-US"/>
        </w:rPr>
        <w:t>Програма за компенсиране на битовите клиенти на природен газ и топлофикационни дружества, използващи като основно гориво природен газ, с подпомагане с фиксирана сум</w:t>
      </w:r>
      <w:r w:rsidR="00A32996">
        <w:rPr>
          <w:rFonts w:eastAsia="Times New Roman"/>
          <w:i/>
          <w:color w:val="000000"/>
          <w:lang w:eastAsia="en-US"/>
        </w:rPr>
        <w:t>а за един MWh (РМС</w:t>
      </w:r>
      <w:r w:rsidRPr="00077ECB">
        <w:rPr>
          <w:rFonts w:eastAsia="Times New Roman"/>
          <w:i/>
          <w:color w:val="000000"/>
          <w:lang w:eastAsia="en-US"/>
        </w:rPr>
        <w:t>№ 31/2022)</w:t>
      </w:r>
      <w:r>
        <w:rPr>
          <w:rFonts w:eastAsia="Times New Roman"/>
          <w:color w:val="000000"/>
          <w:lang w:eastAsia="en-US"/>
        </w:rPr>
        <w:t xml:space="preserve">. Програмата предвижда механизъм за подпомагане на битовите клиенти чрез крайните снабдители на природен газ и чрез обществения доставчик при продажбата на природен газ на лица, на които е издадена лицензия за производство и пренос на топлинна енергия, в качеството им на топлоснабдителни дружества. От програмата се възползват около 137 951 битови клиенти на природен газ и топлофикации, които използват основно гориво природен газ, като подпомагането се извършваше чрез компенсация на базата на количествата потребен природен газ за съответния месец до фиксирана сума на </w:t>
      </w:r>
      <w:r>
        <w:rPr>
          <w:rFonts w:eastAsia="Times New Roman"/>
          <w:color w:val="000000"/>
          <w:lang w:val="en-US" w:eastAsia="en-US"/>
        </w:rPr>
        <w:t>MWh</w:t>
      </w:r>
      <w:r>
        <w:rPr>
          <w:rFonts w:eastAsia="Times New Roman"/>
          <w:color w:val="000000"/>
          <w:lang w:eastAsia="en-US"/>
        </w:rPr>
        <w:t>.</w:t>
      </w:r>
    </w:p>
    <w:p w14:paraId="642F585A" w14:textId="539EDCA6" w:rsidR="00B32C25" w:rsidRPr="002D022B" w:rsidRDefault="00B32C25" w:rsidP="00493D7E">
      <w:pPr>
        <w:pStyle w:val="ListParagraph"/>
        <w:numPr>
          <w:ilvl w:val="0"/>
          <w:numId w:val="26"/>
        </w:numPr>
        <w:tabs>
          <w:tab w:val="clear" w:pos="680"/>
        </w:tabs>
        <w:rPr>
          <w:rFonts w:eastAsia="Times New Roman"/>
          <w:color w:val="000000"/>
          <w:lang w:eastAsia="en-US"/>
        </w:rPr>
      </w:pPr>
      <w:r w:rsidRPr="00077ECB">
        <w:rPr>
          <w:rFonts w:eastAsia="Times New Roman"/>
          <w:i/>
          <w:color w:val="000000"/>
          <w:lang w:eastAsia="en-US"/>
        </w:rPr>
        <w:t>Програма за компенсиране на непредвидените разходи на дружествата от отрасъл ВиК за потреб</w:t>
      </w:r>
      <w:r w:rsidR="00A32996">
        <w:rPr>
          <w:rFonts w:eastAsia="Times New Roman"/>
          <w:i/>
          <w:color w:val="000000"/>
          <w:lang w:eastAsia="en-US"/>
        </w:rPr>
        <w:t>ена електрическа енергия (РМС №</w:t>
      </w:r>
      <w:r w:rsidR="00031455">
        <w:rPr>
          <w:rFonts w:eastAsia="Times New Roman"/>
          <w:i/>
          <w:color w:val="000000"/>
          <w:lang w:eastAsia="en-US"/>
        </w:rPr>
        <w:t>40</w:t>
      </w:r>
      <w:r w:rsidRPr="00077ECB">
        <w:rPr>
          <w:rFonts w:eastAsia="Times New Roman"/>
          <w:i/>
          <w:color w:val="000000"/>
          <w:lang w:eastAsia="en-US"/>
        </w:rPr>
        <w:t>/2022).</w:t>
      </w:r>
      <w:r>
        <w:rPr>
          <w:rFonts w:eastAsia="Times New Roman"/>
          <w:color w:val="000000"/>
          <w:lang w:eastAsia="en-US"/>
        </w:rPr>
        <w:t xml:space="preserve"> Програмата има за цел да минимизира допълнително формирания отрицателен ефект за небитовите потребители от отрасъл ВиК от поскъпването на електрическата енергия ма международните пазари и да отрази специфичния характер на предоставяне на ВиК услуги от дружествата на потребителите на регулирани от държавен орган цени.</w:t>
      </w:r>
    </w:p>
    <w:p w14:paraId="075D6491" w14:textId="2964F05A" w:rsidR="00B32C25" w:rsidRDefault="00B32C25" w:rsidP="00493D7E">
      <w:pPr>
        <w:pStyle w:val="ListParagraph"/>
        <w:numPr>
          <w:ilvl w:val="0"/>
          <w:numId w:val="26"/>
        </w:numPr>
        <w:tabs>
          <w:tab w:val="clear" w:pos="680"/>
        </w:tabs>
        <w:rPr>
          <w:rFonts w:eastAsia="Times New Roman"/>
          <w:color w:val="000000"/>
          <w:u w:val="single"/>
          <w:lang w:eastAsia="en-US"/>
        </w:rPr>
      </w:pPr>
      <w:r w:rsidRPr="00077ECB">
        <w:rPr>
          <w:rFonts w:eastAsia="Times New Roman"/>
          <w:i/>
          <w:color w:val="000000"/>
          <w:lang w:eastAsia="en-US"/>
        </w:rPr>
        <w:t xml:space="preserve">Програма за подпомагане на студенти и докторанти, настанени в студентски общежития, стопанисвани от държавните висши училища и „Студентски столове и </w:t>
      </w:r>
      <w:r w:rsidR="00A32996">
        <w:rPr>
          <w:rFonts w:eastAsia="Times New Roman"/>
          <w:i/>
          <w:color w:val="000000"/>
          <w:lang w:eastAsia="en-US"/>
        </w:rPr>
        <w:t>общежития“ ЕАД (ССО ЕАД) (РМС №</w:t>
      </w:r>
      <w:r w:rsidR="00031455">
        <w:rPr>
          <w:rFonts w:eastAsia="Times New Roman"/>
          <w:i/>
          <w:color w:val="000000"/>
          <w:lang w:eastAsia="en-US"/>
        </w:rPr>
        <w:t>162</w:t>
      </w:r>
      <w:r w:rsidRPr="00077ECB">
        <w:rPr>
          <w:rFonts w:eastAsia="Times New Roman"/>
          <w:i/>
          <w:color w:val="000000"/>
          <w:lang w:eastAsia="en-US"/>
        </w:rPr>
        <w:t>/2022).</w:t>
      </w:r>
      <w:r>
        <w:rPr>
          <w:rFonts w:eastAsia="Times New Roman"/>
          <w:i/>
          <w:color w:val="000000"/>
          <w:lang w:eastAsia="en-US"/>
        </w:rPr>
        <w:t xml:space="preserve"> </w:t>
      </w:r>
      <w:r>
        <w:rPr>
          <w:rFonts w:eastAsia="Times New Roman"/>
        </w:rPr>
        <w:t>Принципът за изчисляване на ком</w:t>
      </w:r>
      <w:r>
        <w:rPr>
          <w:rFonts w:eastAsia="Times New Roman"/>
        </w:rPr>
        <w:lastRenderedPageBreak/>
        <w:t>пенсациите по програмата се обосновава на необходимостта да се компенсират превишените разходи за закупуване на електрическа енергия по пазарни цени, спрямо стойността на същите количества електрическа енергия по регулирани цени за битови крайни клиенти</w:t>
      </w:r>
      <w:r w:rsidRPr="00F82B69">
        <w:rPr>
          <w:rFonts w:eastAsia="Times New Roman"/>
        </w:rPr>
        <w:t xml:space="preserve"> </w:t>
      </w:r>
      <w:r>
        <w:rPr>
          <w:rFonts w:eastAsia="Times New Roman"/>
        </w:rPr>
        <w:t>на държавните висши училища и Студентски столове и общежития ЕАД. Тази необходимост е породена от факта, че организациите, стопанисващи общежитията, купуват електрическа енергия като небитови крайни клиенти, а преобладаващи количества от нея се потребяват за битови нужди от ползвателите на общежитията. На база направените предварителни изчисления се предвижда от компенсацията да се възползват средно месечно около 30 000 студенти и докторанти, настанени в студентски общежития.</w:t>
      </w:r>
    </w:p>
    <w:p w14:paraId="375C16FA" w14:textId="77777777" w:rsidR="00031455" w:rsidRPr="00031455" w:rsidRDefault="00031455" w:rsidP="00031455">
      <w:pPr>
        <w:rPr>
          <w:rFonts w:eastAsia="Times New Roman"/>
          <w:color w:val="4E67C8" w:themeColor="accent1"/>
          <w:lang w:eastAsia="en-US"/>
        </w:rPr>
      </w:pPr>
      <w:r w:rsidRPr="00031455">
        <w:rPr>
          <w:rFonts w:eastAsia="Times New Roman"/>
          <w:lang w:eastAsia="en-US"/>
        </w:rPr>
        <w:t>Посочените три програми бяха допълвани няколкократно ( РМС № 93/2022, РМС № 105/2022 г., РМС № 202/2022 г., РМС № 301/2022 г., РМС № 356/2022 г., РМС № 734/2022), като общо изплатените суми по тях през 2022 г. са в размер на 208</w:t>
      </w:r>
      <w:r w:rsidRPr="00031455">
        <w:rPr>
          <w:rFonts w:eastAsia="Times New Roman"/>
          <w:lang w:val="en-US" w:eastAsia="en-US"/>
        </w:rPr>
        <w:t>.</w:t>
      </w:r>
      <w:r w:rsidRPr="00031455">
        <w:rPr>
          <w:rFonts w:eastAsia="Times New Roman"/>
          <w:lang w:eastAsia="en-US"/>
        </w:rPr>
        <w:t>8 млн. лв. (0</w:t>
      </w:r>
      <w:r w:rsidRPr="00031455">
        <w:rPr>
          <w:rFonts w:eastAsia="Times New Roman"/>
          <w:lang w:val="en-US" w:eastAsia="en-US"/>
        </w:rPr>
        <w:t>.1</w:t>
      </w:r>
      <w:r w:rsidRPr="00031455">
        <w:rPr>
          <w:rFonts w:eastAsia="Times New Roman"/>
          <w:lang w:eastAsia="en-US"/>
        </w:rPr>
        <w:t>% от БВП).</w:t>
      </w:r>
    </w:p>
    <w:p w14:paraId="6B26F74B" w14:textId="17D94B2A" w:rsidR="00B32C25" w:rsidRDefault="00B32C25" w:rsidP="00B32C25">
      <w:pPr>
        <w:rPr>
          <w:rFonts w:eastAsia="Times New Roman"/>
          <w:lang w:eastAsia="en-US"/>
        </w:rPr>
      </w:pPr>
      <w:r w:rsidRPr="00771C77">
        <w:rPr>
          <w:rFonts w:eastAsia="Times New Roman"/>
          <w:lang w:eastAsia="en-US"/>
        </w:rPr>
        <w:t>С влизането в сила на ЗИД на ЗДБРБ за 2022</w:t>
      </w:r>
      <w:r w:rsidR="00B552D5">
        <w:rPr>
          <w:rFonts w:eastAsia="Times New Roman"/>
          <w:lang w:eastAsia="en-US"/>
        </w:rPr>
        <w:t> г.</w:t>
      </w:r>
      <w:r w:rsidRPr="00771C77">
        <w:rPr>
          <w:rFonts w:eastAsia="Times New Roman"/>
          <w:lang w:eastAsia="en-US"/>
        </w:rPr>
        <w:t xml:space="preserve"> (ДВ, бр. 52 от 05.07.2022</w:t>
      </w:r>
      <w:r w:rsidR="00B552D5">
        <w:rPr>
          <w:rFonts w:eastAsia="Times New Roman"/>
          <w:lang w:eastAsia="en-US"/>
        </w:rPr>
        <w:t> г.</w:t>
      </w:r>
      <w:r w:rsidRPr="00771C77">
        <w:rPr>
          <w:rFonts w:eastAsia="Times New Roman"/>
          <w:lang w:eastAsia="en-US"/>
        </w:rPr>
        <w:t xml:space="preserve">) бяха одобрени разпоредби в §23 и §24 от </w:t>
      </w:r>
      <w:r w:rsidR="00221F9E">
        <w:rPr>
          <w:rFonts w:eastAsia="Times New Roman"/>
          <w:lang w:eastAsia="en-US"/>
        </w:rPr>
        <w:t>Преходните и заключителни разпоредби (</w:t>
      </w:r>
      <w:r w:rsidRPr="00771C77">
        <w:rPr>
          <w:rFonts w:eastAsia="Times New Roman"/>
          <w:lang w:eastAsia="en-US"/>
        </w:rPr>
        <w:t>ПЗР</w:t>
      </w:r>
      <w:r w:rsidR="00221F9E">
        <w:rPr>
          <w:rFonts w:eastAsia="Times New Roman"/>
          <w:lang w:eastAsia="en-US"/>
        </w:rPr>
        <w:t>)</w:t>
      </w:r>
      <w:r w:rsidRPr="00771C77">
        <w:rPr>
          <w:rFonts w:eastAsia="Times New Roman"/>
          <w:lang w:eastAsia="en-US"/>
        </w:rPr>
        <w:t xml:space="preserve"> на закона, с които бе регламентиран нов механизъм за финансиране на компенсации за небитовите крайни клиенти на електрическа енергия чрез бюджета на </w:t>
      </w:r>
      <w:r>
        <w:rPr>
          <w:rFonts w:eastAsia="Times New Roman"/>
          <w:lang w:eastAsia="en-US"/>
        </w:rPr>
        <w:t>ФСЕ</w:t>
      </w:r>
      <w:r w:rsidRPr="00771C77">
        <w:rPr>
          <w:rFonts w:eastAsia="Times New Roman"/>
          <w:lang w:eastAsia="en-US"/>
        </w:rPr>
        <w:t xml:space="preserve">С. Окончателният текст на разпоредбите предвижда публичните предприятия от сектор енергетика със 100 на сто държавно участие в капитала да внасят целеви вноски във ФСЕС, които да се използват за покриване на разходите за компенсиране на небитовите крайни клиенти на електрическа енергия. Определено е компенсирането да бъде в размер на 100 на сто от разликата между реалната средномесечна борсова цена на сегмента "ден напред" на </w:t>
      </w:r>
      <w:r>
        <w:rPr>
          <w:rFonts w:eastAsia="Times New Roman"/>
          <w:lang w:eastAsia="en-US"/>
        </w:rPr>
        <w:t xml:space="preserve">Българската </w:t>
      </w:r>
      <w:r w:rsidR="00221F9E">
        <w:rPr>
          <w:rFonts w:eastAsia="Times New Roman"/>
          <w:lang w:eastAsia="en-US"/>
        </w:rPr>
        <w:t xml:space="preserve">независима енергийна борса ЕАД </w:t>
      </w:r>
      <w:r w:rsidRPr="00771C77">
        <w:rPr>
          <w:rFonts w:eastAsia="Times New Roman"/>
          <w:lang w:eastAsia="en-US"/>
        </w:rPr>
        <w:t xml:space="preserve">за съответния месец и базовата цена в размер 250 лв./MWh. </w:t>
      </w:r>
      <w:r w:rsidRPr="00D30BA8">
        <w:rPr>
          <w:rFonts w:eastAsia="Times New Roman"/>
          <w:lang w:eastAsia="en-US"/>
        </w:rPr>
        <w:t>П</w:t>
      </w:r>
      <w:r w:rsidRPr="00771C77">
        <w:rPr>
          <w:rFonts w:eastAsia="Times New Roman"/>
          <w:lang w:eastAsia="en-US"/>
        </w:rPr>
        <w:t>редвид</w:t>
      </w:r>
      <w:r w:rsidRPr="00D30BA8">
        <w:rPr>
          <w:rFonts w:eastAsia="Times New Roman"/>
          <w:lang w:eastAsia="en-US"/>
        </w:rPr>
        <w:t>ено е</w:t>
      </w:r>
      <w:r w:rsidRPr="00771C77">
        <w:rPr>
          <w:rFonts w:eastAsia="Times New Roman"/>
          <w:lang w:eastAsia="en-US"/>
        </w:rPr>
        <w:t xml:space="preserve"> този механизъм да се прилага за периода от 1 юли 2022</w:t>
      </w:r>
      <w:r w:rsidR="00B552D5">
        <w:rPr>
          <w:rFonts w:eastAsia="Times New Roman"/>
          <w:lang w:eastAsia="en-US"/>
        </w:rPr>
        <w:t> г.</w:t>
      </w:r>
      <w:r w:rsidRPr="00771C77">
        <w:rPr>
          <w:rFonts w:eastAsia="Times New Roman"/>
          <w:lang w:eastAsia="en-US"/>
        </w:rPr>
        <w:t xml:space="preserve"> до 31 декември 2022</w:t>
      </w:r>
      <w:r w:rsidR="00B552D5">
        <w:rPr>
          <w:rFonts w:eastAsia="Times New Roman"/>
          <w:lang w:eastAsia="en-US"/>
        </w:rPr>
        <w:t> г.</w:t>
      </w:r>
      <w:r w:rsidRPr="00771C77">
        <w:rPr>
          <w:rFonts w:eastAsia="Times New Roman"/>
          <w:lang w:eastAsia="en-US"/>
        </w:rPr>
        <w:t>, като по предложение на министъра на енергетиката Министерския съвет определя размера и сроковете за внасяне на целевите вноски</w:t>
      </w:r>
      <w:r w:rsidR="00A21972" w:rsidRPr="00A21972">
        <w:rPr>
          <w:rFonts w:eastAsia="Times New Roman"/>
          <w:color w:val="000000" w:themeColor="text1"/>
          <w:lang w:eastAsia="en-US"/>
        </w:rPr>
        <w:t>.</w:t>
      </w:r>
      <w:r w:rsidRPr="00771C77">
        <w:rPr>
          <w:rFonts w:eastAsia="Times New Roman"/>
          <w:color w:val="4E67C8" w:themeColor="accent1"/>
          <w:lang w:eastAsia="en-US"/>
        </w:rPr>
        <w:t xml:space="preserve"> </w:t>
      </w:r>
      <w:r w:rsidRPr="00625928">
        <w:rPr>
          <w:rFonts w:eastAsia="Times New Roman"/>
          <w:lang w:eastAsia="en-US"/>
        </w:rPr>
        <w:t>Общият размер на приходите от целеви</w:t>
      </w:r>
      <w:r>
        <w:rPr>
          <w:rFonts w:eastAsia="Times New Roman"/>
          <w:lang w:eastAsia="en-US"/>
        </w:rPr>
        <w:t>те</w:t>
      </w:r>
      <w:r w:rsidRPr="00625928">
        <w:rPr>
          <w:rFonts w:eastAsia="Times New Roman"/>
          <w:lang w:eastAsia="en-US"/>
        </w:rPr>
        <w:t xml:space="preserve"> вноски, постъпили по бюджета на ФСЕС, в изпълнение на </w:t>
      </w:r>
      <w:r>
        <w:rPr>
          <w:rFonts w:eastAsia="Times New Roman"/>
          <w:lang w:eastAsia="en-US"/>
        </w:rPr>
        <w:t>РМС №490/2022, РМС №587/2022, РМС №648/2022, РМС №</w:t>
      </w:r>
      <w:r w:rsidR="009437BB">
        <w:rPr>
          <w:rFonts w:eastAsia="Times New Roman"/>
          <w:lang w:eastAsia="en-US"/>
        </w:rPr>
        <w:t>735/2022, РМС №</w:t>
      </w:r>
      <w:r>
        <w:rPr>
          <w:rFonts w:eastAsia="Times New Roman"/>
          <w:lang w:eastAsia="en-US"/>
        </w:rPr>
        <w:t>920/2022 и РМС №1035/2022</w:t>
      </w:r>
      <w:r w:rsidR="00B552D5">
        <w:rPr>
          <w:rFonts w:eastAsia="Times New Roman"/>
          <w:lang w:eastAsia="en-US"/>
        </w:rPr>
        <w:t> г.</w:t>
      </w:r>
      <w:r>
        <w:rPr>
          <w:rFonts w:eastAsia="Times New Roman"/>
          <w:lang w:eastAsia="en-US"/>
        </w:rPr>
        <w:t xml:space="preserve"> </w:t>
      </w:r>
      <w:r w:rsidRPr="00625928">
        <w:rPr>
          <w:rFonts w:eastAsia="Times New Roman"/>
          <w:lang w:eastAsia="en-US"/>
        </w:rPr>
        <w:t>за п</w:t>
      </w:r>
      <w:r>
        <w:rPr>
          <w:rFonts w:eastAsia="Times New Roman"/>
          <w:lang w:eastAsia="en-US"/>
        </w:rPr>
        <w:t>ериода юли-декември 2022</w:t>
      </w:r>
      <w:r w:rsidR="00B552D5">
        <w:rPr>
          <w:rFonts w:eastAsia="Times New Roman"/>
          <w:lang w:eastAsia="en-US"/>
        </w:rPr>
        <w:t> г.</w:t>
      </w:r>
      <w:r>
        <w:rPr>
          <w:rFonts w:eastAsia="Times New Roman"/>
          <w:lang w:eastAsia="en-US"/>
        </w:rPr>
        <w:t xml:space="preserve"> е в размер на 3</w:t>
      </w:r>
      <w:r w:rsidR="009437BB">
        <w:rPr>
          <w:rFonts w:eastAsia="Times New Roman"/>
          <w:lang w:eastAsia="en-US"/>
        </w:rPr>
        <w:t> </w:t>
      </w:r>
      <w:r>
        <w:rPr>
          <w:rFonts w:eastAsia="Times New Roman"/>
          <w:lang w:eastAsia="en-US"/>
        </w:rPr>
        <w:t>181</w:t>
      </w:r>
      <w:r w:rsidR="009437BB">
        <w:rPr>
          <w:rFonts w:eastAsia="Times New Roman"/>
          <w:lang w:val="en-US" w:eastAsia="en-US"/>
        </w:rPr>
        <w:t>.</w:t>
      </w:r>
      <w:r>
        <w:rPr>
          <w:rFonts w:eastAsia="Times New Roman"/>
          <w:lang w:eastAsia="en-US"/>
        </w:rPr>
        <w:t>0</w:t>
      </w:r>
      <w:r w:rsidRPr="00625928">
        <w:rPr>
          <w:rFonts w:eastAsia="Times New Roman"/>
          <w:lang w:eastAsia="en-US"/>
        </w:rPr>
        <w:t xml:space="preserve"> мл</w:t>
      </w:r>
      <w:r>
        <w:rPr>
          <w:rFonts w:eastAsia="Times New Roman"/>
          <w:lang w:eastAsia="en-US"/>
        </w:rPr>
        <w:t>н</w:t>
      </w:r>
      <w:r w:rsidRPr="00625928">
        <w:rPr>
          <w:rFonts w:eastAsia="Times New Roman"/>
          <w:lang w:eastAsia="en-US"/>
        </w:rPr>
        <w:t>. лв.</w:t>
      </w:r>
      <w:r>
        <w:rPr>
          <w:rFonts w:eastAsia="Times New Roman"/>
          <w:lang w:eastAsia="en-US"/>
        </w:rPr>
        <w:t xml:space="preserve"> (1</w:t>
      </w:r>
      <w:r w:rsidR="009437BB">
        <w:rPr>
          <w:rFonts w:eastAsia="Times New Roman"/>
          <w:lang w:val="en-US" w:eastAsia="en-US"/>
        </w:rPr>
        <w:t>.</w:t>
      </w:r>
      <w:r>
        <w:rPr>
          <w:rFonts w:eastAsia="Times New Roman"/>
          <w:lang w:eastAsia="en-US"/>
        </w:rPr>
        <w:t>9</w:t>
      </w:r>
      <w:r w:rsidR="008B5514">
        <w:rPr>
          <w:rFonts w:eastAsia="Times New Roman"/>
          <w:lang w:eastAsia="en-US"/>
        </w:rPr>
        <w:t>%</w:t>
      </w:r>
      <w:r>
        <w:rPr>
          <w:rFonts w:eastAsia="Times New Roman"/>
          <w:lang w:eastAsia="en-US"/>
        </w:rPr>
        <w:t xml:space="preserve"> от БВП). Със свое решение</w:t>
      </w:r>
      <w:r w:rsidR="0005652B">
        <w:rPr>
          <w:rFonts w:eastAsia="Times New Roman"/>
          <w:lang w:eastAsia="en-US"/>
        </w:rPr>
        <w:t xml:space="preserve"> </w:t>
      </w:r>
      <w:r w:rsidRPr="00771C77">
        <w:rPr>
          <w:rFonts w:eastAsia="Times New Roman"/>
          <w:lang w:eastAsia="en-US"/>
        </w:rPr>
        <w:t>Министерския</w:t>
      </w:r>
      <w:r>
        <w:rPr>
          <w:rFonts w:eastAsia="Times New Roman"/>
          <w:lang w:eastAsia="en-US"/>
        </w:rPr>
        <w:t>т</w:t>
      </w:r>
      <w:r w:rsidRPr="00771C77">
        <w:rPr>
          <w:rFonts w:eastAsia="Times New Roman"/>
          <w:lang w:eastAsia="en-US"/>
        </w:rPr>
        <w:t xml:space="preserve"> съвет одобри </w:t>
      </w:r>
      <w:r w:rsidRPr="00D30BA8">
        <w:rPr>
          <w:rFonts w:eastAsia="Times New Roman"/>
          <w:lang w:eastAsia="en-US"/>
        </w:rPr>
        <w:t xml:space="preserve">нова </w:t>
      </w:r>
      <w:r w:rsidRPr="004E4D1C">
        <w:rPr>
          <w:rFonts w:eastAsia="Times New Roman"/>
          <w:i/>
          <w:lang w:eastAsia="en-US"/>
        </w:rPr>
        <w:t>Програма за компенсиране на разходите на небитовите крайни клиенти за електрическа енергия и на операторите на електропреносната мрежа за закупуване на количества електрическа енергия, потребена за технологични разходи за периода от 1 юли 2022</w:t>
      </w:r>
      <w:r w:rsidR="00B552D5">
        <w:rPr>
          <w:rFonts w:eastAsia="Times New Roman"/>
          <w:i/>
          <w:lang w:eastAsia="en-US"/>
        </w:rPr>
        <w:t> г.</w:t>
      </w:r>
      <w:r w:rsidRPr="004E4D1C">
        <w:rPr>
          <w:rFonts w:eastAsia="Times New Roman"/>
          <w:i/>
          <w:lang w:eastAsia="en-US"/>
        </w:rPr>
        <w:t xml:space="preserve"> до 30 септември 2022</w:t>
      </w:r>
      <w:r w:rsidR="00B552D5">
        <w:rPr>
          <w:rFonts w:eastAsia="Times New Roman"/>
          <w:i/>
          <w:lang w:eastAsia="en-US"/>
        </w:rPr>
        <w:t> г.</w:t>
      </w:r>
      <w:r w:rsidRPr="00771C77">
        <w:rPr>
          <w:rFonts w:eastAsia="Times New Roman"/>
          <w:lang w:eastAsia="en-US"/>
        </w:rPr>
        <w:t xml:space="preserve"> (РМС №534/29.07.2022</w:t>
      </w:r>
      <w:r w:rsidR="00B552D5">
        <w:rPr>
          <w:rFonts w:eastAsia="Times New Roman"/>
          <w:lang w:eastAsia="en-US"/>
        </w:rPr>
        <w:t> г.</w:t>
      </w:r>
      <w:r w:rsidRPr="00771C77">
        <w:rPr>
          <w:rFonts w:eastAsia="Times New Roman"/>
          <w:lang w:eastAsia="en-US"/>
        </w:rPr>
        <w:t>)</w:t>
      </w:r>
      <w:r w:rsidRPr="00D30BA8">
        <w:rPr>
          <w:rFonts w:eastAsia="Times New Roman"/>
          <w:lang w:eastAsia="en-US"/>
        </w:rPr>
        <w:t xml:space="preserve">, която бе удължена </w:t>
      </w:r>
      <w:r w:rsidRPr="00771C77">
        <w:rPr>
          <w:rFonts w:eastAsia="Times New Roman"/>
          <w:lang w:eastAsia="en-US"/>
        </w:rPr>
        <w:t xml:space="preserve">и </w:t>
      </w:r>
      <w:r w:rsidRPr="00D30BA8">
        <w:rPr>
          <w:rFonts w:eastAsia="Times New Roman"/>
          <w:lang w:eastAsia="en-US"/>
        </w:rPr>
        <w:t xml:space="preserve">за </w:t>
      </w:r>
      <w:r w:rsidRPr="00771C77">
        <w:rPr>
          <w:rFonts w:eastAsia="Times New Roman"/>
          <w:lang w:eastAsia="en-US"/>
        </w:rPr>
        <w:t>периода от 1 октомври 2022</w:t>
      </w:r>
      <w:r w:rsidR="00B552D5">
        <w:rPr>
          <w:rFonts w:eastAsia="Times New Roman"/>
          <w:lang w:eastAsia="en-US"/>
        </w:rPr>
        <w:t> г.</w:t>
      </w:r>
      <w:r w:rsidRPr="00771C77">
        <w:rPr>
          <w:rFonts w:eastAsia="Times New Roman"/>
          <w:lang w:eastAsia="en-US"/>
        </w:rPr>
        <w:t xml:space="preserve"> до 31 декември 2022</w:t>
      </w:r>
      <w:r w:rsidR="00B552D5">
        <w:rPr>
          <w:rFonts w:eastAsia="Times New Roman"/>
          <w:lang w:eastAsia="en-US"/>
        </w:rPr>
        <w:t> г.</w:t>
      </w:r>
      <w:r w:rsidRPr="00771C77">
        <w:rPr>
          <w:rFonts w:eastAsia="Times New Roman"/>
          <w:lang w:eastAsia="en-US"/>
        </w:rPr>
        <w:t xml:space="preserve"> (РМС №710/29.07.2022</w:t>
      </w:r>
      <w:r w:rsidR="00B552D5">
        <w:rPr>
          <w:rFonts w:eastAsia="Times New Roman"/>
          <w:lang w:eastAsia="en-US"/>
        </w:rPr>
        <w:t> г.</w:t>
      </w:r>
      <w:r w:rsidRPr="00771C77">
        <w:rPr>
          <w:rFonts w:eastAsia="Times New Roman"/>
          <w:lang w:eastAsia="en-US"/>
        </w:rPr>
        <w:t>)</w:t>
      </w:r>
      <w:r w:rsidRPr="00D30BA8">
        <w:rPr>
          <w:rFonts w:eastAsia="Times New Roman"/>
          <w:lang w:eastAsia="en-US"/>
        </w:rPr>
        <w:t xml:space="preserve">. </w:t>
      </w:r>
      <w:r>
        <w:rPr>
          <w:rFonts w:eastAsia="Times New Roman"/>
          <w:lang w:eastAsia="en-US"/>
        </w:rPr>
        <w:t xml:space="preserve">Програмата обединява съществувалите преди това </w:t>
      </w:r>
      <w:r w:rsidRPr="00CF2C05">
        <w:rPr>
          <w:rFonts w:eastAsia="Times New Roman"/>
          <w:color w:val="000000"/>
          <w:lang w:eastAsia="en-US"/>
        </w:rPr>
        <w:t>Програма за компенсиране на небитови крайни клиенти на електрическа енергия и Програма за компенсиране на разходите на операторите на електропреносната и на електроразпределителните мрежи за закупуване на количества електрическа енергия, потребена за технологични разходи</w:t>
      </w:r>
      <w:r>
        <w:rPr>
          <w:rFonts w:eastAsia="Times New Roman"/>
          <w:lang w:eastAsia="en-US"/>
        </w:rPr>
        <w:t>, като е насочена към същата група засегнати небитови крайни потребители на електрическа енергия и използва механизма за компенсиране, регламентиран с разпоредбите на влезлия в сила ЗИД на ЗДБРБ 2022</w:t>
      </w:r>
      <w:r w:rsidR="00B552D5">
        <w:rPr>
          <w:rFonts w:eastAsia="Times New Roman"/>
          <w:lang w:eastAsia="en-US"/>
        </w:rPr>
        <w:t> г.</w:t>
      </w:r>
      <w:r w:rsidRPr="00CF2C05">
        <w:rPr>
          <w:rFonts w:eastAsia="Times New Roman"/>
          <w:lang w:eastAsia="en-US"/>
        </w:rPr>
        <w:t xml:space="preserve"> </w:t>
      </w:r>
      <w:r w:rsidRPr="00D30BA8">
        <w:rPr>
          <w:rFonts w:eastAsia="Times New Roman"/>
          <w:lang w:eastAsia="en-US"/>
        </w:rPr>
        <w:t xml:space="preserve">Разходите по програмата </w:t>
      </w:r>
      <w:r>
        <w:rPr>
          <w:rFonts w:eastAsia="Times New Roman"/>
          <w:lang w:eastAsia="en-US"/>
        </w:rPr>
        <w:t>до края на 2022</w:t>
      </w:r>
      <w:r w:rsidR="00B552D5">
        <w:rPr>
          <w:rFonts w:eastAsia="Times New Roman"/>
          <w:lang w:eastAsia="en-US"/>
        </w:rPr>
        <w:t> г.</w:t>
      </w:r>
      <w:r>
        <w:rPr>
          <w:rFonts w:eastAsia="Times New Roman"/>
          <w:lang w:eastAsia="en-US"/>
        </w:rPr>
        <w:t xml:space="preserve"> </w:t>
      </w:r>
      <w:r w:rsidRPr="00625928">
        <w:rPr>
          <w:rFonts w:eastAsia="Times New Roman"/>
          <w:lang w:eastAsia="en-US"/>
        </w:rPr>
        <w:t>са в размер на 2</w:t>
      </w:r>
      <w:r w:rsidR="009437BB">
        <w:rPr>
          <w:rFonts w:eastAsia="Times New Roman"/>
          <w:lang w:eastAsia="en-US"/>
        </w:rPr>
        <w:t> </w:t>
      </w:r>
      <w:r w:rsidRPr="00625928">
        <w:rPr>
          <w:rFonts w:eastAsia="Times New Roman"/>
          <w:lang w:eastAsia="en-US"/>
        </w:rPr>
        <w:t>712</w:t>
      </w:r>
      <w:r w:rsidR="009437BB">
        <w:rPr>
          <w:rFonts w:eastAsia="Times New Roman"/>
          <w:lang w:val="en-US" w:eastAsia="en-US"/>
        </w:rPr>
        <w:t>.</w:t>
      </w:r>
      <w:r w:rsidRPr="00625928">
        <w:rPr>
          <w:rFonts w:eastAsia="Times New Roman"/>
          <w:lang w:eastAsia="en-US"/>
        </w:rPr>
        <w:t>2 млн. лв. (1</w:t>
      </w:r>
      <w:r w:rsidR="009437BB">
        <w:rPr>
          <w:rFonts w:eastAsia="Times New Roman"/>
          <w:lang w:val="en-US" w:eastAsia="en-US"/>
        </w:rPr>
        <w:t>.</w:t>
      </w:r>
      <w:r w:rsidR="009437BB">
        <w:rPr>
          <w:rFonts w:eastAsia="Times New Roman"/>
          <w:lang w:eastAsia="en-US"/>
        </w:rPr>
        <w:t>6</w:t>
      </w:r>
      <w:r w:rsidRPr="00625928">
        <w:rPr>
          <w:rFonts w:eastAsia="Times New Roman"/>
          <w:lang w:eastAsia="en-US"/>
        </w:rPr>
        <w:t xml:space="preserve">% от БВП). </w:t>
      </w:r>
    </w:p>
    <w:p w14:paraId="50E9E7E3" w14:textId="4C0BBB68" w:rsidR="00B32C25" w:rsidRDefault="00B32C25" w:rsidP="00B32C25">
      <w:pPr>
        <w:contextualSpacing/>
        <w:rPr>
          <w:b/>
          <w:szCs w:val="24"/>
          <w:u w:val="single"/>
        </w:rPr>
      </w:pPr>
      <w:r w:rsidRPr="004E4D1C">
        <w:rPr>
          <w:rFonts w:eastAsia="Times New Roman"/>
          <w:lang w:eastAsia="en-US"/>
        </w:rPr>
        <w:t>Със ЗИД на ЗДБРБ за 2022</w:t>
      </w:r>
      <w:r w:rsidR="00B552D5">
        <w:rPr>
          <w:rFonts w:eastAsia="Times New Roman"/>
          <w:lang w:eastAsia="en-US"/>
        </w:rPr>
        <w:t> г.</w:t>
      </w:r>
      <w:r w:rsidRPr="004E4D1C">
        <w:rPr>
          <w:rFonts w:eastAsia="Times New Roman"/>
          <w:lang w:eastAsia="en-US"/>
        </w:rPr>
        <w:t xml:space="preserve"> беше предвидена сумата от 150 млн. лв. за компенсиране на физическите лица, крайни потребители на моторни горива</w:t>
      </w:r>
      <w:r>
        <w:rPr>
          <w:rFonts w:eastAsia="Times New Roman"/>
          <w:lang w:eastAsia="en-US"/>
        </w:rPr>
        <w:t xml:space="preserve"> за периода юли-декември 2022</w:t>
      </w:r>
      <w:r w:rsidR="00B552D5">
        <w:rPr>
          <w:rFonts w:eastAsia="Times New Roman"/>
          <w:lang w:eastAsia="en-US"/>
        </w:rPr>
        <w:t> г.</w:t>
      </w:r>
      <w:r w:rsidRPr="004E4D1C">
        <w:rPr>
          <w:rFonts w:eastAsia="Times New Roman"/>
          <w:lang w:eastAsia="en-US"/>
        </w:rPr>
        <w:t xml:space="preserve"> Компенсацията се предоставяше чрез намаляване на дължимата от физическото лице сума за плащане на крайния разпространител в размер на 0</w:t>
      </w:r>
      <w:r w:rsidR="009437BB">
        <w:rPr>
          <w:rFonts w:eastAsia="Times New Roman"/>
          <w:lang w:val="en-US" w:eastAsia="en-US"/>
        </w:rPr>
        <w:t>.</w:t>
      </w:r>
      <w:r w:rsidRPr="004E4D1C">
        <w:rPr>
          <w:rFonts w:eastAsia="Times New Roman"/>
          <w:lang w:eastAsia="en-US"/>
        </w:rPr>
        <w:t>25 лв. на литър/килограм гориво при пряко зареждане в горивен резервоар. Компенсацията се предоставяше при плащане в брой, с банкова дебитна или кредитна карта.</w:t>
      </w:r>
    </w:p>
    <w:p w14:paraId="2D2CF30B" w14:textId="0EF8B9CB" w:rsidR="00AB1E46" w:rsidRPr="00D661BA" w:rsidRDefault="00AB1E46" w:rsidP="00B552D5">
      <w:pPr>
        <w:pStyle w:val="Heading3"/>
      </w:pPr>
      <w:r w:rsidRPr="00D661BA">
        <w:lastRenderedPageBreak/>
        <w:t>Бюджетни акценти за 202</w:t>
      </w:r>
      <w:r w:rsidR="00AF3E36">
        <w:t>3</w:t>
      </w:r>
      <w:r w:rsidR="00B552D5">
        <w:t> г.</w:t>
      </w:r>
    </w:p>
    <w:p w14:paraId="263C06BD" w14:textId="77777777" w:rsidR="00424201" w:rsidRPr="006008E0" w:rsidRDefault="00424201" w:rsidP="006008E0">
      <w:pPr>
        <w:pStyle w:val="Heading4"/>
      </w:pPr>
      <w:r w:rsidRPr="006008E0">
        <w:t>Политика по доходите</w:t>
      </w:r>
    </w:p>
    <w:p w14:paraId="1AA347D4" w14:textId="4E5FA11E" w:rsidR="00013C93" w:rsidRPr="00013C93" w:rsidRDefault="00013C93" w:rsidP="00013C93">
      <w:pPr>
        <w:rPr>
          <w:szCs w:val="24"/>
        </w:rPr>
      </w:pPr>
      <w:r w:rsidRPr="00013C93">
        <w:rPr>
          <w:szCs w:val="24"/>
        </w:rPr>
        <w:t xml:space="preserve">В разчетите за периода </w:t>
      </w:r>
      <w:r w:rsidR="00B552D5">
        <w:rPr>
          <w:szCs w:val="24"/>
        </w:rPr>
        <w:t>2023–2026 г.</w:t>
      </w:r>
      <w:r w:rsidRPr="00013C93">
        <w:rPr>
          <w:szCs w:val="24"/>
        </w:rPr>
        <w:t xml:space="preserve"> е отразено увеличението на размера на минималната работна заплата от 1 януари 2023</w:t>
      </w:r>
      <w:r w:rsidR="00B552D5">
        <w:rPr>
          <w:szCs w:val="24"/>
        </w:rPr>
        <w:t> г.</w:t>
      </w:r>
      <w:r w:rsidRPr="00013C93">
        <w:rPr>
          <w:szCs w:val="24"/>
        </w:rPr>
        <w:t xml:space="preserve"> – от 710 лв. на 780 лв., като ефектите от размера на прогнозната минимална работна заплата за периода </w:t>
      </w:r>
      <w:r w:rsidR="001364E0">
        <w:rPr>
          <w:szCs w:val="24"/>
        </w:rPr>
        <w:t>2024–2026</w:t>
      </w:r>
      <w:r w:rsidR="00B552D5">
        <w:rPr>
          <w:szCs w:val="24"/>
        </w:rPr>
        <w:t> г.</w:t>
      </w:r>
      <w:r w:rsidRPr="00013C93">
        <w:rPr>
          <w:szCs w:val="24"/>
        </w:rPr>
        <w:t xml:space="preserve"> са разчетени в индикативен размер, в съответствие с чл. 244 от Кодекса на труда.</w:t>
      </w:r>
    </w:p>
    <w:p w14:paraId="05074777" w14:textId="5B84CD82" w:rsidR="00013C93" w:rsidRPr="00013C93" w:rsidRDefault="00013C93" w:rsidP="00013C93">
      <w:pPr>
        <w:rPr>
          <w:szCs w:val="24"/>
        </w:rPr>
      </w:pPr>
      <w:r w:rsidRPr="00013C93">
        <w:rPr>
          <w:szCs w:val="24"/>
        </w:rPr>
        <w:t xml:space="preserve">Предвидено е нарастване на средствата за делегираните дейности в образованието за периода </w:t>
      </w:r>
      <w:r w:rsidR="00B552D5">
        <w:rPr>
          <w:szCs w:val="24"/>
        </w:rPr>
        <w:t>2023–2026 г.</w:t>
      </w:r>
      <w:r w:rsidRPr="00013C93">
        <w:rPr>
          <w:szCs w:val="24"/>
        </w:rPr>
        <w:t xml:space="preserve"> във връзка с продължаване на политиката за увеличение на заплатите на педагогическите специалисти за достигане на средна работна заплата не по-малко от 125 на сто от средната работна заплата за страната</w:t>
      </w:r>
      <w:r w:rsidR="001F5959">
        <w:rPr>
          <w:szCs w:val="24"/>
        </w:rPr>
        <w:t>,</w:t>
      </w:r>
      <w:r w:rsidRPr="00013C93">
        <w:rPr>
          <w:szCs w:val="24"/>
        </w:rPr>
        <w:t xml:space="preserve"> с цел да се стимулира навлизането на млади и квалифицирани педагози в системата на предучилищното и училищното образование.</w:t>
      </w:r>
    </w:p>
    <w:p w14:paraId="034D6398" w14:textId="7FE0816F" w:rsidR="00013C93" w:rsidRPr="00013C93" w:rsidRDefault="00013C93" w:rsidP="00013C93">
      <w:pPr>
        <w:rPr>
          <w:szCs w:val="24"/>
        </w:rPr>
      </w:pPr>
      <w:r w:rsidRPr="00013C93">
        <w:rPr>
          <w:szCs w:val="24"/>
        </w:rPr>
        <w:t>За 2023</w:t>
      </w:r>
      <w:r w:rsidR="00B552D5">
        <w:rPr>
          <w:szCs w:val="24"/>
        </w:rPr>
        <w:t> г.</w:t>
      </w:r>
      <w:r w:rsidRPr="00013C93">
        <w:rPr>
          <w:szCs w:val="24"/>
        </w:rPr>
        <w:t xml:space="preserve"> е разчетено увеличение на средствата за заплати и възнаграждения на персонала за изборните длъжности и за заетите в системата на съдебната власт, за които законодателно е регламентиран механизъм за формиране на възнагражденията.</w:t>
      </w:r>
    </w:p>
    <w:p w14:paraId="4AF27D02" w14:textId="02D7F294" w:rsidR="00013C93" w:rsidRPr="00013C93" w:rsidRDefault="00013C93" w:rsidP="00013C93">
      <w:pPr>
        <w:rPr>
          <w:szCs w:val="24"/>
        </w:rPr>
      </w:pPr>
      <w:r w:rsidRPr="00013C93">
        <w:rPr>
          <w:szCs w:val="24"/>
        </w:rPr>
        <w:t>Осигурени са в целодишен размер за 2023</w:t>
      </w:r>
      <w:r w:rsidR="00B552D5">
        <w:rPr>
          <w:szCs w:val="24"/>
        </w:rPr>
        <w:t> г.</w:t>
      </w:r>
      <w:r w:rsidRPr="00013C93">
        <w:rPr>
          <w:szCs w:val="24"/>
        </w:rPr>
        <w:t xml:space="preserve"> и следващите години средства в резултат от направени увеличения на разходите за персонал през 2022</w:t>
      </w:r>
      <w:r w:rsidR="00B552D5">
        <w:rPr>
          <w:szCs w:val="24"/>
        </w:rPr>
        <w:t> г.</w:t>
      </w:r>
      <w:r w:rsidRPr="00013C93">
        <w:rPr>
          <w:szCs w:val="24"/>
        </w:rPr>
        <w:t xml:space="preserve"> на отделни разпоредители с бюджет.</w:t>
      </w:r>
    </w:p>
    <w:p w14:paraId="7FBF2CD3" w14:textId="5B649AF0" w:rsidR="00424201" w:rsidRPr="00046164" w:rsidRDefault="00013C93" w:rsidP="00046164">
      <w:pPr>
        <w:rPr>
          <w:rFonts w:eastAsia="Calibri"/>
          <w:szCs w:val="24"/>
        </w:rPr>
      </w:pPr>
      <w:r w:rsidRPr="00013C93">
        <w:rPr>
          <w:szCs w:val="24"/>
        </w:rPr>
        <w:t>Предвидено е увеличение на разходите за персонал с 10% за структурите, които не са получили друго увеличение през 2022</w:t>
      </w:r>
      <w:r w:rsidR="00B552D5">
        <w:rPr>
          <w:szCs w:val="24"/>
        </w:rPr>
        <w:t> г.</w:t>
      </w:r>
    </w:p>
    <w:p w14:paraId="3BFC7086" w14:textId="11A223E7" w:rsidR="003D4DBD" w:rsidRPr="006008E0" w:rsidRDefault="003D4DBD" w:rsidP="006008E0">
      <w:pPr>
        <w:pStyle w:val="Heading4"/>
      </w:pPr>
      <w:r w:rsidRPr="006008E0">
        <w:t>Социална политика</w:t>
      </w:r>
    </w:p>
    <w:p w14:paraId="4AB32700" w14:textId="2BF463E7" w:rsidR="003D4DBD" w:rsidRDefault="003D4DBD" w:rsidP="003D4DBD">
      <w:r>
        <w:t xml:space="preserve">По отношение на политиката, свързана със социалните помощи и обезщетения, изплащани от бюджета на ДОО, актуализираната средносрочна бюджетна прогноза за периода </w:t>
      </w:r>
      <w:r w:rsidR="00B552D5">
        <w:t>2023–2026 г.</w:t>
      </w:r>
      <w:r>
        <w:t xml:space="preserve">, в съответствие с действащото законодателство в </w:t>
      </w:r>
      <w:r w:rsidR="00221F9E">
        <w:t>Кодекса за социално осигуряване (</w:t>
      </w:r>
      <w:r>
        <w:t>КСО</w:t>
      </w:r>
      <w:r w:rsidR="00221F9E">
        <w:t>)</w:t>
      </w:r>
      <w:r>
        <w:t>, предвижда:</w:t>
      </w:r>
    </w:p>
    <w:p w14:paraId="55EC018B" w14:textId="6B3B5977" w:rsidR="003D4DBD" w:rsidRDefault="003D4DBD" w:rsidP="00493D7E">
      <w:pPr>
        <w:pStyle w:val="ListParagraph"/>
        <w:numPr>
          <w:ilvl w:val="0"/>
          <w:numId w:val="27"/>
        </w:numPr>
      </w:pPr>
      <w:r>
        <w:t>Запазват се минималният дневен размер на обезщетението за безработица – 18</w:t>
      </w:r>
      <w:r w:rsidR="009437BB">
        <w:rPr>
          <w:lang w:val="en-US"/>
        </w:rPr>
        <w:t>.</w:t>
      </w:r>
      <w:r>
        <w:t>00 лв. и максималният дневен размер – 85</w:t>
      </w:r>
      <w:r w:rsidR="009437BB">
        <w:rPr>
          <w:lang w:val="en-US"/>
        </w:rPr>
        <w:t>.</w:t>
      </w:r>
      <w:r>
        <w:t>71 лв. за целия период до 2026</w:t>
      </w:r>
      <w:r w:rsidR="00B552D5">
        <w:t> г.</w:t>
      </w:r>
      <w:r>
        <w:t xml:space="preserve"> включително;</w:t>
      </w:r>
    </w:p>
    <w:p w14:paraId="5A040377" w14:textId="6D0F91C3" w:rsidR="003D4DBD" w:rsidRDefault="003D4DBD" w:rsidP="00493D7E">
      <w:pPr>
        <w:pStyle w:val="ListParagraph"/>
        <w:numPr>
          <w:ilvl w:val="0"/>
          <w:numId w:val="27"/>
        </w:numPr>
      </w:pPr>
      <w:r>
        <w:t>Запазва се периодът на изплащане на паричното обезщетение за бременност и раждане– 410 дни</w:t>
      </w:r>
      <w:r w:rsidR="00373018">
        <w:t>, както</w:t>
      </w:r>
      <w:r>
        <w:t xml:space="preserve"> и </w:t>
      </w:r>
      <w:r w:rsidR="00373018">
        <w:t xml:space="preserve">размерите </w:t>
      </w:r>
      <w:r>
        <w:t>на обезщетението за отглеждане на дете до двегодишна възраст</w:t>
      </w:r>
      <w:r w:rsidR="00373018">
        <w:t xml:space="preserve"> и за </w:t>
      </w:r>
      <w:r w:rsidR="00373018">
        <w:rPr>
          <w:szCs w:val="24"/>
        </w:rPr>
        <w:t xml:space="preserve">отглеждане на дете до 8-годишна възраст от бащата (осиновителя) </w:t>
      </w:r>
      <w:r>
        <w:t xml:space="preserve"> – 710 лв. за целия период до 2026</w:t>
      </w:r>
      <w:r w:rsidR="00B552D5">
        <w:t> г.</w:t>
      </w:r>
      <w:r>
        <w:t xml:space="preserve"> включително;</w:t>
      </w:r>
    </w:p>
    <w:p w14:paraId="6705E17E" w14:textId="1E04C737" w:rsidR="003D4DBD" w:rsidRDefault="003D4DBD" w:rsidP="00493D7E">
      <w:pPr>
        <w:pStyle w:val="ListParagraph"/>
        <w:numPr>
          <w:ilvl w:val="0"/>
          <w:numId w:val="27"/>
        </w:numPr>
      </w:pPr>
      <w:r>
        <w:t xml:space="preserve">Запазва се режимът на изплащане на паричните обезщетения за временна неработоспособност съгласно чл. 40, ал. 5 на КСО – първите три работни дни се изплащат от осигурителя, а от 4-тия ден на настъпване на неработоспособността – от </w:t>
      </w:r>
      <w:r w:rsidR="00221F9E">
        <w:t>държавното обществено осигуряване (</w:t>
      </w:r>
      <w:r>
        <w:t>ДОО</w:t>
      </w:r>
      <w:r w:rsidR="00221F9E">
        <w:t>)</w:t>
      </w:r>
      <w:r>
        <w:t>, за целия период до 2026</w:t>
      </w:r>
      <w:r w:rsidR="00B552D5">
        <w:t> г.</w:t>
      </w:r>
      <w:r>
        <w:t xml:space="preserve"> включително;</w:t>
      </w:r>
    </w:p>
    <w:p w14:paraId="67A882E0" w14:textId="55DAC86A" w:rsidR="003D4DBD" w:rsidRDefault="003D4DBD" w:rsidP="00493D7E">
      <w:pPr>
        <w:pStyle w:val="ListParagraph"/>
        <w:numPr>
          <w:ilvl w:val="0"/>
          <w:numId w:val="27"/>
        </w:numPr>
      </w:pPr>
      <w:r>
        <w:t>Запазва се периодът, от който се изчисляват краткосрочните обезщетения при временна неработоспособност – 18 календарни месеца, бременност и раждане и безработица – 24 месеца за целия период до 2026</w:t>
      </w:r>
      <w:r w:rsidR="00B552D5">
        <w:t> г.</w:t>
      </w:r>
      <w:r>
        <w:t xml:space="preserve"> включително;</w:t>
      </w:r>
    </w:p>
    <w:p w14:paraId="46B1BEFD" w14:textId="414D375F" w:rsidR="003D4DBD" w:rsidRDefault="003D4DBD" w:rsidP="00493D7E">
      <w:pPr>
        <w:pStyle w:val="ListParagraph"/>
        <w:numPr>
          <w:ilvl w:val="0"/>
          <w:numId w:val="27"/>
        </w:numPr>
      </w:pPr>
      <w:r>
        <w:t>Запазва се размерът на еднократната помощ при смърт на осигурено лице – 540 лв. за целия прогнозен период;</w:t>
      </w:r>
    </w:p>
    <w:p w14:paraId="2BF8D42A" w14:textId="6270B301" w:rsidR="003D4DBD" w:rsidRDefault="003D4DBD" w:rsidP="00493D7E">
      <w:pPr>
        <w:pStyle w:val="ListParagraph"/>
        <w:numPr>
          <w:ilvl w:val="0"/>
          <w:numId w:val="27"/>
        </w:numPr>
      </w:pPr>
      <w:r>
        <w:t xml:space="preserve">За периода </w:t>
      </w:r>
      <w:r w:rsidR="00B552D5">
        <w:t>2023–2026 г.</w:t>
      </w:r>
      <w:r>
        <w:t xml:space="preserve"> се запазва разпоредбата на чл. 22, ал. 2 от Закона за гарантираните вземания на работниците и служителите при несъстоятелност на работодателя, относно максималния месечен размер на гарантираното вземане, който не може да бъде по-малък от 2</w:t>
      </w:r>
      <w:r w:rsidR="009437BB">
        <w:rPr>
          <w:lang w:val="en-US"/>
        </w:rPr>
        <w:t>.</w:t>
      </w:r>
      <w:r>
        <w:t>5 минимални работни заплати.</w:t>
      </w:r>
    </w:p>
    <w:p w14:paraId="03F02A73" w14:textId="624410BD" w:rsidR="003D4DBD" w:rsidRDefault="003D4DBD" w:rsidP="00493D7E">
      <w:pPr>
        <w:pStyle w:val="ListParagraph"/>
        <w:numPr>
          <w:ilvl w:val="0"/>
          <w:numId w:val="27"/>
        </w:numPr>
      </w:pPr>
      <w:r>
        <w:lastRenderedPageBreak/>
        <w:t>В резултат на тези допускания разходите за обезщетения и помощи по бюджета на ДОО през 2023</w:t>
      </w:r>
      <w:r w:rsidR="00B552D5">
        <w:t> г.</w:t>
      </w:r>
      <w:r>
        <w:t xml:space="preserve"> нарастват със 180</w:t>
      </w:r>
      <w:r w:rsidR="009437BB">
        <w:rPr>
          <w:lang w:val="en-US"/>
        </w:rPr>
        <w:t>.</w:t>
      </w:r>
      <w:r>
        <w:t>6 млн. лв. спрямо закон</w:t>
      </w:r>
      <w:r w:rsidR="00373018">
        <w:t>а</w:t>
      </w:r>
      <w:r>
        <w:t xml:space="preserve"> за 2022</w:t>
      </w:r>
      <w:r w:rsidR="00B552D5">
        <w:t> г.</w:t>
      </w:r>
    </w:p>
    <w:p w14:paraId="2F99336D" w14:textId="70AC0054" w:rsidR="003D4DBD" w:rsidRDefault="003D4DBD" w:rsidP="00493D7E">
      <w:pPr>
        <w:pStyle w:val="ListParagraph"/>
        <w:numPr>
          <w:ilvl w:val="0"/>
          <w:numId w:val="27"/>
        </w:numPr>
      </w:pPr>
      <w:r>
        <w:t>По бюджета на Министерството на труда и социалната политика за 2023</w:t>
      </w:r>
      <w:r w:rsidR="00B552D5">
        <w:t> г.</w:t>
      </w:r>
      <w:r>
        <w:t xml:space="preserve"> за помощи и обезщетения са предвидени допълнителни разходи, в т.ч.:</w:t>
      </w:r>
    </w:p>
    <w:p w14:paraId="2356B889" w14:textId="304E5ED7" w:rsidR="003D4DBD" w:rsidRDefault="003D4DBD" w:rsidP="00493D7E">
      <w:pPr>
        <w:pStyle w:val="ListParagraph"/>
        <w:numPr>
          <w:ilvl w:val="0"/>
          <w:numId w:val="8"/>
        </w:numPr>
      </w:pPr>
      <w:r>
        <w:t>111</w:t>
      </w:r>
      <w:r w:rsidR="009437BB">
        <w:rPr>
          <w:lang w:val="en-US"/>
        </w:rPr>
        <w:t>.</w:t>
      </w:r>
      <w:r>
        <w:t>1 млн. лв. във връзка с определения нов размер от 504 лв. на линията на бедност за 2023</w:t>
      </w:r>
      <w:r w:rsidR="00B552D5">
        <w:t> г.</w:t>
      </w:r>
      <w:r>
        <w:t xml:space="preserve"> при определяне на финансовата подкрепа по Закона за хората с увреждания;</w:t>
      </w:r>
    </w:p>
    <w:p w14:paraId="50F234BD" w14:textId="47DF86D0" w:rsidR="003D4DBD" w:rsidRDefault="003D4DBD" w:rsidP="00493D7E">
      <w:pPr>
        <w:pStyle w:val="ListParagraph"/>
        <w:numPr>
          <w:ilvl w:val="0"/>
          <w:numId w:val="8"/>
        </w:numPr>
      </w:pPr>
      <w:r>
        <w:t>131</w:t>
      </w:r>
      <w:r w:rsidR="009437BB">
        <w:rPr>
          <w:lang w:val="en-US"/>
        </w:rPr>
        <w:t>.</w:t>
      </w:r>
      <w:r>
        <w:t>0 млн. лв. по Механизма лична помощ по Закона за личната помощ, като е отчетен достигнатия обхват на ползвателите и личните асистенти, както и вдигането на МРЗ от 710 на 780 лв. за възнаграждения на личните асистенти;</w:t>
      </w:r>
    </w:p>
    <w:p w14:paraId="76DE0FBF" w14:textId="071BD072" w:rsidR="003D4DBD" w:rsidRDefault="003D4DBD" w:rsidP="00493D7E">
      <w:pPr>
        <w:pStyle w:val="ListParagraph"/>
        <w:numPr>
          <w:ilvl w:val="0"/>
          <w:numId w:val="8"/>
        </w:numPr>
      </w:pPr>
      <w:r>
        <w:t>50</w:t>
      </w:r>
      <w:r w:rsidR="009437BB">
        <w:rPr>
          <w:lang w:val="en-US"/>
        </w:rPr>
        <w:t>.</w:t>
      </w:r>
      <w:r>
        <w:t>1 млн. лв., като е отчетено поетапното осъществяване на прехода от действащия сега механизъм към обвързването на месечните социалн</w:t>
      </w:r>
      <w:r w:rsidR="00743D8F">
        <w:t>и помощи по Закона за социално</w:t>
      </w:r>
      <w:r>
        <w:t xml:space="preserve"> подпомагане с линията на бедност, както и определения нов размер от 504 лв. на линията на бедност за 2023</w:t>
      </w:r>
      <w:r w:rsidR="00B552D5">
        <w:t> г.</w:t>
      </w:r>
      <w:r>
        <w:t>;</w:t>
      </w:r>
    </w:p>
    <w:p w14:paraId="400F1177" w14:textId="391C60D7" w:rsidR="003D4DBD" w:rsidRDefault="003D4DBD" w:rsidP="00493D7E">
      <w:pPr>
        <w:pStyle w:val="ListParagraph"/>
        <w:numPr>
          <w:ilvl w:val="0"/>
          <w:numId w:val="8"/>
        </w:numPr>
      </w:pPr>
      <w:r>
        <w:t>30</w:t>
      </w:r>
      <w:r w:rsidR="009437BB">
        <w:rPr>
          <w:lang w:val="en-US"/>
        </w:rPr>
        <w:t>.</w:t>
      </w:r>
      <w:r>
        <w:t>0 млн. лв. по Закона за семейни помощи за деца за обезпечаване в целогодишен размер увеличението от 01.04.2022</w:t>
      </w:r>
      <w:r w:rsidR="00B552D5">
        <w:t> г.</w:t>
      </w:r>
      <w:r>
        <w:t xml:space="preserve"> на доходния критерий от 410 лв. на 510 лв. за месечните семейни помощи за отглеждане на дете до завършване на средно образование, но не повече от 20-годишна възраст (чл. 7 от ЗСПД), както и диференцираното увеличаване на размера на този вид помощи;</w:t>
      </w:r>
    </w:p>
    <w:p w14:paraId="6D793D46" w14:textId="12524437" w:rsidR="003D4DBD" w:rsidRPr="003D4DBD" w:rsidRDefault="003D4DBD" w:rsidP="00493D7E">
      <w:pPr>
        <w:pStyle w:val="ListParagraph"/>
        <w:numPr>
          <w:ilvl w:val="0"/>
          <w:numId w:val="8"/>
        </w:numPr>
      </w:pPr>
      <w:r>
        <w:t>23</w:t>
      </w:r>
      <w:r w:rsidR="009437BB">
        <w:rPr>
          <w:lang w:val="en-US"/>
        </w:rPr>
        <w:t>.</w:t>
      </w:r>
      <w:r>
        <w:t>4 млн. лв. във връзка с въведената нова еднократна помощ за учениците от втори, трети и четвърти клас без доходен тест, независимо от вида на училището по Закона за семейни помощи за деца за първия срок на учебната 2023/2024</w:t>
      </w:r>
      <w:r w:rsidR="00B552D5">
        <w:t> г.</w:t>
      </w:r>
    </w:p>
    <w:p w14:paraId="4B489643" w14:textId="28CF83B5" w:rsidR="00424201" w:rsidRPr="00046164" w:rsidRDefault="00424201" w:rsidP="00C0210D">
      <w:pPr>
        <w:pStyle w:val="Heading4"/>
      </w:pPr>
      <w:r w:rsidRPr="00046164">
        <w:t>Политики в сферата на здравеопазването</w:t>
      </w:r>
    </w:p>
    <w:p w14:paraId="01C13B2A" w14:textId="67D2909B" w:rsidR="003D4DBD" w:rsidRPr="00BD6DAE" w:rsidRDefault="003D4DBD" w:rsidP="00C0210D">
      <w:r w:rsidRPr="00BD6DAE">
        <w:t xml:space="preserve">Политиката в областта на здравеопазването за периода </w:t>
      </w:r>
      <w:r w:rsidR="00B552D5">
        <w:t>2023–2026 г.</w:t>
      </w:r>
      <w:r w:rsidRPr="00BD6DAE">
        <w:t xml:space="preserve"> е насочена към подобряването на ефективността и удовлетвореността на гражданите от функционирането на сектора. </w:t>
      </w:r>
    </w:p>
    <w:p w14:paraId="6D077A18" w14:textId="3DA8B65F" w:rsidR="003D4DBD" w:rsidRPr="00BD6DAE" w:rsidRDefault="003D4DBD" w:rsidP="00C0210D">
      <w:pPr>
        <w:contextualSpacing/>
      </w:pPr>
      <w:r w:rsidRPr="00BD6DAE">
        <w:t xml:space="preserve">Определените приоритети в политиката на Министерството на здравеопазването за периода </w:t>
      </w:r>
      <w:r w:rsidR="00B552D5">
        <w:t>2023–2026 г.</w:t>
      </w:r>
      <w:r w:rsidRPr="00BD6DAE">
        <w:t xml:space="preserve"> са, както следва:</w:t>
      </w:r>
    </w:p>
    <w:p w14:paraId="52E3E1A2" w14:textId="63800F0B" w:rsidR="003D4DBD" w:rsidRPr="006008E0" w:rsidRDefault="003D4DBD" w:rsidP="00493D7E">
      <w:pPr>
        <w:pStyle w:val="ListParagraph"/>
        <w:numPr>
          <w:ilvl w:val="0"/>
          <w:numId w:val="28"/>
        </w:numPr>
      </w:pPr>
      <w:r w:rsidRPr="006008E0">
        <w:t>Опазване на здравето на гражданите като състояние на физическо, психическо и социално благополучие;</w:t>
      </w:r>
    </w:p>
    <w:p w14:paraId="2AA36A07" w14:textId="24A575EF" w:rsidR="003D4DBD" w:rsidRPr="006008E0" w:rsidRDefault="003D4DBD" w:rsidP="00493D7E">
      <w:pPr>
        <w:pStyle w:val="ListParagraph"/>
        <w:numPr>
          <w:ilvl w:val="0"/>
          <w:numId w:val="28"/>
        </w:numPr>
      </w:pPr>
      <w:r w:rsidRPr="006008E0">
        <w:t>Осигуряване на финансова стабилност и обезпеченост на здравната система чрез дългосрочен, устойчив и предвидим механизъм на финансиране, основан на здравни резултати;</w:t>
      </w:r>
    </w:p>
    <w:p w14:paraId="0A2771EA" w14:textId="77777777" w:rsidR="00493623" w:rsidRPr="006008E0" w:rsidRDefault="00493623" w:rsidP="00493D7E">
      <w:pPr>
        <w:pStyle w:val="ListParagraph"/>
        <w:numPr>
          <w:ilvl w:val="0"/>
          <w:numId w:val="28"/>
        </w:numPr>
      </w:pPr>
      <w:r w:rsidRPr="006008E0">
        <w:t>Повишаване качеството и достъпността на здравите услуги с акцент върху превенцията и лечението на социално-значими заболявания;</w:t>
      </w:r>
    </w:p>
    <w:p w14:paraId="7AAA187A" w14:textId="2649E1F8" w:rsidR="00493623" w:rsidRPr="006008E0" w:rsidRDefault="00493623" w:rsidP="00493D7E">
      <w:pPr>
        <w:pStyle w:val="ListParagraph"/>
        <w:numPr>
          <w:ilvl w:val="0"/>
          <w:numId w:val="28"/>
        </w:numPr>
      </w:pPr>
      <w:r w:rsidRPr="006008E0">
        <w:t>Осигуряване на здравна закрила на деца, бременни и лица с физически увреждания и психически разстройства</w:t>
      </w:r>
    </w:p>
    <w:p w14:paraId="5A275580" w14:textId="27F6D7F1" w:rsidR="003D4DBD" w:rsidRPr="006008E0" w:rsidRDefault="003D4DBD" w:rsidP="00493D7E">
      <w:pPr>
        <w:pStyle w:val="ListParagraph"/>
        <w:numPr>
          <w:ilvl w:val="0"/>
          <w:numId w:val="28"/>
        </w:numPr>
      </w:pPr>
      <w:r w:rsidRPr="006008E0">
        <w:t>Развитие на капацитета за спешна помощ и реагиране при извънредни ситуации;</w:t>
      </w:r>
    </w:p>
    <w:p w14:paraId="7C9FEAB3" w14:textId="63321BAE" w:rsidR="009E4F54" w:rsidRPr="006008E0" w:rsidRDefault="00493623" w:rsidP="00493D7E">
      <w:pPr>
        <w:pStyle w:val="ListParagraph"/>
        <w:numPr>
          <w:ilvl w:val="0"/>
          <w:numId w:val="28"/>
        </w:numPr>
      </w:pPr>
      <w:r w:rsidRPr="006008E0">
        <w:t>По-добро планиране и мотивиране на работната</w:t>
      </w:r>
      <w:r w:rsidR="00221F9E">
        <w:t xml:space="preserve"> сила в сектора на здравеопазва</w:t>
      </w:r>
      <w:r w:rsidRPr="006008E0">
        <w:t xml:space="preserve">нето; </w:t>
      </w:r>
    </w:p>
    <w:p w14:paraId="74A39F5E" w14:textId="75F0D9E8" w:rsidR="003D4DBD" w:rsidRDefault="003D4DBD" w:rsidP="00493D7E">
      <w:pPr>
        <w:pStyle w:val="ListParagraph"/>
        <w:numPr>
          <w:ilvl w:val="0"/>
          <w:numId w:val="28"/>
        </w:numPr>
      </w:pPr>
      <w:r w:rsidRPr="006008E0">
        <w:t>Развитие на електронното здравеопазване и дигитализация на здравната система</w:t>
      </w:r>
      <w:r w:rsidR="00493623" w:rsidRPr="006008E0">
        <w:t>.</w:t>
      </w:r>
    </w:p>
    <w:p w14:paraId="33E49870" w14:textId="77777777" w:rsidR="006008E0" w:rsidRPr="006008E0" w:rsidRDefault="006008E0" w:rsidP="006008E0"/>
    <w:p w14:paraId="5471B34F" w14:textId="38191440" w:rsidR="003D4DBD" w:rsidRPr="003D4DBD" w:rsidRDefault="003D4DBD" w:rsidP="00C0210D">
      <w:r w:rsidRPr="003D4DBD">
        <w:lastRenderedPageBreak/>
        <w:t xml:space="preserve">В областта на здравеопазването за периода </w:t>
      </w:r>
      <w:r w:rsidR="00B552D5">
        <w:t>2023–2026 г.</w:t>
      </w:r>
      <w:r w:rsidR="0005652B">
        <w:t xml:space="preserve"> </w:t>
      </w:r>
      <w:r w:rsidRPr="003D4DBD">
        <w:t>са осигурени допълнителни средства, както следва:</w:t>
      </w:r>
    </w:p>
    <w:p w14:paraId="28F8B30B" w14:textId="54353FEB" w:rsidR="003D4DBD" w:rsidRPr="008F45A9" w:rsidRDefault="003D4DBD" w:rsidP="00493D7E">
      <w:pPr>
        <w:pStyle w:val="ListParagraph"/>
        <w:numPr>
          <w:ilvl w:val="0"/>
          <w:numId w:val="9"/>
        </w:numPr>
        <w:rPr>
          <w:szCs w:val="24"/>
        </w:rPr>
      </w:pPr>
      <w:r w:rsidRPr="008F45A9">
        <w:rPr>
          <w:szCs w:val="24"/>
        </w:rPr>
        <w:t>267</w:t>
      </w:r>
      <w:r w:rsidR="008F45A9">
        <w:rPr>
          <w:szCs w:val="24"/>
          <w:lang w:val="en-US"/>
        </w:rPr>
        <w:t>.</w:t>
      </w:r>
      <w:r w:rsidRPr="008F45A9">
        <w:rPr>
          <w:szCs w:val="24"/>
        </w:rPr>
        <w:t>0 млн. лв.</w:t>
      </w:r>
      <w:r w:rsidR="00B552D5">
        <w:rPr>
          <w:szCs w:val="24"/>
          <w:lang w:val="en-US"/>
        </w:rPr>
        <w:t xml:space="preserve"> – </w:t>
      </w:r>
      <w:r w:rsidRPr="008F45A9">
        <w:rPr>
          <w:szCs w:val="24"/>
        </w:rPr>
        <w:t>за закупуване на допълнителни количества ваксини срещу COVID-19, с оглед създаване на максимални възможности за ваксинация на населението, особено в групите от населението с доказан повишен риск от тежко протичане на заболяването, хоспитализация и смърт;</w:t>
      </w:r>
    </w:p>
    <w:p w14:paraId="67F98290" w14:textId="0C4E6E33" w:rsidR="003D4DBD" w:rsidRPr="008F45A9" w:rsidRDefault="003D4DBD" w:rsidP="00493D7E">
      <w:pPr>
        <w:pStyle w:val="ListParagraph"/>
        <w:numPr>
          <w:ilvl w:val="0"/>
          <w:numId w:val="9"/>
        </w:numPr>
        <w:rPr>
          <w:szCs w:val="24"/>
        </w:rPr>
      </w:pPr>
      <w:r w:rsidRPr="008F45A9">
        <w:rPr>
          <w:szCs w:val="24"/>
        </w:rPr>
        <w:t>142</w:t>
      </w:r>
      <w:r w:rsidR="008F45A9">
        <w:rPr>
          <w:szCs w:val="24"/>
          <w:lang w:val="en-US"/>
        </w:rPr>
        <w:t>.</w:t>
      </w:r>
      <w:r w:rsidRPr="008F45A9">
        <w:rPr>
          <w:szCs w:val="24"/>
        </w:rPr>
        <w:t>6 млн. лв.</w:t>
      </w:r>
      <w:r w:rsidR="00B552D5">
        <w:rPr>
          <w:szCs w:val="24"/>
        </w:rPr>
        <w:t xml:space="preserve"> – </w:t>
      </w:r>
      <w:r w:rsidRPr="008F45A9">
        <w:rPr>
          <w:szCs w:val="24"/>
        </w:rPr>
        <w:t>с цел укрепване на кадровия капацитет и финансова устойчивост на достигнатото ниво на заплащане на персонала, пряко ангажиран с дейности по предотвратяване разпространението на COVID-19 в Регионалните здравни инспекции и Центровете за спешна медицинска помощ – второстепенни разпоредители с бюджет към министъра на здравеопазването, както и за финансово обезпечаване на договорените в Колективен трудов договор в отрасъл Здравеопазване 2022</w:t>
      </w:r>
      <w:r w:rsidR="00B552D5">
        <w:rPr>
          <w:szCs w:val="24"/>
        </w:rPr>
        <w:t> г.</w:t>
      </w:r>
      <w:r w:rsidRPr="008F45A9">
        <w:rPr>
          <w:szCs w:val="24"/>
        </w:rPr>
        <w:t xml:space="preserve"> нива на минимални основни работни заплати за медицинския персонал, зает в здравните и лечебните заведения, чиито ръководители са второстепенни разпоредители с бюджет към министъра на здравеопазването, и в здравните кабинети в държавните и общинските детски градини и училища, в детските ясли и яслените групи към детски градини.;</w:t>
      </w:r>
    </w:p>
    <w:p w14:paraId="4623AFD3" w14:textId="447789C9" w:rsidR="009E4F54" w:rsidRDefault="00493623" w:rsidP="00493D7E">
      <w:pPr>
        <w:pStyle w:val="ListParagraph"/>
        <w:numPr>
          <w:ilvl w:val="0"/>
          <w:numId w:val="9"/>
        </w:numPr>
        <w:rPr>
          <w:szCs w:val="24"/>
        </w:rPr>
      </w:pPr>
      <w:r w:rsidRPr="007606FB">
        <w:rPr>
          <w:szCs w:val="24"/>
        </w:rPr>
        <w:t>5</w:t>
      </w:r>
      <w:r w:rsidR="009E4F54">
        <w:rPr>
          <w:szCs w:val="24"/>
        </w:rPr>
        <w:t>.</w:t>
      </w:r>
      <w:r w:rsidRPr="007606FB">
        <w:rPr>
          <w:szCs w:val="24"/>
        </w:rPr>
        <w:t xml:space="preserve">1 млн. лв. за осигуряване създаване на нов Център за спешна медицинска помощ по въздух, включващ в структурата си </w:t>
      </w:r>
      <w:r w:rsidR="00031455">
        <w:rPr>
          <w:szCs w:val="24"/>
        </w:rPr>
        <w:t>5</w:t>
      </w:r>
      <w:r w:rsidRPr="007606FB">
        <w:rPr>
          <w:szCs w:val="24"/>
        </w:rPr>
        <w:t xml:space="preserve"> бази  в гр. София, гр. Долна Митрополия, гр. Варна</w:t>
      </w:r>
      <w:r w:rsidR="00031455">
        <w:rPr>
          <w:szCs w:val="24"/>
        </w:rPr>
        <w:t>, гр.Пловдив</w:t>
      </w:r>
      <w:r w:rsidRPr="007606FB">
        <w:rPr>
          <w:szCs w:val="24"/>
        </w:rPr>
        <w:t xml:space="preserve"> и Безмер, както и разкриването на Филиали за спешна медицинска помощ в Приморско и Сърница, с оглед осигуряване на спешна медицинска помощ по въздух, както и подобряване достъпа до спешна помощ на гражданите по време на туристическите сезони;</w:t>
      </w:r>
    </w:p>
    <w:p w14:paraId="6B47D521" w14:textId="3DF39EE6" w:rsidR="003D4DBD" w:rsidRPr="008F45A9" w:rsidRDefault="003D4DBD" w:rsidP="00493D7E">
      <w:pPr>
        <w:pStyle w:val="ListParagraph"/>
        <w:numPr>
          <w:ilvl w:val="0"/>
          <w:numId w:val="9"/>
        </w:numPr>
        <w:rPr>
          <w:szCs w:val="24"/>
        </w:rPr>
      </w:pPr>
      <w:r w:rsidRPr="008F45A9">
        <w:rPr>
          <w:szCs w:val="24"/>
        </w:rPr>
        <w:t>35</w:t>
      </w:r>
      <w:r w:rsidR="008F45A9">
        <w:rPr>
          <w:szCs w:val="24"/>
          <w:lang w:val="en-US"/>
        </w:rPr>
        <w:t>.</w:t>
      </w:r>
      <w:r w:rsidRPr="008F45A9">
        <w:rPr>
          <w:szCs w:val="24"/>
        </w:rPr>
        <w:t>0 млн.</w:t>
      </w:r>
      <w:r w:rsidR="008F45A9">
        <w:rPr>
          <w:szCs w:val="24"/>
          <w:lang w:val="en-US"/>
        </w:rPr>
        <w:t xml:space="preserve"> </w:t>
      </w:r>
      <w:r w:rsidRPr="008F45A9">
        <w:rPr>
          <w:szCs w:val="24"/>
        </w:rPr>
        <w:t xml:space="preserve">лв. за осигуряване на нарастване броя на лица, които се нуждаят от лечение и разширяване обхвата на дейностите във връзка с лечение на лица до 18 и над 18 годишна възраст в страната или в чужбина, за които не са предвидени други механизми за финансиране със средства от държавния бюджет, общинските бюджети и бюджета на Националната здравноосигурителна каса или които не могат да бъдат осигурени в страната; </w:t>
      </w:r>
    </w:p>
    <w:p w14:paraId="3DC83239" w14:textId="73B70AD6" w:rsidR="003D4DBD" w:rsidRPr="008F45A9" w:rsidRDefault="003D4DBD" w:rsidP="00493D7E">
      <w:pPr>
        <w:pStyle w:val="ListParagraph"/>
        <w:numPr>
          <w:ilvl w:val="0"/>
          <w:numId w:val="9"/>
        </w:numPr>
        <w:rPr>
          <w:szCs w:val="24"/>
        </w:rPr>
      </w:pPr>
      <w:r w:rsidRPr="008F45A9">
        <w:rPr>
          <w:szCs w:val="24"/>
        </w:rPr>
        <w:t>4</w:t>
      </w:r>
      <w:r w:rsidR="008F45A9">
        <w:rPr>
          <w:szCs w:val="24"/>
          <w:lang w:val="en-US"/>
        </w:rPr>
        <w:t>.</w:t>
      </w:r>
      <w:r w:rsidRPr="008F45A9">
        <w:rPr>
          <w:szCs w:val="24"/>
        </w:rPr>
        <w:t>0 млн.</w:t>
      </w:r>
      <w:r w:rsidR="008F45A9">
        <w:rPr>
          <w:szCs w:val="24"/>
          <w:lang w:val="en-US"/>
        </w:rPr>
        <w:t xml:space="preserve"> </w:t>
      </w:r>
      <w:r w:rsidRPr="008F45A9">
        <w:rPr>
          <w:szCs w:val="24"/>
        </w:rPr>
        <w:t>лв. за разширяване обхвата на лицата, вкл. за провеждане на профилактична имунизация на новородените срещу ротавирусен гастроентерит по Националната програма за профилактика на ротавирусните гастроентерити в Република България 2022 – 2025</w:t>
      </w:r>
      <w:r w:rsidR="00B552D5">
        <w:rPr>
          <w:szCs w:val="24"/>
        </w:rPr>
        <w:t> г.</w:t>
      </w:r>
      <w:r w:rsidRPr="008F45A9">
        <w:rPr>
          <w:szCs w:val="24"/>
        </w:rPr>
        <w:t>;</w:t>
      </w:r>
    </w:p>
    <w:p w14:paraId="443B8973" w14:textId="7D4379F3" w:rsidR="003D4DBD" w:rsidRPr="008F45A9" w:rsidRDefault="003D4DBD" w:rsidP="00493D7E">
      <w:pPr>
        <w:pStyle w:val="ListParagraph"/>
        <w:numPr>
          <w:ilvl w:val="0"/>
          <w:numId w:val="9"/>
        </w:numPr>
        <w:rPr>
          <w:szCs w:val="24"/>
        </w:rPr>
      </w:pPr>
      <w:r w:rsidRPr="008F45A9">
        <w:rPr>
          <w:szCs w:val="24"/>
        </w:rPr>
        <w:t>7</w:t>
      </w:r>
      <w:r w:rsidR="008F45A9">
        <w:rPr>
          <w:szCs w:val="24"/>
          <w:lang w:val="en-US"/>
        </w:rPr>
        <w:t>.</w:t>
      </w:r>
      <w:r w:rsidRPr="008F45A9">
        <w:rPr>
          <w:szCs w:val="24"/>
        </w:rPr>
        <w:t>7 млн.</w:t>
      </w:r>
      <w:r w:rsidR="008F45A9">
        <w:rPr>
          <w:szCs w:val="24"/>
          <w:lang w:val="en-US"/>
        </w:rPr>
        <w:t xml:space="preserve"> </w:t>
      </w:r>
      <w:r w:rsidRPr="008F45A9">
        <w:rPr>
          <w:szCs w:val="24"/>
        </w:rPr>
        <w:t>лв. за повишаване на имунизационния обхват срещу сезонен грип на целевата група по Националната програма за подобряване на ваксинопрофилактиката на сезонния грип и на пневмококовите инфекции при лица на и над 65</w:t>
      </w:r>
      <w:r w:rsidR="00B552D5">
        <w:rPr>
          <w:szCs w:val="24"/>
        </w:rPr>
        <w:t> г.</w:t>
      </w:r>
      <w:r w:rsidRPr="008F45A9">
        <w:rPr>
          <w:szCs w:val="24"/>
        </w:rPr>
        <w:t xml:space="preserve"> 2023 – 2026</w:t>
      </w:r>
      <w:r w:rsidR="00B552D5">
        <w:rPr>
          <w:szCs w:val="24"/>
        </w:rPr>
        <w:t> г.</w:t>
      </w:r>
    </w:p>
    <w:p w14:paraId="2C94B43B" w14:textId="44BE909A" w:rsidR="003D4DBD" w:rsidRPr="003D4DBD" w:rsidRDefault="003D4DBD" w:rsidP="006008E0">
      <w:r w:rsidRPr="003D4DBD">
        <w:t>С цел подобряване на ефективността на разходите и удовлетвореността на гражданите от функционирането на здравния сектор по бюджета на Националната здравноосигурителна каса през 2023</w:t>
      </w:r>
      <w:r w:rsidR="00B552D5">
        <w:t> г.</w:t>
      </w:r>
      <w:r w:rsidRPr="003D4DBD">
        <w:t xml:space="preserve"> са предвидени допълнително </w:t>
      </w:r>
      <w:r w:rsidR="00493623" w:rsidRPr="003D4DBD">
        <w:t>8</w:t>
      </w:r>
      <w:r w:rsidR="00493623">
        <w:t>49</w:t>
      </w:r>
      <w:r w:rsidR="0025778C">
        <w:rPr>
          <w:lang w:val="en-US"/>
        </w:rPr>
        <w:t>.</w:t>
      </w:r>
      <w:r w:rsidRPr="003D4DBD">
        <w:t xml:space="preserve">6 млн. лв. за здравноосигурителни плащания. </w:t>
      </w:r>
    </w:p>
    <w:p w14:paraId="5FD3168B" w14:textId="77777777" w:rsidR="003D4DBD" w:rsidRPr="003D4DBD" w:rsidRDefault="003D4DBD" w:rsidP="006008E0">
      <w:r w:rsidRPr="003D4DBD">
        <w:t xml:space="preserve">Одобрените средства са насочени към няколко основни приоритетни области в системата на здравеопазването: </w:t>
      </w:r>
    </w:p>
    <w:p w14:paraId="4014CDE7" w14:textId="32E051BE" w:rsidR="003D4DBD" w:rsidRPr="0025778C" w:rsidRDefault="003D4DBD" w:rsidP="00493D7E">
      <w:pPr>
        <w:pStyle w:val="ListParagraph"/>
        <w:numPr>
          <w:ilvl w:val="0"/>
          <w:numId w:val="10"/>
        </w:numPr>
        <w:rPr>
          <w:szCs w:val="24"/>
        </w:rPr>
      </w:pPr>
      <w:r w:rsidRPr="0025778C">
        <w:rPr>
          <w:szCs w:val="24"/>
        </w:rPr>
        <w:t xml:space="preserve">политика в областта на промоцията, превенцията и контрола на общественото здраве, чиято цел е гарантиране на качествено и ефективно посрещане на здравните потребности на гражданите чрез реализиране на първична профилактика, промоция на здравето и интегрирана профилактика на заразните болести, в това число надзор на заразните болести и ефективен държавен здравен контрол върху факторите на жизнената </w:t>
      </w:r>
      <w:r w:rsidRPr="0025778C">
        <w:rPr>
          <w:szCs w:val="24"/>
        </w:rPr>
        <w:lastRenderedPageBreak/>
        <w:t xml:space="preserve">среда. Политиката включва: реализиране на национални програми по отношение ограничаване заболяемостта и смъртността от заразни заболявания; централна доставка на ваксини за задължителни и целеви имунизации и на ваксини и лекарства за лечението на COVID-19 и др. </w:t>
      </w:r>
    </w:p>
    <w:p w14:paraId="792BF6F9" w14:textId="4CEBFFB7" w:rsidR="003D4DBD" w:rsidRPr="0025778C" w:rsidRDefault="003D4DBD" w:rsidP="00493D7E">
      <w:pPr>
        <w:pStyle w:val="ListParagraph"/>
        <w:numPr>
          <w:ilvl w:val="0"/>
          <w:numId w:val="10"/>
        </w:numPr>
        <w:rPr>
          <w:szCs w:val="24"/>
        </w:rPr>
      </w:pPr>
      <w:r w:rsidRPr="0025778C">
        <w:rPr>
          <w:szCs w:val="24"/>
        </w:rPr>
        <w:t xml:space="preserve">политика в областта на диагностиката и лечението, която е насочена към подобряване на здравното състояние и качеството на живот на българските граждани и намаляване на здравните неравенства чрез дейностите в областта на диагностиката и лечението на заболявания и организацията на медицинската помощ. Приоритетните инвестиционни проекти, предвидени за изпълнение в областта на диагностиката и лечението, са свързани с развитие на електронното здравеопазване и подобряване на материалната база и достъпа до здравни услуги на всички граждани. </w:t>
      </w:r>
    </w:p>
    <w:p w14:paraId="26AEA96B" w14:textId="01BF3ECE" w:rsidR="003D4DBD" w:rsidRPr="0025778C" w:rsidRDefault="003D4DBD" w:rsidP="00493D7E">
      <w:pPr>
        <w:pStyle w:val="ListParagraph"/>
        <w:numPr>
          <w:ilvl w:val="0"/>
          <w:numId w:val="10"/>
        </w:numPr>
        <w:rPr>
          <w:szCs w:val="24"/>
        </w:rPr>
      </w:pPr>
      <w:r w:rsidRPr="0025778C">
        <w:rPr>
          <w:szCs w:val="24"/>
        </w:rPr>
        <w:t xml:space="preserve">основният обхват на политиката в областта на лекарствените продукти и медицинските изделия е осигуряване на лекарствени продукти, които отговарят на стандартите за качество, безопасност и ефикасност за задоволяване на потребностите на населението. </w:t>
      </w:r>
    </w:p>
    <w:p w14:paraId="4304AB6A" w14:textId="0FC1E959" w:rsidR="006E4A2E" w:rsidRPr="006E4A2E" w:rsidRDefault="003D4DBD" w:rsidP="0025778C">
      <w:pPr>
        <w:ind w:left="284"/>
        <w:rPr>
          <w:szCs w:val="24"/>
        </w:rPr>
      </w:pPr>
      <w:r w:rsidRPr="003D4DBD">
        <w:rPr>
          <w:szCs w:val="24"/>
        </w:rPr>
        <w:t>Продължава действието на разпоредбите на Закона за здравното осигуряване, с които се въвежда поетапно повишаване на частта от минималния осигурителен доход, върху който се определят здравноосигурителните вноски за лицата, които се осигуряват за сметка на държавния бюджет – от 55 на сто през 2016</w:t>
      </w:r>
      <w:r w:rsidR="00B552D5">
        <w:rPr>
          <w:szCs w:val="24"/>
        </w:rPr>
        <w:t> г.</w:t>
      </w:r>
      <w:r w:rsidRPr="003D4DBD">
        <w:rPr>
          <w:szCs w:val="24"/>
        </w:rPr>
        <w:t xml:space="preserve"> на 90 на сто от минималния осигурителен доход за самоосигуряващите се лица от 1 януари 2023</w:t>
      </w:r>
      <w:r w:rsidR="00B552D5">
        <w:rPr>
          <w:szCs w:val="24"/>
        </w:rPr>
        <w:t> г.</w:t>
      </w:r>
      <w:r w:rsidRPr="003D4DBD">
        <w:rPr>
          <w:szCs w:val="24"/>
        </w:rPr>
        <w:t>, като всяка следваща година съотношението се увеличава с 5 пр. п. до достигане на минималния осигурителен доход за самоосигуряващите се лица. Същевременно с нарастването на минималната работна заплата се увеличава и минималния осигурителен доход, върху който държавата прави вноските. Общата сума в резултат на промените ще нарасне през 2023</w:t>
      </w:r>
      <w:r w:rsidR="00B552D5">
        <w:rPr>
          <w:szCs w:val="24"/>
        </w:rPr>
        <w:t> г.</w:t>
      </w:r>
      <w:r w:rsidRPr="003D4DBD">
        <w:rPr>
          <w:szCs w:val="24"/>
        </w:rPr>
        <w:t xml:space="preserve"> със 145</w:t>
      </w:r>
      <w:r w:rsidR="0025778C">
        <w:rPr>
          <w:szCs w:val="24"/>
          <w:lang w:val="en-US"/>
        </w:rPr>
        <w:t>.</w:t>
      </w:r>
      <w:r w:rsidRPr="003D4DBD">
        <w:rPr>
          <w:szCs w:val="24"/>
        </w:rPr>
        <w:t>4 млн. лв. Ефектът върху салдото на консолидирана основа е неутрален, тъй като приходите и разходите ще се увеличат с една и съща сума.</w:t>
      </w:r>
    </w:p>
    <w:p w14:paraId="77B445A1" w14:textId="78B7FAAC" w:rsidR="00424201" w:rsidRPr="00046164" w:rsidRDefault="00424201" w:rsidP="00C0210D">
      <w:pPr>
        <w:pStyle w:val="Heading4"/>
      </w:pPr>
      <w:r w:rsidRPr="00046164">
        <w:t>Политики в сферата на образованието</w:t>
      </w:r>
      <w:r w:rsidR="0025778C">
        <w:rPr>
          <w:lang w:val="en-US"/>
        </w:rPr>
        <w:t xml:space="preserve"> </w:t>
      </w:r>
      <w:r w:rsidR="0025778C">
        <w:t>и науката</w:t>
      </w:r>
    </w:p>
    <w:p w14:paraId="0C9C1B50" w14:textId="77777777" w:rsidR="003D4DBD" w:rsidRPr="003D4DBD" w:rsidRDefault="003D4DBD" w:rsidP="003D4DBD">
      <w:pPr>
        <w:tabs>
          <w:tab w:val="left" w:pos="680"/>
        </w:tabs>
        <w:rPr>
          <w:rFonts w:eastAsia="Times New Roman"/>
          <w:szCs w:val="24"/>
          <w:lang w:eastAsia="zh-CN"/>
        </w:rPr>
      </w:pPr>
      <w:r w:rsidRPr="003D4DBD">
        <w:rPr>
          <w:rFonts w:eastAsia="Times New Roman"/>
          <w:szCs w:val="24"/>
          <w:lang w:eastAsia="zh-CN"/>
        </w:rPr>
        <w:t xml:space="preserve">Политиките в предучилищното и училищното образование са насочени към ефективна социализация на деца от ранна детска възраст, осигуряването на равен достъп до качествено образование, личностно развитие на децата и учениците, насърчаване на иновациите, квалификация на педагогическите специалисти, модернизиране на образователните институции, дигитализация на образованието. Предвидено e нарастване на средствата за делегираните дейности в образованието във връзка с продължаване на политиката за увеличение на заплатите на педагогическите специалисти за достигане на средна работна заплата не по-малко от 125 на сто от средната работна заплата за страната, с цел да се стимулира навлизането на млади и квалифицирани педагози в системата на предучилищното и училищното образование. Изпълняват се и мерки, насочени към намаляване на неравенствата и насърчаване на социалното включване, мотивация на децата и учениците за образование и усвояване на ключови компетентности. Образователните политики/мерки са заложени в Приоритет 1 „Образование и умения“ на Националната програма за развитие България 2030. Те са залегнали в Стратегическата рамка за развитие на образованието, обучението и ученето в Република България (2021-2030). </w:t>
      </w:r>
    </w:p>
    <w:p w14:paraId="5BD0950B" w14:textId="535C37A6" w:rsidR="003D4DBD" w:rsidRPr="003D4DBD" w:rsidRDefault="003D4DBD" w:rsidP="003D4DBD">
      <w:pPr>
        <w:tabs>
          <w:tab w:val="left" w:pos="680"/>
        </w:tabs>
        <w:rPr>
          <w:rFonts w:eastAsia="Times New Roman"/>
          <w:szCs w:val="24"/>
          <w:lang w:eastAsia="zh-CN"/>
        </w:rPr>
      </w:pPr>
      <w:r w:rsidRPr="003D4DBD">
        <w:rPr>
          <w:rFonts w:eastAsia="Times New Roman"/>
          <w:szCs w:val="24"/>
          <w:lang w:eastAsia="zh-CN"/>
        </w:rPr>
        <w:t>Осигуряването на условия за качествено образование за всички ще се подпомогне и чрез реализирането на комплекс от мерки, заложени в инвестиционните проекти и процедури на МОН по НПВУ. Инвестиционният проект „</w:t>
      </w:r>
      <w:r w:rsidR="00500D4E">
        <w:rPr>
          <w:rFonts w:eastAsia="Times New Roman"/>
          <w:szCs w:val="24"/>
          <w:lang w:eastAsia="zh-CN"/>
        </w:rPr>
        <w:t xml:space="preserve">Центрове НТИМ </w:t>
      </w:r>
      <w:r w:rsidRPr="003D4DBD">
        <w:rPr>
          <w:rFonts w:eastAsia="Times New Roman"/>
          <w:szCs w:val="24"/>
          <w:lang w:eastAsia="zh-CN"/>
        </w:rPr>
        <w:t>и иновации в образованието“</w:t>
      </w:r>
      <w:r w:rsidR="00500D4E">
        <w:rPr>
          <w:rFonts w:eastAsia="Times New Roman"/>
          <w:szCs w:val="24"/>
          <w:lang w:eastAsia="zh-CN"/>
        </w:rPr>
        <w:t xml:space="preserve"> </w:t>
      </w:r>
      <w:r w:rsidR="00500D4E">
        <w:rPr>
          <w:rFonts w:eastAsia="Times New Roman"/>
          <w:szCs w:val="24"/>
          <w:lang w:val="en-US" w:eastAsia="zh-CN"/>
        </w:rPr>
        <w:t>(</w:t>
      </w:r>
      <w:r w:rsidR="00500D4E" w:rsidRPr="003D4DBD">
        <w:rPr>
          <w:rFonts w:eastAsia="Times New Roman"/>
          <w:szCs w:val="24"/>
          <w:lang w:eastAsia="zh-CN"/>
        </w:rPr>
        <w:t>STEM</w:t>
      </w:r>
      <w:r w:rsidR="00500D4E">
        <w:rPr>
          <w:rFonts w:eastAsia="Times New Roman"/>
          <w:szCs w:val="24"/>
          <w:lang w:eastAsia="zh-CN"/>
        </w:rPr>
        <w:t xml:space="preserve"> центрове</w:t>
      </w:r>
      <w:r w:rsidR="00500D4E">
        <w:rPr>
          <w:rFonts w:eastAsia="Times New Roman"/>
          <w:szCs w:val="24"/>
          <w:lang w:val="en-US" w:eastAsia="zh-CN"/>
        </w:rPr>
        <w:t>)</w:t>
      </w:r>
      <w:r w:rsidRPr="003D4DBD">
        <w:rPr>
          <w:rFonts w:eastAsia="Times New Roman"/>
          <w:szCs w:val="24"/>
          <w:lang w:eastAsia="zh-CN"/>
        </w:rPr>
        <w:t xml:space="preserve"> цели повишаване на дигиталната грамотност и мотивацията за учене, насърчаване</w:t>
      </w:r>
      <w:r w:rsidR="0005652B">
        <w:rPr>
          <w:rFonts w:eastAsia="Times New Roman"/>
          <w:szCs w:val="24"/>
          <w:lang w:eastAsia="zh-CN"/>
        </w:rPr>
        <w:t xml:space="preserve"> </w:t>
      </w:r>
      <w:r w:rsidRPr="003D4DBD">
        <w:rPr>
          <w:rFonts w:eastAsia="Times New Roman"/>
          <w:szCs w:val="24"/>
          <w:lang w:eastAsia="zh-CN"/>
        </w:rPr>
        <w:t>на интереса и развиване уменията на учениците в областта на при</w:t>
      </w:r>
      <w:r w:rsidRPr="003D4DBD">
        <w:rPr>
          <w:rFonts w:eastAsia="Times New Roman"/>
          <w:szCs w:val="24"/>
          <w:lang w:eastAsia="zh-CN"/>
        </w:rPr>
        <w:lastRenderedPageBreak/>
        <w:t>родните и инженерни науки, изкуствен интелект, роботика, ИТ, иновативността и предприемчивостта за тяхното практическо приложение. Инвестиционният проект „</w:t>
      </w:r>
      <w:r w:rsidR="00500D4E" w:rsidRPr="003D4DBD">
        <w:rPr>
          <w:rFonts w:eastAsia="Times New Roman"/>
          <w:szCs w:val="24"/>
          <w:lang w:eastAsia="zh-CN"/>
        </w:rPr>
        <w:t>Модерниз</w:t>
      </w:r>
      <w:r w:rsidR="00500D4E">
        <w:rPr>
          <w:rFonts w:eastAsia="Times New Roman"/>
          <w:szCs w:val="24"/>
          <w:lang w:eastAsia="zh-CN"/>
        </w:rPr>
        <w:t>иране</w:t>
      </w:r>
      <w:r w:rsidR="00500D4E" w:rsidRPr="003D4DBD">
        <w:rPr>
          <w:rFonts w:eastAsia="Times New Roman"/>
          <w:szCs w:val="24"/>
          <w:lang w:eastAsia="zh-CN"/>
        </w:rPr>
        <w:t xml:space="preserve"> </w:t>
      </w:r>
      <w:r w:rsidRPr="003D4DBD">
        <w:rPr>
          <w:rFonts w:eastAsia="Times New Roman"/>
          <w:szCs w:val="24"/>
          <w:lang w:eastAsia="zh-CN"/>
        </w:rPr>
        <w:t xml:space="preserve">на образователна инфраструктура“ цели създаването на материална база, която гарантира здравословни и качествени условия за обучение и постигането на цялостен обновен облик на образователните институции, подкрепен от инвестиции в изграждането на сигурна, екологична, привлекателна и здравословна среда за обучение, развитие, възпитание и социализация. </w:t>
      </w:r>
    </w:p>
    <w:p w14:paraId="6BF29DB0" w14:textId="3307CCAC" w:rsidR="003D4DBD" w:rsidRPr="003D4DBD" w:rsidRDefault="003D4DBD" w:rsidP="003D4DBD">
      <w:pPr>
        <w:tabs>
          <w:tab w:val="left" w:pos="680"/>
        </w:tabs>
        <w:rPr>
          <w:rFonts w:eastAsia="Times New Roman"/>
          <w:szCs w:val="24"/>
          <w:lang w:eastAsia="zh-CN"/>
        </w:rPr>
      </w:pPr>
      <w:r w:rsidRPr="003D4DBD">
        <w:rPr>
          <w:rFonts w:eastAsia="Times New Roman"/>
          <w:szCs w:val="24"/>
          <w:lang w:eastAsia="zh-CN"/>
        </w:rPr>
        <w:t>За предучилищното и училищното образование за 2023</w:t>
      </w:r>
      <w:r w:rsidR="00B552D5">
        <w:rPr>
          <w:rFonts w:eastAsia="Times New Roman"/>
          <w:szCs w:val="24"/>
          <w:lang w:eastAsia="zh-CN"/>
        </w:rPr>
        <w:t> г.</w:t>
      </w:r>
      <w:r w:rsidRPr="003D4DBD">
        <w:rPr>
          <w:rFonts w:eastAsia="Times New Roman"/>
          <w:szCs w:val="24"/>
          <w:lang w:eastAsia="zh-CN"/>
        </w:rPr>
        <w:t xml:space="preserve"> са осигурени допълнителни средства, както следва:</w:t>
      </w:r>
    </w:p>
    <w:p w14:paraId="559848D8" w14:textId="689B0765" w:rsidR="003D4DBD" w:rsidRPr="0025778C" w:rsidRDefault="003D4DBD" w:rsidP="00493D7E">
      <w:pPr>
        <w:pStyle w:val="ListParagraph"/>
        <w:numPr>
          <w:ilvl w:val="0"/>
          <w:numId w:val="11"/>
        </w:numPr>
        <w:rPr>
          <w:rFonts w:eastAsia="Times New Roman"/>
          <w:szCs w:val="24"/>
          <w:lang w:eastAsia="zh-CN"/>
        </w:rPr>
      </w:pPr>
      <w:r w:rsidRPr="0025778C">
        <w:rPr>
          <w:rFonts w:eastAsia="Times New Roman"/>
          <w:szCs w:val="24"/>
          <w:lang w:eastAsia="zh-CN"/>
        </w:rPr>
        <w:t>465</w:t>
      </w:r>
      <w:r w:rsidR="0025778C">
        <w:rPr>
          <w:rFonts w:eastAsia="Times New Roman"/>
          <w:szCs w:val="24"/>
          <w:lang w:val="en-US" w:eastAsia="zh-CN"/>
        </w:rPr>
        <w:t>.</w:t>
      </w:r>
      <w:r w:rsidR="00493623">
        <w:rPr>
          <w:rFonts w:eastAsia="Times New Roman"/>
          <w:szCs w:val="24"/>
          <w:lang w:eastAsia="zh-CN"/>
        </w:rPr>
        <w:t>0</w:t>
      </w:r>
      <w:r w:rsidR="00493623" w:rsidRPr="0025778C">
        <w:rPr>
          <w:rFonts w:eastAsia="Times New Roman"/>
          <w:szCs w:val="24"/>
          <w:lang w:eastAsia="zh-CN"/>
        </w:rPr>
        <w:t xml:space="preserve"> </w:t>
      </w:r>
      <w:r w:rsidRPr="0025778C">
        <w:rPr>
          <w:rFonts w:eastAsia="Times New Roman"/>
          <w:szCs w:val="24"/>
          <w:lang w:eastAsia="zh-CN"/>
        </w:rPr>
        <w:t xml:space="preserve">млн. лв. – за продължаване на политиката за увеличение на заплатите на педагогическите специалисти за достигане на средна работна заплата не по-малко от 125 на сто от средната работна заплата за страната с цел да се стимулира навлизането на млади и квалифицирани педагози в системата на предучилищното и училищното образование; </w:t>
      </w:r>
    </w:p>
    <w:p w14:paraId="4E2F737D" w14:textId="17CCFF3D" w:rsidR="003D4DBD" w:rsidRPr="0025778C" w:rsidRDefault="003D4DBD" w:rsidP="00493D7E">
      <w:pPr>
        <w:pStyle w:val="ListParagraph"/>
        <w:numPr>
          <w:ilvl w:val="0"/>
          <w:numId w:val="11"/>
        </w:numPr>
        <w:rPr>
          <w:rFonts w:eastAsia="Times New Roman"/>
          <w:szCs w:val="24"/>
          <w:lang w:eastAsia="zh-CN"/>
        </w:rPr>
      </w:pPr>
      <w:r w:rsidRPr="0025778C">
        <w:rPr>
          <w:rFonts w:eastAsia="Times New Roman"/>
          <w:szCs w:val="24"/>
          <w:lang w:eastAsia="zh-CN"/>
        </w:rPr>
        <w:t>18</w:t>
      </w:r>
      <w:r w:rsidR="0025778C">
        <w:rPr>
          <w:rFonts w:eastAsia="Times New Roman"/>
          <w:szCs w:val="24"/>
          <w:lang w:val="en-US" w:eastAsia="zh-CN"/>
        </w:rPr>
        <w:t>.</w:t>
      </w:r>
      <w:r w:rsidRPr="0025778C">
        <w:rPr>
          <w:rFonts w:eastAsia="Times New Roman"/>
          <w:szCs w:val="24"/>
          <w:lang w:eastAsia="zh-CN"/>
        </w:rPr>
        <w:t>0 млн. лв.</w:t>
      </w:r>
      <w:r w:rsidR="00B552D5">
        <w:rPr>
          <w:rFonts w:eastAsia="Times New Roman"/>
          <w:szCs w:val="24"/>
          <w:lang w:eastAsia="zh-CN"/>
        </w:rPr>
        <w:t xml:space="preserve"> – </w:t>
      </w:r>
      <w:r w:rsidRPr="0025778C">
        <w:rPr>
          <w:rFonts w:eastAsia="Times New Roman"/>
          <w:szCs w:val="24"/>
          <w:lang w:eastAsia="zh-CN"/>
        </w:rPr>
        <w:t xml:space="preserve">за продължаване поетапното разширяване на достъпа и обхващане в задължително предучилищно образование на 4-годишни деца; </w:t>
      </w:r>
    </w:p>
    <w:p w14:paraId="0D6E6744" w14:textId="7ACADEA6" w:rsidR="003D4DBD" w:rsidRPr="0025778C" w:rsidRDefault="00493623" w:rsidP="00493D7E">
      <w:pPr>
        <w:pStyle w:val="ListParagraph"/>
        <w:numPr>
          <w:ilvl w:val="0"/>
          <w:numId w:val="11"/>
        </w:numPr>
        <w:rPr>
          <w:rFonts w:eastAsia="Times New Roman"/>
          <w:szCs w:val="24"/>
          <w:lang w:eastAsia="zh-CN"/>
        </w:rPr>
      </w:pPr>
      <w:r>
        <w:rPr>
          <w:rFonts w:eastAsia="Times New Roman"/>
          <w:szCs w:val="24"/>
          <w:lang w:eastAsia="zh-CN"/>
        </w:rPr>
        <w:t>44.4</w:t>
      </w:r>
      <w:r w:rsidR="003D4DBD" w:rsidRPr="0025778C">
        <w:rPr>
          <w:rFonts w:eastAsia="Times New Roman"/>
          <w:szCs w:val="24"/>
          <w:lang w:eastAsia="zh-CN"/>
        </w:rPr>
        <w:t xml:space="preserve"> млн. лв.</w:t>
      </w:r>
      <w:r w:rsidR="00B552D5">
        <w:rPr>
          <w:rFonts w:eastAsia="Times New Roman"/>
          <w:szCs w:val="24"/>
          <w:lang w:eastAsia="zh-CN"/>
        </w:rPr>
        <w:t xml:space="preserve"> – </w:t>
      </w:r>
      <w:r w:rsidR="003D4DBD" w:rsidRPr="0025778C">
        <w:rPr>
          <w:rFonts w:eastAsia="Times New Roman"/>
          <w:szCs w:val="24"/>
          <w:lang w:eastAsia="zh-CN"/>
        </w:rPr>
        <w:t>за повишаване на интереса и увеличаване на извънкласните дейности, гарантирани за всеки ученик чрез допълнителна подкрепа за спорт, отдих и култура за осигуряване на широк достъп до тях и при изявени високи постижения;</w:t>
      </w:r>
      <w:r w:rsidR="0005652B" w:rsidRPr="0025778C">
        <w:rPr>
          <w:rFonts w:eastAsia="Times New Roman"/>
          <w:szCs w:val="24"/>
          <w:lang w:eastAsia="zh-CN"/>
        </w:rPr>
        <w:t xml:space="preserve"> </w:t>
      </w:r>
    </w:p>
    <w:p w14:paraId="5F7C61E9" w14:textId="67682586" w:rsidR="003D4DBD" w:rsidRPr="0025778C" w:rsidRDefault="003D4DBD" w:rsidP="00493D7E">
      <w:pPr>
        <w:pStyle w:val="ListParagraph"/>
        <w:numPr>
          <w:ilvl w:val="0"/>
          <w:numId w:val="11"/>
        </w:numPr>
        <w:rPr>
          <w:rFonts w:eastAsia="Times New Roman"/>
          <w:szCs w:val="24"/>
          <w:lang w:eastAsia="zh-CN"/>
        </w:rPr>
      </w:pPr>
      <w:r w:rsidRPr="0025778C">
        <w:rPr>
          <w:rFonts w:eastAsia="Times New Roman"/>
          <w:szCs w:val="24"/>
          <w:lang w:eastAsia="zh-CN"/>
        </w:rPr>
        <w:t>4</w:t>
      </w:r>
      <w:r w:rsidR="0025778C">
        <w:rPr>
          <w:rFonts w:eastAsia="Times New Roman"/>
          <w:szCs w:val="24"/>
          <w:lang w:val="en-US" w:eastAsia="zh-CN"/>
        </w:rPr>
        <w:t>.</w:t>
      </w:r>
      <w:r w:rsidRPr="0025778C">
        <w:rPr>
          <w:rFonts w:eastAsia="Times New Roman"/>
          <w:szCs w:val="24"/>
          <w:lang w:eastAsia="zh-CN"/>
        </w:rPr>
        <w:t>8 млн. лв.</w:t>
      </w:r>
      <w:r w:rsidR="00B552D5">
        <w:rPr>
          <w:rFonts w:eastAsia="Times New Roman"/>
          <w:szCs w:val="24"/>
          <w:lang w:eastAsia="zh-CN"/>
        </w:rPr>
        <w:t xml:space="preserve"> – </w:t>
      </w:r>
      <w:r w:rsidRPr="0025778C">
        <w:rPr>
          <w:rFonts w:eastAsia="Times New Roman"/>
          <w:szCs w:val="24"/>
          <w:lang w:eastAsia="zh-CN"/>
        </w:rPr>
        <w:t>за развитие на българистиката зад граница, чрез осигуряване на по-добри условия за командированите преподаватели в средни и висши училища в чужбина и за допълнително финансиране на неделните училища зад граница;</w:t>
      </w:r>
    </w:p>
    <w:p w14:paraId="41C5090D" w14:textId="5D13E258" w:rsidR="003D4DBD" w:rsidRPr="003D4DBD" w:rsidRDefault="003D4DBD" w:rsidP="003D4DBD">
      <w:pPr>
        <w:tabs>
          <w:tab w:val="left" w:pos="680"/>
        </w:tabs>
        <w:rPr>
          <w:rFonts w:eastAsia="Times New Roman"/>
          <w:szCs w:val="24"/>
          <w:lang w:eastAsia="zh-CN"/>
        </w:rPr>
      </w:pPr>
      <w:r w:rsidRPr="003D4DBD">
        <w:rPr>
          <w:rFonts w:eastAsia="Times New Roman"/>
          <w:szCs w:val="24"/>
          <w:lang w:eastAsia="zh-CN"/>
        </w:rPr>
        <w:t>В областта на висшето образование политиката с цел насърчаване на усилията на автономните висши училища за непрекъснато развитие на качеството на предлаганото висше образование, подпомагането им при въвеждането, развитието и усъвършенстването на вътрешните системи за оценяване и поддържане на качеството на обучение и на академичния състав, в период 2023</w:t>
      </w:r>
      <w:r w:rsidR="00B552D5">
        <w:rPr>
          <w:rFonts w:eastAsia="Times New Roman"/>
          <w:szCs w:val="24"/>
          <w:lang w:eastAsia="zh-CN"/>
        </w:rPr>
        <w:t> г.</w:t>
      </w:r>
      <w:r w:rsidRPr="003D4DBD">
        <w:rPr>
          <w:rFonts w:eastAsia="Times New Roman"/>
          <w:szCs w:val="24"/>
          <w:lang w:eastAsia="zh-CN"/>
        </w:rPr>
        <w:t>- 2026</w:t>
      </w:r>
      <w:r w:rsidR="00B552D5">
        <w:rPr>
          <w:rFonts w:eastAsia="Times New Roman"/>
          <w:szCs w:val="24"/>
          <w:lang w:eastAsia="zh-CN"/>
        </w:rPr>
        <w:t> г.</w:t>
      </w:r>
      <w:r w:rsidRPr="003D4DBD">
        <w:rPr>
          <w:rFonts w:eastAsia="Times New Roman"/>
          <w:szCs w:val="24"/>
          <w:lang w:eastAsia="zh-CN"/>
        </w:rPr>
        <w:t xml:space="preserve"> са осигурени допълнителни средства, разпределени както следва: </w:t>
      </w:r>
    </w:p>
    <w:p w14:paraId="3EF916A8" w14:textId="6FF9DD8F" w:rsidR="003D4DBD" w:rsidRPr="0025778C" w:rsidRDefault="003D4DBD" w:rsidP="00493D7E">
      <w:pPr>
        <w:pStyle w:val="ListParagraph"/>
        <w:numPr>
          <w:ilvl w:val="0"/>
          <w:numId w:val="12"/>
        </w:numPr>
        <w:rPr>
          <w:rFonts w:eastAsia="Times New Roman"/>
          <w:szCs w:val="24"/>
          <w:lang w:eastAsia="zh-CN"/>
        </w:rPr>
      </w:pPr>
      <w:r w:rsidRPr="0025778C">
        <w:rPr>
          <w:rFonts w:eastAsia="Times New Roman"/>
          <w:szCs w:val="24"/>
          <w:lang w:eastAsia="zh-CN"/>
        </w:rPr>
        <w:t>40</w:t>
      </w:r>
      <w:r w:rsidR="0025778C">
        <w:rPr>
          <w:rFonts w:eastAsia="Times New Roman"/>
          <w:szCs w:val="24"/>
          <w:lang w:val="en-US" w:eastAsia="zh-CN"/>
        </w:rPr>
        <w:t>.</w:t>
      </w:r>
      <w:r w:rsidRPr="0025778C">
        <w:rPr>
          <w:rFonts w:eastAsia="Times New Roman"/>
          <w:szCs w:val="24"/>
          <w:lang w:eastAsia="zh-CN"/>
        </w:rPr>
        <w:t>0 млн. лв.</w:t>
      </w:r>
      <w:r w:rsidR="00B552D5">
        <w:rPr>
          <w:rFonts w:eastAsia="Times New Roman"/>
          <w:szCs w:val="24"/>
          <w:lang w:eastAsia="zh-CN"/>
        </w:rPr>
        <w:t xml:space="preserve"> – </w:t>
      </w:r>
      <w:r w:rsidR="00031455" w:rsidRPr="00556709">
        <w:rPr>
          <w:rFonts w:eastAsia="Times New Roman"/>
          <w:szCs w:val="24"/>
          <w:lang w:eastAsia="zh-CN"/>
        </w:rPr>
        <w:t xml:space="preserve">целогодишен ефект </w:t>
      </w:r>
      <w:r w:rsidR="00031455">
        <w:rPr>
          <w:rFonts w:eastAsia="Times New Roman"/>
          <w:szCs w:val="24"/>
          <w:lang w:eastAsia="zh-CN"/>
        </w:rPr>
        <w:t xml:space="preserve">от </w:t>
      </w:r>
      <w:r w:rsidRPr="0025778C">
        <w:rPr>
          <w:rFonts w:eastAsia="Times New Roman"/>
          <w:szCs w:val="24"/>
          <w:lang w:eastAsia="zh-CN"/>
        </w:rPr>
        <w:t xml:space="preserve">увеличените </w:t>
      </w:r>
      <w:r w:rsidR="00031455">
        <w:rPr>
          <w:rFonts w:eastAsia="Times New Roman"/>
          <w:szCs w:val="24"/>
          <w:lang w:eastAsia="zh-CN"/>
        </w:rPr>
        <w:t xml:space="preserve">през 2022 г. </w:t>
      </w:r>
      <w:r w:rsidRPr="0025778C">
        <w:rPr>
          <w:rFonts w:eastAsia="Times New Roman"/>
          <w:szCs w:val="24"/>
          <w:lang w:eastAsia="zh-CN"/>
        </w:rPr>
        <w:t>възнаграждения на лицата от академичния съ</w:t>
      </w:r>
      <w:r w:rsidR="00031455">
        <w:rPr>
          <w:rFonts w:eastAsia="Times New Roman"/>
          <w:szCs w:val="24"/>
          <w:lang w:eastAsia="zh-CN"/>
        </w:rPr>
        <w:t>став в държавните висши училища</w:t>
      </w:r>
      <w:bookmarkStart w:id="74" w:name="_GoBack"/>
      <w:bookmarkEnd w:id="74"/>
      <w:r w:rsidRPr="0025778C">
        <w:rPr>
          <w:rFonts w:eastAsia="Times New Roman"/>
          <w:szCs w:val="24"/>
          <w:lang w:eastAsia="zh-CN"/>
        </w:rPr>
        <w:t xml:space="preserve">; </w:t>
      </w:r>
    </w:p>
    <w:p w14:paraId="74E70A30" w14:textId="37BE76AC" w:rsidR="003D4DBD" w:rsidRPr="0025778C" w:rsidRDefault="003D4DBD" w:rsidP="00493D7E">
      <w:pPr>
        <w:pStyle w:val="ListParagraph"/>
        <w:numPr>
          <w:ilvl w:val="0"/>
          <w:numId w:val="12"/>
        </w:numPr>
        <w:rPr>
          <w:rFonts w:eastAsia="Times New Roman"/>
          <w:szCs w:val="24"/>
          <w:lang w:eastAsia="zh-CN"/>
        </w:rPr>
      </w:pPr>
      <w:r w:rsidRPr="0025778C">
        <w:rPr>
          <w:rFonts w:eastAsia="Times New Roman"/>
          <w:szCs w:val="24"/>
          <w:lang w:eastAsia="zh-CN"/>
        </w:rPr>
        <w:t>20</w:t>
      </w:r>
      <w:r w:rsidR="0025778C">
        <w:rPr>
          <w:rFonts w:eastAsia="Times New Roman"/>
          <w:szCs w:val="24"/>
          <w:lang w:val="en-US" w:eastAsia="zh-CN"/>
        </w:rPr>
        <w:t>.</w:t>
      </w:r>
      <w:r w:rsidRPr="0025778C">
        <w:rPr>
          <w:rFonts w:eastAsia="Times New Roman"/>
          <w:szCs w:val="24"/>
          <w:lang w:eastAsia="zh-CN"/>
        </w:rPr>
        <w:t>0 млн. лв.</w:t>
      </w:r>
      <w:r w:rsidR="00B552D5">
        <w:rPr>
          <w:rFonts w:eastAsia="Times New Roman"/>
          <w:szCs w:val="24"/>
          <w:lang w:eastAsia="zh-CN"/>
        </w:rPr>
        <w:t xml:space="preserve"> – </w:t>
      </w:r>
      <w:r w:rsidRPr="0025778C">
        <w:rPr>
          <w:rFonts w:eastAsia="Times New Roman"/>
          <w:szCs w:val="24"/>
          <w:lang w:eastAsia="zh-CN"/>
        </w:rPr>
        <w:t>за издръжка на обучението на държавните висши училища по реда на чл. 91, ал. 2 от Закона за висшето образование чрез повишаване на тежестта на разпределението въз основа на комплексна оценка за качество на обучението и съответствието му с потребностите на пазара на труда;</w:t>
      </w:r>
    </w:p>
    <w:p w14:paraId="5E7EC780" w14:textId="206D1D9C" w:rsidR="003D4DBD" w:rsidRPr="0025778C" w:rsidRDefault="003D4DBD" w:rsidP="00493D7E">
      <w:pPr>
        <w:pStyle w:val="ListParagraph"/>
        <w:numPr>
          <w:ilvl w:val="0"/>
          <w:numId w:val="12"/>
        </w:numPr>
        <w:rPr>
          <w:rFonts w:eastAsia="Times New Roman"/>
          <w:szCs w:val="24"/>
          <w:lang w:eastAsia="zh-CN"/>
        </w:rPr>
      </w:pPr>
      <w:r w:rsidRPr="0025778C">
        <w:rPr>
          <w:rFonts w:eastAsia="Times New Roman"/>
          <w:szCs w:val="24"/>
          <w:lang w:eastAsia="zh-CN"/>
        </w:rPr>
        <w:t>24</w:t>
      </w:r>
      <w:r w:rsidR="0025778C">
        <w:rPr>
          <w:rFonts w:eastAsia="Times New Roman"/>
          <w:szCs w:val="24"/>
          <w:lang w:val="en-US" w:eastAsia="zh-CN"/>
        </w:rPr>
        <w:t>.</w:t>
      </w:r>
      <w:r w:rsidRPr="0025778C">
        <w:rPr>
          <w:rFonts w:eastAsia="Times New Roman"/>
          <w:szCs w:val="24"/>
          <w:lang w:eastAsia="zh-CN"/>
        </w:rPr>
        <w:t>4 млн. лв.</w:t>
      </w:r>
      <w:r w:rsidR="00B552D5">
        <w:rPr>
          <w:rFonts w:eastAsia="Times New Roman"/>
          <w:szCs w:val="24"/>
          <w:lang w:eastAsia="zh-CN"/>
        </w:rPr>
        <w:t xml:space="preserve"> – </w:t>
      </w:r>
      <w:r w:rsidRPr="0025778C">
        <w:rPr>
          <w:rFonts w:eastAsia="Times New Roman"/>
          <w:szCs w:val="24"/>
          <w:lang w:eastAsia="zh-CN"/>
        </w:rPr>
        <w:t>за социално-битови разходи на студентите и докторантите;</w:t>
      </w:r>
    </w:p>
    <w:p w14:paraId="7C78AA38" w14:textId="73D5DC6A" w:rsidR="003D4DBD" w:rsidRPr="003D4DBD" w:rsidRDefault="003D4DBD" w:rsidP="003D4DBD">
      <w:pPr>
        <w:tabs>
          <w:tab w:val="left" w:pos="680"/>
        </w:tabs>
        <w:rPr>
          <w:rFonts w:eastAsia="Times New Roman"/>
          <w:szCs w:val="24"/>
          <w:lang w:eastAsia="zh-CN"/>
        </w:rPr>
      </w:pPr>
      <w:r w:rsidRPr="003D4DBD">
        <w:rPr>
          <w:rFonts w:eastAsia="Times New Roman"/>
          <w:szCs w:val="24"/>
          <w:lang w:eastAsia="zh-CN"/>
        </w:rPr>
        <w:t>Предвидени са средства за периода 2023–2026</w:t>
      </w:r>
      <w:r w:rsidR="00B552D5">
        <w:rPr>
          <w:rFonts w:eastAsia="Times New Roman"/>
          <w:szCs w:val="24"/>
          <w:lang w:eastAsia="zh-CN"/>
        </w:rPr>
        <w:t> г.</w:t>
      </w:r>
      <w:r w:rsidRPr="003D4DBD">
        <w:rPr>
          <w:rFonts w:eastAsia="Times New Roman"/>
          <w:szCs w:val="24"/>
          <w:lang w:eastAsia="zh-CN"/>
        </w:rPr>
        <w:t xml:space="preserve"> за увеличените трудови възнаграждения на учените от Българската академия на науките</w:t>
      </w:r>
      <w:r w:rsidR="0005652B">
        <w:rPr>
          <w:rFonts w:eastAsia="Times New Roman"/>
          <w:szCs w:val="24"/>
          <w:lang w:eastAsia="zh-CN"/>
        </w:rPr>
        <w:t xml:space="preserve"> </w:t>
      </w:r>
      <w:r w:rsidRPr="003D4DBD">
        <w:rPr>
          <w:rFonts w:eastAsia="Times New Roman"/>
          <w:szCs w:val="24"/>
          <w:lang w:eastAsia="zh-CN"/>
        </w:rPr>
        <w:t>през 2022</w:t>
      </w:r>
      <w:r w:rsidR="00B552D5">
        <w:rPr>
          <w:rFonts w:eastAsia="Times New Roman"/>
          <w:szCs w:val="24"/>
          <w:lang w:eastAsia="zh-CN"/>
        </w:rPr>
        <w:t> г.</w:t>
      </w:r>
      <w:r w:rsidR="0005652B">
        <w:rPr>
          <w:rFonts w:eastAsia="Times New Roman"/>
          <w:szCs w:val="24"/>
          <w:lang w:eastAsia="zh-CN"/>
        </w:rPr>
        <w:t xml:space="preserve"> </w:t>
      </w:r>
      <w:r w:rsidRPr="003D4DBD">
        <w:rPr>
          <w:rFonts w:eastAsia="Times New Roman"/>
          <w:szCs w:val="24"/>
          <w:lang w:eastAsia="zh-CN"/>
        </w:rPr>
        <w:t>в размер на 26</w:t>
      </w:r>
      <w:r w:rsidR="0025778C">
        <w:rPr>
          <w:rFonts w:eastAsia="Times New Roman"/>
          <w:szCs w:val="24"/>
          <w:lang w:val="en-US" w:eastAsia="zh-CN"/>
        </w:rPr>
        <w:t>.</w:t>
      </w:r>
      <w:r w:rsidRPr="003D4DBD">
        <w:rPr>
          <w:rFonts w:eastAsia="Times New Roman"/>
          <w:szCs w:val="24"/>
          <w:lang w:eastAsia="zh-CN"/>
        </w:rPr>
        <w:t>7 млн. лв.</w:t>
      </w:r>
      <w:r w:rsidR="0005652B">
        <w:rPr>
          <w:rFonts w:eastAsia="Times New Roman"/>
          <w:szCs w:val="24"/>
          <w:lang w:eastAsia="zh-CN"/>
        </w:rPr>
        <w:t xml:space="preserve"> </w:t>
      </w:r>
    </w:p>
    <w:p w14:paraId="14FD4EA9" w14:textId="2779B4A5" w:rsidR="006E4A2E" w:rsidRDefault="003D4DBD" w:rsidP="0025778C">
      <w:pPr>
        <w:tabs>
          <w:tab w:val="left" w:pos="680"/>
        </w:tabs>
        <w:rPr>
          <w:rFonts w:eastAsia="Times New Roman"/>
          <w:szCs w:val="24"/>
          <w:lang w:eastAsia="zh-CN"/>
        </w:rPr>
      </w:pPr>
      <w:r w:rsidRPr="003D4DBD">
        <w:rPr>
          <w:rFonts w:eastAsia="Times New Roman"/>
          <w:szCs w:val="24"/>
          <w:lang w:eastAsia="zh-CN"/>
        </w:rPr>
        <w:t>Ежегодно по централния бюджет се разчитат и разходват средства за Националната стратегия за развитие на научните изследвания в Република България 2017–2030 и Националната пътна карта за научна инфраструктура и национални научни програми.</w:t>
      </w:r>
    </w:p>
    <w:p w14:paraId="57F0490A" w14:textId="0B68CA5E" w:rsidR="009A3558" w:rsidRDefault="009A3558" w:rsidP="009A3558">
      <w:pPr>
        <w:tabs>
          <w:tab w:val="left" w:pos="680"/>
        </w:tabs>
        <w:rPr>
          <w:rFonts w:eastAsia="Times New Roman"/>
          <w:szCs w:val="24"/>
          <w:lang w:eastAsia="zh-CN"/>
        </w:rPr>
      </w:pPr>
      <w:r>
        <w:rPr>
          <w:rFonts w:eastAsia="Times New Roman"/>
          <w:szCs w:val="24"/>
          <w:lang w:eastAsia="zh-CN"/>
        </w:rPr>
        <w:t xml:space="preserve">Съгласно Националната стратегия за развитие на научните изследвания в Република България 2017-2030 г. планираното публично финансиране на </w:t>
      </w:r>
      <w:r w:rsidR="00221F9E" w:rsidRPr="00EE02C8">
        <w:rPr>
          <w:rFonts w:eastAsia="Times New Roman"/>
          <w:szCs w:val="24"/>
          <w:lang w:eastAsia="zh-CN"/>
        </w:rPr>
        <w:t>научно-изследователска и развойна дейност</w:t>
      </w:r>
      <w:r w:rsidR="00221F9E" w:rsidRPr="00EE02C8" w:rsidDel="00EE02C8">
        <w:rPr>
          <w:rFonts w:eastAsia="Times New Roman"/>
          <w:szCs w:val="24"/>
          <w:lang w:eastAsia="zh-CN"/>
        </w:rPr>
        <w:t xml:space="preserve"> </w:t>
      </w:r>
      <w:r>
        <w:rPr>
          <w:rFonts w:eastAsia="Times New Roman"/>
          <w:szCs w:val="24"/>
          <w:lang w:eastAsia="zh-CN"/>
        </w:rPr>
        <w:t xml:space="preserve">за 2023 г. следва да е в размер на 0,80% от БВП. </w:t>
      </w:r>
    </w:p>
    <w:p w14:paraId="7D1EAB54" w14:textId="4C94E49E" w:rsidR="009A3558" w:rsidRDefault="009A3558" w:rsidP="009A3558">
      <w:pPr>
        <w:tabs>
          <w:tab w:val="left" w:pos="680"/>
        </w:tabs>
        <w:rPr>
          <w:rFonts w:eastAsia="Times New Roman"/>
          <w:szCs w:val="24"/>
          <w:lang w:eastAsia="zh-CN"/>
        </w:rPr>
      </w:pPr>
      <w:r>
        <w:rPr>
          <w:rFonts w:eastAsia="Times New Roman"/>
          <w:szCs w:val="24"/>
          <w:lang w:eastAsia="zh-CN"/>
        </w:rPr>
        <w:lastRenderedPageBreak/>
        <w:t>С приемането на единен нормативен акт за насърчаването на научните изследвания и иновациите ще бъде поставена рамка и създаден ясен механизъм за координация и финансиране. Усъвършенстването на нормативната уредба и механизмите за координация и финансиране ще позволи по-ефективно използване на финансовите средства и ще увеличи нивата на инвестиции от частния сектор и ще подобри връзките между научните среди и бизнеса.</w:t>
      </w:r>
    </w:p>
    <w:p w14:paraId="1C9FA3BD" w14:textId="77777777" w:rsidR="009A3558" w:rsidRDefault="009A3558" w:rsidP="009A3558">
      <w:pPr>
        <w:tabs>
          <w:tab w:val="left" w:pos="680"/>
        </w:tabs>
        <w:rPr>
          <w:rFonts w:eastAsia="Times New Roman"/>
          <w:szCs w:val="24"/>
          <w:lang w:eastAsia="zh-CN"/>
        </w:rPr>
      </w:pPr>
      <w:r>
        <w:rPr>
          <w:rFonts w:eastAsia="Times New Roman"/>
          <w:szCs w:val="24"/>
          <w:lang w:eastAsia="zh-CN"/>
        </w:rPr>
        <w:t xml:space="preserve">В периода на изпълнение на Конвергентната програма 2023-2026 г. ще се изпълнява „Програмата за ускоряване на икономическото възстановяване и трансформация чрез наука и иновации“, по която се предвижда  привличането на средства по Националния план за възстановяване и устойчивост. </w:t>
      </w:r>
    </w:p>
    <w:p w14:paraId="335944A1" w14:textId="77777777" w:rsidR="009A3558" w:rsidRDefault="009A3558" w:rsidP="009A3558">
      <w:pPr>
        <w:tabs>
          <w:tab w:val="left" w:pos="680"/>
        </w:tabs>
        <w:rPr>
          <w:rFonts w:eastAsia="Times New Roman"/>
          <w:szCs w:val="24"/>
          <w:lang w:eastAsia="zh-CN"/>
        </w:rPr>
      </w:pPr>
      <w:r>
        <w:rPr>
          <w:rFonts w:eastAsia="Times New Roman"/>
          <w:szCs w:val="24"/>
          <w:lang w:eastAsia="zh-CN"/>
        </w:rPr>
        <w:t>Предвидените инвестиции са в два основни стълба:</w:t>
      </w:r>
    </w:p>
    <w:p w14:paraId="02AAAC75" w14:textId="77777777" w:rsidR="009A3558" w:rsidRDefault="009A3558" w:rsidP="009A3558">
      <w:pPr>
        <w:tabs>
          <w:tab w:val="left" w:pos="680"/>
        </w:tabs>
        <w:rPr>
          <w:rFonts w:eastAsia="Times New Roman"/>
          <w:szCs w:val="24"/>
          <w:lang w:eastAsia="zh-CN"/>
        </w:rPr>
      </w:pPr>
      <w:r>
        <w:rPr>
          <w:rFonts w:eastAsia="Times New Roman"/>
          <w:szCs w:val="24"/>
          <w:lang w:eastAsia="zh-CN"/>
        </w:rPr>
        <w:t xml:space="preserve">Първи стълб: Укрепване на научноизследователския и иновационен потенциал и ускоряване на интернационализацията на националната иновационна екосистема. В първия стълб се включват две операции: 1) изпълнение на проектни предложения на иновативни малки и средни предприятия (МСП), получили знака за качество „Печат за върхови постижения“  по конкурсите на Европейския съвет по иновациите и 2) изпълнение на проектни предложения в част „Разширяване на участието и укрепване на ЕНП“  на РП „Хоризонт Европа“ с цел укрепване на научноизследователския и иновационен капацитет на българските държавни висши училища и научноизследователски организации. </w:t>
      </w:r>
      <w:r w:rsidRPr="00DA6D04">
        <w:rPr>
          <w:rFonts w:eastAsia="Times New Roman"/>
          <w:szCs w:val="24"/>
          <w:lang w:eastAsia="zh-CN"/>
        </w:rPr>
        <w:t>Двете операции осигуряват синергия с Рамковата програма на Европейския съюз за научни изследвания и иновации „Хоризонт Европа“ (2021 – 2027 г.)</w:t>
      </w:r>
    </w:p>
    <w:p w14:paraId="68A6C16B" w14:textId="77777777" w:rsidR="009A3558" w:rsidRDefault="009A3558" w:rsidP="009A3558">
      <w:pPr>
        <w:tabs>
          <w:tab w:val="left" w:pos="680"/>
        </w:tabs>
        <w:rPr>
          <w:rFonts w:eastAsia="Times New Roman"/>
          <w:szCs w:val="24"/>
          <w:lang w:eastAsia="zh-CN"/>
        </w:rPr>
      </w:pPr>
      <w:r>
        <w:rPr>
          <w:rFonts w:eastAsia="Times New Roman"/>
          <w:szCs w:val="24"/>
          <w:lang w:eastAsia="zh-CN"/>
        </w:rPr>
        <w:t>Втори стълб: Създаване на мрежа от изследователски висши училища в България. Целта на този стълб е да създаде и пробира национален модел за развитие на изследователските университети, който позволява на висшите училища да преминат на един следващ етап от своето развитие и да се превърнат в пълноценни участници в научноизследователската и иновационната екосистема.</w:t>
      </w:r>
    </w:p>
    <w:p w14:paraId="60571990" w14:textId="1FB8104B" w:rsidR="009A3558" w:rsidRDefault="009A3558" w:rsidP="009A3558">
      <w:pPr>
        <w:tabs>
          <w:tab w:val="left" w:pos="680"/>
        </w:tabs>
        <w:rPr>
          <w:rFonts w:eastAsia="Times New Roman"/>
          <w:szCs w:val="24"/>
          <w:lang w:eastAsia="zh-CN"/>
        </w:rPr>
      </w:pPr>
      <w:r>
        <w:rPr>
          <w:rFonts w:eastAsia="Times New Roman"/>
          <w:szCs w:val="24"/>
          <w:lang w:eastAsia="zh-CN"/>
        </w:rPr>
        <w:t xml:space="preserve">Създадената мрежа от изследователски висши училища включва 9 висши училища. Програмата цели развитие на този модел и насърчаване на повече висши училища да стимулират и финансират в научни изследвания с цел не само подобряване на качеството на образование и обучение, а и предоставяне на иновативни разработки на индустрията и по-специално на малкия и среден бизнес и индустрия. </w:t>
      </w:r>
    </w:p>
    <w:p w14:paraId="2C0DDD59" w14:textId="4A876DD0" w:rsidR="009A3558" w:rsidRDefault="009A3558" w:rsidP="009A3558">
      <w:pPr>
        <w:tabs>
          <w:tab w:val="left" w:pos="680"/>
        </w:tabs>
        <w:rPr>
          <w:rFonts w:eastAsia="Times New Roman"/>
          <w:szCs w:val="24"/>
          <w:lang w:eastAsia="zh-CN"/>
        </w:rPr>
      </w:pPr>
      <w:r>
        <w:rPr>
          <w:rFonts w:eastAsia="Times New Roman"/>
          <w:szCs w:val="24"/>
          <w:lang w:eastAsia="zh-CN"/>
        </w:rPr>
        <w:t xml:space="preserve">По проектен фиш 5 на „Програмата за ускоряване на икономическото възстановяване и трансформация чрез </w:t>
      </w:r>
      <w:r w:rsidR="00500D4E">
        <w:rPr>
          <w:rFonts w:eastAsia="Times New Roman"/>
          <w:szCs w:val="24"/>
          <w:lang w:eastAsia="zh-CN"/>
        </w:rPr>
        <w:t xml:space="preserve">научни изследвания </w:t>
      </w:r>
      <w:r>
        <w:rPr>
          <w:rFonts w:eastAsia="Times New Roman"/>
          <w:szCs w:val="24"/>
          <w:lang w:eastAsia="zh-CN"/>
        </w:rPr>
        <w:t xml:space="preserve">и иновации“ се очаква привличането на средства за целия период на изпълнение на НПВУ в общ размер 401 </w:t>
      </w:r>
      <w:r w:rsidR="00500D4E">
        <w:rPr>
          <w:rFonts w:eastAsia="Times New Roman"/>
          <w:szCs w:val="24"/>
          <w:lang w:eastAsia="zh-CN"/>
        </w:rPr>
        <w:t xml:space="preserve">млн. </w:t>
      </w:r>
      <w:r>
        <w:rPr>
          <w:rFonts w:eastAsia="Times New Roman"/>
          <w:szCs w:val="24"/>
          <w:lang w:eastAsia="zh-CN"/>
        </w:rPr>
        <w:t>лв. както следва: за периода 2021-2023 г. – 256 млн. лв., за 2024 г. – 72,5 м</w:t>
      </w:r>
      <w:r w:rsidR="00500D4E">
        <w:rPr>
          <w:rFonts w:eastAsia="Times New Roman"/>
          <w:szCs w:val="24"/>
          <w:lang w:eastAsia="zh-CN"/>
        </w:rPr>
        <w:t>л</w:t>
      </w:r>
      <w:r>
        <w:rPr>
          <w:rFonts w:eastAsia="Times New Roman"/>
          <w:szCs w:val="24"/>
          <w:lang w:eastAsia="zh-CN"/>
        </w:rPr>
        <w:t>н. лв., и за 2025 г. – 72,5 млн. лв.</w:t>
      </w:r>
    </w:p>
    <w:p w14:paraId="2AF17C8B" w14:textId="37938302" w:rsidR="009A3558" w:rsidRDefault="009A3558" w:rsidP="009A3558">
      <w:pPr>
        <w:tabs>
          <w:tab w:val="left" w:pos="680"/>
        </w:tabs>
        <w:rPr>
          <w:rFonts w:eastAsia="Times New Roman"/>
          <w:szCs w:val="24"/>
          <w:lang w:eastAsia="zh-CN"/>
        </w:rPr>
      </w:pPr>
      <w:r>
        <w:rPr>
          <w:rFonts w:eastAsia="Times New Roman"/>
          <w:szCs w:val="24"/>
          <w:lang w:eastAsia="zh-CN"/>
        </w:rPr>
        <w:t>През 2023 г. предстои да се отчете изпълнението на мерките от Оперативния план за изпълнение на първия етап (2017-2022) на Националната стратегия за развитие на научните изследвания в Република България 2017-2030 г. и да се разработи и приеме Оперативен план за изпълнението на втория й етап (2023-2025). От 2024 г. фокусът ще бъде върху развитието на съществуващите инфраструктури и редовна оценка на тяхната ефективност от гледна точка на предлаганите услуги. Ще се подкрепят и стратегическите програми на Центровете за върхови постижения и Центровете по компетентност по Програмата за научни изследвания, иновации и дигитализация за интелигентна трансформация 2021 – 2027 г.</w:t>
      </w:r>
    </w:p>
    <w:p w14:paraId="48FF44F0" w14:textId="77777777" w:rsidR="00424201" w:rsidRPr="00046164" w:rsidRDefault="00424201" w:rsidP="00C0210D">
      <w:pPr>
        <w:pStyle w:val="Heading4"/>
      </w:pPr>
      <w:r w:rsidRPr="00046164">
        <w:t>Политика в областта на отбраната</w:t>
      </w:r>
    </w:p>
    <w:p w14:paraId="24A57AA5" w14:textId="003B311A" w:rsidR="003D4DBD" w:rsidRPr="003D4DBD" w:rsidRDefault="003D4DBD" w:rsidP="003D4DBD">
      <w:pPr>
        <w:tabs>
          <w:tab w:val="left" w:pos="680"/>
        </w:tabs>
        <w:rPr>
          <w:szCs w:val="24"/>
        </w:rPr>
      </w:pPr>
      <w:r w:rsidRPr="003D4DBD">
        <w:rPr>
          <w:szCs w:val="24"/>
        </w:rPr>
        <w:t>С проекта на ЗДБРБ за 2023</w:t>
      </w:r>
      <w:r w:rsidR="00B552D5">
        <w:rPr>
          <w:szCs w:val="24"/>
        </w:rPr>
        <w:t> г.</w:t>
      </w:r>
      <w:r w:rsidRPr="003D4DBD">
        <w:rPr>
          <w:szCs w:val="24"/>
        </w:rPr>
        <w:t xml:space="preserve"> и с бюджетна прогноза за периода </w:t>
      </w:r>
      <w:r w:rsidR="001364E0">
        <w:rPr>
          <w:szCs w:val="24"/>
        </w:rPr>
        <w:t>2024–2026</w:t>
      </w:r>
      <w:r w:rsidR="00B552D5">
        <w:rPr>
          <w:szCs w:val="24"/>
        </w:rPr>
        <w:t> г.</w:t>
      </w:r>
      <w:r w:rsidRPr="003D4DBD">
        <w:rPr>
          <w:szCs w:val="24"/>
        </w:rPr>
        <w:t xml:space="preserve"> са предвидени средства за поддържане и развитие на националните отбранителни способности </w:t>
      </w:r>
      <w:r w:rsidRPr="003D4DBD">
        <w:rPr>
          <w:szCs w:val="24"/>
        </w:rPr>
        <w:lastRenderedPageBreak/>
        <w:t>и способностите, свързани с колективната отбрана. В разходите за отбрана, съгласно класификацията на НАТО, са включени и разходите за пенсии за пенсионираните военнослужещи, намалени с отчисленията за военнослужещите към пенсионните фондове, разходите на военните съдилища и военни прокуратури,</w:t>
      </w:r>
      <w:r w:rsidR="0005652B">
        <w:rPr>
          <w:szCs w:val="24"/>
        </w:rPr>
        <w:t xml:space="preserve"> </w:t>
      </w:r>
      <w:r w:rsidRPr="003D4DBD">
        <w:rPr>
          <w:szCs w:val="24"/>
        </w:rPr>
        <w:t xml:space="preserve">разходите за издръжка на Постоянната делегация на Република България в НАТО, вноската на Република България към гражданския бюджет на НАТО и към Европейския механизъм за подкрепа на мира, изплащани от бюджета на Министерството на външните работи и вноската на Република България към фонда на НАТО за иновации, изплащана от бюджета на Министерството на иновациите и растежа. </w:t>
      </w:r>
      <w:r w:rsidR="00493623" w:rsidRPr="003D4DBD">
        <w:rPr>
          <w:szCs w:val="24"/>
        </w:rPr>
        <w:t>По този начин планирани, разходите за отбрана в общ размер възлизат на 1</w:t>
      </w:r>
      <w:r w:rsidR="00664B42">
        <w:rPr>
          <w:szCs w:val="24"/>
        </w:rPr>
        <w:t>.</w:t>
      </w:r>
      <w:r w:rsidR="00493623" w:rsidRPr="003D4DBD">
        <w:rPr>
          <w:szCs w:val="24"/>
        </w:rPr>
        <w:t>85 на сто от БВП за 2023</w:t>
      </w:r>
      <w:r w:rsidR="00B552D5">
        <w:rPr>
          <w:szCs w:val="24"/>
        </w:rPr>
        <w:t> г.</w:t>
      </w:r>
      <w:r w:rsidR="00493623" w:rsidRPr="003D4DBD">
        <w:rPr>
          <w:szCs w:val="24"/>
        </w:rPr>
        <w:t xml:space="preserve">,  за периода </w:t>
      </w:r>
      <w:r w:rsidR="00541E16">
        <w:rPr>
          <w:szCs w:val="24"/>
        </w:rPr>
        <w:t>2024–2025</w:t>
      </w:r>
      <w:r w:rsidR="00B552D5">
        <w:rPr>
          <w:szCs w:val="24"/>
        </w:rPr>
        <w:t> г.</w:t>
      </w:r>
      <w:r w:rsidR="00493623" w:rsidRPr="003D4DBD">
        <w:rPr>
          <w:szCs w:val="24"/>
        </w:rPr>
        <w:t xml:space="preserve"> – 2</w:t>
      </w:r>
      <w:r w:rsidR="00664B42">
        <w:rPr>
          <w:szCs w:val="24"/>
        </w:rPr>
        <w:t>.</w:t>
      </w:r>
      <w:r w:rsidR="00493623">
        <w:rPr>
          <w:szCs w:val="24"/>
        </w:rPr>
        <w:t>0</w:t>
      </w:r>
      <w:r w:rsidR="00493623" w:rsidRPr="003D4DBD">
        <w:rPr>
          <w:szCs w:val="24"/>
        </w:rPr>
        <w:t xml:space="preserve"> на сто от БВП за всяка година, </w:t>
      </w:r>
      <w:r w:rsidR="00664B42">
        <w:rPr>
          <w:szCs w:val="24"/>
        </w:rPr>
        <w:t>а за 2026</w:t>
      </w:r>
      <w:r w:rsidR="00B552D5">
        <w:rPr>
          <w:szCs w:val="24"/>
        </w:rPr>
        <w:t> г.</w:t>
      </w:r>
      <w:r w:rsidR="00664B42">
        <w:rPr>
          <w:szCs w:val="24"/>
        </w:rPr>
        <w:t xml:space="preserve"> – 2.</w:t>
      </w:r>
      <w:r w:rsidR="00493623" w:rsidRPr="00880AD6">
        <w:rPr>
          <w:szCs w:val="24"/>
        </w:rPr>
        <w:t xml:space="preserve">15 на сто от БВП, с което се изпълнява </w:t>
      </w:r>
      <w:r w:rsidRPr="003D4DBD">
        <w:rPr>
          <w:szCs w:val="24"/>
        </w:rPr>
        <w:t>Националния</w:t>
      </w:r>
      <w:r w:rsidR="00493623">
        <w:rPr>
          <w:szCs w:val="24"/>
        </w:rPr>
        <w:t>т</w:t>
      </w:r>
      <w:r w:rsidRPr="003D4DBD">
        <w:rPr>
          <w:szCs w:val="24"/>
        </w:rPr>
        <w:t xml:space="preserve"> план за повишаване на разходите за отбрана на 2 на сто от БВП на Република България </w:t>
      </w:r>
      <w:r w:rsidR="0025778C">
        <w:rPr>
          <w:szCs w:val="24"/>
        </w:rPr>
        <w:t>до 2024</w:t>
      </w:r>
      <w:r w:rsidR="00B552D5">
        <w:rPr>
          <w:szCs w:val="24"/>
        </w:rPr>
        <w:t> г.</w:t>
      </w:r>
      <w:r w:rsidR="0025778C">
        <w:rPr>
          <w:szCs w:val="24"/>
        </w:rPr>
        <w:t>, одобрен с Решение №</w:t>
      </w:r>
      <w:r w:rsidRPr="003D4DBD">
        <w:rPr>
          <w:szCs w:val="24"/>
        </w:rPr>
        <w:t>3 на Министерския съвет от 2018</w:t>
      </w:r>
      <w:r w:rsidR="00B552D5">
        <w:rPr>
          <w:szCs w:val="24"/>
        </w:rPr>
        <w:t> г.</w:t>
      </w:r>
    </w:p>
    <w:p w14:paraId="5167E1FA" w14:textId="7C1D4B3D" w:rsidR="00493623" w:rsidRPr="00046164" w:rsidRDefault="003D4DBD" w:rsidP="00493623">
      <w:pPr>
        <w:tabs>
          <w:tab w:val="left" w:pos="680"/>
        </w:tabs>
        <w:rPr>
          <w:szCs w:val="24"/>
        </w:rPr>
      </w:pPr>
      <w:r w:rsidRPr="003D4DBD">
        <w:rPr>
          <w:szCs w:val="24"/>
        </w:rPr>
        <w:t>Предвидени са средства за превъоръжаване и модернизация на трите вида въоръжени сили и повишаване на отбранителните способности на Българската армия, като са осигурени средства за изпълнение на одобрените от Народното събрание инвестиционни проекти за модернизация на Българската армия, а именно: придобиването на многофункционален модулен патрулен кораб за ВМС, нов тип боен самолет</w:t>
      </w:r>
      <w:r w:rsidR="00B552D5">
        <w:rPr>
          <w:szCs w:val="24"/>
        </w:rPr>
        <w:t xml:space="preserve"> – </w:t>
      </w:r>
      <w:r w:rsidRPr="003D4DBD">
        <w:rPr>
          <w:szCs w:val="24"/>
        </w:rPr>
        <w:t>II-ри етап, включително и за съпътстващи разходи</w:t>
      </w:r>
      <w:r w:rsidR="00493623" w:rsidRPr="009B3172">
        <w:t xml:space="preserve"> </w:t>
      </w:r>
      <w:r w:rsidR="00493623" w:rsidRPr="009B3172">
        <w:rPr>
          <w:szCs w:val="24"/>
        </w:rPr>
        <w:t>по двата етапа</w:t>
      </w:r>
      <w:r w:rsidRPr="003D4DBD">
        <w:rPr>
          <w:szCs w:val="24"/>
        </w:rPr>
        <w:t xml:space="preserve"> (</w:t>
      </w:r>
      <w:r w:rsidR="00493623" w:rsidRPr="009B3172">
        <w:rPr>
          <w:szCs w:val="24"/>
        </w:rPr>
        <w:t>MIDS терминали,</w:t>
      </w:r>
      <w:r w:rsidR="00493623">
        <w:rPr>
          <w:szCs w:val="24"/>
        </w:rPr>
        <w:t xml:space="preserve"> </w:t>
      </w:r>
      <w:r w:rsidRPr="003D4DBD">
        <w:rPr>
          <w:szCs w:val="24"/>
        </w:rPr>
        <w:t xml:space="preserve">транспорт, ДДС и мита) и основна бойна техника за изграждане на батальонни бойни групи от състава на механизирана бригада. </w:t>
      </w:r>
      <w:r w:rsidR="00493623" w:rsidRPr="003D4DBD">
        <w:rPr>
          <w:szCs w:val="24"/>
        </w:rPr>
        <w:t>Допълнително са предвидени средства за придобиване на боеприпаси и горива за бойна подготовка, както и за придобиване, модернизация, поддръжка и ремонт на въоръжение</w:t>
      </w:r>
      <w:r w:rsidR="00493623" w:rsidRPr="009B3172">
        <w:rPr>
          <w:szCs w:val="24"/>
        </w:rPr>
        <w:t xml:space="preserve">, ракети, торпеда </w:t>
      </w:r>
      <w:r w:rsidR="00493623" w:rsidRPr="003D4DBD">
        <w:rPr>
          <w:szCs w:val="24"/>
        </w:rPr>
        <w:t xml:space="preserve">и техника, </w:t>
      </w:r>
      <w:r w:rsidR="00493623" w:rsidRPr="009B3172">
        <w:rPr>
          <w:szCs w:val="24"/>
        </w:rPr>
        <w:t xml:space="preserve">и за ремонт </w:t>
      </w:r>
      <w:r w:rsidR="00493623" w:rsidRPr="003D4DBD">
        <w:rPr>
          <w:szCs w:val="24"/>
        </w:rPr>
        <w:t>и изграждане на инфраструктура.</w:t>
      </w:r>
      <w:r w:rsidR="00493623" w:rsidRPr="00046164">
        <w:rPr>
          <w:szCs w:val="24"/>
        </w:rPr>
        <w:t xml:space="preserve"> </w:t>
      </w:r>
    </w:p>
    <w:p w14:paraId="3FEA8660" w14:textId="77777777" w:rsidR="00424201" w:rsidRPr="00046164" w:rsidRDefault="00424201" w:rsidP="00C0210D">
      <w:pPr>
        <w:pStyle w:val="Heading4"/>
      </w:pPr>
      <w:r w:rsidRPr="00046164">
        <w:t>Мерки в областта на енергетиката</w:t>
      </w:r>
    </w:p>
    <w:p w14:paraId="18976069" w14:textId="1FDD2601" w:rsidR="003D4DBD" w:rsidRPr="003D4DBD" w:rsidRDefault="003D4DBD" w:rsidP="003D4DBD">
      <w:pPr>
        <w:tabs>
          <w:tab w:val="left" w:pos="680"/>
        </w:tabs>
        <w:rPr>
          <w:rFonts w:eastAsia="Times New Roman"/>
          <w:szCs w:val="24"/>
          <w:lang w:eastAsia="zh-CN"/>
        </w:rPr>
      </w:pPr>
      <w:r w:rsidRPr="003D4DBD">
        <w:rPr>
          <w:rFonts w:eastAsia="Times New Roman"/>
          <w:szCs w:val="24"/>
          <w:lang w:eastAsia="zh-CN"/>
        </w:rPr>
        <w:t>С цел смекчаване на икономическите последици от внезапно настъпилата нестабилност на цените на електрическата енергия и природния газ през 2021</w:t>
      </w:r>
      <w:r w:rsidR="00B552D5">
        <w:rPr>
          <w:rFonts w:eastAsia="Times New Roman"/>
          <w:szCs w:val="24"/>
          <w:lang w:eastAsia="zh-CN"/>
        </w:rPr>
        <w:t> г.</w:t>
      </w:r>
      <w:r w:rsidRPr="003D4DBD">
        <w:rPr>
          <w:rFonts w:eastAsia="Times New Roman"/>
          <w:szCs w:val="24"/>
          <w:lang w:eastAsia="zh-CN"/>
        </w:rPr>
        <w:t>, 2022</w:t>
      </w:r>
      <w:r w:rsidR="00B552D5">
        <w:rPr>
          <w:rFonts w:eastAsia="Times New Roman"/>
          <w:szCs w:val="24"/>
          <w:lang w:eastAsia="zh-CN"/>
        </w:rPr>
        <w:t> г.</w:t>
      </w:r>
      <w:r w:rsidRPr="003D4DBD">
        <w:rPr>
          <w:rFonts w:eastAsia="Times New Roman"/>
          <w:szCs w:val="24"/>
          <w:lang w:eastAsia="zh-CN"/>
        </w:rPr>
        <w:t xml:space="preserve"> и 2023</w:t>
      </w:r>
      <w:r w:rsidR="00B552D5">
        <w:rPr>
          <w:rFonts w:eastAsia="Times New Roman"/>
          <w:szCs w:val="24"/>
          <w:lang w:eastAsia="zh-CN"/>
        </w:rPr>
        <w:t> г.</w:t>
      </w:r>
      <w:r w:rsidRPr="003D4DBD">
        <w:rPr>
          <w:rFonts w:eastAsia="Times New Roman"/>
          <w:szCs w:val="24"/>
          <w:lang w:eastAsia="zh-CN"/>
        </w:rPr>
        <w:t>, са предприети мерки чрез приемане и изпълнение на програми за компенсиране нарастването на цените на енергоносителите, в т.ч.:</w:t>
      </w:r>
    </w:p>
    <w:p w14:paraId="025A4D60" w14:textId="1A4DF7D8" w:rsidR="003D4DBD" w:rsidRPr="00C0210D" w:rsidRDefault="003D4DBD" w:rsidP="00493D7E">
      <w:pPr>
        <w:pStyle w:val="ListParagraph"/>
        <w:numPr>
          <w:ilvl w:val="0"/>
          <w:numId w:val="29"/>
        </w:numPr>
        <w:rPr>
          <w:rFonts w:eastAsia="Times New Roman"/>
          <w:szCs w:val="24"/>
          <w:lang w:eastAsia="zh-CN"/>
        </w:rPr>
      </w:pPr>
      <w:r w:rsidRPr="00C0210D">
        <w:rPr>
          <w:rFonts w:eastAsia="Times New Roman"/>
          <w:szCs w:val="24"/>
          <w:lang w:eastAsia="zh-CN"/>
        </w:rPr>
        <w:t>Програма за компенсиране на небитови крайни клиенти на електрическа енергия – период на компенсиране 01.10.2021</w:t>
      </w:r>
      <w:r w:rsidR="00B552D5" w:rsidRPr="00C0210D">
        <w:rPr>
          <w:rFonts w:eastAsia="Times New Roman"/>
          <w:szCs w:val="24"/>
          <w:lang w:eastAsia="zh-CN"/>
        </w:rPr>
        <w:t> г.</w:t>
      </w:r>
      <w:r w:rsidRPr="00C0210D">
        <w:rPr>
          <w:rFonts w:eastAsia="Times New Roman"/>
          <w:szCs w:val="24"/>
          <w:lang w:eastAsia="zh-CN"/>
        </w:rPr>
        <w:t xml:space="preserve"> – 31.03.2023</w:t>
      </w:r>
      <w:r w:rsidR="00B552D5" w:rsidRPr="00C0210D">
        <w:rPr>
          <w:rFonts w:eastAsia="Times New Roman"/>
          <w:szCs w:val="24"/>
          <w:lang w:eastAsia="zh-CN"/>
        </w:rPr>
        <w:t> г.</w:t>
      </w:r>
      <w:r w:rsidRPr="00C0210D">
        <w:rPr>
          <w:rFonts w:eastAsia="Times New Roman"/>
          <w:szCs w:val="24"/>
          <w:lang w:eastAsia="zh-CN"/>
        </w:rPr>
        <w:t>, като същата е вероятно да бъде удължена предвид Решение на 48-то Народно събрание на Република България, с което възлага на Министерския съвет да приеме програма за предоставяне компенсации на небитовите крайни клиенти на електроенергия от 01.01.2023</w:t>
      </w:r>
      <w:r w:rsidR="00B552D5" w:rsidRPr="00C0210D">
        <w:rPr>
          <w:rFonts w:eastAsia="Times New Roman"/>
          <w:szCs w:val="24"/>
          <w:lang w:eastAsia="zh-CN"/>
        </w:rPr>
        <w:t> г.</w:t>
      </w:r>
      <w:r w:rsidRPr="00C0210D">
        <w:rPr>
          <w:rFonts w:eastAsia="Times New Roman"/>
          <w:szCs w:val="24"/>
          <w:lang w:eastAsia="zh-CN"/>
        </w:rPr>
        <w:t xml:space="preserve"> до 31.12.2023</w:t>
      </w:r>
      <w:r w:rsidR="00B552D5" w:rsidRPr="00C0210D">
        <w:rPr>
          <w:rFonts w:eastAsia="Times New Roman"/>
          <w:szCs w:val="24"/>
          <w:lang w:eastAsia="zh-CN"/>
        </w:rPr>
        <w:t> г.</w:t>
      </w:r>
      <w:r w:rsidRPr="00C0210D">
        <w:rPr>
          <w:rFonts w:eastAsia="Times New Roman"/>
          <w:szCs w:val="24"/>
          <w:lang w:eastAsia="zh-CN"/>
        </w:rPr>
        <w:t>;</w:t>
      </w:r>
    </w:p>
    <w:p w14:paraId="5D571C50" w14:textId="34E9BFA8" w:rsidR="003D4DBD" w:rsidRPr="00C0210D" w:rsidRDefault="003D4DBD" w:rsidP="00493D7E">
      <w:pPr>
        <w:pStyle w:val="ListParagraph"/>
        <w:numPr>
          <w:ilvl w:val="0"/>
          <w:numId w:val="29"/>
        </w:numPr>
        <w:rPr>
          <w:rFonts w:eastAsia="Times New Roman"/>
          <w:szCs w:val="24"/>
          <w:lang w:eastAsia="zh-CN"/>
        </w:rPr>
      </w:pPr>
      <w:r w:rsidRPr="00C0210D">
        <w:rPr>
          <w:rFonts w:eastAsia="Times New Roman"/>
          <w:szCs w:val="24"/>
          <w:lang w:eastAsia="zh-CN"/>
        </w:rPr>
        <w:t>Програма за компенсиране на разходите на операторите на електропреносната и на електроразпределителните мрежи за закупуване на количествата електрическа енергия, потребена за технологични разходи – период на компенсиране 01.07.2021</w:t>
      </w:r>
      <w:r w:rsidR="00B552D5" w:rsidRPr="00C0210D">
        <w:rPr>
          <w:rFonts w:eastAsia="Times New Roman"/>
          <w:szCs w:val="24"/>
          <w:lang w:eastAsia="zh-CN"/>
        </w:rPr>
        <w:t> г.</w:t>
      </w:r>
      <w:r w:rsidRPr="00C0210D">
        <w:rPr>
          <w:rFonts w:eastAsia="Times New Roman"/>
          <w:szCs w:val="24"/>
          <w:lang w:eastAsia="zh-CN"/>
        </w:rPr>
        <w:t xml:space="preserve"> – 31.03.2023</w:t>
      </w:r>
      <w:r w:rsidR="00B552D5" w:rsidRPr="00C0210D">
        <w:rPr>
          <w:rFonts w:eastAsia="Times New Roman"/>
          <w:szCs w:val="24"/>
          <w:lang w:eastAsia="zh-CN"/>
        </w:rPr>
        <w:t> г.</w:t>
      </w:r>
      <w:r w:rsidRPr="00C0210D">
        <w:rPr>
          <w:rFonts w:eastAsia="Times New Roman"/>
          <w:szCs w:val="24"/>
          <w:lang w:eastAsia="zh-CN"/>
        </w:rPr>
        <w:t>;</w:t>
      </w:r>
    </w:p>
    <w:p w14:paraId="71E60AFE" w14:textId="4B9031A5" w:rsidR="003D4DBD" w:rsidRPr="00C0210D" w:rsidRDefault="003D4DBD" w:rsidP="00493D7E">
      <w:pPr>
        <w:pStyle w:val="ListParagraph"/>
        <w:numPr>
          <w:ilvl w:val="0"/>
          <w:numId w:val="29"/>
        </w:numPr>
        <w:rPr>
          <w:rFonts w:eastAsia="Times New Roman"/>
          <w:szCs w:val="24"/>
          <w:lang w:eastAsia="zh-CN"/>
        </w:rPr>
      </w:pPr>
      <w:r w:rsidRPr="00C0210D">
        <w:rPr>
          <w:rFonts w:eastAsia="Times New Roman"/>
          <w:szCs w:val="24"/>
          <w:lang w:eastAsia="zh-CN"/>
        </w:rPr>
        <w:t>Програма за компенсиране на битови клиенти на природен газ и топлофикационни дружества, използващи като основно гориво природен газ с подпомагане с фиксирана сума на един MWh – период на компенсиране 01.12.2021</w:t>
      </w:r>
      <w:r w:rsidR="00B552D5" w:rsidRPr="00C0210D">
        <w:rPr>
          <w:rFonts w:eastAsia="Times New Roman"/>
          <w:szCs w:val="24"/>
          <w:lang w:eastAsia="zh-CN"/>
        </w:rPr>
        <w:t> г.</w:t>
      </w:r>
      <w:r w:rsidRPr="00C0210D">
        <w:rPr>
          <w:rFonts w:eastAsia="Times New Roman"/>
          <w:szCs w:val="24"/>
          <w:lang w:eastAsia="zh-CN"/>
        </w:rPr>
        <w:t xml:space="preserve"> – 31.05.2022</w:t>
      </w:r>
      <w:r w:rsidR="00B552D5" w:rsidRPr="00C0210D">
        <w:rPr>
          <w:rFonts w:eastAsia="Times New Roman"/>
          <w:szCs w:val="24"/>
          <w:lang w:eastAsia="zh-CN"/>
        </w:rPr>
        <w:t> г.</w:t>
      </w:r>
      <w:r w:rsidRPr="00C0210D">
        <w:rPr>
          <w:rFonts w:eastAsia="Times New Roman"/>
          <w:szCs w:val="24"/>
          <w:lang w:eastAsia="zh-CN"/>
        </w:rPr>
        <w:t>;</w:t>
      </w:r>
    </w:p>
    <w:p w14:paraId="2140B2A1" w14:textId="751EA297" w:rsidR="003D4DBD" w:rsidRPr="00C0210D" w:rsidRDefault="003D4DBD" w:rsidP="00493D7E">
      <w:pPr>
        <w:pStyle w:val="ListParagraph"/>
        <w:numPr>
          <w:ilvl w:val="0"/>
          <w:numId w:val="29"/>
        </w:numPr>
        <w:rPr>
          <w:rFonts w:eastAsia="Times New Roman"/>
          <w:szCs w:val="24"/>
          <w:lang w:eastAsia="zh-CN"/>
        </w:rPr>
      </w:pPr>
      <w:r w:rsidRPr="00C0210D">
        <w:rPr>
          <w:rFonts w:eastAsia="Times New Roman"/>
          <w:szCs w:val="24"/>
          <w:lang w:eastAsia="zh-CN"/>
        </w:rPr>
        <w:t>Програма за компенсиране на непредвидените разходи на дружествата от отрасъл ВиК за потребена електрическа енергия за 2021</w:t>
      </w:r>
      <w:r w:rsidR="00B552D5" w:rsidRPr="00C0210D">
        <w:rPr>
          <w:rFonts w:eastAsia="Times New Roman"/>
          <w:szCs w:val="24"/>
          <w:lang w:eastAsia="zh-CN"/>
        </w:rPr>
        <w:t> г.</w:t>
      </w:r>
      <w:r w:rsidRPr="00C0210D">
        <w:rPr>
          <w:rFonts w:eastAsia="Times New Roman"/>
          <w:szCs w:val="24"/>
          <w:lang w:eastAsia="zh-CN"/>
        </w:rPr>
        <w:t xml:space="preserve"> –</w:t>
      </w:r>
      <w:r w:rsidR="0005652B" w:rsidRPr="00C0210D">
        <w:rPr>
          <w:rFonts w:eastAsia="Times New Roman"/>
          <w:szCs w:val="24"/>
          <w:lang w:eastAsia="zh-CN"/>
        </w:rPr>
        <w:t xml:space="preserve"> </w:t>
      </w:r>
      <w:r w:rsidRPr="00C0210D">
        <w:rPr>
          <w:rFonts w:eastAsia="Times New Roman"/>
          <w:szCs w:val="24"/>
          <w:lang w:eastAsia="zh-CN"/>
        </w:rPr>
        <w:t>период на компенсиране 01.01.2021</w:t>
      </w:r>
      <w:r w:rsidR="00B552D5" w:rsidRPr="00C0210D">
        <w:rPr>
          <w:rFonts w:eastAsia="Times New Roman"/>
          <w:szCs w:val="24"/>
          <w:lang w:eastAsia="zh-CN"/>
        </w:rPr>
        <w:t> г.</w:t>
      </w:r>
      <w:r w:rsidRPr="00C0210D">
        <w:rPr>
          <w:rFonts w:eastAsia="Times New Roman"/>
          <w:szCs w:val="24"/>
          <w:lang w:eastAsia="zh-CN"/>
        </w:rPr>
        <w:t xml:space="preserve"> – 30.06.2022</w:t>
      </w:r>
      <w:r w:rsidR="00B552D5" w:rsidRPr="00C0210D">
        <w:rPr>
          <w:rFonts w:eastAsia="Times New Roman"/>
          <w:szCs w:val="24"/>
          <w:lang w:eastAsia="zh-CN"/>
        </w:rPr>
        <w:t> г.</w:t>
      </w:r>
    </w:p>
    <w:p w14:paraId="4A1183CF" w14:textId="017C3D62" w:rsidR="003D4DBD" w:rsidRPr="00C0210D" w:rsidRDefault="003D4DBD" w:rsidP="00493D7E">
      <w:pPr>
        <w:pStyle w:val="ListParagraph"/>
        <w:numPr>
          <w:ilvl w:val="0"/>
          <w:numId w:val="29"/>
        </w:numPr>
        <w:rPr>
          <w:rFonts w:eastAsia="Times New Roman"/>
          <w:szCs w:val="24"/>
          <w:lang w:eastAsia="zh-CN"/>
        </w:rPr>
      </w:pPr>
      <w:r w:rsidRPr="00C0210D">
        <w:rPr>
          <w:rFonts w:eastAsia="Times New Roman"/>
          <w:szCs w:val="24"/>
          <w:lang w:eastAsia="zh-CN"/>
        </w:rPr>
        <w:t>Програма за подпомагане на студенти и докторанти, настанени в студентски общежития, стопанисвани от държавните висши училища и „Студентски столове и общежития“ ЕАД за периода компенсиране от 01.10.2021</w:t>
      </w:r>
      <w:r w:rsidR="00B552D5" w:rsidRPr="00C0210D">
        <w:rPr>
          <w:rFonts w:eastAsia="Times New Roman"/>
          <w:szCs w:val="24"/>
          <w:lang w:eastAsia="zh-CN"/>
        </w:rPr>
        <w:t> г.</w:t>
      </w:r>
      <w:r w:rsidRPr="00C0210D">
        <w:rPr>
          <w:rFonts w:eastAsia="Times New Roman"/>
          <w:szCs w:val="24"/>
          <w:lang w:eastAsia="zh-CN"/>
        </w:rPr>
        <w:t xml:space="preserve"> до 30.04.2022</w:t>
      </w:r>
      <w:r w:rsidR="00B552D5" w:rsidRPr="00C0210D">
        <w:rPr>
          <w:rFonts w:eastAsia="Times New Roman"/>
          <w:szCs w:val="24"/>
          <w:lang w:eastAsia="zh-CN"/>
        </w:rPr>
        <w:t> г.</w:t>
      </w:r>
    </w:p>
    <w:p w14:paraId="4F4D1247" w14:textId="77777777" w:rsidR="003D4DBD" w:rsidRPr="003D4DBD" w:rsidRDefault="003D4DBD" w:rsidP="003D4DBD">
      <w:pPr>
        <w:tabs>
          <w:tab w:val="left" w:pos="680"/>
        </w:tabs>
        <w:rPr>
          <w:rFonts w:eastAsia="Times New Roman"/>
          <w:szCs w:val="24"/>
          <w:lang w:eastAsia="zh-CN"/>
        </w:rPr>
      </w:pPr>
      <w:r w:rsidRPr="003D4DBD">
        <w:rPr>
          <w:rFonts w:eastAsia="Times New Roman"/>
          <w:szCs w:val="24"/>
          <w:lang w:eastAsia="zh-CN"/>
        </w:rPr>
        <w:lastRenderedPageBreak/>
        <w:t>За обезпечаване изпълнението на Програмите на правителството за смекчаване на икономическите последици от нестабилността на цените на електроенергията и природния газ са осигурени средства както следва:</w:t>
      </w:r>
    </w:p>
    <w:p w14:paraId="5AC3193D" w14:textId="7C16F832" w:rsidR="003D4DBD" w:rsidRPr="0025778C" w:rsidRDefault="003D4DBD" w:rsidP="00493D7E">
      <w:pPr>
        <w:pStyle w:val="ListParagraph"/>
        <w:numPr>
          <w:ilvl w:val="0"/>
          <w:numId w:val="30"/>
        </w:numPr>
        <w:rPr>
          <w:rFonts w:eastAsia="Times New Roman"/>
          <w:szCs w:val="24"/>
          <w:lang w:eastAsia="zh-CN"/>
        </w:rPr>
      </w:pPr>
      <w:r w:rsidRPr="0025778C">
        <w:rPr>
          <w:rFonts w:eastAsia="Times New Roman"/>
          <w:szCs w:val="24"/>
          <w:lang w:eastAsia="zh-CN"/>
        </w:rPr>
        <w:t>Предоставени по бюджета на Министерството на енергетиката</w:t>
      </w:r>
      <w:r w:rsidR="0005652B" w:rsidRPr="0025778C">
        <w:rPr>
          <w:rFonts w:eastAsia="Times New Roman"/>
          <w:szCs w:val="24"/>
          <w:lang w:eastAsia="zh-CN"/>
        </w:rPr>
        <w:t xml:space="preserve"> </w:t>
      </w:r>
      <w:r w:rsidRPr="0025778C">
        <w:rPr>
          <w:rFonts w:eastAsia="Times New Roman"/>
          <w:szCs w:val="24"/>
          <w:lang w:eastAsia="zh-CN"/>
        </w:rPr>
        <w:t>допълнителни разходи (1 310 млн. лв. с постан</w:t>
      </w:r>
      <w:r w:rsidR="0025778C">
        <w:rPr>
          <w:rFonts w:eastAsia="Times New Roman"/>
          <w:szCs w:val="24"/>
          <w:lang w:eastAsia="zh-CN"/>
        </w:rPr>
        <w:t>овления на Министерския съвет №355, №475 и №</w:t>
      </w:r>
      <w:r w:rsidRPr="0025778C">
        <w:rPr>
          <w:rFonts w:eastAsia="Times New Roman"/>
          <w:szCs w:val="24"/>
          <w:lang w:eastAsia="zh-CN"/>
        </w:rPr>
        <w:t>476 от 2021</w:t>
      </w:r>
      <w:r w:rsidR="00B552D5">
        <w:rPr>
          <w:rFonts w:eastAsia="Times New Roman"/>
          <w:szCs w:val="24"/>
          <w:lang w:eastAsia="zh-CN"/>
        </w:rPr>
        <w:t> г.</w:t>
      </w:r>
      <w:r w:rsidRPr="0025778C">
        <w:rPr>
          <w:rFonts w:eastAsia="Times New Roman"/>
          <w:szCs w:val="24"/>
          <w:lang w:eastAsia="zh-CN"/>
        </w:rPr>
        <w:t>);</w:t>
      </w:r>
    </w:p>
    <w:p w14:paraId="600571A3" w14:textId="687117F4" w:rsidR="006E4A2E" w:rsidRPr="0025778C" w:rsidRDefault="003D4DBD" w:rsidP="00493D7E">
      <w:pPr>
        <w:pStyle w:val="ListParagraph"/>
        <w:numPr>
          <w:ilvl w:val="0"/>
          <w:numId w:val="30"/>
        </w:numPr>
        <w:rPr>
          <w:rFonts w:eastAsia="Times New Roman"/>
          <w:szCs w:val="24"/>
          <w:lang w:eastAsia="zh-CN"/>
        </w:rPr>
      </w:pPr>
      <w:r w:rsidRPr="0025778C">
        <w:rPr>
          <w:rFonts w:eastAsia="Times New Roman"/>
          <w:szCs w:val="24"/>
          <w:lang w:eastAsia="zh-CN"/>
        </w:rPr>
        <w:t>Приходи на Фонд „Сигурност на електроенергийната система“, в т.ч. собствени за 2022</w:t>
      </w:r>
      <w:r w:rsidR="00B552D5">
        <w:rPr>
          <w:rFonts w:eastAsia="Times New Roman"/>
          <w:szCs w:val="24"/>
          <w:lang w:eastAsia="zh-CN"/>
        </w:rPr>
        <w:t> г.</w:t>
      </w:r>
      <w:r w:rsidRPr="0025778C">
        <w:rPr>
          <w:rFonts w:eastAsia="Times New Roman"/>
          <w:szCs w:val="24"/>
          <w:lang w:eastAsia="zh-CN"/>
        </w:rPr>
        <w:t xml:space="preserve"> в размер на 1</w:t>
      </w:r>
      <w:r w:rsidR="0025778C">
        <w:rPr>
          <w:rFonts w:eastAsia="Times New Roman"/>
          <w:szCs w:val="24"/>
          <w:lang w:eastAsia="zh-CN"/>
        </w:rPr>
        <w:t> </w:t>
      </w:r>
      <w:r w:rsidRPr="0025778C">
        <w:rPr>
          <w:rFonts w:eastAsia="Times New Roman"/>
          <w:szCs w:val="24"/>
          <w:lang w:eastAsia="zh-CN"/>
        </w:rPr>
        <w:t>244</w:t>
      </w:r>
      <w:r w:rsidR="0025778C">
        <w:rPr>
          <w:rFonts w:eastAsia="Times New Roman"/>
          <w:szCs w:val="24"/>
          <w:lang w:eastAsia="zh-CN"/>
        </w:rPr>
        <w:t>.5 млн. лв. (с Решения №Ц-10 и №</w:t>
      </w:r>
      <w:r w:rsidRPr="0025778C">
        <w:rPr>
          <w:rFonts w:eastAsia="Times New Roman"/>
          <w:szCs w:val="24"/>
          <w:lang w:eastAsia="zh-CN"/>
        </w:rPr>
        <w:t>Ц-15 от 2022</w:t>
      </w:r>
      <w:r w:rsidR="00B552D5">
        <w:rPr>
          <w:rFonts w:eastAsia="Times New Roman"/>
          <w:szCs w:val="24"/>
          <w:lang w:eastAsia="zh-CN"/>
        </w:rPr>
        <w:t> г.</w:t>
      </w:r>
      <w:r w:rsidRPr="0025778C">
        <w:rPr>
          <w:rFonts w:eastAsia="Times New Roman"/>
          <w:szCs w:val="24"/>
          <w:lang w:eastAsia="zh-CN"/>
        </w:rPr>
        <w:t xml:space="preserve"> на Комисията за енергийно и водно регулиране), п</w:t>
      </w:r>
      <w:r w:rsidR="0025778C">
        <w:rPr>
          <w:rFonts w:eastAsia="Times New Roman"/>
          <w:szCs w:val="24"/>
          <w:lang w:eastAsia="zh-CN"/>
        </w:rPr>
        <w:t>остъпили приходи на основание §</w:t>
      </w:r>
      <w:r w:rsidRPr="0025778C">
        <w:rPr>
          <w:rFonts w:eastAsia="Times New Roman"/>
          <w:szCs w:val="24"/>
          <w:lang w:eastAsia="zh-CN"/>
        </w:rPr>
        <w:t>24 от ПЗР на Закона за държавния бюджет на Република България за 2022</w:t>
      </w:r>
      <w:r w:rsidR="00B552D5">
        <w:rPr>
          <w:rFonts w:eastAsia="Times New Roman"/>
          <w:szCs w:val="24"/>
          <w:lang w:eastAsia="zh-CN"/>
        </w:rPr>
        <w:t> г.</w:t>
      </w:r>
      <w:r w:rsidRPr="0025778C">
        <w:rPr>
          <w:rFonts w:eastAsia="Times New Roman"/>
          <w:szCs w:val="24"/>
          <w:lang w:eastAsia="zh-CN"/>
        </w:rPr>
        <w:t xml:space="preserve"> (3 181 млн. лв. за периода м.</w:t>
      </w:r>
      <w:r w:rsidR="0025778C">
        <w:rPr>
          <w:rFonts w:eastAsia="Times New Roman"/>
          <w:szCs w:val="24"/>
          <w:lang w:eastAsia="zh-CN"/>
        </w:rPr>
        <w:t xml:space="preserve"> </w:t>
      </w:r>
      <w:r w:rsidRPr="0025778C">
        <w:rPr>
          <w:rFonts w:eastAsia="Times New Roman"/>
          <w:szCs w:val="24"/>
          <w:lang w:eastAsia="zh-CN"/>
        </w:rPr>
        <w:t>07.2022</w:t>
      </w:r>
      <w:r w:rsidR="00B552D5">
        <w:rPr>
          <w:rFonts w:eastAsia="Times New Roman"/>
          <w:szCs w:val="24"/>
          <w:lang w:eastAsia="zh-CN"/>
        </w:rPr>
        <w:t xml:space="preserve"> г. – </w:t>
      </w:r>
      <w:r w:rsidRPr="0025778C">
        <w:rPr>
          <w:rFonts w:eastAsia="Times New Roman"/>
          <w:szCs w:val="24"/>
          <w:lang w:eastAsia="zh-CN"/>
        </w:rPr>
        <w:t>м.</w:t>
      </w:r>
      <w:r w:rsidR="0025778C">
        <w:rPr>
          <w:rFonts w:eastAsia="Times New Roman"/>
          <w:szCs w:val="24"/>
          <w:lang w:eastAsia="zh-CN"/>
        </w:rPr>
        <w:t xml:space="preserve"> </w:t>
      </w:r>
      <w:r w:rsidRPr="0025778C">
        <w:rPr>
          <w:rFonts w:eastAsia="Times New Roman"/>
          <w:szCs w:val="24"/>
          <w:lang w:eastAsia="zh-CN"/>
        </w:rPr>
        <w:t>12.2022</w:t>
      </w:r>
      <w:r w:rsidR="00B552D5">
        <w:rPr>
          <w:rFonts w:eastAsia="Times New Roman"/>
          <w:szCs w:val="24"/>
          <w:lang w:eastAsia="zh-CN"/>
        </w:rPr>
        <w:t> г.</w:t>
      </w:r>
      <w:r w:rsidRPr="0025778C">
        <w:rPr>
          <w:rFonts w:eastAsia="Times New Roman"/>
          <w:szCs w:val="24"/>
          <w:lang w:eastAsia="zh-CN"/>
        </w:rPr>
        <w:t>) и постъпващи приходи (от м. 01.2023</w:t>
      </w:r>
      <w:r w:rsidR="00B552D5">
        <w:rPr>
          <w:rFonts w:eastAsia="Times New Roman"/>
          <w:szCs w:val="24"/>
          <w:lang w:eastAsia="zh-CN"/>
        </w:rPr>
        <w:t> г.</w:t>
      </w:r>
      <w:r w:rsidRPr="0025778C">
        <w:rPr>
          <w:rFonts w:eastAsia="Times New Roman"/>
          <w:szCs w:val="24"/>
          <w:lang w:eastAsia="zh-CN"/>
        </w:rPr>
        <w:t xml:space="preserve"> д</w:t>
      </w:r>
      <w:r w:rsidR="0025778C">
        <w:rPr>
          <w:rFonts w:eastAsia="Times New Roman"/>
          <w:szCs w:val="24"/>
          <w:lang w:eastAsia="zh-CN"/>
        </w:rPr>
        <w:t>о 30.06.2023</w:t>
      </w:r>
      <w:r w:rsidR="00B552D5">
        <w:rPr>
          <w:rFonts w:eastAsia="Times New Roman"/>
          <w:szCs w:val="24"/>
          <w:lang w:eastAsia="zh-CN"/>
        </w:rPr>
        <w:t> г.</w:t>
      </w:r>
      <w:r w:rsidR="0025778C">
        <w:rPr>
          <w:rFonts w:eastAsia="Times New Roman"/>
          <w:szCs w:val="24"/>
          <w:lang w:eastAsia="zh-CN"/>
        </w:rPr>
        <w:t>) на основание §</w:t>
      </w:r>
      <w:r w:rsidRPr="0025778C">
        <w:rPr>
          <w:rFonts w:eastAsia="Times New Roman"/>
          <w:szCs w:val="24"/>
          <w:lang w:eastAsia="zh-CN"/>
        </w:rPr>
        <w:t>8 от ПЗР на Закона за прилагане на разпоредби на Закона за държавния бюджет на Република България за 2022</w:t>
      </w:r>
      <w:r w:rsidR="00B552D5">
        <w:rPr>
          <w:rFonts w:eastAsia="Times New Roman"/>
          <w:szCs w:val="24"/>
          <w:lang w:eastAsia="zh-CN"/>
        </w:rPr>
        <w:t> г.</w:t>
      </w:r>
      <w:r w:rsidRPr="0025778C">
        <w:rPr>
          <w:rFonts w:eastAsia="Times New Roman"/>
          <w:szCs w:val="24"/>
          <w:lang w:eastAsia="zh-CN"/>
        </w:rPr>
        <w:t>, Закона за бюджета на държавното обществено осигуряване за 2022</w:t>
      </w:r>
      <w:r w:rsidR="00B552D5">
        <w:rPr>
          <w:rFonts w:eastAsia="Times New Roman"/>
          <w:szCs w:val="24"/>
          <w:lang w:eastAsia="zh-CN"/>
        </w:rPr>
        <w:t> г.</w:t>
      </w:r>
      <w:r w:rsidRPr="0025778C">
        <w:rPr>
          <w:rFonts w:eastAsia="Times New Roman"/>
          <w:szCs w:val="24"/>
          <w:lang w:eastAsia="zh-CN"/>
        </w:rPr>
        <w:t xml:space="preserve"> и Закона за бюджета на Националната здравноосигурителна каса за 2022</w:t>
      </w:r>
      <w:r w:rsidR="00B552D5">
        <w:rPr>
          <w:rFonts w:eastAsia="Times New Roman"/>
          <w:szCs w:val="24"/>
          <w:lang w:eastAsia="zh-CN"/>
        </w:rPr>
        <w:t> г.</w:t>
      </w:r>
      <w:r w:rsidRPr="0025778C">
        <w:rPr>
          <w:rFonts w:eastAsia="Times New Roman"/>
          <w:szCs w:val="24"/>
          <w:lang w:eastAsia="zh-CN"/>
        </w:rPr>
        <w:t xml:space="preserve"> (446</w:t>
      </w:r>
      <w:r w:rsidR="0025778C">
        <w:rPr>
          <w:rFonts w:eastAsia="Times New Roman"/>
          <w:szCs w:val="24"/>
          <w:lang w:eastAsia="zh-CN"/>
        </w:rPr>
        <w:t>.</w:t>
      </w:r>
      <w:r w:rsidRPr="0025778C">
        <w:rPr>
          <w:rFonts w:eastAsia="Times New Roman"/>
          <w:szCs w:val="24"/>
          <w:lang w:eastAsia="zh-CN"/>
        </w:rPr>
        <w:t>1 млн. лв. към 28.02.2023</w:t>
      </w:r>
      <w:r w:rsidR="00B552D5">
        <w:rPr>
          <w:rFonts w:eastAsia="Times New Roman"/>
          <w:szCs w:val="24"/>
          <w:lang w:eastAsia="zh-CN"/>
        </w:rPr>
        <w:t> г.</w:t>
      </w:r>
      <w:r w:rsidRPr="0025778C">
        <w:rPr>
          <w:rFonts w:eastAsia="Times New Roman"/>
          <w:szCs w:val="24"/>
          <w:lang w:eastAsia="zh-CN"/>
        </w:rPr>
        <w:t>).</w:t>
      </w:r>
    </w:p>
    <w:p w14:paraId="67932A7C" w14:textId="77777777" w:rsidR="00424201" w:rsidRPr="00046164" w:rsidRDefault="00424201" w:rsidP="00C0210D">
      <w:pPr>
        <w:pStyle w:val="Heading4"/>
      </w:pPr>
      <w:r w:rsidRPr="00046164">
        <w:t>Политика в областта на транспорта, съобщенията и електронното управление</w:t>
      </w:r>
    </w:p>
    <w:p w14:paraId="7FB86AB5" w14:textId="6AFB05A6" w:rsidR="006E4A2E" w:rsidRDefault="003D4DBD" w:rsidP="00046164">
      <w:pPr>
        <w:rPr>
          <w:szCs w:val="24"/>
        </w:rPr>
      </w:pPr>
      <w:r w:rsidRPr="003D4DBD">
        <w:rPr>
          <w:szCs w:val="24"/>
        </w:rPr>
        <w:t>От 1 януари 2019</w:t>
      </w:r>
      <w:r w:rsidR="00B552D5">
        <w:rPr>
          <w:szCs w:val="24"/>
        </w:rPr>
        <w:t> г.</w:t>
      </w:r>
      <w:r w:rsidRPr="003D4DBD">
        <w:rPr>
          <w:szCs w:val="24"/>
        </w:rPr>
        <w:t xml:space="preserve"> започна поетапното въвеждане на ТОЛ системата с въвеждането на т.нар. „електронна винетка“ за леките автомобили, а от месец март 2020</w:t>
      </w:r>
      <w:r w:rsidR="00B552D5">
        <w:rPr>
          <w:szCs w:val="24"/>
        </w:rPr>
        <w:t> г.</w:t>
      </w:r>
      <w:r w:rsidRPr="003D4DBD">
        <w:rPr>
          <w:szCs w:val="24"/>
        </w:rPr>
        <w:t xml:space="preserve"> стартира поетапното въвеждане на ТОЛ сегменти в обхвата на платената пътна мрежа на база изминато разстояние, с което започна тарифирането и на товарните автомобили над 3</w:t>
      </w:r>
      <w:r w:rsidR="0025778C">
        <w:rPr>
          <w:szCs w:val="24"/>
        </w:rPr>
        <w:t>.</w:t>
      </w:r>
      <w:r w:rsidRPr="003D4DBD">
        <w:rPr>
          <w:szCs w:val="24"/>
        </w:rPr>
        <w:t>5 т. През 2022</w:t>
      </w:r>
      <w:r w:rsidR="00B552D5">
        <w:rPr>
          <w:szCs w:val="24"/>
        </w:rPr>
        <w:t> г.</w:t>
      </w:r>
      <w:r w:rsidRPr="003D4DBD">
        <w:rPr>
          <w:szCs w:val="24"/>
        </w:rPr>
        <w:t xml:space="preserve"> беше направена промяна на обхвата на републиканската пътна мрежа и актуализация на тарифата за изминато разстояние. В тази връзка за периода </w:t>
      </w:r>
      <w:r w:rsidR="00B552D5">
        <w:rPr>
          <w:szCs w:val="24"/>
        </w:rPr>
        <w:t>2023–2026 г.</w:t>
      </w:r>
      <w:r w:rsidRPr="003D4DBD">
        <w:rPr>
          <w:szCs w:val="24"/>
        </w:rPr>
        <w:t xml:space="preserve"> се очаква промяна на приходите от ТОЛ такси, като за 2023</w:t>
      </w:r>
      <w:r w:rsidR="00B552D5">
        <w:rPr>
          <w:szCs w:val="24"/>
        </w:rPr>
        <w:t> г.</w:t>
      </w:r>
      <w:r w:rsidRPr="003D4DBD">
        <w:rPr>
          <w:szCs w:val="24"/>
        </w:rPr>
        <w:t xml:space="preserve"> се предвижда увеличение на приходите с 189</w:t>
      </w:r>
      <w:r w:rsidR="0025778C">
        <w:rPr>
          <w:szCs w:val="24"/>
        </w:rPr>
        <w:t>.</w:t>
      </w:r>
      <w:r w:rsidRPr="003D4DBD">
        <w:rPr>
          <w:szCs w:val="24"/>
        </w:rPr>
        <w:t>3 млн. лв., за 2024</w:t>
      </w:r>
      <w:r w:rsidR="00B552D5">
        <w:rPr>
          <w:szCs w:val="24"/>
        </w:rPr>
        <w:t> г.</w:t>
      </w:r>
      <w:r w:rsidRPr="003D4DBD">
        <w:rPr>
          <w:szCs w:val="24"/>
        </w:rPr>
        <w:t xml:space="preserve"> е планирано увеличение с 66</w:t>
      </w:r>
      <w:r w:rsidR="0025778C">
        <w:rPr>
          <w:szCs w:val="24"/>
        </w:rPr>
        <w:t>.</w:t>
      </w:r>
      <w:r w:rsidRPr="003D4DBD">
        <w:rPr>
          <w:szCs w:val="24"/>
        </w:rPr>
        <w:t>26 млн. лв., а за 2025</w:t>
      </w:r>
      <w:r w:rsidR="00B552D5">
        <w:rPr>
          <w:szCs w:val="24"/>
        </w:rPr>
        <w:t> г.</w:t>
      </w:r>
      <w:r w:rsidRPr="003D4DBD">
        <w:rPr>
          <w:szCs w:val="24"/>
        </w:rPr>
        <w:t xml:space="preserve"> и 2026</w:t>
      </w:r>
      <w:r w:rsidR="00B552D5">
        <w:rPr>
          <w:szCs w:val="24"/>
        </w:rPr>
        <w:t> г.</w:t>
      </w:r>
      <w:r w:rsidRPr="003D4DBD">
        <w:rPr>
          <w:szCs w:val="24"/>
        </w:rPr>
        <w:t xml:space="preserve"> се предвижда запазване на приходите до размерите от 2024 г, в която се достига размер на приходите от ТОЛ такси на годишна база от 520</w:t>
      </w:r>
      <w:r w:rsidR="0025778C">
        <w:rPr>
          <w:szCs w:val="24"/>
        </w:rPr>
        <w:t>.</w:t>
      </w:r>
      <w:r w:rsidRPr="003D4DBD">
        <w:rPr>
          <w:szCs w:val="24"/>
        </w:rPr>
        <w:t>0 млн. лв. Средствата ще бъдат насочени към ефективното поддържане, модернизация и развитие на транспортната инфраструктура, изграждане на магистралните пътища и интеграция на националната пътна инфраструктура в Европейската транспортна мрежа.</w:t>
      </w:r>
    </w:p>
    <w:p w14:paraId="69E90FCB" w14:textId="4114AB4A" w:rsidR="00835C97" w:rsidRPr="00D661BA" w:rsidRDefault="00835C97" w:rsidP="00EE53B2">
      <w:pPr>
        <w:pStyle w:val="Heading2"/>
      </w:pPr>
      <w:bookmarkStart w:id="75" w:name="_Toc448227285"/>
      <w:bookmarkStart w:id="76" w:name="_Toc479332433"/>
      <w:bookmarkStart w:id="77" w:name="_Toc133597273"/>
      <w:r w:rsidRPr="00D661BA">
        <w:t xml:space="preserve">Структурен баланс (циклични компоненти на баланса, </w:t>
      </w:r>
      <w:r w:rsidR="00B24364">
        <w:br/>
      </w:r>
      <w:r w:rsidR="00D865BE" w:rsidRPr="00D661BA">
        <w:t>еднократни</w:t>
      </w:r>
      <w:r w:rsidRPr="00D661BA">
        <w:t xml:space="preserve"> и временни мерки) и фискална позиция, вкл. бенчмарк за правителствените разходи</w:t>
      </w:r>
      <w:bookmarkEnd w:id="75"/>
      <w:bookmarkEnd w:id="76"/>
      <w:bookmarkEnd w:id="77"/>
    </w:p>
    <w:p w14:paraId="65F798D8" w14:textId="22F6450B" w:rsidR="00F64279" w:rsidRPr="00457F9A" w:rsidRDefault="00F64279" w:rsidP="00F64279">
      <w:pPr>
        <w:rPr>
          <w:rFonts w:eastAsia="Calibri"/>
          <w:bCs/>
          <w:szCs w:val="24"/>
          <w:highlight w:val="yellow"/>
        </w:rPr>
      </w:pPr>
      <w:r w:rsidRPr="00457F9A">
        <w:rPr>
          <w:rFonts w:eastAsia="Calibri"/>
          <w:bCs/>
          <w:szCs w:val="24"/>
        </w:rPr>
        <w:t>Оценката за структурния бюджетен баланс през 2023</w:t>
      </w:r>
      <w:r w:rsidR="00B552D5">
        <w:rPr>
          <w:rFonts w:eastAsia="Calibri"/>
          <w:bCs/>
          <w:szCs w:val="24"/>
        </w:rPr>
        <w:t> г.</w:t>
      </w:r>
      <w:r w:rsidRPr="00457F9A">
        <w:rPr>
          <w:rFonts w:eastAsia="Calibri"/>
          <w:bCs/>
          <w:szCs w:val="24"/>
        </w:rPr>
        <w:t xml:space="preserve"> е за дефицит от </w:t>
      </w:r>
      <w:r>
        <w:rPr>
          <w:rFonts w:eastAsia="Calibri"/>
          <w:bCs/>
          <w:szCs w:val="24"/>
        </w:rPr>
        <w:t>5.8</w:t>
      </w:r>
      <w:r w:rsidRPr="00457F9A">
        <w:rPr>
          <w:rFonts w:eastAsia="Calibri"/>
          <w:bCs/>
          <w:szCs w:val="24"/>
        </w:rPr>
        <w:t xml:space="preserve">% от БВП. При изчислението му, отрицателното фактическо салдо на сектор „Държавно управление“, се коригира с размера на еднократните мерки. </w:t>
      </w:r>
      <w:r>
        <w:rPr>
          <w:rFonts w:eastAsia="Calibri"/>
          <w:bCs/>
          <w:szCs w:val="24"/>
        </w:rPr>
        <w:t>Размерът им, представен като процент от БВП, намалява спрямо последните години, като</w:t>
      </w:r>
      <w:r w:rsidRPr="00457F9A">
        <w:rPr>
          <w:rFonts w:eastAsia="Calibri"/>
          <w:bCs/>
          <w:szCs w:val="24"/>
        </w:rPr>
        <w:t xml:space="preserve"> поради очакванията за </w:t>
      </w:r>
      <w:r>
        <w:rPr>
          <w:rFonts w:eastAsia="Calibri"/>
          <w:bCs/>
          <w:szCs w:val="24"/>
        </w:rPr>
        <w:t>по-съществено понижение на</w:t>
      </w:r>
      <w:r w:rsidRPr="00457F9A">
        <w:rPr>
          <w:rFonts w:eastAsia="Calibri"/>
          <w:bCs/>
          <w:szCs w:val="24"/>
        </w:rPr>
        <w:t xml:space="preserve"> еднократните </w:t>
      </w:r>
      <w:r>
        <w:rPr>
          <w:rFonts w:eastAsia="Calibri"/>
          <w:bCs/>
          <w:szCs w:val="24"/>
        </w:rPr>
        <w:t>приходи</w:t>
      </w:r>
      <w:r w:rsidRPr="00457F9A">
        <w:rPr>
          <w:rFonts w:eastAsia="Calibri"/>
          <w:bCs/>
          <w:szCs w:val="24"/>
        </w:rPr>
        <w:t xml:space="preserve"> отчитането </w:t>
      </w:r>
      <w:r>
        <w:rPr>
          <w:rFonts w:eastAsia="Calibri"/>
          <w:bCs/>
          <w:szCs w:val="24"/>
        </w:rPr>
        <w:t>на мерките</w:t>
      </w:r>
      <w:r w:rsidRPr="00457F9A">
        <w:rPr>
          <w:rFonts w:eastAsia="Calibri"/>
          <w:bCs/>
          <w:szCs w:val="24"/>
        </w:rPr>
        <w:t xml:space="preserve"> се проявява в корекция </w:t>
      </w:r>
      <w:r>
        <w:rPr>
          <w:rFonts w:eastAsia="Calibri"/>
          <w:bCs/>
          <w:szCs w:val="24"/>
        </w:rPr>
        <w:t xml:space="preserve">към леко увеличение на дефицита </w:t>
      </w:r>
      <w:r w:rsidRPr="00457F9A">
        <w:rPr>
          <w:rFonts w:eastAsia="Calibri"/>
          <w:bCs/>
          <w:szCs w:val="24"/>
        </w:rPr>
        <w:t>на структурния бюджетен баланс. Същевременно, цикличната компонента, която отразява положителното отклонение на икономиката от потенциала и чувствителността на бюджетната позиция към икономическия цикъл, води до корекция към по-ниска стойност на структурното бюджетно салдо.</w:t>
      </w:r>
    </w:p>
    <w:p w14:paraId="66AF946C" w14:textId="6D893A0B" w:rsidR="00F64279" w:rsidRPr="00457F9A" w:rsidRDefault="00F64279" w:rsidP="00F64279">
      <w:pPr>
        <w:rPr>
          <w:rFonts w:eastAsia="Calibri"/>
          <w:bCs/>
          <w:szCs w:val="24"/>
          <w:highlight w:val="yellow"/>
        </w:rPr>
      </w:pPr>
      <w:r w:rsidRPr="00457F9A">
        <w:rPr>
          <w:rFonts w:eastAsia="Calibri"/>
          <w:bCs/>
          <w:szCs w:val="24"/>
        </w:rPr>
        <w:t>През 202</w:t>
      </w:r>
      <w:r>
        <w:rPr>
          <w:rFonts w:eastAsia="Calibri"/>
          <w:bCs/>
          <w:szCs w:val="24"/>
        </w:rPr>
        <w:t>4</w:t>
      </w:r>
      <w:r w:rsidR="00B552D5">
        <w:rPr>
          <w:rFonts w:eastAsia="Calibri"/>
          <w:bCs/>
          <w:szCs w:val="24"/>
        </w:rPr>
        <w:t> г.</w:t>
      </w:r>
      <w:r w:rsidRPr="00457F9A">
        <w:rPr>
          <w:rFonts w:eastAsia="Calibri"/>
          <w:bCs/>
          <w:szCs w:val="24"/>
        </w:rPr>
        <w:t xml:space="preserve"> се планира намаление на дефицита на сектор „Държавно управление“, в резултат на очакванията за повишение на приходите. Не се предвиждат разходи</w:t>
      </w:r>
      <w:r w:rsidR="005B1EE9">
        <w:rPr>
          <w:rFonts w:eastAsia="Calibri"/>
          <w:bCs/>
          <w:szCs w:val="24"/>
        </w:rPr>
        <w:t>,</w:t>
      </w:r>
      <w:r w:rsidRPr="00457F9A">
        <w:rPr>
          <w:rFonts w:eastAsia="Calibri"/>
          <w:bCs/>
          <w:szCs w:val="24"/>
        </w:rPr>
        <w:t xml:space="preserve"> свързани с еднократни мерки, </w:t>
      </w:r>
      <w:r>
        <w:rPr>
          <w:rFonts w:eastAsia="Calibri"/>
          <w:bCs/>
          <w:szCs w:val="24"/>
        </w:rPr>
        <w:t>съответно няма да има и ефект</w:t>
      </w:r>
      <w:r w:rsidRPr="00457F9A">
        <w:rPr>
          <w:rFonts w:eastAsia="Calibri"/>
          <w:bCs/>
          <w:szCs w:val="24"/>
        </w:rPr>
        <w:t xml:space="preserve"> въ</w:t>
      </w:r>
      <w:r>
        <w:rPr>
          <w:rFonts w:eastAsia="Calibri"/>
          <w:bCs/>
          <w:szCs w:val="24"/>
        </w:rPr>
        <w:t>рху структурния бюджетен баланс</w:t>
      </w:r>
      <w:r w:rsidRPr="00457F9A">
        <w:rPr>
          <w:rFonts w:eastAsia="Calibri"/>
          <w:bCs/>
          <w:szCs w:val="24"/>
        </w:rPr>
        <w:t xml:space="preserve">. Икономиката ще е малко над потенциала си и цикличната компонента ще окаже лек отрицателен ефект върху структурното салдо. В резултат, структурният бюджетен дефицит ще се свие до </w:t>
      </w:r>
      <w:r>
        <w:rPr>
          <w:rFonts w:eastAsia="Calibri"/>
          <w:bCs/>
          <w:szCs w:val="24"/>
        </w:rPr>
        <w:t>4.8</w:t>
      </w:r>
      <w:r w:rsidRPr="00457F9A">
        <w:rPr>
          <w:rFonts w:eastAsia="Calibri"/>
          <w:bCs/>
          <w:szCs w:val="24"/>
        </w:rPr>
        <w:t>% от БВП през 2024</w:t>
      </w:r>
      <w:r w:rsidR="00B552D5">
        <w:rPr>
          <w:rFonts w:eastAsia="Calibri"/>
          <w:bCs/>
          <w:szCs w:val="24"/>
        </w:rPr>
        <w:t> г.</w:t>
      </w:r>
      <w:r w:rsidRPr="00457F9A">
        <w:rPr>
          <w:rFonts w:eastAsia="Calibri"/>
          <w:bCs/>
          <w:szCs w:val="24"/>
        </w:rPr>
        <w:t xml:space="preserve"> </w:t>
      </w:r>
    </w:p>
    <w:p w14:paraId="409BC17A" w14:textId="4EDAE5A6" w:rsidR="00EE53B2" w:rsidRDefault="0087114E" w:rsidP="00B24364">
      <w:pPr>
        <w:pStyle w:val="Caption"/>
      </w:pPr>
      <w:r w:rsidRPr="002E7603">
        <w:rPr>
          <w:noProof/>
        </w:rPr>
        <w:lastRenderedPageBreak/>
        <mc:AlternateContent>
          <mc:Choice Requires="wps">
            <w:drawing>
              <wp:anchor distT="0" distB="0" distL="114300" distR="114300" simplePos="0" relativeHeight="251673600" behindDoc="1" locked="0" layoutInCell="1" allowOverlap="1" wp14:anchorId="3EA8EEE4" wp14:editId="3B90C146">
                <wp:simplePos x="0" y="0"/>
                <wp:positionH relativeFrom="column">
                  <wp:posOffset>1310033</wp:posOffset>
                </wp:positionH>
                <wp:positionV relativeFrom="paragraph">
                  <wp:posOffset>433760</wp:posOffset>
                </wp:positionV>
                <wp:extent cx="4413912" cy="1447138"/>
                <wp:effectExtent l="0" t="0" r="5715" b="1270"/>
                <wp:wrapNone/>
                <wp:docPr id="13" name="Rectangle 13"/>
                <wp:cNvGraphicFramePr/>
                <a:graphic xmlns:a="http://schemas.openxmlformats.org/drawingml/2006/main">
                  <a:graphicData uri="http://schemas.microsoft.com/office/word/2010/wordprocessingShape">
                    <wps:wsp>
                      <wps:cNvSpPr/>
                      <wps:spPr>
                        <a:xfrm>
                          <a:off x="0" y="0"/>
                          <a:ext cx="4413912" cy="1447138"/>
                        </a:xfrm>
                        <a:prstGeom prst="rect">
                          <a:avLst/>
                        </a:prstGeom>
                        <a:solidFill>
                          <a:schemeClr val="bg1">
                            <a:lumMod val="9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AAC545" w14:textId="77777777" w:rsidR="00B2222A" w:rsidRPr="002E7603" w:rsidRDefault="00B2222A" w:rsidP="0087114E">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wps:txbx>
                      <wps:bodyPr wrap="square" lIns="0" tIns="36000" rIns="0">
                        <a:noAutofit/>
                      </wps:bodyPr>
                    </wps:wsp>
                  </a:graphicData>
                </a:graphic>
                <wp14:sizeRelH relativeFrom="margin">
                  <wp14:pctWidth>0</wp14:pctWidth>
                </wp14:sizeRelH>
                <wp14:sizeRelV relativeFrom="margin">
                  <wp14:pctHeight>0</wp14:pctHeight>
                </wp14:sizeRelV>
              </wp:anchor>
            </w:drawing>
          </mc:Choice>
          <mc:Fallback>
            <w:pict>
              <v:rect w14:anchorId="3EA8EEE4" id="Rectangle 13" o:spid="_x0000_s1033" style="position:absolute;left:0;text-align:left;margin-left:103.15pt;margin-top:34.15pt;width:347.55pt;height:113.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" fillcolor="#f2f2f2 [3052]" stroked="f" strokeweight="1.25pt">
                <v:fill opacity="32896f"/>
                <v:textbox inset="0,1mm,0">
                  <w:txbxContent>
                    <w:p w14:paraId="03AAC545" w14:textId="77777777" w:rsidR="00B2222A" w:rsidRPr="002E7603" w:rsidRDefault="00B2222A" w:rsidP="0087114E">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v:textbox>
              </v:rect>
            </w:pict>
          </mc:Fallback>
        </mc:AlternateContent>
      </w:r>
      <w:r w:rsidR="00B24364" w:rsidRPr="00B24364">
        <w:rPr>
          <w:noProof/>
        </w:rPr>
        <w:drawing>
          <wp:anchor distT="0" distB="0" distL="114300" distR="114300" simplePos="0" relativeHeight="251671552" behindDoc="1" locked="0" layoutInCell="1" allowOverlap="1" wp14:anchorId="296794CF" wp14:editId="11E5FBEC">
            <wp:simplePos x="0" y="0"/>
            <wp:positionH relativeFrom="margin">
              <wp:align>left</wp:align>
            </wp:positionH>
            <wp:positionV relativeFrom="paragraph">
              <wp:posOffset>321945</wp:posOffset>
            </wp:positionV>
            <wp:extent cx="5759450" cy="2425065"/>
            <wp:effectExtent l="0" t="0" r="0" b="0"/>
            <wp:wrapTopAndBottom/>
            <wp:docPr id="18" name="Chart 18">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r w:rsidR="00F64279" w:rsidRPr="00B24364">
        <w:t>Граф.</w:t>
      </w:r>
      <w:r w:rsidR="00B24364" w:rsidRPr="00B24364">
        <w:t xml:space="preserve"> </w:t>
      </w:r>
      <w:r w:rsidR="0020238C" w:rsidRPr="00B24364">
        <w:t>3-2</w:t>
      </w:r>
      <w:r w:rsidR="00F64279" w:rsidRPr="00B24364">
        <w:t xml:space="preserve">: </w:t>
      </w:r>
      <w:r w:rsidR="00C0210D" w:rsidRPr="00B24364">
        <w:tab/>
      </w:r>
      <w:r w:rsidR="00F64279" w:rsidRPr="00B24364">
        <w:t xml:space="preserve"> Структурен бюджетен баланс (% от БВП) </w:t>
      </w:r>
    </w:p>
    <w:p w14:paraId="4FDA9D65" w14:textId="2B57CF70" w:rsidR="00B24364" w:rsidRPr="00B24364" w:rsidRDefault="00B24364" w:rsidP="00B24364">
      <w:pPr>
        <w:pStyle w:val="a"/>
        <w:spacing w:before="0" w:after="0"/>
      </w:pPr>
      <w:r w:rsidRPr="00B24364">
        <w:t>Източник: МФ, собствени изчисления</w:t>
      </w:r>
    </w:p>
    <w:p w14:paraId="19EFFD32" w14:textId="637B42FA" w:rsidR="00B24364" w:rsidRPr="00B24364" w:rsidRDefault="00B24364" w:rsidP="00B24364">
      <w:r w:rsidRPr="00B24364">
        <w:rPr>
          <w:bCs/>
        </w:rPr>
        <w:t>През последните две години от прогнозния период дефицитът на сектор „Държавно управление“ се очаква да възлезе съответно на 4.9 и 5% от БВП, като не се предвиждат еднократни разходи. Отклонението от потенциала ще остане положително и леко ще се повиши, което ще се отрази в корекция към по-ниско структурно салдо спрямо планирания фактически бюджет дефицит</w:t>
      </w:r>
      <w:r w:rsidRPr="00B24364">
        <w:rPr>
          <w:bCs/>
          <w:lang w:val="en-GB"/>
        </w:rPr>
        <w:t xml:space="preserve"> </w:t>
      </w:r>
      <w:r w:rsidRPr="00B24364">
        <w:rPr>
          <w:bCs/>
        </w:rPr>
        <w:t>и през двете години. Структурният бюджетен дефицит ще достигане 5.2% от БВП през 2025 г. и 5.3% в края на прогнозния период.</w:t>
      </w:r>
    </w:p>
    <w:p w14:paraId="67C634CE" w14:textId="7A61E877" w:rsidR="00F64279" w:rsidRPr="002016B0" w:rsidRDefault="00F64279" w:rsidP="002016B0">
      <w:pPr>
        <w:pStyle w:val="Caption"/>
      </w:pPr>
      <w:r w:rsidRPr="002016B0">
        <w:t>Граф.</w:t>
      </w:r>
      <w:r w:rsidR="002016B0" w:rsidRPr="002016B0">
        <w:t xml:space="preserve"> </w:t>
      </w:r>
      <w:r w:rsidR="0020238C" w:rsidRPr="002016B0">
        <w:t>3-3</w:t>
      </w:r>
      <w:r w:rsidRPr="002016B0">
        <w:t xml:space="preserve">: </w:t>
      </w:r>
      <w:r w:rsidR="00C0210D" w:rsidRPr="002016B0">
        <w:tab/>
      </w:r>
      <w:r w:rsidRPr="002016B0">
        <w:t xml:space="preserve"> Фискална позиция</w:t>
      </w:r>
    </w:p>
    <w:p w14:paraId="39E4B481" w14:textId="19201A23" w:rsidR="00F64279" w:rsidRPr="00006A45" w:rsidRDefault="004D4EB9" w:rsidP="00F64279">
      <w:pPr>
        <w:jc w:val="center"/>
      </w:pPr>
      <w:r w:rsidRPr="002E7603">
        <w:rPr>
          <w:noProof/>
        </w:rPr>
        <mc:AlternateContent>
          <mc:Choice Requires="wps">
            <w:drawing>
              <wp:anchor distT="0" distB="0" distL="114300" distR="114300" simplePos="0" relativeHeight="251675648" behindDoc="1" locked="0" layoutInCell="1" allowOverlap="1" wp14:anchorId="449FF0AC" wp14:editId="28D4F329">
                <wp:simplePos x="0" y="0"/>
                <wp:positionH relativeFrom="column">
                  <wp:posOffset>1325935</wp:posOffset>
                </wp:positionH>
                <wp:positionV relativeFrom="paragraph">
                  <wp:posOffset>103118</wp:posOffset>
                </wp:positionV>
                <wp:extent cx="4421837" cy="1765190"/>
                <wp:effectExtent l="0" t="0" r="0" b="6985"/>
                <wp:wrapNone/>
                <wp:docPr id="26" name="Rectangle 26"/>
                <wp:cNvGraphicFramePr/>
                <a:graphic xmlns:a="http://schemas.openxmlformats.org/drawingml/2006/main">
                  <a:graphicData uri="http://schemas.microsoft.com/office/word/2010/wordprocessingShape">
                    <wps:wsp>
                      <wps:cNvSpPr/>
                      <wps:spPr>
                        <a:xfrm>
                          <a:off x="0" y="0"/>
                          <a:ext cx="4421837" cy="1765190"/>
                        </a:xfrm>
                        <a:prstGeom prst="rect">
                          <a:avLst/>
                        </a:prstGeom>
                        <a:solidFill>
                          <a:schemeClr val="bg1">
                            <a:lumMod val="9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6822FE" w14:textId="77777777" w:rsidR="00B2222A" w:rsidRPr="002E7603" w:rsidRDefault="00B2222A" w:rsidP="004D4EB9">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wps:txbx>
                      <wps:bodyPr wrap="square" lIns="0" tIns="36000" rIns="0">
                        <a:noAutofit/>
                      </wps:bodyPr>
                    </wps:wsp>
                  </a:graphicData>
                </a:graphic>
                <wp14:sizeRelH relativeFrom="margin">
                  <wp14:pctWidth>0</wp14:pctWidth>
                </wp14:sizeRelH>
                <wp14:sizeRelV relativeFrom="margin">
                  <wp14:pctHeight>0</wp14:pctHeight>
                </wp14:sizeRelV>
              </wp:anchor>
            </w:drawing>
          </mc:Choice>
          <mc:Fallback>
            <w:pict>
              <v:rect w14:anchorId="449FF0AC" id="Rectangle 26" o:spid="_x0000_s1034" style="position:absolute;left:0;text-align:left;margin-left:104.4pt;margin-top:8.1pt;width:348.2pt;height:13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" fillcolor="#f2f2f2 [3052]" stroked="f" strokeweight="1.25pt">
                <v:fill opacity="32896f"/>
                <v:textbox inset="0,1mm,0">
                  <w:txbxContent>
                    <w:p w14:paraId="406822FE" w14:textId="77777777" w:rsidR="00B2222A" w:rsidRPr="002E7603" w:rsidRDefault="00B2222A" w:rsidP="004D4EB9">
                      <w:pPr>
                        <w:pStyle w:val="NormalWeb"/>
                        <w:ind w:firstLine="0"/>
                        <w:jc w:val="center"/>
                        <w:rPr>
                          <w:color w:val="000000" w:themeColor="text1"/>
                        </w:rPr>
                      </w:pPr>
                      <w:r w:rsidRPr="002E7603">
                        <w:rPr>
                          <w:rFonts w:asciiTheme="minorHAnsi"/>
                          <w:color w:val="000000" w:themeColor="text1"/>
                          <w:spacing w:val="20"/>
                          <w:sz w:val="18"/>
                          <w:szCs w:val="18"/>
                        </w:rPr>
                        <w:t>Прогноза</w:t>
                      </w:r>
                    </w:p>
                  </w:txbxContent>
                </v:textbox>
              </v:rect>
            </w:pict>
          </mc:Fallback>
        </mc:AlternateContent>
      </w:r>
      <w:r w:rsidR="00F64279">
        <w:rPr>
          <w:noProof/>
        </w:rPr>
        <w:drawing>
          <wp:inline distT="0" distB="0" distL="0" distR="0" wp14:anchorId="32AD296A" wp14:editId="08B3DD11">
            <wp:extent cx="5760000" cy="2520000"/>
            <wp:effectExtent l="0" t="0" r="0" b="0"/>
            <wp:docPr id="19" name="Chart 19">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5ED8166" w14:textId="77777777" w:rsidR="00F64279" w:rsidRPr="00006A45" w:rsidRDefault="00F64279" w:rsidP="00EE53B2">
      <w:pPr>
        <w:pStyle w:val="a"/>
      </w:pPr>
      <w:r w:rsidRPr="00006A45">
        <w:t>Източник: МФ, собствени изчисления</w:t>
      </w:r>
    </w:p>
    <w:p w14:paraId="5389D2F0" w14:textId="544F8779" w:rsidR="00F64279" w:rsidRPr="007A6056" w:rsidRDefault="00F64279" w:rsidP="00F64279">
      <w:pPr>
        <w:rPr>
          <w:rFonts w:eastAsia="Calibri"/>
          <w:bCs/>
          <w:szCs w:val="24"/>
        </w:rPr>
      </w:pPr>
      <w:r w:rsidRPr="007A6056">
        <w:rPr>
          <w:rFonts w:eastAsia="Calibri"/>
          <w:bCs/>
          <w:szCs w:val="24"/>
        </w:rPr>
        <w:t xml:space="preserve">Средносрочната бюджетна цел за структурния баланс на сектор „Държавно управление“ е дефицит в размер на 1% от БВП. Тази цел е в съответствие с изискванията на чл. 23, ал. 2 от ЗПФ, като отчита сравнително ниския размер на консолидирания дълг на сектор „Държавно управление”, както и ниските рискове пред дългосрочната устойчивост на публичните финанси. Според чл. 24 от ЗПФ неизпълнението на средносрочната бюджетна цел за структурния дефицит на годишна основа се допуска при извънредни обстоятелства. Поради кризата, породена от </w:t>
      </w:r>
      <w:r w:rsidRPr="007A6056">
        <w:rPr>
          <w:rFonts w:eastAsia="Calibri"/>
          <w:bCs/>
          <w:szCs w:val="24"/>
          <w:lang w:val="en-GB"/>
        </w:rPr>
        <w:t xml:space="preserve">COVID-19, </w:t>
      </w:r>
      <w:r w:rsidRPr="007A6056">
        <w:rPr>
          <w:rFonts w:eastAsia="Calibri"/>
          <w:bCs/>
          <w:szCs w:val="24"/>
        </w:rPr>
        <w:t>през 2020</w:t>
      </w:r>
      <w:r w:rsidR="00B552D5">
        <w:rPr>
          <w:rFonts w:eastAsia="Calibri"/>
          <w:bCs/>
          <w:szCs w:val="24"/>
        </w:rPr>
        <w:t> г.</w:t>
      </w:r>
      <w:r w:rsidRPr="007A6056">
        <w:rPr>
          <w:rFonts w:eastAsia="Calibri"/>
          <w:bCs/>
          <w:szCs w:val="24"/>
        </w:rPr>
        <w:t xml:space="preserve"> бе активирана общата клауза за дерогация (General escape clause) от Пакта за стабилност и растеж, която позволи на държавите членки да се отклонят от стъпката за постигане на средносрочната бюджетна цел през 2020 и 2021</w:t>
      </w:r>
      <w:r w:rsidR="00B552D5">
        <w:rPr>
          <w:rFonts w:eastAsia="Calibri"/>
          <w:bCs/>
          <w:szCs w:val="24"/>
        </w:rPr>
        <w:t> г.</w:t>
      </w:r>
      <w:r w:rsidRPr="007A6056">
        <w:rPr>
          <w:rFonts w:eastAsia="Calibri"/>
          <w:bCs/>
          <w:szCs w:val="24"/>
        </w:rPr>
        <w:t xml:space="preserve"> В последствие, с решение на </w:t>
      </w:r>
      <w:r w:rsidR="00781CA8">
        <w:rPr>
          <w:rFonts w:eastAsia="Calibri"/>
          <w:bCs/>
          <w:szCs w:val="24"/>
        </w:rPr>
        <w:t xml:space="preserve">Европейската комисия </w:t>
      </w:r>
      <w:r w:rsidR="00781CA8">
        <w:rPr>
          <w:rFonts w:eastAsia="Calibri"/>
          <w:bCs/>
          <w:szCs w:val="24"/>
        </w:rPr>
        <w:lastRenderedPageBreak/>
        <w:t>(</w:t>
      </w:r>
      <w:r w:rsidRPr="007A6056">
        <w:rPr>
          <w:rFonts w:eastAsia="Calibri"/>
          <w:bCs/>
          <w:szCs w:val="24"/>
        </w:rPr>
        <w:t>ЕК</w:t>
      </w:r>
      <w:r w:rsidR="00781CA8">
        <w:rPr>
          <w:rFonts w:eastAsia="Calibri"/>
          <w:bCs/>
          <w:szCs w:val="24"/>
        </w:rPr>
        <w:t>)</w:t>
      </w:r>
      <w:r w:rsidRPr="007A6056">
        <w:rPr>
          <w:rFonts w:eastAsia="Calibri"/>
          <w:bCs/>
          <w:szCs w:val="24"/>
        </w:rPr>
        <w:t xml:space="preserve"> прилагането на клаузата за дерогация в ЕС бе удължено за 2022</w:t>
      </w:r>
      <w:r w:rsidR="00B552D5">
        <w:rPr>
          <w:rFonts w:eastAsia="Calibri"/>
          <w:bCs/>
          <w:szCs w:val="24"/>
        </w:rPr>
        <w:t> г.</w:t>
      </w:r>
      <w:r w:rsidRPr="007A6056">
        <w:rPr>
          <w:rFonts w:eastAsia="Calibri"/>
          <w:bCs/>
          <w:szCs w:val="24"/>
        </w:rPr>
        <w:t xml:space="preserve"> и 2023</w:t>
      </w:r>
      <w:r w:rsidR="00B552D5">
        <w:rPr>
          <w:rFonts w:eastAsia="Calibri"/>
          <w:bCs/>
          <w:szCs w:val="24"/>
        </w:rPr>
        <w:t> г.</w:t>
      </w:r>
      <w:r w:rsidRPr="007A6056">
        <w:rPr>
          <w:rFonts w:eastAsia="Calibri"/>
          <w:bCs/>
          <w:szCs w:val="24"/>
        </w:rPr>
        <w:t>, но общата клауза за</w:t>
      </w:r>
      <w:r w:rsidR="00743D8F">
        <w:rPr>
          <w:rFonts w:eastAsia="Calibri"/>
          <w:bCs/>
          <w:szCs w:val="24"/>
        </w:rPr>
        <w:t xml:space="preserve"> дерогация няма да се прилага от</w:t>
      </w:r>
      <w:r w:rsidRPr="007A6056">
        <w:rPr>
          <w:rFonts w:eastAsia="Calibri"/>
          <w:bCs/>
          <w:szCs w:val="24"/>
        </w:rPr>
        <w:t xml:space="preserve"> 2024</w:t>
      </w:r>
      <w:r w:rsidR="00B552D5">
        <w:rPr>
          <w:rFonts w:eastAsia="Calibri"/>
          <w:bCs/>
          <w:szCs w:val="24"/>
        </w:rPr>
        <w:t> г.</w:t>
      </w:r>
    </w:p>
    <w:p w14:paraId="226A3DDF" w14:textId="77777777" w:rsidR="00165946" w:rsidRPr="0076474D" w:rsidRDefault="00165946" w:rsidP="00165946">
      <w:pPr>
        <w:rPr>
          <w:rFonts w:eastAsia="Times New Roman"/>
          <w:szCs w:val="24"/>
        </w:rPr>
      </w:pPr>
      <w:r w:rsidRPr="0076474D">
        <w:rPr>
          <w:rFonts w:eastAsia="Times New Roman"/>
          <w:szCs w:val="24"/>
        </w:rPr>
        <w:t xml:space="preserve">Оценката на съответствието с изискванията по ПСР и ЗПФ по отношение на растежа на бюджетните разходи се базира на общата методология на Европейската комисия за т. нар. бенчмарк на разходите, при отчитането на разделението между финансираните с национални средства и със средства от ЕС публични инвестиции. Бенчмаркът на разходите се сравнява с нивото на потенциалния средносрочен растеж на БВП, изчислен от ЕК. </w:t>
      </w:r>
    </w:p>
    <w:p w14:paraId="60D456C5" w14:textId="7E6910E4" w:rsidR="00165946" w:rsidRPr="0076474D" w:rsidRDefault="00165946" w:rsidP="00165946">
      <w:pPr>
        <w:rPr>
          <w:rFonts w:eastAsia="Times New Roman"/>
          <w:szCs w:val="24"/>
        </w:rPr>
      </w:pPr>
      <w:r w:rsidRPr="0076474D">
        <w:rPr>
          <w:rFonts w:eastAsia="Times New Roman"/>
          <w:szCs w:val="24"/>
        </w:rPr>
        <w:t xml:space="preserve">На база направени изчисления от Министерството на финансите, изменението в реално изражение на разходния индикатор, използван за целите на фискалното управление в ЕС, се оценява съответно на </w:t>
      </w:r>
      <w:r>
        <w:rPr>
          <w:rFonts w:eastAsia="Times New Roman"/>
          <w:szCs w:val="24"/>
        </w:rPr>
        <w:t>-3</w:t>
      </w:r>
      <w:r w:rsidRPr="0076474D">
        <w:rPr>
          <w:rFonts w:eastAsia="Times New Roman"/>
          <w:szCs w:val="24"/>
        </w:rPr>
        <w:t>% за 2022</w:t>
      </w:r>
      <w:r w:rsidR="00B552D5">
        <w:rPr>
          <w:rFonts w:eastAsia="Times New Roman"/>
          <w:szCs w:val="24"/>
        </w:rPr>
        <w:t> г.</w:t>
      </w:r>
      <w:r w:rsidRPr="0076474D">
        <w:rPr>
          <w:rFonts w:eastAsia="Times New Roman"/>
          <w:szCs w:val="24"/>
        </w:rPr>
        <w:t xml:space="preserve">, </w:t>
      </w:r>
      <w:r>
        <w:rPr>
          <w:rFonts w:eastAsia="Times New Roman"/>
          <w:szCs w:val="24"/>
        </w:rPr>
        <w:t>5.4% за 2023</w:t>
      </w:r>
      <w:r w:rsidR="00B552D5">
        <w:rPr>
          <w:rFonts w:eastAsia="Times New Roman"/>
          <w:szCs w:val="24"/>
        </w:rPr>
        <w:t> г.</w:t>
      </w:r>
      <w:r>
        <w:rPr>
          <w:rFonts w:eastAsia="Times New Roman"/>
          <w:szCs w:val="24"/>
        </w:rPr>
        <w:t>, -1</w:t>
      </w:r>
      <w:r w:rsidRPr="0076474D">
        <w:rPr>
          <w:rFonts w:eastAsia="Times New Roman"/>
          <w:szCs w:val="24"/>
        </w:rPr>
        <w:t>% за 2024</w:t>
      </w:r>
      <w:r w:rsidR="00B552D5">
        <w:rPr>
          <w:rFonts w:eastAsia="Times New Roman"/>
          <w:szCs w:val="24"/>
        </w:rPr>
        <w:t> г.</w:t>
      </w:r>
      <w:r>
        <w:rPr>
          <w:rFonts w:eastAsia="Times New Roman"/>
          <w:szCs w:val="24"/>
        </w:rPr>
        <w:t>, 0.5% за 2025 г и 2% за 2026</w:t>
      </w:r>
      <w:r w:rsidR="00B552D5">
        <w:rPr>
          <w:rFonts w:eastAsia="Times New Roman"/>
          <w:szCs w:val="24"/>
        </w:rPr>
        <w:t> г.</w:t>
      </w:r>
      <w:r w:rsidRPr="0076474D">
        <w:rPr>
          <w:rFonts w:eastAsia="Times New Roman"/>
          <w:szCs w:val="24"/>
        </w:rPr>
        <w:t xml:space="preserve"> Според изчисленията на ЕК нивото на референтния растеж се оценява средно на 2</w:t>
      </w:r>
      <w:r>
        <w:rPr>
          <w:rFonts w:eastAsia="Times New Roman"/>
          <w:szCs w:val="24"/>
        </w:rPr>
        <w:t>.3</w:t>
      </w:r>
      <w:r w:rsidRPr="0076474D">
        <w:rPr>
          <w:rFonts w:eastAsia="Times New Roman"/>
          <w:szCs w:val="24"/>
        </w:rPr>
        <w:t xml:space="preserve">% </w:t>
      </w:r>
      <w:r>
        <w:rPr>
          <w:rFonts w:eastAsia="Times New Roman"/>
          <w:szCs w:val="24"/>
        </w:rPr>
        <w:t>за 2022</w:t>
      </w:r>
      <w:r w:rsidR="00B552D5">
        <w:rPr>
          <w:rFonts w:eastAsia="Times New Roman"/>
          <w:szCs w:val="24"/>
        </w:rPr>
        <w:t> г.</w:t>
      </w:r>
      <w:r>
        <w:rPr>
          <w:rFonts w:eastAsia="Times New Roman"/>
          <w:szCs w:val="24"/>
        </w:rPr>
        <w:t xml:space="preserve"> и 2.2% </w:t>
      </w:r>
      <w:r w:rsidRPr="0076474D">
        <w:rPr>
          <w:rFonts w:eastAsia="Times New Roman"/>
          <w:szCs w:val="24"/>
        </w:rPr>
        <w:t>за прогнозния период</w:t>
      </w:r>
      <w:r w:rsidR="00091E3B">
        <w:rPr>
          <w:rFonts w:eastAsia="Times New Roman"/>
          <w:szCs w:val="24"/>
        </w:rPr>
        <w:t xml:space="preserve"> 2023</w:t>
      </w:r>
      <w:r>
        <w:rPr>
          <w:rFonts w:eastAsia="Times New Roman"/>
          <w:szCs w:val="24"/>
        </w:rPr>
        <w:t>–2026</w:t>
      </w:r>
      <w:r w:rsidR="00B552D5">
        <w:rPr>
          <w:rFonts w:eastAsia="Times New Roman"/>
          <w:szCs w:val="24"/>
        </w:rPr>
        <w:t> г.</w:t>
      </w:r>
    </w:p>
    <w:p w14:paraId="4D11BDB3" w14:textId="4AAA5A5B" w:rsidR="00165946" w:rsidRPr="0076474D" w:rsidRDefault="00165946" w:rsidP="00165946">
      <w:pPr>
        <w:rPr>
          <w:rFonts w:eastAsia="Times New Roman"/>
          <w:szCs w:val="24"/>
        </w:rPr>
      </w:pPr>
      <w:r w:rsidRPr="0076474D">
        <w:rPr>
          <w:rFonts w:eastAsia="Times New Roman"/>
          <w:szCs w:val="24"/>
        </w:rPr>
        <w:t xml:space="preserve">Бенчмаркът на разходите е част от индикаторите, следени при оценката на спазването на правилата в превантивната част на ПСР, и като такъв попада под обхвата на общата клауза за дерогация, която бе активирана в периода </w:t>
      </w:r>
      <w:r w:rsidR="00091E3B">
        <w:rPr>
          <w:rFonts w:eastAsia="Times New Roman"/>
          <w:szCs w:val="24"/>
        </w:rPr>
        <w:t>2020–2021</w:t>
      </w:r>
      <w:r w:rsidR="00B552D5">
        <w:rPr>
          <w:rFonts w:eastAsia="Times New Roman"/>
          <w:szCs w:val="24"/>
        </w:rPr>
        <w:t> г.</w:t>
      </w:r>
      <w:r w:rsidRPr="0076474D">
        <w:rPr>
          <w:rFonts w:eastAsia="Times New Roman"/>
          <w:szCs w:val="24"/>
        </w:rPr>
        <w:t xml:space="preserve"> и ще продължи да действа и през текущата</w:t>
      </w:r>
      <w:r>
        <w:rPr>
          <w:rFonts w:eastAsia="Times New Roman"/>
          <w:szCs w:val="24"/>
        </w:rPr>
        <w:t xml:space="preserve"> 2023</w:t>
      </w:r>
      <w:r w:rsidRPr="0076474D">
        <w:rPr>
          <w:rFonts w:eastAsia="Times New Roman"/>
          <w:szCs w:val="24"/>
        </w:rPr>
        <w:t xml:space="preserve"> година.</w:t>
      </w:r>
    </w:p>
    <w:p w14:paraId="08606C57" w14:textId="77777777" w:rsidR="00745ECB" w:rsidRPr="00D661BA" w:rsidRDefault="00745ECB" w:rsidP="00EE53B2">
      <w:pPr>
        <w:pStyle w:val="Heading2"/>
      </w:pPr>
      <w:bookmarkStart w:id="78" w:name="_Toc479332434"/>
      <w:bookmarkStart w:id="79" w:name="_Toc133597274"/>
      <w:bookmarkStart w:id="80" w:name="_Toc352851597"/>
      <w:bookmarkStart w:id="81" w:name="_Toc448227286"/>
      <w:r w:rsidRPr="00D661BA">
        <w:t xml:space="preserve">Равнище на дълга и тенденции, </w:t>
      </w:r>
      <w:r w:rsidR="003C4751" w:rsidRPr="00D661BA">
        <w:t>операции под черта</w:t>
      </w:r>
      <w:bookmarkEnd w:id="78"/>
      <w:bookmarkEnd w:id="79"/>
    </w:p>
    <w:p w14:paraId="6A05A957" w14:textId="2A48C7D0" w:rsidR="00855AD7" w:rsidRDefault="00855AD7" w:rsidP="00EE53B2">
      <w:r w:rsidRPr="00DD22EF">
        <w:t xml:space="preserve">Въз основа на данните от априлските Нотификационни таблици за дефицита/излишъка и дълга на България, </w:t>
      </w:r>
      <w:r>
        <w:t>към края на 2022</w:t>
      </w:r>
      <w:r w:rsidR="00B552D5">
        <w:t> г.</w:t>
      </w:r>
      <w:r>
        <w:t xml:space="preserve"> размерът</w:t>
      </w:r>
      <w:r w:rsidRPr="00DD22EF">
        <w:t xml:space="preserve"> на консолидирания дълг на сектор „Държавно управление“ </w:t>
      </w:r>
      <w:r>
        <w:t>нараства</w:t>
      </w:r>
      <w:r w:rsidRPr="00DD22EF">
        <w:t xml:space="preserve"> спрямо нивото </w:t>
      </w:r>
      <w:r>
        <w:t xml:space="preserve">от предходната година. В </w:t>
      </w:r>
      <w:r w:rsidRPr="006143CE">
        <w:t>номинално изражение равнището на дълга се увеличава</w:t>
      </w:r>
      <w:r>
        <w:t xml:space="preserve"> с около </w:t>
      </w:r>
      <w:r w:rsidRPr="00872D78">
        <w:t>4</w:t>
      </w:r>
      <w:r w:rsidR="009965F9">
        <w:t>.</w:t>
      </w:r>
      <w:r w:rsidRPr="00872D78">
        <w:rPr>
          <w:lang w:val="en-US"/>
        </w:rPr>
        <w:t>6</w:t>
      </w:r>
      <w:r>
        <w:t xml:space="preserve"> млрд. лв. от 33</w:t>
      </w:r>
      <w:r w:rsidR="009965F9">
        <w:t>.</w:t>
      </w:r>
      <w:r>
        <w:t>3 млрд. лв. през 2021</w:t>
      </w:r>
      <w:r w:rsidR="00B552D5">
        <w:t> г.</w:t>
      </w:r>
      <w:r w:rsidRPr="006143CE">
        <w:t xml:space="preserve"> до </w:t>
      </w:r>
      <w:r>
        <w:t>37</w:t>
      </w:r>
      <w:r w:rsidR="009965F9">
        <w:t>.</w:t>
      </w:r>
      <w:r>
        <w:t>8</w:t>
      </w:r>
      <w:r w:rsidRPr="006143CE">
        <w:t> млрд. лв.</w:t>
      </w:r>
      <w:r>
        <w:t xml:space="preserve"> през 2022</w:t>
      </w:r>
      <w:r w:rsidR="00B552D5">
        <w:t> г.</w:t>
      </w:r>
      <w:r>
        <w:t xml:space="preserve"> Като </w:t>
      </w:r>
      <w:r w:rsidRPr="006143CE">
        <w:t>съотношение</w:t>
      </w:r>
      <w:r>
        <w:t xml:space="preserve"> спрямо БВП, индикаторът</w:t>
      </w:r>
      <w:r w:rsidRPr="006143CE">
        <w:t xml:space="preserve"> </w:t>
      </w:r>
      <w:r>
        <w:t>намалява с 1 пр. п. до 22</w:t>
      </w:r>
      <w:r w:rsidR="009965F9">
        <w:t>.9</w:t>
      </w:r>
      <w:r>
        <w:t xml:space="preserve">% </w:t>
      </w:r>
      <w:r w:rsidRPr="006143CE">
        <w:rPr>
          <w:lang w:val="en-US"/>
        </w:rPr>
        <w:t>(</w:t>
      </w:r>
      <w:r w:rsidRPr="006143CE">
        <w:t>при 2</w:t>
      </w:r>
      <w:r>
        <w:t>3</w:t>
      </w:r>
      <w:r w:rsidR="009965F9">
        <w:t>.9</w:t>
      </w:r>
      <w:r w:rsidRPr="006143CE">
        <w:t>% в края на 20</w:t>
      </w:r>
      <w:r>
        <w:t>21</w:t>
      </w:r>
      <w:r w:rsidR="00B552D5">
        <w:t> г.</w:t>
      </w:r>
      <w:r w:rsidRPr="006143CE">
        <w:rPr>
          <w:lang w:val="en-US"/>
        </w:rPr>
        <w:t>)</w:t>
      </w:r>
      <w:r>
        <w:t>,</w:t>
      </w:r>
      <w:r w:rsidRPr="00850D8B">
        <w:t xml:space="preserve"> запазва</w:t>
      </w:r>
      <w:r>
        <w:t>йки се</w:t>
      </w:r>
      <w:r w:rsidRPr="00850D8B">
        <w:t xml:space="preserve"> съществено под горния праг на Маастрихтския</w:t>
      </w:r>
      <w:r w:rsidR="009965F9">
        <w:t xml:space="preserve"> критерий за конвергенция от 60</w:t>
      </w:r>
      <w:r w:rsidRPr="00850D8B">
        <w:t>%. При отделните компоненти, формиращи дълга на сектора, най-значителен ръст отчита дългът на подсектор „Централно управление“, като основен принос за това има държавният дълг.</w:t>
      </w:r>
    </w:p>
    <w:p w14:paraId="763E4BAA" w14:textId="76290815" w:rsidR="00855AD7" w:rsidRDefault="00855AD7" w:rsidP="00855AD7">
      <w:r w:rsidRPr="00666600">
        <w:rPr>
          <w:bCs/>
          <w:szCs w:val="24"/>
        </w:rPr>
        <w:t>През 202</w:t>
      </w:r>
      <w:r>
        <w:rPr>
          <w:bCs/>
          <w:szCs w:val="24"/>
        </w:rPr>
        <w:t>2</w:t>
      </w:r>
      <w:r w:rsidR="00B552D5">
        <w:rPr>
          <w:bCs/>
          <w:szCs w:val="24"/>
        </w:rPr>
        <w:t> г.</w:t>
      </w:r>
      <w:r w:rsidRPr="00666600">
        <w:rPr>
          <w:bCs/>
          <w:szCs w:val="24"/>
        </w:rPr>
        <w:t xml:space="preserve"> </w:t>
      </w:r>
      <w:r>
        <w:rPr>
          <w:bCs/>
          <w:szCs w:val="24"/>
        </w:rPr>
        <w:t xml:space="preserve">е получено </w:t>
      </w:r>
      <w:r w:rsidRPr="00666600">
        <w:rPr>
          <w:bCs/>
          <w:szCs w:val="24"/>
        </w:rPr>
        <w:t>дългово финансиране на подсектор „Централно управление“</w:t>
      </w:r>
      <w:r>
        <w:rPr>
          <w:bCs/>
          <w:szCs w:val="24"/>
        </w:rPr>
        <w:t xml:space="preserve"> в </w:t>
      </w:r>
      <w:r w:rsidRPr="00666600">
        <w:rPr>
          <w:bCs/>
          <w:szCs w:val="24"/>
        </w:rPr>
        <w:t xml:space="preserve">общ размер на </w:t>
      </w:r>
      <w:r>
        <w:rPr>
          <w:bCs/>
          <w:szCs w:val="24"/>
        </w:rPr>
        <w:t>7</w:t>
      </w:r>
      <w:r w:rsidR="009965F9">
        <w:rPr>
          <w:bCs/>
          <w:szCs w:val="24"/>
        </w:rPr>
        <w:t>.</w:t>
      </w:r>
      <w:r>
        <w:rPr>
          <w:bCs/>
          <w:szCs w:val="24"/>
        </w:rPr>
        <w:t>7</w:t>
      </w:r>
      <w:r w:rsidRPr="00666600">
        <w:rPr>
          <w:bCs/>
          <w:szCs w:val="24"/>
        </w:rPr>
        <w:t xml:space="preserve"> млрд.</w:t>
      </w:r>
      <w:r w:rsidRPr="00666600">
        <w:rPr>
          <w:bCs/>
          <w:szCs w:val="24"/>
          <w:lang w:val="en-US"/>
        </w:rPr>
        <w:t xml:space="preserve"> </w:t>
      </w:r>
      <w:r w:rsidRPr="00666600">
        <w:rPr>
          <w:bCs/>
          <w:szCs w:val="24"/>
        </w:rPr>
        <w:t>лв.</w:t>
      </w:r>
      <w:r>
        <w:rPr>
          <w:bCs/>
          <w:szCs w:val="24"/>
        </w:rPr>
        <w:t xml:space="preserve">, основната част от което е под формата на </w:t>
      </w:r>
      <w:r w:rsidR="00781CA8">
        <w:rPr>
          <w:bCs/>
          <w:szCs w:val="24"/>
        </w:rPr>
        <w:t>държавни ценни книжа (</w:t>
      </w:r>
      <w:r>
        <w:rPr>
          <w:bCs/>
          <w:szCs w:val="24"/>
        </w:rPr>
        <w:t>ДЦК</w:t>
      </w:r>
      <w:r w:rsidR="00781CA8">
        <w:rPr>
          <w:bCs/>
          <w:szCs w:val="24"/>
        </w:rPr>
        <w:t>)</w:t>
      </w:r>
      <w:r>
        <w:rPr>
          <w:bCs/>
          <w:szCs w:val="24"/>
        </w:rPr>
        <w:t>, пласирани както на вътрешния, така и на международните капиталови пазари. Н</w:t>
      </w:r>
      <w:r w:rsidRPr="00DC32A6">
        <w:rPr>
          <w:bCs/>
          <w:szCs w:val="24"/>
        </w:rPr>
        <w:t>а вътрешния</w:t>
      </w:r>
      <w:r>
        <w:rPr>
          <w:bCs/>
          <w:szCs w:val="24"/>
        </w:rPr>
        <w:t xml:space="preserve"> дългов</w:t>
      </w:r>
      <w:r w:rsidRPr="00DC32A6">
        <w:rPr>
          <w:bCs/>
          <w:szCs w:val="24"/>
        </w:rPr>
        <w:t xml:space="preserve"> пазар</w:t>
      </w:r>
      <w:r>
        <w:rPr>
          <w:bCs/>
          <w:szCs w:val="24"/>
        </w:rPr>
        <w:t xml:space="preserve"> през годината</w:t>
      </w:r>
      <w:r w:rsidRPr="00DC32A6">
        <w:rPr>
          <w:bCs/>
          <w:szCs w:val="24"/>
        </w:rPr>
        <w:t xml:space="preserve"> са емитирани ДЦК с обща номинална стойност от </w:t>
      </w:r>
      <w:r>
        <w:rPr>
          <w:bCs/>
          <w:szCs w:val="24"/>
          <w:lang w:val="en-US"/>
        </w:rPr>
        <w:t>2</w:t>
      </w:r>
      <w:r w:rsidR="009965F9">
        <w:rPr>
          <w:bCs/>
          <w:szCs w:val="24"/>
        </w:rPr>
        <w:t>.</w:t>
      </w:r>
      <w:r>
        <w:rPr>
          <w:bCs/>
          <w:szCs w:val="24"/>
          <w:lang w:val="en-US"/>
        </w:rPr>
        <w:t>6</w:t>
      </w:r>
      <w:r w:rsidRPr="00DC32A6">
        <w:rPr>
          <w:bCs/>
          <w:szCs w:val="24"/>
        </w:rPr>
        <w:t xml:space="preserve"> мл</w:t>
      </w:r>
      <w:r>
        <w:rPr>
          <w:bCs/>
          <w:szCs w:val="24"/>
        </w:rPr>
        <w:t>рд</w:t>
      </w:r>
      <w:r w:rsidRPr="00DC32A6">
        <w:rPr>
          <w:bCs/>
          <w:szCs w:val="24"/>
        </w:rPr>
        <w:t>. лв., разпределени в четири емисии</w:t>
      </w:r>
      <w:r>
        <w:rPr>
          <w:bCs/>
          <w:szCs w:val="24"/>
        </w:rPr>
        <w:t>, деноминирани в лева</w:t>
      </w:r>
      <w:r w:rsidRPr="00DC32A6">
        <w:rPr>
          <w:bCs/>
          <w:szCs w:val="24"/>
        </w:rPr>
        <w:t>: 3</w:t>
      </w:r>
      <w:r w:rsidR="009965F9">
        <w:rPr>
          <w:bCs/>
          <w:szCs w:val="24"/>
        </w:rPr>
        <w:t>.</w:t>
      </w:r>
      <w:r w:rsidRPr="00DC32A6">
        <w:rPr>
          <w:bCs/>
          <w:szCs w:val="24"/>
        </w:rPr>
        <w:t>5-годишни ДЦК</w:t>
      </w:r>
      <w:r>
        <w:rPr>
          <w:bCs/>
          <w:szCs w:val="24"/>
        </w:rPr>
        <w:t xml:space="preserve"> (пуснати в обращение през ноември 2021</w:t>
      </w:r>
      <w:r w:rsidR="00B552D5">
        <w:rPr>
          <w:bCs/>
          <w:szCs w:val="24"/>
        </w:rPr>
        <w:t> г.</w:t>
      </w:r>
      <w:r>
        <w:rPr>
          <w:bCs/>
          <w:szCs w:val="24"/>
        </w:rPr>
        <w:t>, с падеж 17.05.2025</w:t>
      </w:r>
      <w:r w:rsidR="00B552D5">
        <w:rPr>
          <w:bCs/>
          <w:szCs w:val="24"/>
        </w:rPr>
        <w:t> г.</w:t>
      </w:r>
      <w:r>
        <w:rPr>
          <w:bCs/>
          <w:szCs w:val="24"/>
        </w:rPr>
        <w:t>)</w:t>
      </w:r>
      <w:r w:rsidRPr="00DC32A6">
        <w:rPr>
          <w:bCs/>
          <w:szCs w:val="24"/>
        </w:rPr>
        <w:t xml:space="preserve"> с</w:t>
      </w:r>
      <w:r>
        <w:rPr>
          <w:bCs/>
          <w:szCs w:val="24"/>
        </w:rPr>
        <w:t xml:space="preserve"> общ пласиран</w:t>
      </w:r>
      <w:r w:rsidRPr="00DC32A6">
        <w:rPr>
          <w:bCs/>
          <w:szCs w:val="24"/>
        </w:rPr>
        <w:t xml:space="preserve"> обем от 1</w:t>
      </w:r>
      <w:r w:rsidR="009965F9">
        <w:rPr>
          <w:bCs/>
          <w:szCs w:val="24"/>
        </w:rPr>
        <w:t> </w:t>
      </w:r>
      <w:r w:rsidRPr="00DC32A6">
        <w:rPr>
          <w:bCs/>
          <w:szCs w:val="24"/>
        </w:rPr>
        <w:t>300</w:t>
      </w:r>
      <w:r w:rsidR="009965F9">
        <w:rPr>
          <w:bCs/>
          <w:szCs w:val="24"/>
        </w:rPr>
        <w:t>.</w:t>
      </w:r>
      <w:r w:rsidRPr="00DC32A6">
        <w:rPr>
          <w:bCs/>
          <w:szCs w:val="24"/>
        </w:rPr>
        <w:t>0 млн. лв., 5</w:t>
      </w:r>
      <w:r w:rsidR="009965F9">
        <w:rPr>
          <w:bCs/>
          <w:szCs w:val="24"/>
        </w:rPr>
        <w:t>.</w:t>
      </w:r>
      <w:r w:rsidRPr="00DC32A6">
        <w:rPr>
          <w:bCs/>
          <w:szCs w:val="24"/>
        </w:rPr>
        <w:t>5-годишни ДЦК</w:t>
      </w:r>
      <w:r>
        <w:rPr>
          <w:bCs/>
          <w:szCs w:val="24"/>
        </w:rPr>
        <w:t xml:space="preserve"> (пуснати в обращение през септември 2022</w:t>
      </w:r>
      <w:r w:rsidR="00B552D5">
        <w:rPr>
          <w:bCs/>
          <w:szCs w:val="24"/>
        </w:rPr>
        <w:t> г.</w:t>
      </w:r>
      <w:r>
        <w:rPr>
          <w:bCs/>
          <w:szCs w:val="24"/>
        </w:rPr>
        <w:t>, с падеж 28.03.2028</w:t>
      </w:r>
      <w:r w:rsidR="00B552D5">
        <w:rPr>
          <w:bCs/>
          <w:szCs w:val="24"/>
        </w:rPr>
        <w:t> г.</w:t>
      </w:r>
      <w:r>
        <w:rPr>
          <w:bCs/>
          <w:szCs w:val="24"/>
        </w:rPr>
        <w:t>)</w:t>
      </w:r>
      <w:r w:rsidRPr="00DC32A6">
        <w:rPr>
          <w:bCs/>
          <w:szCs w:val="24"/>
        </w:rPr>
        <w:t xml:space="preserve"> с </w:t>
      </w:r>
      <w:r>
        <w:rPr>
          <w:bCs/>
          <w:szCs w:val="24"/>
        </w:rPr>
        <w:t xml:space="preserve">общ пласиран </w:t>
      </w:r>
      <w:r w:rsidRPr="00DC32A6">
        <w:rPr>
          <w:bCs/>
          <w:szCs w:val="24"/>
        </w:rPr>
        <w:t>обем от 330</w:t>
      </w:r>
      <w:r w:rsidR="009965F9">
        <w:rPr>
          <w:bCs/>
          <w:szCs w:val="24"/>
        </w:rPr>
        <w:t>.</w:t>
      </w:r>
      <w:r w:rsidRPr="00DC32A6">
        <w:rPr>
          <w:bCs/>
          <w:szCs w:val="24"/>
        </w:rPr>
        <w:t>5 млн. лв., 7</w:t>
      </w:r>
      <w:r w:rsidR="009965F9">
        <w:rPr>
          <w:bCs/>
          <w:szCs w:val="24"/>
        </w:rPr>
        <w:t>.</w:t>
      </w:r>
      <w:r w:rsidRPr="00DC32A6">
        <w:rPr>
          <w:bCs/>
          <w:szCs w:val="24"/>
        </w:rPr>
        <w:t>5-годишни ДЦК</w:t>
      </w:r>
      <w:r>
        <w:rPr>
          <w:bCs/>
          <w:szCs w:val="24"/>
        </w:rPr>
        <w:t xml:space="preserve"> (пуснати в обращение през ноември 2021</w:t>
      </w:r>
      <w:r w:rsidR="00B552D5">
        <w:rPr>
          <w:bCs/>
          <w:szCs w:val="24"/>
        </w:rPr>
        <w:t> г.</w:t>
      </w:r>
      <w:r>
        <w:rPr>
          <w:bCs/>
          <w:szCs w:val="24"/>
        </w:rPr>
        <w:t>, с падеж 24.05.2029</w:t>
      </w:r>
      <w:r w:rsidR="00B552D5">
        <w:rPr>
          <w:bCs/>
          <w:szCs w:val="24"/>
        </w:rPr>
        <w:t> г.</w:t>
      </w:r>
      <w:r>
        <w:rPr>
          <w:bCs/>
          <w:szCs w:val="24"/>
        </w:rPr>
        <w:t>)</w:t>
      </w:r>
      <w:r w:rsidRPr="00DC32A6">
        <w:rPr>
          <w:bCs/>
          <w:szCs w:val="24"/>
        </w:rPr>
        <w:t xml:space="preserve"> с обем от 500</w:t>
      </w:r>
      <w:r w:rsidR="009965F9">
        <w:rPr>
          <w:bCs/>
          <w:szCs w:val="24"/>
        </w:rPr>
        <w:t>.</w:t>
      </w:r>
      <w:r w:rsidRPr="00DC32A6">
        <w:rPr>
          <w:bCs/>
          <w:szCs w:val="24"/>
        </w:rPr>
        <w:t>0 млн. лв. и 10</w:t>
      </w:r>
      <w:r w:rsidR="009965F9">
        <w:rPr>
          <w:bCs/>
          <w:szCs w:val="24"/>
        </w:rPr>
        <w:t>.</w:t>
      </w:r>
      <w:r w:rsidRPr="00DC32A6">
        <w:rPr>
          <w:bCs/>
          <w:szCs w:val="24"/>
        </w:rPr>
        <w:t>5-годишни</w:t>
      </w:r>
      <w:r>
        <w:rPr>
          <w:bCs/>
          <w:szCs w:val="24"/>
        </w:rPr>
        <w:t xml:space="preserve"> (</w:t>
      </w:r>
      <w:r w:rsidRPr="00F93E07">
        <w:rPr>
          <w:bCs/>
          <w:szCs w:val="24"/>
        </w:rPr>
        <w:t xml:space="preserve">пуснати в обращение през </w:t>
      </w:r>
      <w:r>
        <w:rPr>
          <w:bCs/>
          <w:szCs w:val="24"/>
        </w:rPr>
        <w:t>януари</w:t>
      </w:r>
      <w:r w:rsidRPr="00F93E07">
        <w:rPr>
          <w:bCs/>
          <w:szCs w:val="24"/>
        </w:rPr>
        <w:t xml:space="preserve"> 201</w:t>
      </w:r>
      <w:r>
        <w:rPr>
          <w:bCs/>
          <w:szCs w:val="24"/>
        </w:rPr>
        <w:t>6</w:t>
      </w:r>
      <w:r w:rsidR="00B552D5">
        <w:rPr>
          <w:bCs/>
          <w:szCs w:val="24"/>
        </w:rPr>
        <w:t> г.</w:t>
      </w:r>
      <w:r w:rsidRPr="00F93E07">
        <w:rPr>
          <w:bCs/>
          <w:szCs w:val="24"/>
        </w:rPr>
        <w:t xml:space="preserve">, с падеж </w:t>
      </w:r>
      <w:r>
        <w:rPr>
          <w:bCs/>
          <w:szCs w:val="24"/>
        </w:rPr>
        <w:t>2</w:t>
      </w:r>
      <w:r w:rsidRPr="00F93E07">
        <w:rPr>
          <w:bCs/>
          <w:szCs w:val="24"/>
        </w:rPr>
        <w:t>7.0</w:t>
      </w:r>
      <w:r>
        <w:rPr>
          <w:bCs/>
          <w:szCs w:val="24"/>
        </w:rPr>
        <w:t>7</w:t>
      </w:r>
      <w:r w:rsidRPr="00F93E07">
        <w:rPr>
          <w:bCs/>
          <w:szCs w:val="24"/>
        </w:rPr>
        <w:t>.202</w:t>
      </w:r>
      <w:r>
        <w:rPr>
          <w:bCs/>
          <w:szCs w:val="24"/>
        </w:rPr>
        <w:t>6</w:t>
      </w:r>
      <w:r w:rsidR="00B552D5">
        <w:rPr>
          <w:bCs/>
          <w:szCs w:val="24"/>
        </w:rPr>
        <w:t> г.</w:t>
      </w:r>
      <w:r>
        <w:rPr>
          <w:bCs/>
          <w:szCs w:val="24"/>
        </w:rPr>
        <w:t>)</w:t>
      </w:r>
      <w:r w:rsidRPr="00DC32A6">
        <w:rPr>
          <w:bCs/>
          <w:szCs w:val="24"/>
        </w:rPr>
        <w:t xml:space="preserve"> с</w:t>
      </w:r>
      <w:r>
        <w:rPr>
          <w:bCs/>
          <w:szCs w:val="24"/>
        </w:rPr>
        <w:t xml:space="preserve"> общ пласиран</w:t>
      </w:r>
      <w:r w:rsidRPr="00DC32A6">
        <w:rPr>
          <w:bCs/>
          <w:szCs w:val="24"/>
        </w:rPr>
        <w:t xml:space="preserve"> обем от 502</w:t>
      </w:r>
      <w:r w:rsidR="009965F9">
        <w:rPr>
          <w:bCs/>
          <w:szCs w:val="24"/>
        </w:rPr>
        <w:t>.</w:t>
      </w:r>
      <w:r w:rsidRPr="00DC32A6">
        <w:rPr>
          <w:bCs/>
          <w:szCs w:val="24"/>
        </w:rPr>
        <w:t>75 млн. лв. По линия на глобалната средносрочна програма за емитиране на дълг на международните капиталови пазари през септември 2022</w:t>
      </w:r>
      <w:r w:rsidR="00B552D5">
        <w:rPr>
          <w:bCs/>
          <w:szCs w:val="24"/>
        </w:rPr>
        <w:t> г.</w:t>
      </w:r>
      <w:r>
        <w:rPr>
          <w:bCs/>
          <w:szCs w:val="24"/>
          <w:lang w:val="en-US"/>
        </w:rPr>
        <w:t xml:space="preserve"> </w:t>
      </w:r>
      <w:r>
        <w:rPr>
          <w:bCs/>
          <w:szCs w:val="24"/>
        </w:rPr>
        <w:t>Република България пласира</w:t>
      </w:r>
      <w:r w:rsidRPr="00DC32A6">
        <w:rPr>
          <w:bCs/>
          <w:szCs w:val="24"/>
        </w:rPr>
        <w:t xml:space="preserve"> два транша еврооблигации с общ номинален обем от</w:t>
      </w:r>
      <w:r>
        <w:rPr>
          <w:bCs/>
          <w:szCs w:val="24"/>
        </w:rPr>
        <w:t xml:space="preserve"> </w:t>
      </w:r>
      <w:r w:rsidRPr="00DC32A6">
        <w:rPr>
          <w:bCs/>
          <w:szCs w:val="24"/>
        </w:rPr>
        <w:t>4</w:t>
      </w:r>
      <w:r w:rsidR="009965F9">
        <w:rPr>
          <w:bCs/>
          <w:szCs w:val="24"/>
        </w:rPr>
        <w:t>.</w:t>
      </w:r>
      <w:r>
        <w:rPr>
          <w:bCs/>
          <w:szCs w:val="24"/>
        </w:rPr>
        <w:t>4</w:t>
      </w:r>
      <w:r w:rsidRPr="00DC32A6">
        <w:rPr>
          <w:bCs/>
          <w:szCs w:val="24"/>
        </w:rPr>
        <w:t xml:space="preserve"> млрд.</w:t>
      </w:r>
      <w:r>
        <w:rPr>
          <w:bCs/>
          <w:szCs w:val="24"/>
        </w:rPr>
        <w:t xml:space="preserve"> </w:t>
      </w:r>
      <w:r w:rsidRPr="00DC32A6">
        <w:rPr>
          <w:bCs/>
          <w:szCs w:val="24"/>
        </w:rPr>
        <w:t>лв. (2</w:t>
      </w:r>
      <w:r w:rsidR="009965F9">
        <w:rPr>
          <w:bCs/>
          <w:szCs w:val="24"/>
        </w:rPr>
        <w:t>.</w:t>
      </w:r>
      <w:r w:rsidRPr="00DC32A6">
        <w:rPr>
          <w:bCs/>
          <w:szCs w:val="24"/>
        </w:rPr>
        <w:t>25 млрд. евро)</w:t>
      </w:r>
      <w:r>
        <w:rPr>
          <w:bCs/>
          <w:szCs w:val="24"/>
        </w:rPr>
        <w:t>, в т.ч.</w:t>
      </w:r>
      <w:r w:rsidRPr="00DC32A6">
        <w:rPr>
          <w:bCs/>
          <w:szCs w:val="24"/>
        </w:rPr>
        <w:t xml:space="preserve"> със срочност 7 години, обем от 1</w:t>
      </w:r>
      <w:r w:rsidR="009965F9">
        <w:rPr>
          <w:bCs/>
          <w:szCs w:val="24"/>
        </w:rPr>
        <w:t>.</w:t>
      </w:r>
      <w:r w:rsidRPr="00DC32A6">
        <w:rPr>
          <w:bCs/>
          <w:szCs w:val="24"/>
        </w:rPr>
        <w:t xml:space="preserve">5 млрд. евро </w:t>
      </w:r>
      <w:r>
        <w:rPr>
          <w:bCs/>
          <w:szCs w:val="24"/>
        </w:rPr>
        <w:t xml:space="preserve">и </w:t>
      </w:r>
      <w:r w:rsidRPr="00DC32A6">
        <w:rPr>
          <w:bCs/>
          <w:szCs w:val="24"/>
        </w:rPr>
        <w:t xml:space="preserve">със срочност 12 години, обем от 750 млн. евро. </w:t>
      </w:r>
      <w:r>
        <w:rPr>
          <w:rFonts w:eastAsia="Batang"/>
          <w:szCs w:val="24"/>
        </w:rPr>
        <w:t>У</w:t>
      </w:r>
      <w:r w:rsidRPr="00CB64EB">
        <w:rPr>
          <w:rFonts w:eastAsia="Batang"/>
          <w:szCs w:val="24"/>
        </w:rPr>
        <w:t>своени</w:t>
      </w:r>
      <w:r>
        <w:rPr>
          <w:rFonts w:eastAsia="Batang"/>
          <w:szCs w:val="24"/>
        </w:rPr>
        <w:t xml:space="preserve"> са и </w:t>
      </w:r>
      <w:r w:rsidRPr="00CB64EB">
        <w:rPr>
          <w:rFonts w:eastAsia="Batang"/>
          <w:szCs w:val="24"/>
        </w:rPr>
        <w:t>средства в размер на 899</w:t>
      </w:r>
      <w:r w:rsidR="009965F9">
        <w:rPr>
          <w:rFonts w:eastAsia="Batang"/>
          <w:szCs w:val="24"/>
        </w:rPr>
        <w:t>.</w:t>
      </w:r>
      <w:r w:rsidRPr="00CB64EB">
        <w:rPr>
          <w:rFonts w:eastAsia="Batang"/>
          <w:szCs w:val="24"/>
        </w:rPr>
        <w:t>7 млн. лв. (460</w:t>
      </w:r>
      <w:r w:rsidR="009965F9">
        <w:rPr>
          <w:rFonts w:eastAsia="Batang"/>
          <w:szCs w:val="24"/>
        </w:rPr>
        <w:t>.</w:t>
      </w:r>
      <w:r w:rsidRPr="00CB64EB">
        <w:rPr>
          <w:rFonts w:eastAsia="Batang"/>
          <w:szCs w:val="24"/>
        </w:rPr>
        <w:t xml:space="preserve">0 млн. евро) </w:t>
      </w:r>
      <w:r>
        <w:rPr>
          <w:szCs w:val="24"/>
        </w:rPr>
        <w:t xml:space="preserve">по втория държавен заем </w:t>
      </w:r>
      <w:r w:rsidRPr="00BD6A6D">
        <w:rPr>
          <w:szCs w:val="24"/>
        </w:rPr>
        <w:t xml:space="preserve">по </w:t>
      </w:r>
      <w:r>
        <w:rPr>
          <w:szCs w:val="24"/>
        </w:rPr>
        <w:t xml:space="preserve">линия на </w:t>
      </w:r>
      <w:r w:rsidRPr="00BD6A6D">
        <w:rPr>
          <w:szCs w:val="24"/>
        </w:rPr>
        <w:t xml:space="preserve">Европейския инструмент </w:t>
      </w:r>
      <w:r w:rsidRPr="00CB64EB">
        <w:rPr>
          <w:rFonts w:eastAsia="Batang"/>
          <w:szCs w:val="24"/>
        </w:rPr>
        <w:t>за временна подкрепа с цел смекчаване на рисковете от безработица при извънредни обстоятелства (SURE) вследствие на COVID-19 (15-годишен транш).</w:t>
      </w:r>
      <w:r w:rsidRPr="00D47784">
        <w:t xml:space="preserve"> </w:t>
      </w:r>
    </w:p>
    <w:p w14:paraId="4EE9A986" w14:textId="0A6C4E2B" w:rsidR="00855AD7" w:rsidRPr="006143CE" w:rsidRDefault="00855AD7" w:rsidP="00855AD7">
      <w:pPr>
        <w:rPr>
          <w:szCs w:val="24"/>
        </w:rPr>
      </w:pPr>
      <w:r w:rsidRPr="00666600">
        <w:rPr>
          <w:bCs/>
          <w:szCs w:val="24"/>
        </w:rPr>
        <w:t xml:space="preserve">За същия период извършените погашения по дълга на подсектора представляват общо </w:t>
      </w:r>
      <w:r w:rsidRPr="00666600">
        <w:rPr>
          <w:bCs/>
          <w:szCs w:val="24"/>
          <w:lang w:val="en-US"/>
        </w:rPr>
        <w:t>3</w:t>
      </w:r>
      <w:r w:rsidR="009965F9">
        <w:rPr>
          <w:bCs/>
          <w:szCs w:val="24"/>
        </w:rPr>
        <w:t>.</w:t>
      </w:r>
      <w:r>
        <w:rPr>
          <w:bCs/>
          <w:szCs w:val="24"/>
        </w:rPr>
        <w:t>3</w:t>
      </w:r>
      <w:r w:rsidRPr="00666600">
        <w:rPr>
          <w:bCs/>
          <w:szCs w:val="24"/>
        </w:rPr>
        <w:t xml:space="preserve"> млрд. лв., от които </w:t>
      </w:r>
      <w:r>
        <w:rPr>
          <w:bCs/>
          <w:szCs w:val="24"/>
        </w:rPr>
        <w:t>2</w:t>
      </w:r>
      <w:r w:rsidR="009965F9">
        <w:rPr>
          <w:bCs/>
          <w:szCs w:val="24"/>
        </w:rPr>
        <w:t>.</w:t>
      </w:r>
      <w:r>
        <w:rPr>
          <w:bCs/>
          <w:szCs w:val="24"/>
        </w:rPr>
        <w:t>7</w:t>
      </w:r>
      <w:r w:rsidRPr="00666600">
        <w:rPr>
          <w:bCs/>
          <w:szCs w:val="24"/>
        </w:rPr>
        <w:t xml:space="preserve"> млрд. лв. падежи на </w:t>
      </w:r>
      <w:r>
        <w:rPr>
          <w:bCs/>
          <w:szCs w:val="24"/>
        </w:rPr>
        <w:t>облигации</w:t>
      </w:r>
      <w:r w:rsidRPr="00666600">
        <w:rPr>
          <w:bCs/>
          <w:szCs w:val="24"/>
        </w:rPr>
        <w:t>, емитирани на</w:t>
      </w:r>
      <w:r>
        <w:rPr>
          <w:bCs/>
          <w:szCs w:val="24"/>
        </w:rPr>
        <w:t xml:space="preserve"> външния и на</w:t>
      </w:r>
      <w:r w:rsidRPr="00666600">
        <w:rPr>
          <w:bCs/>
          <w:szCs w:val="24"/>
        </w:rPr>
        <w:t xml:space="preserve"> </w:t>
      </w:r>
      <w:r w:rsidRPr="00666600">
        <w:rPr>
          <w:bCs/>
          <w:szCs w:val="24"/>
        </w:rPr>
        <w:lastRenderedPageBreak/>
        <w:t>вътрешния дългов пазар</w:t>
      </w:r>
      <w:r>
        <w:rPr>
          <w:bCs/>
          <w:szCs w:val="24"/>
        </w:rPr>
        <w:t xml:space="preserve"> (2</w:t>
      </w:r>
      <w:r w:rsidR="009965F9">
        <w:rPr>
          <w:bCs/>
          <w:szCs w:val="24"/>
        </w:rPr>
        <w:t>.</w:t>
      </w:r>
      <w:r>
        <w:rPr>
          <w:bCs/>
          <w:szCs w:val="24"/>
        </w:rPr>
        <w:t>4 млрд. лв. падеж на еврооблигации, емитирани на международните капиталови пазари през 2015</w:t>
      </w:r>
      <w:r w:rsidR="00B552D5">
        <w:rPr>
          <w:bCs/>
          <w:szCs w:val="24"/>
        </w:rPr>
        <w:t> г.</w:t>
      </w:r>
      <w:r>
        <w:rPr>
          <w:bCs/>
          <w:szCs w:val="24"/>
        </w:rPr>
        <w:t xml:space="preserve"> и 0</w:t>
      </w:r>
      <w:r w:rsidR="009965F9">
        <w:rPr>
          <w:bCs/>
          <w:szCs w:val="24"/>
        </w:rPr>
        <w:t>.</w:t>
      </w:r>
      <w:r>
        <w:rPr>
          <w:bCs/>
          <w:szCs w:val="24"/>
        </w:rPr>
        <w:t>3 млрд. лв. падежи на ДЦК)</w:t>
      </w:r>
      <w:r w:rsidRPr="00666600">
        <w:rPr>
          <w:bCs/>
          <w:szCs w:val="24"/>
        </w:rPr>
        <w:t xml:space="preserve"> и 0</w:t>
      </w:r>
      <w:r w:rsidR="009965F9">
        <w:rPr>
          <w:bCs/>
          <w:szCs w:val="24"/>
        </w:rPr>
        <w:t>.</w:t>
      </w:r>
      <w:r>
        <w:rPr>
          <w:bCs/>
          <w:szCs w:val="24"/>
        </w:rPr>
        <w:t>6</w:t>
      </w:r>
      <w:r w:rsidRPr="00666600">
        <w:rPr>
          <w:bCs/>
          <w:szCs w:val="24"/>
        </w:rPr>
        <w:t xml:space="preserve"> млрд. лв. по заеми, в т.ч. държавни заеми и</w:t>
      </w:r>
      <w:r>
        <w:rPr>
          <w:bCs/>
          <w:szCs w:val="24"/>
        </w:rPr>
        <w:t xml:space="preserve"> заеми</w:t>
      </w:r>
      <w:r w:rsidRPr="00666600">
        <w:rPr>
          <w:bCs/>
          <w:szCs w:val="24"/>
        </w:rPr>
        <w:t xml:space="preserve"> на институционални единици, попадащи в обхвата </w:t>
      </w:r>
      <w:r>
        <w:rPr>
          <w:bCs/>
          <w:szCs w:val="24"/>
        </w:rPr>
        <w:t>на подсектора.</w:t>
      </w:r>
      <w:r w:rsidR="0005652B">
        <w:rPr>
          <w:bCs/>
          <w:szCs w:val="24"/>
        </w:rPr>
        <w:t xml:space="preserve"> </w:t>
      </w:r>
    </w:p>
    <w:p w14:paraId="751961C1" w14:textId="7422B84A" w:rsidR="00855AD7" w:rsidRPr="006143CE" w:rsidRDefault="00855AD7" w:rsidP="00855AD7">
      <w:pPr>
        <w:rPr>
          <w:szCs w:val="24"/>
        </w:rPr>
      </w:pPr>
      <w:r>
        <w:rPr>
          <w:szCs w:val="24"/>
        </w:rPr>
        <w:t>Валутната и лихвената структура на дълга на сектор „Държавно управление“ към края на 2022</w:t>
      </w:r>
      <w:r w:rsidR="00B552D5">
        <w:rPr>
          <w:szCs w:val="24"/>
        </w:rPr>
        <w:t> г.</w:t>
      </w:r>
      <w:r>
        <w:rPr>
          <w:szCs w:val="24"/>
        </w:rPr>
        <w:t xml:space="preserve"> се характеризира с доминантен дял на дълга, деноминиран в евро – 69</w:t>
      </w:r>
      <w:r w:rsidR="009965F9">
        <w:rPr>
          <w:szCs w:val="24"/>
        </w:rPr>
        <w:t>.7% и в лева – 30.1</w:t>
      </w:r>
      <w:r>
        <w:rPr>
          <w:szCs w:val="24"/>
        </w:rPr>
        <w:t xml:space="preserve">%, както и на задълженията с фиксиран лихвен процент </w:t>
      </w:r>
      <w:r w:rsidR="009965F9">
        <w:rPr>
          <w:szCs w:val="24"/>
        </w:rPr>
        <w:t>–</w:t>
      </w:r>
      <w:r>
        <w:rPr>
          <w:szCs w:val="24"/>
        </w:rPr>
        <w:t xml:space="preserve"> 98</w:t>
      </w:r>
      <w:r w:rsidR="009965F9">
        <w:rPr>
          <w:szCs w:val="24"/>
        </w:rPr>
        <w:t>.3</w:t>
      </w:r>
      <w:r>
        <w:rPr>
          <w:szCs w:val="24"/>
        </w:rPr>
        <w:t>%. Частта на дълга</w:t>
      </w:r>
      <w:r w:rsidRPr="006143CE">
        <w:rPr>
          <w:szCs w:val="24"/>
        </w:rPr>
        <w:t>,</w:t>
      </w:r>
      <w:r>
        <w:rPr>
          <w:szCs w:val="24"/>
        </w:rPr>
        <w:t xml:space="preserve"> дено</w:t>
      </w:r>
      <w:r w:rsidRPr="00FA6A74">
        <w:rPr>
          <w:szCs w:val="24"/>
        </w:rPr>
        <w:t>миниран в</w:t>
      </w:r>
      <w:r>
        <w:rPr>
          <w:szCs w:val="24"/>
        </w:rPr>
        <w:t xml:space="preserve"> други</w:t>
      </w:r>
      <w:r w:rsidRPr="00FA6A74">
        <w:rPr>
          <w:szCs w:val="24"/>
        </w:rPr>
        <w:t xml:space="preserve"> валути </w:t>
      </w:r>
      <w:r>
        <w:rPr>
          <w:szCs w:val="24"/>
        </w:rPr>
        <w:t>е</w:t>
      </w:r>
      <w:r w:rsidRPr="00FA6A74">
        <w:rPr>
          <w:szCs w:val="24"/>
        </w:rPr>
        <w:t xml:space="preserve"> 0</w:t>
      </w:r>
      <w:r w:rsidR="009965F9">
        <w:rPr>
          <w:szCs w:val="24"/>
        </w:rPr>
        <w:t>.</w:t>
      </w:r>
      <w:r w:rsidRPr="00FA6A74">
        <w:rPr>
          <w:szCs w:val="24"/>
        </w:rPr>
        <w:t>2% в края на</w:t>
      </w:r>
      <w:r>
        <w:rPr>
          <w:szCs w:val="24"/>
        </w:rPr>
        <w:t xml:space="preserve"> 2022</w:t>
      </w:r>
      <w:r w:rsidR="00B552D5">
        <w:rPr>
          <w:szCs w:val="24"/>
        </w:rPr>
        <w:t> г.</w:t>
      </w:r>
      <w:r>
        <w:rPr>
          <w:szCs w:val="24"/>
        </w:rPr>
        <w:t>, а</w:t>
      </w:r>
      <w:r w:rsidRPr="00FA6A74">
        <w:rPr>
          <w:szCs w:val="24"/>
        </w:rPr>
        <w:t xml:space="preserve"> </w:t>
      </w:r>
      <w:r>
        <w:rPr>
          <w:szCs w:val="24"/>
        </w:rPr>
        <w:t xml:space="preserve">на този с плаващи лихви </w:t>
      </w:r>
      <w:r w:rsidR="009965F9">
        <w:rPr>
          <w:szCs w:val="24"/>
        </w:rPr>
        <w:t>–</w:t>
      </w:r>
      <w:r>
        <w:rPr>
          <w:szCs w:val="24"/>
        </w:rPr>
        <w:t xml:space="preserve"> 1</w:t>
      </w:r>
      <w:r w:rsidR="009965F9">
        <w:rPr>
          <w:szCs w:val="24"/>
        </w:rPr>
        <w:t>.</w:t>
      </w:r>
      <w:r>
        <w:rPr>
          <w:szCs w:val="24"/>
        </w:rPr>
        <w:t>7</w:t>
      </w:r>
      <w:r w:rsidRPr="00FA6A74">
        <w:rPr>
          <w:szCs w:val="24"/>
        </w:rPr>
        <w:t>% към 31.12.202</w:t>
      </w:r>
      <w:r>
        <w:rPr>
          <w:szCs w:val="24"/>
        </w:rPr>
        <w:t>2</w:t>
      </w:r>
      <w:r w:rsidR="00B552D5">
        <w:rPr>
          <w:szCs w:val="24"/>
        </w:rPr>
        <w:t> г.</w:t>
      </w:r>
      <w:r w:rsidRPr="00FA6A74">
        <w:rPr>
          <w:szCs w:val="24"/>
        </w:rPr>
        <w:t xml:space="preserve"> </w:t>
      </w:r>
      <w:r>
        <w:rPr>
          <w:szCs w:val="24"/>
        </w:rPr>
        <w:t>Т</w:t>
      </w:r>
      <w:r w:rsidRPr="0060432D">
        <w:rPr>
          <w:szCs w:val="24"/>
        </w:rPr>
        <w:t xml:space="preserve">ази </w:t>
      </w:r>
      <w:r>
        <w:rPr>
          <w:szCs w:val="24"/>
        </w:rPr>
        <w:t>структура на дълговия портфейл</w:t>
      </w:r>
      <w:r w:rsidRPr="0060432D">
        <w:rPr>
          <w:szCs w:val="24"/>
        </w:rPr>
        <w:t xml:space="preserve"> се запазва през целия период</w:t>
      </w:r>
      <w:r>
        <w:rPr>
          <w:szCs w:val="24"/>
        </w:rPr>
        <w:t xml:space="preserve"> </w:t>
      </w:r>
      <w:r w:rsidR="00B552D5">
        <w:rPr>
          <w:szCs w:val="24"/>
        </w:rPr>
        <w:t>2023–2026 г.</w:t>
      </w:r>
      <w:r>
        <w:rPr>
          <w:szCs w:val="24"/>
        </w:rPr>
        <w:t xml:space="preserve">, като съответните </w:t>
      </w:r>
      <w:r w:rsidRPr="00FA6A74">
        <w:rPr>
          <w:szCs w:val="24"/>
        </w:rPr>
        <w:t xml:space="preserve">коефициенти на дълга в лева и евро и на този с плаващи лихвени </w:t>
      </w:r>
      <w:r>
        <w:rPr>
          <w:szCs w:val="24"/>
        </w:rPr>
        <w:t>проценти към 31.12.2026</w:t>
      </w:r>
      <w:r w:rsidR="00B552D5">
        <w:rPr>
          <w:szCs w:val="24"/>
        </w:rPr>
        <w:t> г.</w:t>
      </w:r>
      <w:r w:rsidRPr="00FA6A74">
        <w:rPr>
          <w:szCs w:val="24"/>
        </w:rPr>
        <w:t xml:space="preserve"> </w:t>
      </w:r>
      <w:r>
        <w:rPr>
          <w:szCs w:val="24"/>
        </w:rPr>
        <w:t xml:space="preserve">се прогнозира да </w:t>
      </w:r>
      <w:r w:rsidRPr="004709AE">
        <w:rPr>
          <w:szCs w:val="24"/>
        </w:rPr>
        <w:t>бъдат около</w:t>
      </w:r>
      <w:r w:rsidRPr="00FA6A74">
        <w:rPr>
          <w:szCs w:val="24"/>
        </w:rPr>
        <w:t xml:space="preserve"> 9</w:t>
      </w:r>
      <w:r>
        <w:rPr>
          <w:szCs w:val="24"/>
        </w:rPr>
        <w:t>9</w:t>
      </w:r>
      <w:r w:rsidR="009965F9">
        <w:rPr>
          <w:szCs w:val="24"/>
        </w:rPr>
        <w:t>.9</w:t>
      </w:r>
      <w:r>
        <w:rPr>
          <w:szCs w:val="24"/>
        </w:rPr>
        <w:t>% и 0</w:t>
      </w:r>
      <w:r w:rsidR="009965F9">
        <w:rPr>
          <w:szCs w:val="24"/>
        </w:rPr>
        <w:t>.</w:t>
      </w:r>
      <w:r w:rsidR="004864F5">
        <w:rPr>
          <w:szCs w:val="24"/>
          <w:lang w:val="en-US"/>
        </w:rPr>
        <w:t>2</w:t>
      </w:r>
      <w:r>
        <w:rPr>
          <w:szCs w:val="24"/>
        </w:rPr>
        <w:t xml:space="preserve">%. </w:t>
      </w:r>
    </w:p>
    <w:p w14:paraId="69C80E6A" w14:textId="4E754256" w:rsidR="00855AD7" w:rsidRDefault="00855AD7" w:rsidP="00855AD7">
      <w:pPr>
        <w:rPr>
          <w:szCs w:val="24"/>
        </w:rPr>
      </w:pPr>
      <w:r w:rsidRPr="006143CE">
        <w:rPr>
          <w:szCs w:val="24"/>
        </w:rPr>
        <w:t>Лихвените плащания за 202</w:t>
      </w:r>
      <w:r>
        <w:rPr>
          <w:szCs w:val="24"/>
        </w:rPr>
        <w:t>2</w:t>
      </w:r>
      <w:r w:rsidR="00B552D5">
        <w:rPr>
          <w:szCs w:val="24"/>
        </w:rPr>
        <w:t> г.</w:t>
      </w:r>
      <w:r w:rsidRPr="006143CE">
        <w:rPr>
          <w:szCs w:val="24"/>
        </w:rPr>
        <w:t xml:space="preserve"> на начислена основа съотнесени спрямо прогнозния БВП се очаква да възлязат на</w:t>
      </w:r>
      <w:r>
        <w:rPr>
          <w:szCs w:val="24"/>
        </w:rPr>
        <w:t xml:space="preserve"> ниво от около 0</w:t>
      </w:r>
      <w:r w:rsidR="009965F9">
        <w:rPr>
          <w:szCs w:val="24"/>
        </w:rPr>
        <w:t>.4</w:t>
      </w:r>
      <w:r w:rsidRPr="006143CE">
        <w:rPr>
          <w:szCs w:val="24"/>
        </w:rPr>
        <w:t xml:space="preserve">%, а в периода </w:t>
      </w:r>
      <w:r w:rsidR="00B552D5">
        <w:rPr>
          <w:szCs w:val="24"/>
        </w:rPr>
        <w:t>2023–2026 г.</w:t>
      </w:r>
      <w:r w:rsidRPr="006143CE">
        <w:rPr>
          <w:szCs w:val="24"/>
        </w:rPr>
        <w:t xml:space="preserve"> </w:t>
      </w:r>
      <w:r>
        <w:rPr>
          <w:szCs w:val="24"/>
        </w:rPr>
        <w:t>се предвиждат по-високи нива, спрямо предходните години от 0</w:t>
      </w:r>
      <w:r w:rsidR="009965F9">
        <w:rPr>
          <w:szCs w:val="24"/>
        </w:rPr>
        <w:t>.</w:t>
      </w:r>
      <w:r w:rsidR="004864F5">
        <w:rPr>
          <w:szCs w:val="24"/>
          <w:lang w:val="en-US"/>
        </w:rPr>
        <w:t>6</w:t>
      </w:r>
      <w:r>
        <w:rPr>
          <w:szCs w:val="24"/>
        </w:rPr>
        <w:t>% през 2023</w:t>
      </w:r>
      <w:r w:rsidR="00B552D5">
        <w:rPr>
          <w:szCs w:val="24"/>
        </w:rPr>
        <w:t> г.</w:t>
      </w:r>
      <w:r>
        <w:rPr>
          <w:szCs w:val="24"/>
        </w:rPr>
        <w:t xml:space="preserve"> до </w:t>
      </w:r>
      <w:r w:rsidRPr="006143CE">
        <w:rPr>
          <w:szCs w:val="24"/>
        </w:rPr>
        <w:t>1</w:t>
      </w:r>
      <w:r w:rsidR="009965F9">
        <w:rPr>
          <w:szCs w:val="24"/>
        </w:rPr>
        <w:t>.</w:t>
      </w:r>
      <w:r w:rsidR="004864F5">
        <w:rPr>
          <w:szCs w:val="24"/>
          <w:lang w:val="en-US"/>
        </w:rPr>
        <w:t>6</w:t>
      </w:r>
      <w:r w:rsidRPr="006143CE">
        <w:rPr>
          <w:szCs w:val="24"/>
        </w:rPr>
        <w:t xml:space="preserve">% </w:t>
      </w:r>
      <w:r>
        <w:rPr>
          <w:szCs w:val="24"/>
        </w:rPr>
        <w:t>в края на 2026</w:t>
      </w:r>
      <w:r w:rsidR="00B552D5">
        <w:rPr>
          <w:szCs w:val="24"/>
        </w:rPr>
        <w:t> г.</w:t>
      </w:r>
      <w:r>
        <w:rPr>
          <w:szCs w:val="24"/>
        </w:rPr>
        <w:t xml:space="preserve"> По-негативната динамика на разходите за обслужване на дълга в средносрочен аспект се обуславя от повишените </w:t>
      </w:r>
      <w:r w:rsidRPr="005B007C">
        <w:rPr>
          <w:szCs w:val="24"/>
        </w:rPr>
        <w:t>нив</w:t>
      </w:r>
      <w:r>
        <w:rPr>
          <w:szCs w:val="24"/>
        </w:rPr>
        <w:t>а</w:t>
      </w:r>
      <w:r w:rsidRPr="005B007C">
        <w:rPr>
          <w:szCs w:val="24"/>
        </w:rPr>
        <w:t xml:space="preserve"> на регулаторните лихвени проценти </w:t>
      </w:r>
      <w:r>
        <w:rPr>
          <w:szCs w:val="24"/>
        </w:rPr>
        <w:t>и очакванията за продължаване на тази тенденция.</w:t>
      </w:r>
      <w:r w:rsidRPr="006143CE">
        <w:rPr>
          <w:szCs w:val="24"/>
        </w:rPr>
        <w:t xml:space="preserve"> </w:t>
      </w:r>
    </w:p>
    <w:p w14:paraId="3ADDE887" w14:textId="4CAE20D4" w:rsidR="00855AD7" w:rsidRDefault="00855AD7" w:rsidP="00855AD7">
      <w:pPr>
        <w:rPr>
          <w:szCs w:val="24"/>
        </w:rPr>
      </w:pPr>
      <w:r>
        <w:rPr>
          <w:szCs w:val="24"/>
        </w:rPr>
        <w:t>Към 31 декември 2022</w:t>
      </w:r>
      <w:r w:rsidR="00B552D5">
        <w:rPr>
          <w:szCs w:val="24"/>
        </w:rPr>
        <w:t> г.</w:t>
      </w:r>
      <w:r>
        <w:rPr>
          <w:szCs w:val="24"/>
        </w:rPr>
        <w:t xml:space="preserve"> с</w:t>
      </w:r>
      <w:r w:rsidRPr="00965C25">
        <w:rPr>
          <w:szCs w:val="24"/>
        </w:rPr>
        <w:t>редният остатъчен срок на дълг</w:t>
      </w:r>
      <w:r>
        <w:rPr>
          <w:szCs w:val="24"/>
        </w:rPr>
        <w:t xml:space="preserve">а на сектор „Държавно управление“ </w:t>
      </w:r>
      <w:r w:rsidRPr="00965C25">
        <w:rPr>
          <w:szCs w:val="24"/>
        </w:rPr>
        <w:t>е</w:t>
      </w:r>
      <w:r>
        <w:rPr>
          <w:szCs w:val="24"/>
          <w:lang w:val="en-US"/>
        </w:rPr>
        <w:t xml:space="preserve"> </w:t>
      </w:r>
      <w:r>
        <w:rPr>
          <w:szCs w:val="24"/>
        </w:rPr>
        <w:t>7</w:t>
      </w:r>
      <w:r w:rsidR="009965F9">
        <w:rPr>
          <w:szCs w:val="24"/>
        </w:rPr>
        <w:t>.</w:t>
      </w:r>
      <w:r>
        <w:rPr>
          <w:szCs w:val="24"/>
        </w:rPr>
        <w:t>7</w:t>
      </w:r>
      <w:r w:rsidR="00B552D5">
        <w:rPr>
          <w:szCs w:val="24"/>
          <w:lang w:val="en-US"/>
        </w:rPr>
        <w:t> г.</w:t>
      </w:r>
      <w:r>
        <w:rPr>
          <w:szCs w:val="24"/>
        </w:rPr>
        <w:t>, а в края на 2026</w:t>
      </w:r>
      <w:r w:rsidR="00B552D5">
        <w:rPr>
          <w:szCs w:val="24"/>
        </w:rPr>
        <w:t> г.</w:t>
      </w:r>
      <w:r>
        <w:rPr>
          <w:szCs w:val="24"/>
        </w:rPr>
        <w:t xml:space="preserve"> се очаква постепенно да се удължи до 9</w:t>
      </w:r>
      <w:r w:rsidR="00B552D5">
        <w:rPr>
          <w:szCs w:val="24"/>
        </w:rPr>
        <w:t> г.</w:t>
      </w:r>
      <w:r>
        <w:rPr>
          <w:szCs w:val="24"/>
        </w:rPr>
        <w:t xml:space="preserve"> </w:t>
      </w:r>
    </w:p>
    <w:p w14:paraId="6E2E4BB9" w14:textId="42D057EC" w:rsidR="00855AD7" w:rsidRDefault="00855AD7" w:rsidP="00855AD7">
      <w:pPr>
        <w:rPr>
          <w:szCs w:val="24"/>
        </w:rPr>
      </w:pPr>
      <w:r>
        <w:rPr>
          <w:szCs w:val="24"/>
        </w:rPr>
        <w:t>З</w:t>
      </w:r>
      <w:r w:rsidRPr="004123A4">
        <w:rPr>
          <w:szCs w:val="24"/>
        </w:rPr>
        <w:t>а текущата 2023</w:t>
      </w:r>
      <w:r w:rsidR="00B552D5">
        <w:rPr>
          <w:szCs w:val="24"/>
        </w:rPr>
        <w:t> г.</w:t>
      </w:r>
      <w:r w:rsidRPr="004123A4">
        <w:rPr>
          <w:szCs w:val="24"/>
        </w:rPr>
        <w:t xml:space="preserve"> се запазват очакванията за възходяща тенденция на </w:t>
      </w:r>
      <w:r>
        <w:rPr>
          <w:szCs w:val="24"/>
        </w:rPr>
        <w:t xml:space="preserve">нивото на </w:t>
      </w:r>
      <w:r w:rsidRPr="004123A4">
        <w:rPr>
          <w:szCs w:val="24"/>
        </w:rPr>
        <w:t xml:space="preserve">дълга на сектор „Държавно управление“. В номинално изражение стойността му се очаква да достигне до </w:t>
      </w:r>
      <w:r w:rsidR="004864F5" w:rsidRPr="004123A4">
        <w:rPr>
          <w:szCs w:val="24"/>
        </w:rPr>
        <w:t>4</w:t>
      </w:r>
      <w:r w:rsidR="004864F5">
        <w:rPr>
          <w:szCs w:val="24"/>
        </w:rPr>
        <w:t>9.1</w:t>
      </w:r>
      <w:r w:rsidR="004864F5" w:rsidRPr="004123A4">
        <w:rPr>
          <w:szCs w:val="24"/>
        </w:rPr>
        <w:t xml:space="preserve"> </w:t>
      </w:r>
      <w:r w:rsidRPr="004123A4">
        <w:rPr>
          <w:szCs w:val="24"/>
        </w:rPr>
        <w:t>мл</w:t>
      </w:r>
      <w:r>
        <w:rPr>
          <w:szCs w:val="24"/>
        </w:rPr>
        <w:t>рд</w:t>
      </w:r>
      <w:r w:rsidRPr="004123A4">
        <w:rPr>
          <w:szCs w:val="24"/>
        </w:rPr>
        <w:t>. лв., а съотношението на дълга към БВП</w:t>
      </w:r>
      <w:r w:rsidR="00B552D5">
        <w:rPr>
          <w:szCs w:val="24"/>
        </w:rPr>
        <w:t xml:space="preserve"> – </w:t>
      </w:r>
      <w:r w:rsidRPr="004123A4">
        <w:rPr>
          <w:szCs w:val="24"/>
        </w:rPr>
        <w:t xml:space="preserve">на ниво от </w:t>
      </w:r>
      <w:r w:rsidR="004864F5" w:rsidRPr="004123A4">
        <w:rPr>
          <w:szCs w:val="24"/>
        </w:rPr>
        <w:t>2</w:t>
      </w:r>
      <w:r w:rsidR="004864F5">
        <w:rPr>
          <w:szCs w:val="24"/>
        </w:rPr>
        <w:t>6.6</w:t>
      </w:r>
      <w:r w:rsidRPr="004123A4">
        <w:rPr>
          <w:szCs w:val="24"/>
        </w:rPr>
        <w:t xml:space="preserve">%. </w:t>
      </w:r>
    </w:p>
    <w:p w14:paraId="011BD965" w14:textId="7B6DD122" w:rsidR="00855AD7" w:rsidRDefault="00855AD7" w:rsidP="00855AD7">
      <w:pPr>
        <w:spacing w:before="120"/>
        <w:rPr>
          <w:rFonts w:eastAsia="Batang"/>
          <w:szCs w:val="24"/>
        </w:rPr>
      </w:pPr>
      <w:r>
        <w:rPr>
          <w:rFonts w:eastAsia="Batang"/>
          <w:szCs w:val="24"/>
        </w:rPr>
        <w:t>През 2023</w:t>
      </w:r>
      <w:r w:rsidR="00B552D5">
        <w:rPr>
          <w:rFonts w:eastAsia="Batang"/>
          <w:szCs w:val="24"/>
        </w:rPr>
        <w:t> г.</w:t>
      </w:r>
      <w:r>
        <w:rPr>
          <w:rFonts w:eastAsia="Batang"/>
          <w:szCs w:val="24"/>
        </w:rPr>
        <w:t xml:space="preserve"> д</w:t>
      </w:r>
      <w:r w:rsidRPr="00D47784">
        <w:rPr>
          <w:rFonts w:eastAsia="Batang"/>
          <w:szCs w:val="24"/>
        </w:rPr>
        <w:t>о приемането на З</w:t>
      </w:r>
      <w:r>
        <w:rPr>
          <w:rFonts w:eastAsia="Batang"/>
          <w:szCs w:val="24"/>
        </w:rPr>
        <w:t>акон за държавния бюджет на Република България</w:t>
      </w:r>
      <w:r w:rsidRPr="00D47784">
        <w:rPr>
          <w:rFonts w:eastAsia="Batang"/>
          <w:szCs w:val="24"/>
        </w:rPr>
        <w:t xml:space="preserve"> за 2023</w:t>
      </w:r>
      <w:r w:rsidR="00B552D5">
        <w:rPr>
          <w:rFonts w:eastAsia="Batang"/>
          <w:szCs w:val="24"/>
        </w:rPr>
        <w:t> г.</w:t>
      </w:r>
      <w:r>
        <w:rPr>
          <w:rFonts w:eastAsia="Batang"/>
          <w:szCs w:val="24"/>
        </w:rPr>
        <w:t xml:space="preserve"> от Народното събрание,</w:t>
      </w:r>
      <w:r w:rsidRPr="00D47784">
        <w:rPr>
          <w:rFonts w:eastAsia="Batang"/>
          <w:szCs w:val="24"/>
        </w:rPr>
        <w:t xml:space="preserve"> </w:t>
      </w:r>
      <w:r w:rsidRPr="004709AE">
        <w:rPr>
          <w:rFonts w:eastAsia="Batang"/>
          <w:szCs w:val="24"/>
        </w:rPr>
        <w:t>но за срок не по-дълъг от три месеца (този срок спира да тече от деня на разпускане на Народното събрание до деня на конституиране на следващото Народно събрание)</w:t>
      </w:r>
      <w:r>
        <w:rPr>
          <w:rFonts w:eastAsia="Batang"/>
          <w:szCs w:val="24"/>
        </w:rPr>
        <w:t>,</w:t>
      </w:r>
      <w:r>
        <w:rPr>
          <w:szCs w:val="24"/>
        </w:rPr>
        <w:t xml:space="preserve"> </w:t>
      </w:r>
      <w:r>
        <w:rPr>
          <w:rFonts w:eastAsia="Batang"/>
          <w:szCs w:val="24"/>
        </w:rPr>
        <w:t xml:space="preserve">на база на разпоредбите на </w:t>
      </w:r>
      <w:r w:rsidRPr="00220330">
        <w:rPr>
          <w:rFonts w:eastAsia="Batang"/>
          <w:szCs w:val="24"/>
        </w:rPr>
        <w:t>Закона за прилагане на разпоредби на Закона за държавния бюджет на Република България за 2022</w:t>
      </w:r>
      <w:r w:rsidR="00B552D5">
        <w:rPr>
          <w:rFonts w:eastAsia="Batang"/>
          <w:szCs w:val="24"/>
        </w:rPr>
        <w:t> г.</w:t>
      </w:r>
      <w:r w:rsidRPr="00220330">
        <w:rPr>
          <w:rFonts w:eastAsia="Batang"/>
          <w:szCs w:val="24"/>
        </w:rPr>
        <w:t>, Закона за бюджета на държавното обществено осигуряване за 2022</w:t>
      </w:r>
      <w:r w:rsidR="00B552D5">
        <w:rPr>
          <w:rFonts w:eastAsia="Batang"/>
          <w:szCs w:val="24"/>
        </w:rPr>
        <w:t> г.</w:t>
      </w:r>
      <w:r w:rsidRPr="00220330">
        <w:rPr>
          <w:rFonts w:eastAsia="Batang"/>
          <w:szCs w:val="24"/>
        </w:rPr>
        <w:t xml:space="preserve"> и Закона за бюджета на Националната здравноосигурителна каса за 2022</w:t>
      </w:r>
      <w:r w:rsidR="00B552D5">
        <w:rPr>
          <w:rFonts w:eastAsia="Batang"/>
          <w:szCs w:val="24"/>
        </w:rPr>
        <w:t> г.</w:t>
      </w:r>
      <w:r>
        <w:rPr>
          <w:rFonts w:eastAsia="Batang"/>
          <w:szCs w:val="24"/>
        </w:rPr>
        <w:t xml:space="preserve"> </w:t>
      </w:r>
      <w:r w:rsidRPr="00C3155E">
        <w:rPr>
          <w:rFonts w:eastAsia="Batang"/>
          <w:szCs w:val="24"/>
        </w:rPr>
        <w:t>(</w:t>
      </w:r>
      <w:r>
        <w:rPr>
          <w:rFonts w:eastAsia="Batang"/>
          <w:szCs w:val="24"/>
        </w:rPr>
        <w:t>о</w:t>
      </w:r>
      <w:r w:rsidRPr="00C3155E">
        <w:rPr>
          <w:rFonts w:eastAsia="Batang"/>
          <w:szCs w:val="24"/>
        </w:rPr>
        <w:t>бн., ДВ, бр. 104 от 30.12.2022</w:t>
      </w:r>
      <w:r w:rsidR="00B552D5">
        <w:rPr>
          <w:rFonts w:eastAsia="Batang"/>
          <w:szCs w:val="24"/>
        </w:rPr>
        <w:t> г.</w:t>
      </w:r>
      <w:r w:rsidRPr="00C3155E">
        <w:rPr>
          <w:rFonts w:eastAsia="Batang"/>
          <w:szCs w:val="24"/>
        </w:rPr>
        <w:t>, в сила от 1.01.2023</w:t>
      </w:r>
      <w:r w:rsidR="00B552D5">
        <w:rPr>
          <w:rFonts w:eastAsia="Batang"/>
          <w:szCs w:val="24"/>
        </w:rPr>
        <w:t> г.</w:t>
      </w:r>
      <w:r w:rsidRPr="00C3155E">
        <w:rPr>
          <w:rFonts w:eastAsia="Batang"/>
          <w:szCs w:val="24"/>
        </w:rPr>
        <w:t>)</w:t>
      </w:r>
      <w:r>
        <w:rPr>
          <w:rFonts w:eastAsia="Batang"/>
          <w:szCs w:val="24"/>
        </w:rPr>
        <w:t xml:space="preserve"> и</w:t>
      </w:r>
      <w:r w:rsidRPr="00D47784">
        <w:rPr>
          <w:rFonts w:eastAsia="Batang"/>
          <w:szCs w:val="24"/>
        </w:rPr>
        <w:t xml:space="preserve"> съобразно чл. 87, ал. 2 от З</w:t>
      </w:r>
      <w:r>
        <w:rPr>
          <w:rFonts w:eastAsia="Batang"/>
          <w:szCs w:val="24"/>
        </w:rPr>
        <w:t>акона за публичните финанси</w:t>
      </w:r>
      <w:r w:rsidRPr="00D47784">
        <w:rPr>
          <w:rFonts w:eastAsia="Batang"/>
          <w:szCs w:val="24"/>
        </w:rPr>
        <w:t>, Министерският съвет може да поема държавен дълг единствено за рефинансиране на дълга в обращение до размера на годишните погашения по държавния дълг, поет до началото на 2023</w:t>
      </w:r>
      <w:r w:rsidR="00B552D5">
        <w:rPr>
          <w:rFonts w:eastAsia="Batang"/>
          <w:szCs w:val="24"/>
        </w:rPr>
        <w:t> г.</w:t>
      </w:r>
      <w:r w:rsidRPr="00D47784">
        <w:rPr>
          <w:rFonts w:eastAsia="Batang"/>
          <w:szCs w:val="24"/>
        </w:rPr>
        <w:t xml:space="preserve"> (3</w:t>
      </w:r>
      <w:r w:rsidR="00391102">
        <w:rPr>
          <w:rFonts w:eastAsia="Batang"/>
          <w:szCs w:val="24"/>
        </w:rPr>
        <w:t>.</w:t>
      </w:r>
      <w:r w:rsidRPr="00D47784">
        <w:rPr>
          <w:rFonts w:eastAsia="Batang"/>
          <w:szCs w:val="24"/>
        </w:rPr>
        <w:t>0 млрд.</w:t>
      </w:r>
      <w:r>
        <w:rPr>
          <w:rFonts w:eastAsia="Batang"/>
          <w:szCs w:val="24"/>
        </w:rPr>
        <w:t xml:space="preserve"> </w:t>
      </w:r>
      <w:r w:rsidRPr="00D47784">
        <w:rPr>
          <w:rFonts w:eastAsia="Batang"/>
          <w:szCs w:val="24"/>
        </w:rPr>
        <w:t>лв.)</w:t>
      </w:r>
      <w:r>
        <w:rPr>
          <w:rFonts w:eastAsia="Batang"/>
          <w:szCs w:val="24"/>
        </w:rPr>
        <w:t>. В този контекст,</w:t>
      </w:r>
      <w:r w:rsidRPr="004709AE">
        <w:rPr>
          <w:rFonts w:eastAsia="Batang"/>
          <w:color w:val="FF0000"/>
          <w:szCs w:val="24"/>
        </w:rPr>
        <w:t xml:space="preserve"> </w:t>
      </w:r>
      <w:r>
        <w:rPr>
          <w:rFonts w:eastAsia="Batang"/>
          <w:szCs w:val="24"/>
        </w:rPr>
        <w:t>н</w:t>
      </w:r>
      <w:r w:rsidRPr="00D47784">
        <w:rPr>
          <w:rFonts w:eastAsia="Batang"/>
          <w:szCs w:val="24"/>
        </w:rPr>
        <w:t>а 17.01.2023</w:t>
      </w:r>
      <w:r w:rsidR="00B552D5">
        <w:rPr>
          <w:rFonts w:eastAsia="Batang"/>
          <w:szCs w:val="24"/>
        </w:rPr>
        <w:t> г.</w:t>
      </w:r>
      <w:r w:rsidRPr="00D47784">
        <w:rPr>
          <w:rFonts w:eastAsia="Batang"/>
          <w:szCs w:val="24"/>
        </w:rPr>
        <w:t xml:space="preserve"> Република България </w:t>
      </w:r>
      <w:r w:rsidRPr="00BA27E7">
        <w:rPr>
          <w:rFonts w:eastAsia="Batang"/>
          <w:szCs w:val="24"/>
        </w:rPr>
        <w:t>в рамките на Средносрочната програма за емитиране на дълг на международните капиталови пазари (GMTN)</w:t>
      </w:r>
      <w:r>
        <w:rPr>
          <w:rFonts w:eastAsia="Batang"/>
          <w:szCs w:val="24"/>
        </w:rPr>
        <w:t xml:space="preserve"> </w:t>
      </w:r>
      <w:r w:rsidRPr="00D47784">
        <w:rPr>
          <w:rFonts w:eastAsia="Batang"/>
          <w:szCs w:val="24"/>
        </w:rPr>
        <w:t xml:space="preserve">емитира на международните капиталови пазари </w:t>
      </w:r>
      <w:r w:rsidRPr="004C25ED">
        <w:rPr>
          <w:rFonts w:eastAsia="Batang"/>
          <w:szCs w:val="24"/>
        </w:rPr>
        <w:t>нова</w:t>
      </w:r>
      <w:r w:rsidRPr="00D47784">
        <w:rPr>
          <w:rFonts w:eastAsia="Batang"/>
          <w:szCs w:val="24"/>
        </w:rPr>
        <w:t xml:space="preserve"> емисия 10-годишни еврооблигации с номинален обем от 1</w:t>
      </w:r>
      <w:r w:rsidR="00391102">
        <w:rPr>
          <w:rFonts w:eastAsia="Batang"/>
          <w:szCs w:val="24"/>
        </w:rPr>
        <w:t>.</w:t>
      </w:r>
      <w:r w:rsidRPr="00D47784">
        <w:rPr>
          <w:rFonts w:eastAsia="Batang"/>
          <w:szCs w:val="24"/>
        </w:rPr>
        <w:t>5 млрд. евро (2</w:t>
      </w:r>
      <w:r w:rsidR="00391102">
        <w:rPr>
          <w:rFonts w:eastAsia="Batang"/>
          <w:szCs w:val="24"/>
        </w:rPr>
        <w:t>.</w:t>
      </w:r>
      <w:r w:rsidRPr="00D47784">
        <w:rPr>
          <w:rFonts w:eastAsia="Batang"/>
          <w:szCs w:val="24"/>
        </w:rPr>
        <w:t>9 млрд. лв.) и годишен лихвен купо</w:t>
      </w:r>
      <w:r>
        <w:rPr>
          <w:rFonts w:eastAsia="Batang"/>
          <w:szCs w:val="24"/>
        </w:rPr>
        <w:t>н от 4</w:t>
      </w:r>
      <w:r w:rsidR="00391102">
        <w:rPr>
          <w:rFonts w:eastAsia="Batang"/>
          <w:szCs w:val="24"/>
        </w:rPr>
        <w:t>.5</w:t>
      </w:r>
      <w:r>
        <w:rPr>
          <w:rFonts w:eastAsia="Batang"/>
          <w:szCs w:val="24"/>
        </w:rPr>
        <w:t>%, с което възможността за поемане на държавен дълг до приемането на ЗДБРБ за 2023</w:t>
      </w:r>
      <w:r w:rsidR="00B552D5">
        <w:rPr>
          <w:rFonts w:eastAsia="Batang"/>
          <w:szCs w:val="24"/>
        </w:rPr>
        <w:t> г.</w:t>
      </w:r>
      <w:r>
        <w:rPr>
          <w:rFonts w:eastAsia="Batang"/>
          <w:szCs w:val="24"/>
        </w:rPr>
        <w:t xml:space="preserve"> е изчерпана. Постъпленията от нея са използвани за покриване на </w:t>
      </w:r>
      <w:r w:rsidRPr="00CA48F9">
        <w:rPr>
          <w:rFonts w:eastAsia="Batang"/>
          <w:szCs w:val="24"/>
        </w:rPr>
        <w:t>падеж</w:t>
      </w:r>
      <w:r>
        <w:rPr>
          <w:rFonts w:eastAsia="Batang"/>
          <w:szCs w:val="24"/>
        </w:rPr>
        <w:t xml:space="preserve">а през </w:t>
      </w:r>
      <w:r w:rsidRPr="00C91558">
        <w:rPr>
          <w:rFonts w:eastAsia="Batang"/>
          <w:szCs w:val="24"/>
        </w:rPr>
        <w:t>месец март 2023</w:t>
      </w:r>
      <w:r w:rsidR="00B552D5">
        <w:rPr>
          <w:rFonts w:eastAsia="Batang"/>
          <w:szCs w:val="24"/>
        </w:rPr>
        <w:t> г.</w:t>
      </w:r>
      <w:r>
        <w:rPr>
          <w:rFonts w:eastAsia="Batang"/>
          <w:szCs w:val="24"/>
        </w:rPr>
        <w:t xml:space="preserve"> </w:t>
      </w:r>
      <w:r w:rsidRPr="00CA48F9">
        <w:rPr>
          <w:rFonts w:eastAsia="Batang"/>
          <w:szCs w:val="24"/>
        </w:rPr>
        <w:t>на еврооблигации, емитирани на международните капиталови пазари</w:t>
      </w:r>
      <w:r>
        <w:rPr>
          <w:rFonts w:eastAsia="Batang"/>
          <w:szCs w:val="24"/>
        </w:rPr>
        <w:t>.</w:t>
      </w:r>
    </w:p>
    <w:p w14:paraId="246F9B6F" w14:textId="0A4C9B9D" w:rsidR="00855AD7" w:rsidRDefault="00855AD7" w:rsidP="00855AD7">
      <w:pPr>
        <w:spacing w:before="120"/>
        <w:rPr>
          <w:rFonts w:eastAsia="Batang"/>
          <w:szCs w:val="24"/>
        </w:rPr>
      </w:pPr>
      <w:r w:rsidRPr="00E846EA">
        <w:rPr>
          <w:rFonts w:eastAsia="Batang"/>
          <w:szCs w:val="24"/>
        </w:rPr>
        <w:t>Към настоящия момент се прогнозира необходимо</w:t>
      </w:r>
      <w:r>
        <w:rPr>
          <w:rFonts w:eastAsia="Batang"/>
          <w:szCs w:val="24"/>
        </w:rPr>
        <w:t>с</w:t>
      </w:r>
      <w:r w:rsidRPr="00E846EA">
        <w:rPr>
          <w:rFonts w:eastAsia="Batang"/>
          <w:szCs w:val="24"/>
        </w:rPr>
        <w:t>т</w:t>
      </w:r>
      <w:r>
        <w:rPr>
          <w:rFonts w:eastAsia="Batang"/>
          <w:szCs w:val="24"/>
        </w:rPr>
        <w:t xml:space="preserve"> от</w:t>
      </w:r>
      <w:r w:rsidRPr="00E846EA">
        <w:rPr>
          <w:rFonts w:eastAsia="Batang"/>
          <w:szCs w:val="24"/>
        </w:rPr>
        <w:t xml:space="preserve"> ново дългово финансиране </w:t>
      </w:r>
      <w:r>
        <w:rPr>
          <w:rFonts w:eastAsia="Batang"/>
          <w:szCs w:val="24"/>
        </w:rPr>
        <w:t xml:space="preserve">на държавния бюджет </w:t>
      </w:r>
      <w:r w:rsidRPr="00E846EA">
        <w:rPr>
          <w:rFonts w:eastAsia="Batang"/>
          <w:szCs w:val="24"/>
        </w:rPr>
        <w:t>за 2023</w:t>
      </w:r>
      <w:r w:rsidR="00B552D5">
        <w:rPr>
          <w:rFonts w:eastAsia="Batang"/>
          <w:szCs w:val="24"/>
        </w:rPr>
        <w:t> г.</w:t>
      </w:r>
      <w:r w:rsidRPr="00E846EA">
        <w:rPr>
          <w:rFonts w:eastAsia="Batang"/>
          <w:szCs w:val="24"/>
        </w:rPr>
        <w:t xml:space="preserve"> </w:t>
      </w:r>
      <w:r>
        <w:rPr>
          <w:rFonts w:eastAsia="Batang"/>
          <w:szCs w:val="24"/>
        </w:rPr>
        <w:t>е в общ размер</w:t>
      </w:r>
      <w:r w:rsidRPr="00E846EA">
        <w:rPr>
          <w:rFonts w:eastAsia="Batang"/>
          <w:szCs w:val="24"/>
        </w:rPr>
        <w:t xml:space="preserve"> на </w:t>
      </w:r>
      <w:r w:rsidR="00125862">
        <w:rPr>
          <w:rFonts w:eastAsia="Batang"/>
          <w:szCs w:val="24"/>
        </w:rPr>
        <w:t>13.7</w:t>
      </w:r>
      <w:r w:rsidR="00125862" w:rsidRPr="00E846EA">
        <w:rPr>
          <w:rFonts w:eastAsia="Batang"/>
          <w:szCs w:val="24"/>
        </w:rPr>
        <w:t xml:space="preserve"> </w:t>
      </w:r>
      <w:r w:rsidRPr="00E846EA">
        <w:rPr>
          <w:rFonts w:eastAsia="Batang"/>
          <w:szCs w:val="24"/>
        </w:rPr>
        <w:t>млрд. лв. (в т.ч. 2</w:t>
      </w:r>
      <w:r w:rsidR="00391102">
        <w:rPr>
          <w:rFonts w:eastAsia="Batang"/>
          <w:szCs w:val="24"/>
        </w:rPr>
        <w:t>.</w:t>
      </w:r>
      <w:r w:rsidRPr="00E846EA">
        <w:rPr>
          <w:rFonts w:eastAsia="Batang"/>
          <w:szCs w:val="24"/>
        </w:rPr>
        <w:t xml:space="preserve">9 млрд. лв. </w:t>
      </w:r>
      <w:r>
        <w:rPr>
          <w:rFonts w:eastAsia="Batang"/>
          <w:szCs w:val="24"/>
        </w:rPr>
        <w:t>емисия</w:t>
      </w:r>
      <w:r w:rsidRPr="00E846EA">
        <w:rPr>
          <w:rFonts w:eastAsia="Batang"/>
          <w:szCs w:val="24"/>
        </w:rPr>
        <w:t xml:space="preserve"> еврооблигации</w:t>
      </w:r>
      <w:r>
        <w:rPr>
          <w:rFonts w:eastAsia="Batang"/>
          <w:szCs w:val="24"/>
        </w:rPr>
        <w:t>, пласирани</w:t>
      </w:r>
      <w:r w:rsidRPr="00E846EA">
        <w:rPr>
          <w:rFonts w:eastAsia="Batang"/>
          <w:szCs w:val="24"/>
        </w:rPr>
        <w:t xml:space="preserve"> на МКП</w:t>
      </w:r>
      <w:r>
        <w:rPr>
          <w:rFonts w:eastAsia="Batang"/>
          <w:szCs w:val="24"/>
        </w:rPr>
        <w:t xml:space="preserve"> през м. януари т.г.</w:t>
      </w:r>
      <w:r w:rsidRPr="00E846EA">
        <w:rPr>
          <w:rFonts w:eastAsia="Batang"/>
          <w:szCs w:val="24"/>
        </w:rPr>
        <w:t>)</w:t>
      </w:r>
      <w:r>
        <w:rPr>
          <w:rFonts w:eastAsia="Batang"/>
          <w:szCs w:val="24"/>
        </w:rPr>
        <w:t>, което</w:t>
      </w:r>
      <w:r w:rsidR="00125862">
        <w:rPr>
          <w:rFonts w:eastAsia="Batang"/>
          <w:szCs w:val="24"/>
          <w:lang w:val="en-US"/>
        </w:rPr>
        <w:t xml:space="preserve"> </w:t>
      </w:r>
      <w:r w:rsidR="00125862">
        <w:rPr>
          <w:rFonts w:eastAsia="Batang"/>
          <w:szCs w:val="24"/>
        </w:rPr>
        <w:t>се предвижда</w:t>
      </w:r>
      <w:r>
        <w:rPr>
          <w:rFonts w:eastAsia="Batang"/>
          <w:szCs w:val="24"/>
        </w:rPr>
        <w:t xml:space="preserve"> да </w:t>
      </w:r>
      <w:r w:rsidRPr="00E846EA">
        <w:rPr>
          <w:rFonts w:eastAsia="Batang"/>
          <w:szCs w:val="24"/>
        </w:rPr>
        <w:t>бъде осигурен</w:t>
      </w:r>
      <w:r>
        <w:rPr>
          <w:rFonts w:eastAsia="Batang"/>
          <w:szCs w:val="24"/>
        </w:rPr>
        <w:t>о</w:t>
      </w:r>
      <w:r w:rsidRPr="00E846EA">
        <w:rPr>
          <w:rFonts w:eastAsia="Batang"/>
          <w:szCs w:val="24"/>
        </w:rPr>
        <w:t xml:space="preserve"> чрез</w:t>
      </w:r>
      <w:r>
        <w:rPr>
          <w:rFonts w:eastAsia="Batang"/>
          <w:szCs w:val="24"/>
        </w:rPr>
        <w:t xml:space="preserve"> търгуеми инструменти,</w:t>
      </w:r>
      <w:r w:rsidRPr="00E846EA">
        <w:rPr>
          <w:rFonts w:eastAsia="Batang"/>
          <w:szCs w:val="24"/>
        </w:rPr>
        <w:t xml:space="preserve"> както на вътрешния, така и на външните пазари.</w:t>
      </w:r>
    </w:p>
    <w:p w14:paraId="68AABD73" w14:textId="39453897" w:rsidR="00855AD7" w:rsidRPr="00276C14" w:rsidRDefault="00125862" w:rsidP="00855AD7">
      <w:pPr>
        <w:spacing w:before="120"/>
        <w:rPr>
          <w:rFonts w:eastAsia="Batang"/>
          <w:szCs w:val="24"/>
        </w:rPr>
      </w:pPr>
      <w:r>
        <w:rPr>
          <w:rFonts w:eastAsia="Batang"/>
          <w:szCs w:val="24"/>
        </w:rPr>
        <w:t>През 2024</w:t>
      </w:r>
      <w:r w:rsidR="00B552D5">
        <w:rPr>
          <w:rFonts w:eastAsia="Batang"/>
          <w:szCs w:val="24"/>
        </w:rPr>
        <w:t> г.</w:t>
      </w:r>
      <w:r w:rsidRPr="00276C14">
        <w:rPr>
          <w:rFonts w:eastAsia="Batang"/>
          <w:szCs w:val="24"/>
        </w:rPr>
        <w:t xml:space="preserve"> се планира дългово финансиране</w:t>
      </w:r>
      <w:r w:rsidRPr="00276C14" w:rsidDel="00D47784">
        <w:rPr>
          <w:rFonts w:eastAsia="Batang"/>
          <w:szCs w:val="24"/>
        </w:rPr>
        <w:t xml:space="preserve"> </w:t>
      </w:r>
      <w:r w:rsidRPr="00276C14">
        <w:rPr>
          <w:rFonts w:eastAsia="Batang"/>
          <w:szCs w:val="24"/>
        </w:rPr>
        <w:t>в размер на 1</w:t>
      </w:r>
      <w:r>
        <w:rPr>
          <w:rFonts w:eastAsia="Batang"/>
          <w:szCs w:val="24"/>
        </w:rPr>
        <w:t>5.2</w:t>
      </w:r>
      <w:r w:rsidRPr="00276C14">
        <w:rPr>
          <w:rFonts w:eastAsia="Batang"/>
          <w:szCs w:val="24"/>
        </w:rPr>
        <w:t xml:space="preserve"> млрд. лв.</w:t>
      </w:r>
      <w:r>
        <w:rPr>
          <w:rFonts w:eastAsia="Batang"/>
          <w:szCs w:val="24"/>
        </w:rPr>
        <w:t>, а през 2025</w:t>
      </w:r>
      <w:r w:rsidR="00B552D5">
        <w:rPr>
          <w:rFonts w:eastAsia="Batang"/>
          <w:szCs w:val="24"/>
        </w:rPr>
        <w:t> г.</w:t>
      </w:r>
      <w:r>
        <w:rPr>
          <w:rFonts w:eastAsia="Batang"/>
          <w:szCs w:val="24"/>
        </w:rPr>
        <w:t xml:space="preserve"> и 2026</w:t>
      </w:r>
      <w:r w:rsidR="00B552D5">
        <w:rPr>
          <w:rFonts w:eastAsia="Batang"/>
          <w:szCs w:val="24"/>
        </w:rPr>
        <w:t> г.</w:t>
      </w:r>
      <w:r>
        <w:rPr>
          <w:rFonts w:eastAsia="Batang"/>
          <w:szCs w:val="24"/>
        </w:rPr>
        <w:t xml:space="preserve"> по</w:t>
      </w:r>
      <w:r w:rsidRPr="00276C14">
        <w:rPr>
          <w:rFonts w:eastAsia="Batang"/>
          <w:szCs w:val="24"/>
        </w:rPr>
        <w:t xml:space="preserve"> 1</w:t>
      </w:r>
      <w:r>
        <w:rPr>
          <w:rFonts w:eastAsia="Batang"/>
          <w:szCs w:val="24"/>
        </w:rPr>
        <w:t>4.6</w:t>
      </w:r>
      <w:r w:rsidRPr="00276C14">
        <w:rPr>
          <w:rFonts w:eastAsia="Batang"/>
          <w:szCs w:val="24"/>
        </w:rPr>
        <w:t xml:space="preserve"> млрд. лв. </w:t>
      </w:r>
      <w:r w:rsidR="00855AD7" w:rsidRPr="00276C14">
        <w:rPr>
          <w:rFonts w:eastAsia="Batang"/>
          <w:szCs w:val="24"/>
        </w:rPr>
        <w:t xml:space="preserve">годишно, като дългът в обращение, който </w:t>
      </w:r>
      <w:r w:rsidR="00855AD7">
        <w:rPr>
          <w:rFonts w:eastAsia="Batang"/>
          <w:szCs w:val="24"/>
        </w:rPr>
        <w:t xml:space="preserve">следва да бъде </w:t>
      </w:r>
      <w:r w:rsidR="00855AD7" w:rsidRPr="00276C14">
        <w:rPr>
          <w:rFonts w:eastAsia="Batang"/>
          <w:szCs w:val="24"/>
        </w:rPr>
        <w:t>рефинансиран възлиза на 3</w:t>
      </w:r>
      <w:r w:rsidR="00391102">
        <w:rPr>
          <w:rFonts w:eastAsia="Batang"/>
          <w:szCs w:val="24"/>
        </w:rPr>
        <w:t>.</w:t>
      </w:r>
      <w:r w:rsidR="00855AD7" w:rsidRPr="00276C14">
        <w:rPr>
          <w:rFonts w:eastAsia="Batang"/>
          <w:szCs w:val="24"/>
        </w:rPr>
        <w:t>5 млрд. лв. за 2024</w:t>
      </w:r>
      <w:r w:rsidR="00B552D5">
        <w:rPr>
          <w:rFonts w:eastAsia="Batang"/>
          <w:szCs w:val="24"/>
        </w:rPr>
        <w:t> г.</w:t>
      </w:r>
      <w:r w:rsidR="00855AD7" w:rsidRPr="00276C14">
        <w:rPr>
          <w:rFonts w:eastAsia="Batang"/>
          <w:szCs w:val="24"/>
        </w:rPr>
        <w:t>, в т.ч. 2</w:t>
      </w:r>
      <w:r w:rsidR="00391102">
        <w:rPr>
          <w:rFonts w:eastAsia="Batang"/>
          <w:szCs w:val="24"/>
        </w:rPr>
        <w:t>.</w:t>
      </w:r>
      <w:r w:rsidR="00855AD7" w:rsidRPr="00276C14">
        <w:rPr>
          <w:rFonts w:eastAsia="Batang"/>
          <w:szCs w:val="24"/>
        </w:rPr>
        <w:t>9 млрд. лв. падеж на еврооблигации</w:t>
      </w:r>
      <w:r w:rsidR="00855AD7">
        <w:rPr>
          <w:rFonts w:eastAsia="Batang"/>
          <w:szCs w:val="24"/>
        </w:rPr>
        <w:t>,</w:t>
      </w:r>
      <w:r w:rsidR="00855AD7" w:rsidRPr="00276C14">
        <w:rPr>
          <w:rFonts w:eastAsia="Batang"/>
          <w:szCs w:val="24"/>
        </w:rPr>
        <w:t xml:space="preserve"> на 3</w:t>
      </w:r>
      <w:r w:rsidR="00391102">
        <w:rPr>
          <w:rFonts w:eastAsia="Batang"/>
          <w:szCs w:val="24"/>
        </w:rPr>
        <w:t>.</w:t>
      </w:r>
      <w:r w:rsidR="00855AD7" w:rsidRPr="00276C14">
        <w:rPr>
          <w:rFonts w:eastAsia="Batang"/>
          <w:szCs w:val="24"/>
        </w:rPr>
        <w:t>6 млрд. лв. за 2025</w:t>
      </w:r>
      <w:r w:rsidR="00B552D5">
        <w:rPr>
          <w:rFonts w:eastAsia="Batang"/>
          <w:szCs w:val="24"/>
        </w:rPr>
        <w:t> г.</w:t>
      </w:r>
      <w:r w:rsidR="00855AD7" w:rsidRPr="00276C14">
        <w:rPr>
          <w:rFonts w:eastAsia="Batang"/>
          <w:szCs w:val="24"/>
        </w:rPr>
        <w:t>, в т.ч. 3</w:t>
      </w:r>
      <w:r w:rsidR="00391102">
        <w:rPr>
          <w:rFonts w:eastAsia="Batang"/>
          <w:szCs w:val="24"/>
        </w:rPr>
        <w:t>.</w:t>
      </w:r>
      <w:r w:rsidR="00855AD7">
        <w:rPr>
          <w:rFonts w:eastAsia="Batang"/>
          <w:szCs w:val="24"/>
        </w:rPr>
        <w:t>3</w:t>
      </w:r>
      <w:r w:rsidR="00855AD7" w:rsidRPr="00276C14">
        <w:rPr>
          <w:rFonts w:eastAsia="Batang"/>
          <w:szCs w:val="24"/>
        </w:rPr>
        <w:t xml:space="preserve"> млрд.</w:t>
      </w:r>
      <w:r w:rsidR="00855AD7">
        <w:rPr>
          <w:rFonts w:eastAsia="Batang"/>
          <w:szCs w:val="24"/>
        </w:rPr>
        <w:t xml:space="preserve"> </w:t>
      </w:r>
      <w:r w:rsidR="00855AD7" w:rsidRPr="00276C14">
        <w:rPr>
          <w:rFonts w:eastAsia="Batang"/>
          <w:szCs w:val="24"/>
        </w:rPr>
        <w:t>лв. по емисии на ДЦК на вътрешния пазар</w:t>
      </w:r>
      <w:r w:rsidR="00855AD7">
        <w:rPr>
          <w:rFonts w:eastAsia="Batang"/>
          <w:szCs w:val="24"/>
        </w:rPr>
        <w:t xml:space="preserve"> и на </w:t>
      </w:r>
      <w:r w:rsidR="00855AD7">
        <w:rPr>
          <w:rFonts w:eastAsia="Batang"/>
          <w:szCs w:val="24"/>
        </w:rPr>
        <w:lastRenderedPageBreak/>
        <w:t>2</w:t>
      </w:r>
      <w:r w:rsidR="00391102">
        <w:rPr>
          <w:rFonts w:eastAsia="Batang"/>
          <w:szCs w:val="24"/>
        </w:rPr>
        <w:t>.</w:t>
      </w:r>
      <w:r w:rsidR="00855AD7">
        <w:rPr>
          <w:rFonts w:eastAsia="Batang"/>
          <w:szCs w:val="24"/>
        </w:rPr>
        <w:t>8 млрд. лв. за 2026</w:t>
      </w:r>
      <w:r w:rsidR="00B552D5">
        <w:rPr>
          <w:rFonts w:eastAsia="Batang"/>
          <w:szCs w:val="24"/>
        </w:rPr>
        <w:t> г.</w:t>
      </w:r>
      <w:r w:rsidR="00855AD7">
        <w:rPr>
          <w:rFonts w:eastAsia="Batang"/>
          <w:szCs w:val="24"/>
        </w:rPr>
        <w:t>, в т.ч. 2</w:t>
      </w:r>
      <w:r w:rsidR="00391102">
        <w:rPr>
          <w:rFonts w:eastAsia="Batang"/>
          <w:szCs w:val="24"/>
        </w:rPr>
        <w:t>.</w:t>
      </w:r>
      <w:r w:rsidR="00855AD7">
        <w:rPr>
          <w:rFonts w:eastAsia="Batang"/>
          <w:szCs w:val="24"/>
        </w:rPr>
        <w:t>5 млрд. лв. по вътрешни ДЦК.</w:t>
      </w:r>
      <w:r w:rsidR="00855AD7" w:rsidRPr="00276C14">
        <w:rPr>
          <w:rFonts w:eastAsia="Batang"/>
          <w:szCs w:val="24"/>
        </w:rPr>
        <w:t xml:space="preserve"> Оставащата част от предвиденото дългово финансиране се обосновава от необходимостта за финансиране на планираните дефицити по държавния бюджет и обезпечаване на ликвидната позиция на фискалния резерв.</w:t>
      </w:r>
    </w:p>
    <w:p w14:paraId="5032F73D" w14:textId="77777777" w:rsidR="00091E3B" w:rsidRDefault="00652B45" w:rsidP="00855AD7">
      <w:pPr>
        <w:rPr>
          <w:rFonts w:eastAsia="Times New Roman"/>
          <w:szCs w:val="24"/>
        </w:rPr>
      </w:pPr>
      <w:r>
        <w:rPr>
          <w:szCs w:val="24"/>
        </w:rPr>
        <w:t xml:space="preserve">Въз основа на допусканията за основните показатели на бюджетната рамка и очертаната необходимост от осигуряване на по-големи обеми ново дългово финансиране, през следващите три години се предвижда нивото на консолидирания дълг на сектор „Държавно управление“ в номинално изражение да продължи да нараства до 60.6 </w:t>
      </w:r>
      <w:r w:rsidRPr="000F4F35">
        <w:rPr>
          <w:szCs w:val="24"/>
        </w:rPr>
        <w:t>млрд. лв.</w:t>
      </w:r>
      <w:r>
        <w:rPr>
          <w:szCs w:val="24"/>
        </w:rPr>
        <w:t xml:space="preserve"> в края на 2024</w:t>
      </w:r>
      <w:r w:rsidR="00B552D5">
        <w:rPr>
          <w:szCs w:val="24"/>
        </w:rPr>
        <w:t> г.</w:t>
      </w:r>
      <w:r>
        <w:rPr>
          <w:szCs w:val="24"/>
        </w:rPr>
        <w:t>, 71.1</w:t>
      </w:r>
      <w:r w:rsidRPr="000C45FA">
        <w:rPr>
          <w:szCs w:val="24"/>
        </w:rPr>
        <w:t xml:space="preserve"> млрд. лв.</w:t>
      </w:r>
      <w:r>
        <w:rPr>
          <w:szCs w:val="24"/>
        </w:rPr>
        <w:t xml:space="preserve"> в края на 2025</w:t>
      </w:r>
      <w:r w:rsidR="00B552D5">
        <w:rPr>
          <w:szCs w:val="24"/>
        </w:rPr>
        <w:t> г.</w:t>
      </w:r>
      <w:r w:rsidRPr="007E3FD1">
        <w:rPr>
          <w:bCs/>
          <w:iCs/>
        </w:rPr>
        <w:t xml:space="preserve"> </w:t>
      </w:r>
      <w:r w:rsidRPr="004709AE">
        <w:rPr>
          <w:szCs w:val="24"/>
        </w:rPr>
        <w:t xml:space="preserve">и </w:t>
      </w:r>
      <w:r>
        <w:rPr>
          <w:szCs w:val="24"/>
        </w:rPr>
        <w:t>82.6</w:t>
      </w:r>
      <w:r w:rsidRPr="004709AE">
        <w:rPr>
          <w:szCs w:val="24"/>
        </w:rPr>
        <w:t xml:space="preserve"> млрд. лв.</w:t>
      </w:r>
      <w:r>
        <w:rPr>
          <w:bCs/>
          <w:iCs/>
        </w:rPr>
        <w:t xml:space="preserve"> </w:t>
      </w:r>
      <w:r w:rsidRPr="008A635C">
        <w:rPr>
          <w:bCs/>
          <w:iCs/>
        </w:rPr>
        <w:t>в края на 2026</w:t>
      </w:r>
      <w:r w:rsidR="00B552D5">
        <w:rPr>
          <w:bCs/>
          <w:iCs/>
        </w:rPr>
        <w:t> г.</w:t>
      </w:r>
      <w:r>
        <w:rPr>
          <w:bCs/>
          <w:iCs/>
        </w:rPr>
        <w:t xml:space="preserve"> За </w:t>
      </w:r>
      <w:r>
        <w:rPr>
          <w:bCs/>
          <w:iCs/>
          <w:szCs w:val="24"/>
        </w:rPr>
        <w:t>съотношението на дълга на сектора</w:t>
      </w:r>
      <w:r w:rsidRPr="007E3FD1">
        <w:rPr>
          <w:bCs/>
          <w:iCs/>
          <w:szCs w:val="24"/>
        </w:rPr>
        <w:t xml:space="preserve"> спрямо БВП</w:t>
      </w:r>
      <w:r>
        <w:rPr>
          <w:bCs/>
          <w:iCs/>
          <w:szCs w:val="24"/>
        </w:rPr>
        <w:t xml:space="preserve"> </w:t>
      </w:r>
      <w:r w:rsidRPr="007E3FD1">
        <w:rPr>
          <w:bCs/>
          <w:iCs/>
          <w:szCs w:val="24"/>
        </w:rPr>
        <w:t xml:space="preserve">се прогнозира </w:t>
      </w:r>
      <w:r>
        <w:rPr>
          <w:bCs/>
          <w:iCs/>
          <w:szCs w:val="24"/>
        </w:rPr>
        <w:t xml:space="preserve">аналогична тенденция, </w:t>
      </w:r>
      <w:r w:rsidRPr="007E3FD1">
        <w:rPr>
          <w:bCs/>
          <w:iCs/>
          <w:szCs w:val="24"/>
        </w:rPr>
        <w:t>достигайк</w:t>
      </w:r>
      <w:r>
        <w:rPr>
          <w:bCs/>
          <w:iCs/>
          <w:szCs w:val="24"/>
        </w:rPr>
        <w:t>и до 30.7% през 2024</w:t>
      </w:r>
      <w:r w:rsidR="00B552D5">
        <w:rPr>
          <w:bCs/>
          <w:iCs/>
          <w:szCs w:val="24"/>
        </w:rPr>
        <w:t> г.</w:t>
      </w:r>
      <w:r>
        <w:rPr>
          <w:bCs/>
          <w:iCs/>
          <w:szCs w:val="24"/>
        </w:rPr>
        <w:t>, 33.8%</w:t>
      </w:r>
      <w:r w:rsidRPr="007E3FD1">
        <w:rPr>
          <w:bCs/>
          <w:iCs/>
          <w:szCs w:val="24"/>
        </w:rPr>
        <w:t xml:space="preserve"> през 202</w:t>
      </w:r>
      <w:r>
        <w:rPr>
          <w:bCs/>
          <w:iCs/>
          <w:szCs w:val="24"/>
        </w:rPr>
        <w:t>5</w:t>
      </w:r>
      <w:r w:rsidR="00B552D5">
        <w:rPr>
          <w:bCs/>
          <w:iCs/>
          <w:szCs w:val="24"/>
        </w:rPr>
        <w:t> г.</w:t>
      </w:r>
      <w:r>
        <w:rPr>
          <w:bCs/>
          <w:iCs/>
          <w:szCs w:val="24"/>
        </w:rPr>
        <w:t xml:space="preserve"> и 37.1</w:t>
      </w:r>
      <w:r w:rsidRPr="007E3FD1">
        <w:rPr>
          <w:bCs/>
          <w:iCs/>
          <w:szCs w:val="24"/>
        </w:rPr>
        <w:t>%</w:t>
      </w:r>
      <w:r>
        <w:rPr>
          <w:bCs/>
          <w:iCs/>
          <w:szCs w:val="24"/>
        </w:rPr>
        <w:t xml:space="preserve"> през 2026</w:t>
      </w:r>
      <w:r w:rsidR="00B552D5">
        <w:rPr>
          <w:bCs/>
          <w:iCs/>
          <w:szCs w:val="24"/>
        </w:rPr>
        <w:t> г.</w:t>
      </w:r>
      <w:r w:rsidRPr="007E3FD1">
        <w:rPr>
          <w:szCs w:val="24"/>
        </w:rPr>
        <w:t xml:space="preserve"> </w:t>
      </w:r>
      <w:r w:rsidR="00855AD7">
        <w:rPr>
          <w:szCs w:val="24"/>
        </w:rPr>
        <w:t>Отчитайки тези развития, прог</w:t>
      </w:r>
      <w:r w:rsidR="00855AD7" w:rsidRPr="008E324A">
        <w:rPr>
          <w:szCs w:val="24"/>
        </w:rPr>
        <w:t xml:space="preserve">нозните стойности на показателя </w:t>
      </w:r>
      <w:r w:rsidR="00855AD7" w:rsidRPr="00D14A25">
        <w:rPr>
          <w:szCs w:val="24"/>
        </w:rPr>
        <w:t xml:space="preserve">дълг на сектор </w:t>
      </w:r>
      <w:r w:rsidR="00855AD7">
        <w:rPr>
          <w:szCs w:val="24"/>
        </w:rPr>
        <w:t>„</w:t>
      </w:r>
      <w:r w:rsidR="00855AD7" w:rsidRPr="00D14A25">
        <w:rPr>
          <w:szCs w:val="24"/>
        </w:rPr>
        <w:t>Държавно управление</w:t>
      </w:r>
      <w:r w:rsidR="00855AD7">
        <w:rPr>
          <w:szCs w:val="24"/>
        </w:rPr>
        <w:t>“</w:t>
      </w:r>
      <w:r w:rsidR="00855AD7" w:rsidRPr="00D14A25">
        <w:rPr>
          <w:szCs w:val="24"/>
        </w:rPr>
        <w:t>/БВП</w:t>
      </w:r>
      <w:r w:rsidR="00855AD7" w:rsidRPr="008E324A">
        <w:rPr>
          <w:szCs w:val="24"/>
        </w:rPr>
        <w:t xml:space="preserve"> се запазват</w:t>
      </w:r>
      <w:r w:rsidR="00855AD7">
        <w:rPr>
          <w:szCs w:val="24"/>
        </w:rPr>
        <w:t xml:space="preserve"> под максимално допустимия рефе</w:t>
      </w:r>
      <w:r w:rsidR="00855AD7" w:rsidRPr="008E324A">
        <w:rPr>
          <w:szCs w:val="24"/>
        </w:rPr>
        <w:t xml:space="preserve">рентен праг на Маастрихтския критерий за </w:t>
      </w:r>
      <w:r w:rsidR="00855AD7">
        <w:rPr>
          <w:szCs w:val="24"/>
        </w:rPr>
        <w:t xml:space="preserve">конвергенция </w:t>
      </w:r>
      <w:r w:rsidR="00855AD7" w:rsidRPr="006143CE">
        <w:rPr>
          <w:szCs w:val="24"/>
        </w:rPr>
        <w:t>от 60%</w:t>
      </w:r>
      <w:r w:rsidR="00855AD7" w:rsidRPr="00C62996">
        <w:rPr>
          <w:rFonts w:eastAsia="Times New Roman"/>
          <w:szCs w:val="24"/>
        </w:rPr>
        <w:t>.</w:t>
      </w:r>
    </w:p>
    <w:p w14:paraId="7932DF18" w14:textId="411EA87F" w:rsidR="00855AD7" w:rsidRPr="002F4678" w:rsidRDefault="00855AD7" w:rsidP="00855AD7">
      <w:pPr>
        <w:rPr>
          <w:rFonts w:eastAsia="Times New Roman"/>
          <w:szCs w:val="24"/>
        </w:rPr>
      </w:pPr>
      <w:r w:rsidRPr="00C62996">
        <w:rPr>
          <w:rFonts w:eastAsia="Times New Roman"/>
          <w:szCs w:val="24"/>
        </w:rPr>
        <w:t xml:space="preserve"> </w:t>
      </w:r>
    </w:p>
    <w:p w14:paraId="2FA59D0C" w14:textId="07BAF2F5" w:rsidR="00855AD7" w:rsidRPr="00EE53B2" w:rsidRDefault="00391102" w:rsidP="00EE53B2">
      <w:pPr>
        <w:pStyle w:val="Caption"/>
      </w:pPr>
      <w:r w:rsidRPr="00EE53B2">
        <w:t>Граф. 3-</w:t>
      </w:r>
      <w:r w:rsidR="0020238C" w:rsidRPr="00EE53B2">
        <w:t>4</w:t>
      </w:r>
      <w:r w:rsidR="00855AD7" w:rsidRPr="00EE53B2">
        <w:t xml:space="preserve">: </w:t>
      </w:r>
      <w:r w:rsidR="00EE53B2" w:rsidRPr="00EE53B2">
        <w:tab/>
      </w:r>
      <w:r w:rsidR="00855AD7" w:rsidRPr="00EE53B2">
        <w:t>Съотношение консолидиран дълг на сектор „Държавно управление“/БВП</w:t>
      </w:r>
    </w:p>
    <w:p w14:paraId="7F869C9D" w14:textId="7C7326FB" w:rsidR="00855AD7" w:rsidRDefault="0076154E" w:rsidP="00855AD7">
      <w:pPr>
        <w:jc w:val="right"/>
        <w:rPr>
          <w:rFonts w:asciiTheme="majorBidi" w:hAnsiTheme="majorBidi" w:cstheme="majorBidi"/>
          <w:szCs w:val="24"/>
        </w:rPr>
      </w:pPr>
      <w:r>
        <w:rPr>
          <w:noProof/>
        </w:rPr>
        <w:drawing>
          <wp:inline distT="0" distB="0" distL="0" distR="0" wp14:anchorId="68AB6E15" wp14:editId="39002B41">
            <wp:extent cx="5759450" cy="2520000"/>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A332945" w14:textId="77777777" w:rsidR="00855AD7" w:rsidRPr="004709AE" w:rsidRDefault="00855AD7" w:rsidP="00091E3B">
      <w:pPr>
        <w:pStyle w:val="a"/>
      </w:pPr>
      <w:r w:rsidRPr="004709AE">
        <w:t>Източник: МФ</w:t>
      </w:r>
    </w:p>
    <w:p w14:paraId="47C32E2F" w14:textId="77777777" w:rsidR="00855AD7" w:rsidRPr="00B0374F" w:rsidRDefault="00855AD7" w:rsidP="00855AD7">
      <w:pPr>
        <w:rPr>
          <w:rFonts w:asciiTheme="majorBidi" w:hAnsiTheme="majorBidi" w:cstheme="majorBidi"/>
          <w:szCs w:val="24"/>
        </w:rPr>
      </w:pPr>
      <w:r w:rsidRPr="002F4678">
        <w:rPr>
          <w:rFonts w:asciiTheme="majorBidi" w:hAnsiTheme="majorBidi" w:cstheme="majorBidi"/>
          <w:szCs w:val="24"/>
        </w:rPr>
        <w:t xml:space="preserve">Върху прогнозите за нарастването на консолидирания дълг на сектор </w:t>
      </w:r>
      <w:r>
        <w:rPr>
          <w:rFonts w:asciiTheme="majorBidi" w:hAnsiTheme="majorBidi" w:cstheme="majorBidi"/>
          <w:szCs w:val="24"/>
        </w:rPr>
        <w:t>„</w:t>
      </w:r>
      <w:r w:rsidRPr="002F4678">
        <w:rPr>
          <w:rFonts w:asciiTheme="majorBidi" w:hAnsiTheme="majorBidi" w:cstheme="majorBidi"/>
          <w:szCs w:val="24"/>
        </w:rPr>
        <w:t>Държавно управление</w:t>
      </w:r>
      <w:r>
        <w:rPr>
          <w:rFonts w:asciiTheme="majorBidi" w:hAnsiTheme="majorBidi" w:cstheme="majorBidi"/>
          <w:szCs w:val="24"/>
        </w:rPr>
        <w:t>“</w:t>
      </w:r>
      <w:r w:rsidRPr="002F4678">
        <w:rPr>
          <w:rFonts w:asciiTheme="majorBidi" w:hAnsiTheme="majorBidi" w:cstheme="majorBidi"/>
          <w:szCs w:val="24"/>
        </w:rPr>
        <w:t xml:space="preserve"> водещо влияние</w:t>
      </w:r>
      <w:r>
        <w:rPr>
          <w:rFonts w:asciiTheme="majorBidi" w:hAnsiTheme="majorBidi" w:cstheme="majorBidi"/>
          <w:szCs w:val="24"/>
        </w:rPr>
        <w:t xml:space="preserve"> продължава да</w:t>
      </w:r>
      <w:r w:rsidRPr="002F4678">
        <w:rPr>
          <w:rFonts w:asciiTheme="majorBidi" w:hAnsiTheme="majorBidi" w:cstheme="majorBidi"/>
          <w:szCs w:val="24"/>
        </w:rPr>
        <w:t xml:space="preserve"> оказва дългът на подсектор </w:t>
      </w:r>
      <w:r>
        <w:rPr>
          <w:rFonts w:asciiTheme="majorBidi" w:hAnsiTheme="majorBidi" w:cstheme="majorBidi"/>
          <w:szCs w:val="24"/>
        </w:rPr>
        <w:t>„</w:t>
      </w:r>
      <w:r w:rsidRPr="002F4678">
        <w:rPr>
          <w:rFonts w:asciiTheme="majorBidi" w:hAnsiTheme="majorBidi" w:cstheme="majorBidi"/>
          <w:szCs w:val="24"/>
        </w:rPr>
        <w:t>Централно управление</w:t>
      </w:r>
      <w:r>
        <w:rPr>
          <w:rFonts w:asciiTheme="majorBidi" w:hAnsiTheme="majorBidi" w:cstheme="majorBidi"/>
          <w:szCs w:val="24"/>
        </w:rPr>
        <w:t>“</w:t>
      </w:r>
      <w:r w:rsidRPr="002F4678">
        <w:rPr>
          <w:rFonts w:asciiTheme="majorBidi" w:hAnsiTheme="majorBidi" w:cstheme="majorBidi"/>
          <w:szCs w:val="24"/>
        </w:rPr>
        <w:t xml:space="preserve"> и в частност държавния дълг като негов основен компонент. </w:t>
      </w:r>
      <w:r>
        <w:rPr>
          <w:rFonts w:asciiTheme="majorBidi" w:hAnsiTheme="majorBidi" w:cstheme="majorBidi"/>
          <w:szCs w:val="24"/>
        </w:rPr>
        <w:t>Приносът</w:t>
      </w:r>
      <w:r w:rsidRPr="002F4678">
        <w:rPr>
          <w:rFonts w:asciiTheme="majorBidi" w:hAnsiTheme="majorBidi" w:cstheme="majorBidi"/>
          <w:szCs w:val="24"/>
        </w:rPr>
        <w:t xml:space="preserve"> на дълга на другите два подсектора, формиращи дълга на сектор „Държавно управление“: подсектор „Местно управление“ и подсектор „Социалноосигурителни фондове“ е минимал</w:t>
      </w:r>
      <w:r>
        <w:rPr>
          <w:rFonts w:asciiTheme="majorBidi" w:hAnsiTheme="majorBidi" w:cstheme="majorBidi"/>
          <w:szCs w:val="24"/>
        </w:rPr>
        <w:t>е</w:t>
      </w:r>
      <w:r w:rsidRPr="002F4678">
        <w:rPr>
          <w:rFonts w:asciiTheme="majorBidi" w:hAnsiTheme="majorBidi" w:cstheme="majorBidi"/>
          <w:szCs w:val="24"/>
        </w:rPr>
        <w:t>н</w:t>
      </w:r>
      <w:r>
        <w:rPr>
          <w:rFonts w:asciiTheme="majorBidi" w:hAnsiTheme="majorBidi" w:cstheme="majorBidi"/>
          <w:szCs w:val="24"/>
        </w:rPr>
        <w:t>. Тази тенденция се запазва през целия разглеждан период</w:t>
      </w:r>
      <w:r w:rsidRPr="002F4678">
        <w:rPr>
          <w:rFonts w:asciiTheme="majorBidi" w:hAnsiTheme="majorBidi" w:cstheme="majorBidi"/>
          <w:szCs w:val="24"/>
        </w:rPr>
        <w:t>.</w:t>
      </w:r>
      <w:r>
        <w:rPr>
          <w:rFonts w:asciiTheme="majorBidi" w:hAnsiTheme="majorBidi" w:cstheme="majorBidi"/>
          <w:szCs w:val="24"/>
        </w:rPr>
        <w:t xml:space="preserve"> Допълнително</w:t>
      </w:r>
      <w:r w:rsidRPr="00B0374F">
        <w:rPr>
          <w:rFonts w:asciiTheme="majorBidi" w:hAnsiTheme="majorBidi" w:cstheme="majorBidi"/>
          <w:szCs w:val="24"/>
        </w:rPr>
        <w:t xml:space="preserve"> </w:t>
      </w:r>
      <w:r>
        <w:rPr>
          <w:rFonts w:asciiTheme="majorBidi" w:hAnsiTheme="majorBidi" w:cstheme="majorBidi"/>
          <w:szCs w:val="24"/>
        </w:rPr>
        <w:t>влияние би могло да</w:t>
      </w:r>
      <w:r w:rsidRPr="00B0374F">
        <w:rPr>
          <w:rFonts w:asciiTheme="majorBidi" w:hAnsiTheme="majorBidi" w:cstheme="majorBidi"/>
          <w:szCs w:val="24"/>
        </w:rPr>
        <w:t xml:space="preserve"> окаже евентуално раз</w:t>
      </w:r>
      <w:r>
        <w:rPr>
          <w:rFonts w:asciiTheme="majorBidi" w:hAnsiTheme="majorBidi" w:cstheme="majorBidi"/>
          <w:szCs w:val="24"/>
        </w:rPr>
        <w:t xml:space="preserve">ширение на обхвата на сектора при </w:t>
      </w:r>
      <w:r w:rsidRPr="00B0374F">
        <w:rPr>
          <w:rFonts w:asciiTheme="majorBidi" w:hAnsiTheme="majorBidi" w:cstheme="majorBidi"/>
          <w:szCs w:val="24"/>
        </w:rPr>
        <w:t xml:space="preserve">преквалификация на </w:t>
      </w:r>
      <w:r>
        <w:rPr>
          <w:rFonts w:asciiTheme="majorBidi" w:hAnsiTheme="majorBidi" w:cstheme="majorBidi"/>
          <w:szCs w:val="24"/>
        </w:rPr>
        <w:t>институционални единици в него в изпълнение</w:t>
      </w:r>
      <w:r w:rsidRPr="00B0374F">
        <w:rPr>
          <w:rFonts w:asciiTheme="majorBidi" w:hAnsiTheme="majorBidi" w:cstheme="majorBidi"/>
          <w:szCs w:val="24"/>
        </w:rPr>
        <w:t xml:space="preserve"> на изискванията на Евростат </w:t>
      </w:r>
      <w:r>
        <w:rPr>
          <w:rFonts w:asciiTheme="majorBidi" w:hAnsiTheme="majorBidi" w:cstheme="majorBidi"/>
          <w:szCs w:val="24"/>
        </w:rPr>
        <w:t xml:space="preserve">и </w:t>
      </w:r>
      <w:r w:rsidRPr="00B0374F">
        <w:rPr>
          <w:rFonts w:asciiTheme="majorBidi" w:hAnsiTheme="majorBidi" w:cstheme="majorBidi"/>
          <w:szCs w:val="24"/>
        </w:rPr>
        <w:t xml:space="preserve">прилагането на </w:t>
      </w:r>
      <w:r>
        <w:rPr>
          <w:rFonts w:asciiTheme="majorBidi" w:hAnsiTheme="majorBidi" w:cstheme="majorBidi"/>
          <w:szCs w:val="24"/>
        </w:rPr>
        <w:t>ЕСС 2010</w:t>
      </w:r>
      <w:r w:rsidRPr="00B0374F">
        <w:rPr>
          <w:rFonts w:asciiTheme="majorBidi" w:hAnsiTheme="majorBidi" w:cstheme="majorBidi"/>
          <w:szCs w:val="24"/>
        </w:rPr>
        <w:t xml:space="preserve"> </w:t>
      </w:r>
      <w:r>
        <w:rPr>
          <w:rFonts w:asciiTheme="majorBidi" w:hAnsiTheme="majorBidi" w:cstheme="majorBidi"/>
          <w:szCs w:val="24"/>
        </w:rPr>
        <w:t>.</w:t>
      </w:r>
    </w:p>
    <w:p w14:paraId="25CF8D0E" w14:textId="06723FB1" w:rsidR="00855AD7" w:rsidRDefault="00652B45" w:rsidP="00855AD7">
      <w:pPr>
        <w:rPr>
          <w:rFonts w:asciiTheme="majorBidi" w:hAnsiTheme="majorBidi" w:cstheme="majorBidi"/>
          <w:szCs w:val="24"/>
        </w:rPr>
      </w:pPr>
      <w:r>
        <w:rPr>
          <w:rFonts w:asciiTheme="majorBidi" w:hAnsiTheme="majorBidi" w:cstheme="majorBidi"/>
          <w:szCs w:val="24"/>
        </w:rPr>
        <w:t xml:space="preserve">През периода </w:t>
      </w:r>
      <w:r w:rsidR="00B552D5">
        <w:rPr>
          <w:rFonts w:asciiTheme="majorBidi" w:hAnsiTheme="majorBidi" w:cstheme="majorBidi"/>
          <w:szCs w:val="24"/>
        </w:rPr>
        <w:t>2023–2026 г.</w:t>
      </w:r>
      <w:r w:rsidR="00855AD7">
        <w:rPr>
          <w:rFonts w:asciiTheme="majorBidi" w:hAnsiTheme="majorBidi" w:cstheme="majorBidi"/>
          <w:szCs w:val="24"/>
        </w:rPr>
        <w:t xml:space="preserve"> предварителните оценки</w:t>
      </w:r>
      <w:r w:rsidR="00855AD7" w:rsidRPr="00D13554">
        <w:rPr>
          <w:rFonts w:asciiTheme="majorBidi" w:hAnsiTheme="majorBidi" w:cstheme="majorBidi"/>
          <w:szCs w:val="24"/>
        </w:rPr>
        <w:t xml:space="preserve"> показват</w:t>
      </w:r>
      <w:r w:rsidR="00855AD7">
        <w:rPr>
          <w:rFonts w:asciiTheme="majorBidi" w:hAnsiTheme="majorBidi" w:cstheme="majorBidi"/>
          <w:szCs w:val="24"/>
        </w:rPr>
        <w:t>, че д</w:t>
      </w:r>
      <w:r w:rsidR="00855AD7" w:rsidRPr="00D13554">
        <w:rPr>
          <w:rFonts w:asciiTheme="majorBidi" w:hAnsiTheme="majorBidi" w:cstheme="majorBidi"/>
          <w:szCs w:val="24"/>
        </w:rPr>
        <w:t>ълг</w:t>
      </w:r>
      <w:r w:rsidR="00855AD7">
        <w:rPr>
          <w:rFonts w:asciiTheme="majorBidi" w:hAnsiTheme="majorBidi" w:cstheme="majorBidi"/>
          <w:szCs w:val="24"/>
        </w:rPr>
        <w:t>ът</w:t>
      </w:r>
      <w:r w:rsidR="00855AD7" w:rsidRPr="00D13554">
        <w:rPr>
          <w:rFonts w:asciiTheme="majorBidi" w:hAnsiTheme="majorBidi" w:cstheme="majorBidi"/>
          <w:szCs w:val="24"/>
        </w:rPr>
        <w:t xml:space="preserve"> на подсектор „Местно управление“ </w:t>
      </w:r>
      <w:r w:rsidR="00855AD7">
        <w:rPr>
          <w:rFonts w:asciiTheme="majorBidi" w:hAnsiTheme="majorBidi" w:cstheme="majorBidi"/>
          <w:szCs w:val="24"/>
        </w:rPr>
        <w:t>няма да</w:t>
      </w:r>
      <w:r w:rsidR="00855AD7" w:rsidRPr="00D13554">
        <w:rPr>
          <w:rFonts w:asciiTheme="majorBidi" w:hAnsiTheme="majorBidi" w:cstheme="majorBidi"/>
          <w:szCs w:val="24"/>
        </w:rPr>
        <w:t xml:space="preserve"> претърпи съществени </w:t>
      </w:r>
      <w:r w:rsidR="00855AD7">
        <w:rPr>
          <w:rFonts w:asciiTheme="majorBidi" w:hAnsiTheme="majorBidi" w:cstheme="majorBidi"/>
          <w:szCs w:val="24"/>
        </w:rPr>
        <w:t>промени спрямо отчетеното в края на 2022</w:t>
      </w:r>
      <w:r w:rsidR="00B552D5">
        <w:rPr>
          <w:rFonts w:asciiTheme="majorBidi" w:hAnsiTheme="majorBidi" w:cstheme="majorBidi"/>
          <w:szCs w:val="24"/>
        </w:rPr>
        <w:t> г.</w:t>
      </w:r>
      <w:r w:rsidR="00855AD7">
        <w:rPr>
          <w:rFonts w:asciiTheme="majorBidi" w:hAnsiTheme="majorBidi" w:cstheme="majorBidi"/>
          <w:szCs w:val="24"/>
        </w:rPr>
        <w:t xml:space="preserve"> ниво от около </w:t>
      </w:r>
      <w:r w:rsidR="00855AD7">
        <w:rPr>
          <w:rFonts w:asciiTheme="majorBidi" w:hAnsiTheme="majorBidi" w:cstheme="majorBidi"/>
          <w:szCs w:val="24"/>
          <w:lang w:val="en-US"/>
        </w:rPr>
        <w:t>1</w:t>
      </w:r>
      <w:r w:rsidR="00391102">
        <w:rPr>
          <w:rFonts w:asciiTheme="majorBidi" w:hAnsiTheme="majorBidi" w:cstheme="majorBidi"/>
          <w:szCs w:val="24"/>
        </w:rPr>
        <w:t>.</w:t>
      </w:r>
      <w:r w:rsidR="00855AD7">
        <w:rPr>
          <w:rFonts w:asciiTheme="majorBidi" w:hAnsiTheme="majorBidi" w:cstheme="majorBidi"/>
          <w:szCs w:val="24"/>
        </w:rPr>
        <w:t>4</w:t>
      </w:r>
      <w:r w:rsidR="00855AD7">
        <w:rPr>
          <w:rFonts w:asciiTheme="majorBidi" w:hAnsiTheme="majorBidi" w:cstheme="majorBidi"/>
          <w:szCs w:val="24"/>
          <w:lang w:val="en-US"/>
        </w:rPr>
        <w:t xml:space="preserve"> </w:t>
      </w:r>
      <w:r w:rsidR="00855AD7">
        <w:rPr>
          <w:rFonts w:asciiTheme="majorBidi" w:hAnsiTheme="majorBidi" w:cstheme="majorBidi"/>
          <w:szCs w:val="24"/>
        </w:rPr>
        <w:t>млрд. лв. През 2023</w:t>
      </w:r>
      <w:r w:rsidR="00B552D5">
        <w:rPr>
          <w:rFonts w:asciiTheme="majorBidi" w:hAnsiTheme="majorBidi" w:cstheme="majorBidi"/>
          <w:szCs w:val="24"/>
        </w:rPr>
        <w:t> г.</w:t>
      </w:r>
      <w:r w:rsidR="00855AD7">
        <w:rPr>
          <w:rFonts w:asciiTheme="majorBidi" w:hAnsiTheme="majorBidi" w:cstheme="majorBidi"/>
          <w:szCs w:val="24"/>
        </w:rPr>
        <w:t xml:space="preserve"> се прогнозира ръст на дълга на подсектора до около 1</w:t>
      </w:r>
      <w:r w:rsidR="00391102">
        <w:rPr>
          <w:rFonts w:asciiTheme="majorBidi" w:hAnsiTheme="majorBidi" w:cstheme="majorBidi"/>
          <w:szCs w:val="24"/>
        </w:rPr>
        <w:t>.</w:t>
      </w:r>
      <w:r w:rsidR="00855AD7">
        <w:rPr>
          <w:rFonts w:asciiTheme="majorBidi" w:hAnsiTheme="majorBidi" w:cstheme="majorBidi"/>
          <w:szCs w:val="24"/>
        </w:rPr>
        <w:t>9 млрд. лв</w:t>
      </w:r>
      <w:r w:rsidR="00855AD7">
        <w:rPr>
          <w:rFonts w:asciiTheme="majorBidi" w:hAnsiTheme="majorBidi" w:cstheme="majorBidi"/>
          <w:szCs w:val="24"/>
          <w:lang w:val="en-US"/>
        </w:rPr>
        <w:t>.</w:t>
      </w:r>
      <w:r w:rsidR="00855AD7">
        <w:rPr>
          <w:rFonts w:asciiTheme="majorBidi" w:hAnsiTheme="majorBidi" w:cstheme="majorBidi"/>
          <w:szCs w:val="24"/>
        </w:rPr>
        <w:t>, като това ниво се запазва до края на 2026</w:t>
      </w:r>
      <w:r w:rsidR="00B552D5">
        <w:rPr>
          <w:rFonts w:asciiTheme="majorBidi" w:hAnsiTheme="majorBidi" w:cstheme="majorBidi"/>
          <w:szCs w:val="24"/>
        </w:rPr>
        <w:t> г.</w:t>
      </w:r>
      <w:r w:rsidR="00855AD7">
        <w:rPr>
          <w:rFonts w:asciiTheme="majorBidi" w:hAnsiTheme="majorBidi" w:cstheme="majorBidi"/>
          <w:szCs w:val="24"/>
        </w:rPr>
        <w:t xml:space="preserve"> Г</w:t>
      </w:r>
      <w:r w:rsidR="00855AD7" w:rsidRPr="00D13554">
        <w:rPr>
          <w:rFonts w:asciiTheme="majorBidi" w:hAnsiTheme="majorBidi" w:cstheme="majorBidi"/>
          <w:szCs w:val="24"/>
        </w:rPr>
        <w:t>ъвкави</w:t>
      </w:r>
      <w:r w:rsidR="00855AD7">
        <w:rPr>
          <w:rFonts w:asciiTheme="majorBidi" w:hAnsiTheme="majorBidi" w:cstheme="majorBidi"/>
          <w:szCs w:val="24"/>
        </w:rPr>
        <w:t>те</w:t>
      </w:r>
      <w:r w:rsidR="00855AD7" w:rsidRPr="00D13554">
        <w:rPr>
          <w:rFonts w:asciiTheme="majorBidi" w:hAnsiTheme="majorBidi" w:cstheme="majorBidi"/>
          <w:szCs w:val="24"/>
        </w:rPr>
        <w:t xml:space="preserve"> схеми за финансиране на общините през новия програмен период ще запазят неговия дял</w:t>
      </w:r>
      <w:r w:rsidR="00855AD7">
        <w:rPr>
          <w:rFonts w:asciiTheme="majorBidi" w:hAnsiTheme="majorBidi" w:cstheme="majorBidi"/>
          <w:szCs w:val="24"/>
        </w:rPr>
        <w:t xml:space="preserve"> от БВП</w:t>
      </w:r>
      <w:r w:rsidR="00855AD7" w:rsidRPr="00D13554">
        <w:rPr>
          <w:rFonts w:asciiTheme="majorBidi" w:hAnsiTheme="majorBidi" w:cstheme="majorBidi"/>
          <w:szCs w:val="24"/>
        </w:rPr>
        <w:t xml:space="preserve"> в рамките </w:t>
      </w:r>
      <w:r w:rsidR="00855AD7">
        <w:rPr>
          <w:rFonts w:asciiTheme="majorBidi" w:hAnsiTheme="majorBidi" w:cstheme="majorBidi"/>
          <w:szCs w:val="24"/>
        </w:rPr>
        <w:t xml:space="preserve">от </w:t>
      </w:r>
      <w:r w:rsidR="00855AD7" w:rsidRPr="00D13554">
        <w:rPr>
          <w:rFonts w:asciiTheme="majorBidi" w:hAnsiTheme="majorBidi" w:cstheme="majorBidi"/>
          <w:szCs w:val="24"/>
        </w:rPr>
        <w:t>около 1</w:t>
      </w:r>
      <w:r w:rsidR="00391102">
        <w:rPr>
          <w:rFonts w:asciiTheme="majorBidi" w:hAnsiTheme="majorBidi" w:cstheme="majorBidi"/>
          <w:szCs w:val="24"/>
        </w:rPr>
        <w:t>.0</w:t>
      </w:r>
      <w:r w:rsidR="00B552D5">
        <w:rPr>
          <w:rFonts w:asciiTheme="majorBidi" w:hAnsiTheme="majorBidi" w:cstheme="majorBidi"/>
          <w:szCs w:val="24"/>
        </w:rPr>
        <w:t>–</w:t>
      </w:r>
      <w:r w:rsidR="00855AD7">
        <w:rPr>
          <w:rFonts w:asciiTheme="majorBidi" w:hAnsiTheme="majorBidi" w:cstheme="majorBidi"/>
          <w:szCs w:val="24"/>
        </w:rPr>
        <w:t>1</w:t>
      </w:r>
      <w:r w:rsidR="00391102">
        <w:rPr>
          <w:rFonts w:asciiTheme="majorBidi" w:hAnsiTheme="majorBidi" w:cstheme="majorBidi"/>
          <w:szCs w:val="24"/>
        </w:rPr>
        <w:t>.2</w:t>
      </w:r>
      <w:r w:rsidR="00855AD7">
        <w:rPr>
          <w:rFonts w:asciiTheme="majorBidi" w:hAnsiTheme="majorBidi" w:cstheme="majorBidi"/>
          <w:szCs w:val="24"/>
        </w:rPr>
        <w:t>%</w:t>
      </w:r>
      <w:r w:rsidR="00855AD7" w:rsidRPr="00D13554">
        <w:rPr>
          <w:rFonts w:asciiTheme="majorBidi" w:hAnsiTheme="majorBidi" w:cstheme="majorBidi"/>
          <w:szCs w:val="24"/>
        </w:rPr>
        <w:t xml:space="preserve">. </w:t>
      </w:r>
      <w:r w:rsidR="00855AD7">
        <w:rPr>
          <w:rFonts w:asciiTheme="majorBidi" w:hAnsiTheme="majorBidi" w:cstheme="majorBidi"/>
          <w:szCs w:val="24"/>
        </w:rPr>
        <w:t>О</w:t>
      </w:r>
      <w:r w:rsidR="00855AD7" w:rsidRPr="00D13554">
        <w:rPr>
          <w:rFonts w:asciiTheme="majorBidi" w:hAnsiTheme="majorBidi" w:cstheme="majorBidi"/>
          <w:szCs w:val="24"/>
        </w:rPr>
        <w:t>граниченията, залегнали в Закона за публичните финанси и Закона за общинския дълг</w:t>
      </w:r>
      <w:r w:rsidR="00855AD7">
        <w:rPr>
          <w:rFonts w:asciiTheme="majorBidi" w:hAnsiTheme="majorBidi" w:cstheme="majorBidi"/>
          <w:szCs w:val="24"/>
        </w:rPr>
        <w:t xml:space="preserve"> </w:t>
      </w:r>
      <w:r w:rsidR="00855AD7" w:rsidRPr="00D13554">
        <w:rPr>
          <w:rFonts w:asciiTheme="majorBidi" w:hAnsiTheme="majorBidi" w:cstheme="majorBidi"/>
          <w:szCs w:val="24"/>
        </w:rPr>
        <w:t xml:space="preserve">предвиждат годишният размер на плащанията по </w:t>
      </w:r>
      <w:r w:rsidR="00855AD7" w:rsidRPr="00D13554">
        <w:rPr>
          <w:rFonts w:asciiTheme="majorBidi" w:hAnsiTheme="majorBidi" w:cstheme="majorBidi"/>
          <w:szCs w:val="24"/>
        </w:rPr>
        <w:lastRenderedPageBreak/>
        <w:t xml:space="preserve">общинския дълг за всяка община във всяка отделна година да не може да надвишава 15 на сто от средногодишния размер на собствените приходи и общата изравнителна субсидия за последните три години, изчислен на базата на данни от годишните отчети за изпълнението на бюджета на общината. </w:t>
      </w:r>
    </w:p>
    <w:p w14:paraId="26630C9B" w14:textId="21738B8A" w:rsidR="00855AD7" w:rsidRPr="00D13554" w:rsidRDefault="00855AD7" w:rsidP="00855AD7">
      <w:pPr>
        <w:rPr>
          <w:rFonts w:asciiTheme="majorBidi" w:hAnsiTheme="majorBidi" w:cstheme="majorBidi"/>
          <w:szCs w:val="24"/>
        </w:rPr>
      </w:pPr>
      <w:r>
        <w:rPr>
          <w:rFonts w:asciiTheme="majorBidi" w:hAnsiTheme="majorBidi" w:cstheme="majorBidi"/>
          <w:szCs w:val="24"/>
        </w:rPr>
        <w:t>П</w:t>
      </w:r>
      <w:r w:rsidRPr="00D13554">
        <w:rPr>
          <w:rFonts w:asciiTheme="majorBidi" w:hAnsiTheme="majorBidi" w:cstheme="majorBidi"/>
          <w:szCs w:val="24"/>
        </w:rPr>
        <w:t>одсектор „Социално-осигурителни фондове“</w:t>
      </w:r>
      <w:r>
        <w:rPr>
          <w:rFonts w:asciiTheme="majorBidi" w:hAnsiTheme="majorBidi" w:cstheme="majorBidi"/>
          <w:szCs w:val="24"/>
        </w:rPr>
        <w:t xml:space="preserve"> няма дългови задължения и през следващите години не се предвижда да поема нови такива. А</w:t>
      </w:r>
      <w:r w:rsidRPr="00D13554">
        <w:rPr>
          <w:rFonts w:asciiTheme="majorBidi" w:hAnsiTheme="majorBidi" w:cstheme="majorBidi"/>
          <w:szCs w:val="24"/>
        </w:rPr>
        <w:t>кумулиран</w:t>
      </w:r>
      <w:r>
        <w:rPr>
          <w:rFonts w:asciiTheme="majorBidi" w:hAnsiTheme="majorBidi" w:cstheme="majorBidi"/>
          <w:szCs w:val="24"/>
        </w:rPr>
        <w:t xml:space="preserve">ите </w:t>
      </w:r>
      <w:r w:rsidRPr="00D13554">
        <w:rPr>
          <w:rFonts w:asciiTheme="majorBidi" w:hAnsiTheme="majorBidi" w:cstheme="majorBidi"/>
          <w:szCs w:val="24"/>
        </w:rPr>
        <w:t xml:space="preserve">финансови активи под формата на ДЦК, издадени от подсектор „Централно </w:t>
      </w:r>
      <w:r>
        <w:rPr>
          <w:rFonts w:asciiTheme="majorBidi" w:hAnsiTheme="majorBidi" w:cstheme="majorBidi"/>
          <w:szCs w:val="24"/>
        </w:rPr>
        <w:t>управление</w:t>
      </w:r>
      <w:r w:rsidRPr="00D13554">
        <w:rPr>
          <w:rFonts w:asciiTheme="majorBidi" w:hAnsiTheme="majorBidi" w:cstheme="majorBidi"/>
          <w:szCs w:val="24"/>
        </w:rPr>
        <w:t>“</w:t>
      </w:r>
      <w:r>
        <w:rPr>
          <w:rFonts w:asciiTheme="majorBidi" w:hAnsiTheme="majorBidi" w:cstheme="majorBidi"/>
          <w:szCs w:val="24"/>
        </w:rPr>
        <w:t xml:space="preserve"> </w:t>
      </w:r>
      <w:r w:rsidRPr="00A01A3A">
        <w:rPr>
          <w:rFonts w:asciiTheme="majorBidi" w:hAnsiTheme="majorBidi" w:cstheme="majorBidi"/>
          <w:szCs w:val="24"/>
        </w:rPr>
        <w:t>участва</w:t>
      </w:r>
      <w:r>
        <w:rPr>
          <w:rFonts w:asciiTheme="majorBidi" w:hAnsiTheme="majorBidi" w:cstheme="majorBidi"/>
          <w:szCs w:val="24"/>
        </w:rPr>
        <w:t>т</w:t>
      </w:r>
      <w:r w:rsidRPr="00A01A3A">
        <w:rPr>
          <w:rFonts w:asciiTheme="majorBidi" w:hAnsiTheme="majorBidi" w:cstheme="majorBidi"/>
          <w:szCs w:val="24"/>
        </w:rPr>
        <w:t xml:space="preserve"> при нетирането (консолидацията)</w:t>
      </w:r>
      <w:r w:rsidRPr="00A01A3A">
        <w:rPr>
          <w:rFonts w:eastAsia="Times New Roman"/>
          <w:szCs w:val="24"/>
        </w:rPr>
        <w:t xml:space="preserve"> </w:t>
      </w:r>
      <w:r w:rsidRPr="00A01A3A">
        <w:rPr>
          <w:rFonts w:asciiTheme="majorBidi" w:hAnsiTheme="majorBidi" w:cstheme="majorBidi"/>
          <w:szCs w:val="24"/>
        </w:rPr>
        <w:t>на сектора</w:t>
      </w:r>
      <w:r>
        <w:rPr>
          <w:rFonts w:asciiTheme="majorBidi" w:hAnsiTheme="majorBidi" w:cstheme="majorBidi"/>
          <w:szCs w:val="24"/>
        </w:rPr>
        <w:t>.</w:t>
      </w:r>
      <w:r w:rsidRPr="00D13554">
        <w:rPr>
          <w:rFonts w:asciiTheme="majorBidi" w:hAnsiTheme="majorBidi" w:cstheme="majorBidi"/>
          <w:szCs w:val="24"/>
        </w:rPr>
        <w:t xml:space="preserve"> </w:t>
      </w:r>
      <w:r w:rsidRPr="00A01A3A">
        <w:rPr>
          <w:rFonts w:asciiTheme="majorBidi" w:hAnsiTheme="majorBidi" w:cstheme="majorBidi"/>
          <w:szCs w:val="24"/>
        </w:rPr>
        <w:t xml:space="preserve">Към края на </w:t>
      </w:r>
      <w:r w:rsidRPr="00D13554">
        <w:rPr>
          <w:rFonts w:asciiTheme="majorBidi" w:hAnsiTheme="majorBidi" w:cstheme="majorBidi"/>
          <w:szCs w:val="24"/>
        </w:rPr>
        <w:t>20</w:t>
      </w:r>
      <w:r>
        <w:rPr>
          <w:rFonts w:asciiTheme="majorBidi" w:hAnsiTheme="majorBidi" w:cstheme="majorBidi"/>
          <w:szCs w:val="24"/>
        </w:rPr>
        <w:t>22</w:t>
      </w:r>
      <w:r w:rsidR="00B552D5">
        <w:rPr>
          <w:rFonts w:asciiTheme="majorBidi" w:hAnsiTheme="majorBidi" w:cstheme="majorBidi"/>
          <w:szCs w:val="24"/>
        </w:rPr>
        <w:t> г.</w:t>
      </w:r>
      <w:r w:rsidRPr="00D13554">
        <w:rPr>
          <w:rFonts w:asciiTheme="majorBidi" w:hAnsiTheme="majorBidi" w:cstheme="majorBidi"/>
          <w:szCs w:val="24"/>
        </w:rPr>
        <w:t xml:space="preserve"> </w:t>
      </w:r>
      <w:r>
        <w:rPr>
          <w:rFonts w:asciiTheme="majorBidi" w:hAnsiTheme="majorBidi" w:cstheme="majorBidi"/>
          <w:szCs w:val="24"/>
        </w:rPr>
        <w:t xml:space="preserve">тези активи </w:t>
      </w:r>
      <w:r w:rsidRPr="00D13554">
        <w:rPr>
          <w:rFonts w:asciiTheme="majorBidi" w:hAnsiTheme="majorBidi" w:cstheme="majorBidi"/>
          <w:szCs w:val="24"/>
        </w:rPr>
        <w:t xml:space="preserve">възлизат на </w:t>
      </w:r>
      <w:r>
        <w:rPr>
          <w:rFonts w:asciiTheme="majorBidi" w:hAnsiTheme="majorBidi" w:cstheme="majorBidi"/>
          <w:szCs w:val="24"/>
        </w:rPr>
        <w:t>365</w:t>
      </w:r>
      <w:r w:rsidR="00652B45">
        <w:rPr>
          <w:rFonts w:asciiTheme="majorBidi" w:hAnsiTheme="majorBidi" w:cstheme="majorBidi"/>
          <w:szCs w:val="24"/>
          <w:lang w:val="en-US"/>
        </w:rPr>
        <w:t>.3</w:t>
      </w:r>
      <w:r>
        <w:rPr>
          <w:rFonts w:asciiTheme="majorBidi" w:hAnsiTheme="majorBidi" w:cstheme="majorBidi"/>
          <w:szCs w:val="24"/>
        </w:rPr>
        <w:t xml:space="preserve"> </w:t>
      </w:r>
      <w:r w:rsidRPr="00D13554">
        <w:rPr>
          <w:rFonts w:asciiTheme="majorBidi" w:hAnsiTheme="majorBidi" w:cstheme="majorBidi"/>
          <w:szCs w:val="24"/>
        </w:rPr>
        <w:t>млн. лв.</w:t>
      </w:r>
    </w:p>
    <w:p w14:paraId="54175D08" w14:textId="633399E5" w:rsidR="008C7B61" w:rsidRPr="005B2032" w:rsidRDefault="00B87540" w:rsidP="00112D71">
      <w:pPr>
        <w:pStyle w:val="Caption"/>
      </w:pPr>
      <w:r>
        <w:t>Табл. 3-</w:t>
      </w:r>
      <w:r w:rsidR="003038C1">
        <w:t>1</w:t>
      </w:r>
      <w:r>
        <w:t xml:space="preserve">: </w:t>
      </w:r>
      <w:r w:rsidR="00437BE2">
        <w:tab/>
      </w:r>
      <w:r>
        <w:t>Приходи от приватизация и следприватизационен контрол</w:t>
      </w:r>
      <w:r w:rsidR="008C7B61" w:rsidRPr="005B2032">
        <w:tab/>
      </w:r>
      <w:r w:rsidR="005C5444">
        <w:br/>
        <w:t xml:space="preserve">по централния бюджет, </w:t>
      </w:r>
      <w:r w:rsidR="005C5444" w:rsidRPr="005C5444">
        <w:t>млн.</w:t>
      </w:r>
      <w:r w:rsidR="005C5444">
        <w:t xml:space="preserve"> </w:t>
      </w:r>
      <w:r w:rsidR="005C5444" w:rsidRPr="005C5444">
        <w:t>лв.</w:t>
      </w:r>
      <w:r w:rsidR="008C7B61" w:rsidRPr="005B2032">
        <w:tab/>
      </w:r>
    </w:p>
    <w:tbl>
      <w:tblPr>
        <w:tblW w:w="5000"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1E0" w:firstRow="1" w:lastRow="1" w:firstColumn="1" w:lastColumn="1" w:noHBand="0" w:noVBand="0"/>
      </w:tblPr>
      <w:tblGrid>
        <w:gridCol w:w="1812"/>
        <w:gridCol w:w="1812"/>
        <w:gridCol w:w="1813"/>
        <w:gridCol w:w="1813"/>
        <w:gridCol w:w="1814"/>
      </w:tblGrid>
      <w:tr w:rsidR="00F8498D" w:rsidRPr="00091E3B" w14:paraId="0BC714F6" w14:textId="77777777" w:rsidTr="00091E3B">
        <w:trPr>
          <w:trHeight w:val="397"/>
          <w:jc w:val="center"/>
        </w:trPr>
        <w:tc>
          <w:tcPr>
            <w:tcW w:w="1812" w:type="dxa"/>
            <w:shd w:val="clear" w:color="auto" w:fill="D8EDFC"/>
          </w:tcPr>
          <w:p w14:paraId="2DD354A6" w14:textId="345A2BCE" w:rsidR="00F8498D" w:rsidRPr="00091E3B" w:rsidRDefault="00F8498D" w:rsidP="00F8498D">
            <w:pPr>
              <w:tabs>
                <w:tab w:val="left" w:pos="2736"/>
              </w:tabs>
              <w:spacing w:after="0"/>
              <w:jc w:val="center"/>
              <w:rPr>
                <w:b/>
                <w:bCs/>
                <w:sz w:val="20"/>
                <w:szCs w:val="20"/>
              </w:rPr>
            </w:pPr>
            <w:r w:rsidRPr="00091E3B">
              <w:rPr>
                <w:b/>
                <w:sz w:val="20"/>
                <w:szCs w:val="20"/>
              </w:rPr>
              <w:t>Отчет 2022</w:t>
            </w:r>
            <w:r w:rsidR="00B552D5" w:rsidRPr="00091E3B">
              <w:rPr>
                <w:b/>
                <w:sz w:val="20"/>
                <w:szCs w:val="20"/>
              </w:rPr>
              <w:t> г.</w:t>
            </w:r>
            <w:r w:rsidRPr="00091E3B">
              <w:rPr>
                <w:b/>
                <w:sz w:val="20"/>
                <w:szCs w:val="20"/>
              </w:rPr>
              <w:t xml:space="preserve"> </w:t>
            </w:r>
          </w:p>
        </w:tc>
        <w:tc>
          <w:tcPr>
            <w:tcW w:w="1812" w:type="dxa"/>
            <w:shd w:val="clear" w:color="auto" w:fill="D8EDFC"/>
          </w:tcPr>
          <w:p w14:paraId="1F631D07" w14:textId="38C0DB12" w:rsidR="00F8498D" w:rsidRPr="00091E3B" w:rsidRDefault="00F8498D" w:rsidP="00F8498D">
            <w:pPr>
              <w:tabs>
                <w:tab w:val="left" w:pos="2736"/>
              </w:tabs>
              <w:spacing w:after="0"/>
              <w:jc w:val="center"/>
              <w:rPr>
                <w:b/>
                <w:bCs/>
                <w:sz w:val="20"/>
                <w:szCs w:val="20"/>
              </w:rPr>
            </w:pPr>
            <w:r w:rsidRPr="00091E3B">
              <w:rPr>
                <w:b/>
                <w:sz w:val="20"/>
                <w:szCs w:val="20"/>
              </w:rPr>
              <w:t>Проект ЗДБРБ 2023</w:t>
            </w:r>
            <w:r w:rsidR="00B552D5" w:rsidRPr="00091E3B">
              <w:rPr>
                <w:b/>
                <w:sz w:val="20"/>
                <w:szCs w:val="20"/>
              </w:rPr>
              <w:t> г.</w:t>
            </w:r>
            <w:r w:rsidRPr="00091E3B">
              <w:rPr>
                <w:b/>
                <w:sz w:val="20"/>
                <w:szCs w:val="20"/>
              </w:rPr>
              <w:t xml:space="preserve"> </w:t>
            </w:r>
          </w:p>
        </w:tc>
        <w:tc>
          <w:tcPr>
            <w:tcW w:w="1813" w:type="dxa"/>
            <w:shd w:val="clear" w:color="auto" w:fill="D8EDFC"/>
          </w:tcPr>
          <w:p w14:paraId="385D5C47" w14:textId="163C6E8D" w:rsidR="00F8498D" w:rsidRPr="00091E3B" w:rsidRDefault="00F8498D" w:rsidP="00F8498D">
            <w:pPr>
              <w:tabs>
                <w:tab w:val="left" w:pos="2736"/>
              </w:tabs>
              <w:spacing w:after="0"/>
              <w:jc w:val="center"/>
              <w:rPr>
                <w:b/>
                <w:bCs/>
                <w:sz w:val="20"/>
                <w:szCs w:val="20"/>
              </w:rPr>
            </w:pPr>
            <w:r w:rsidRPr="00091E3B">
              <w:rPr>
                <w:b/>
                <w:sz w:val="20"/>
                <w:szCs w:val="20"/>
              </w:rPr>
              <w:t>Прогноза 2024</w:t>
            </w:r>
            <w:r w:rsidR="00B552D5" w:rsidRPr="00091E3B">
              <w:rPr>
                <w:b/>
                <w:sz w:val="20"/>
                <w:szCs w:val="20"/>
              </w:rPr>
              <w:t> г.</w:t>
            </w:r>
            <w:r w:rsidRPr="00091E3B">
              <w:rPr>
                <w:b/>
                <w:sz w:val="20"/>
                <w:szCs w:val="20"/>
              </w:rPr>
              <w:t xml:space="preserve"> </w:t>
            </w:r>
          </w:p>
        </w:tc>
        <w:tc>
          <w:tcPr>
            <w:tcW w:w="1813" w:type="dxa"/>
            <w:shd w:val="clear" w:color="auto" w:fill="D8EDFC"/>
          </w:tcPr>
          <w:p w14:paraId="70A9D540" w14:textId="236F05B9" w:rsidR="00F8498D" w:rsidRPr="00091E3B" w:rsidRDefault="00F8498D" w:rsidP="00F8498D">
            <w:pPr>
              <w:tabs>
                <w:tab w:val="left" w:pos="2736"/>
              </w:tabs>
              <w:spacing w:after="0"/>
              <w:jc w:val="center"/>
              <w:rPr>
                <w:b/>
                <w:bCs/>
                <w:sz w:val="20"/>
                <w:szCs w:val="20"/>
              </w:rPr>
            </w:pPr>
            <w:r w:rsidRPr="00091E3B">
              <w:rPr>
                <w:b/>
                <w:sz w:val="20"/>
                <w:szCs w:val="20"/>
              </w:rPr>
              <w:t>Прогноза 2025</w:t>
            </w:r>
            <w:r w:rsidR="00B552D5" w:rsidRPr="00091E3B">
              <w:rPr>
                <w:b/>
                <w:sz w:val="20"/>
                <w:szCs w:val="20"/>
              </w:rPr>
              <w:t> г.</w:t>
            </w:r>
            <w:r w:rsidRPr="00091E3B">
              <w:rPr>
                <w:b/>
                <w:sz w:val="20"/>
                <w:szCs w:val="20"/>
              </w:rPr>
              <w:t xml:space="preserve"> </w:t>
            </w:r>
          </w:p>
        </w:tc>
        <w:tc>
          <w:tcPr>
            <w:tcW w:w="1814" w:type="dxa"/>
            <w:shd w:val="clear" w:color="auto" w:fill="D8EDFC"/>
          </w:tcPr>
          <w:p w14:paraId="3E66E0B3" w14:textId="0026ECCE" w:rsidR="00F8498D" w:rsidRPr="00091E3B" w:rsidRDefault="00F8498D" w:rsidP="00F8498D">
            <w:pPr>
              <w:tabs>
                <w:tab w:val="left" w:pos="2736"/>
              </w:tabs>
              <w:spacing w:after="0"/>
              <w:jc w:val="center"/>
              <w:rPr>
                <w:b/>
                <w:bCs/>
                <w:sz w:val="20"/>
                <w:szCs w:val="20"/>
              </w:rPr>
            </w:pPr>
            <w:r w:rsidRPr="00091E3B">
              <w:rPr>
                <w:b/>
                <w:sz w:val="20"/>
                <w:szCs w:val="20"/>
              </w:rPr>
              <w:t>Прогноза 2026</w:t>
            </w:r>
            <w:r w:rsidR="00B552D5" w:rsidRPr="00091E3B">
              <w:rPr>
                <w:b/>
                <w:sz w:val="20"/>
                <w:szCs w:val="20"/>
              </w:rPr>
              <w:t> г.</w:t>
            </w:r>
            <w:r w:rsidRPr="00091E3B">
              <w:rPr>
                <w:b/>
                <w:sz w:val="20"/>
                <w:szCs w:val="20"/>
              </w:rPr>
              <w:t xml:space="preserve"> </w:t>
            </w:r>
          </w:p>
        </w:tc>
      </w:tr>
      <w:tr w:rsidR="00F8498D" w:rsidRPr="00091E3B" w14:paraId="5E1022A5" w14:textId="77777777" w:rsidTr="00091E3B">
        <w:trPr>
          <w:trHeight w:val="397"/>
          <w:jc w:val="center"/>
        </w:trPr>
        <w:tc>
          <w:tcPr>
            <w:tcW w:w="1812" w:type="dxa"/>
            <w:shd w:val="clear" w:color="auto" w:fill="auto"/>
            <w:vAlign w:val="center"/>
          </w:tcPr>
          <w:p w14:paraId="7EF4395E" w14:textId="6234B783" w:rsidR="00F8498D" w:rsidRPr="00091E3B" w:rsidRDefault="00091E3B" w:rsidP="00091E3B">
            <w:pPr>
              <w:tabs>
                <w:tab w:val="left" w:pos="2736"/>
              </w:tabs>
              <w:spacing w:after="0"/>
              <w:ind w:left="55"/>
              <w:jc w:val="center"/>
              <w:rPr>
                <w:bCs/>
                <w:sz w:val="20"/>
                <w:szCs w:val="20"/>
                <w:highlight w:val="yellow"/>
              </w:rPr>
            </w:pPr>
            <w:r>
              <w:rPr>
                <w:sz w:val="20"/>
                <w:szCs w:val="20"/>
              </w:rPr>
              <w:t>2.</w:t>
            </w:r>
            <w:r w:rsidR="00F8498D" w:rsidRPr="00091E3B">
              <w:rPr>
                <w:sz w:val="20"/>
                <w:szCs w:val="20"/>
              </w:rPr>
              <w:t>1</w:t>
            </w:r>
          </w:p>
        </w:tc>
        <w:tc>
          <w:tcPr>
            <w:tcW w:w="1812" w:type="dxa"/>
            <w:shd w:val="clear" w:color="auto" w:fill="auto"/>
            <w:vAlign w:val="center"/>
          </w:tcPr>
          <w:p w14:paraId="7A49C1E8" w14:textId="54797592" w:rsidR="00F8498D" w:rsidRPr="00091E3B" w:rsidRDefault="00091E3B" w:rsidP="00091E3B">
            <w:pPr>
              <w:tabs>
                <w:tab w:val="left" w:pos="2736"/>
              </w:tabs>
              <w:spacing w:after="0"/>
              <w:ind w:left="55"/>
              <w:jc w:val="center"/>
              <w:rPr>
                <w:bCs/>
                <w:sz w:val="20"/>
                <w:szCs w:val="20"/>
                <w:highlight w:val="yellow"/>
              </w:rPr>
            </w:pPr>
            <w:r>
              <w:rPr>
                <w:sz w:val="20"/>
                <w:szCs w:val="20"/>
              </w:rPr>
              <w:t>0.</w:t>
            </w:r>
            <w:r w:rsidR="00F8498D" w:rsidRPr="00091E3B">
              <w:rPr>
                <w:sz w:val="20"/>
                <w:szCs w:val="20"/>
              </w:rPr>
              <w:t>8</w:t>
            </w:r>
          </w:p>
        </w:tc>
        <w:tc>
          <w:tcPr>
            <w:tcW w:w="1813" w:type="dxa"/>
            <w:shd w:val="clear" w:color="auto" w:fill="auto"/>
            <w:vAlign w:val="center"/>
          </w:tcPr>
          <w:p w14:paraId="7AA0DDBC" w14:textId="49253235" w:rsidR="00F8498D" w:rsidRPr="00091E3B" w:rsidRDefault="00F8498D" w:rsidP="00091E3B">
            <w:pPr>
              <w:tabs>
                <w:tab w:val="left" w:pos="2736"/>
              </w:tabs>
              <w:spacing w:after="0"/>
              <w:ind w:left="-51"/>
              <w:jc w:val="center"/>
              <w:rPr>
                <w:bCs/>
                <w:sz w:val="20"/>
                <w:szCs w:val="20"/>
              </w:rPr>
            </w:pPr>
            <w:r w:rsidRPr="00091E3B">
              <w:rPr>
                <w:sz w:val="20"/>
                <w:szCs w:val="20"/>
              </w:rPr>
              <w:t>0</w:t>
            </w:r>
            <w:r w:rsidR="00091E3B">
              <w:rPr>
                <w:sz w:val="20"/>
                <w:szCs w:val="20"/>
              </w:rPr>
              <w:t>.</w:t>
            </w:r>
            <w:r w:rsidRPr="00091E3B">
              <w:rPr>
                <w:sz w:val="20"/>
                <w:szCs w:val="20"/>
              </w:rPr>
              <w:t>5</w:t>
            </w:r>
          </w:p>
        </w:tc>
        <w:tc>
          <w:tcPr>
            <w:tcW w:w="1813" w:type="dxa"/>
            <w:shd w:val="clear" w:color="auto" w:fill="auto"/>
            <w:vAlign w:val="center"/>
          </w:tcPr>
          <w:p w14:paraId="08676A43" w14:textId="6ACF040A" w:rsidR="00F8498D" w:rsidRPr="00091E3B" w:rsidRDefault="00F8498D" w:rsidP="00091E3B">
            <w:pPr>
              <w:tabs>
                <w:tab w:val="left" w:pos="2736"/>
              </w:tabs>
              <w:spacing w:after="0"/>
              <w:jc w:val="center"/>
              <w:rPr>
                <w:bCs/>
                <w:sz w:val="20"/>
                <w:szCs w:val="20"/>
              </w:rPr>
            </w:pPr>
            <w:r w:rsidRPr="00091E3B">
              <w:rPr>
                <w:sz w:val="20"/>
                <w:szCs w:val="20"/>
              </w:rPr>
              <w:t>0</w:t>
            </w:r>
            <w:r w:rsidR="00091E3B">
              <w:rPr>
                <w:sz w:val="20"/>
                <w:szCs w:val="20"/>
              </w:rPr>
              <w:t>.</w:t>
            </w:r>
            <w:r w:rsidRPr="00091E3B">
              <w:rPr>
                <w:sz w:val="20"/>
                <w:szCs w:val="20"/>
              </w:rPr>
              <w:t>5</w:t>
            </w:r>
          </w:p>
        </w:tc>
        <w:tc>
          <w:tcPr>
            <w:tcW w:w="1814" w:type="dxa"/>
            <w:shd w:val="clear" w:color="auto" w:fill="auto"/>
            <w:vAlign w:val="center"/>
          </w:tcPr>
          <w:p w14:paraId="026454A6" w14:textId="2B778304" w:rsidR="00F8498D" w:rsidRPr="00091E3B" w:rsidRDefault="00091E3B" w:rsidP="00091E3B">
            <w:pPr>
              <w:tabs>
                <w:tab w:val="left" w:pos="2736"/>
              </w:tabs>
              <w:spacing w:after="0"/>
              <w:jc w:val="center"/>
              <w:rPr>
                <w:bCs/>
                <w:sz w:val="20"/>
                <w:szCs w:val="20"/>
              </w:rPr>
            </w:pPr>
            <w:r>
              <w:rPr>
                <w:sz w:val="20"/>
                <w:szCs w:val="20"/>
              </w:rPr>
              <w:t>0.</w:t>
            </w:r>
            <w:r w:rsidR="00F8498D" w:rsidRPr="00091E3B">
              <w:rPr>
                <w:sz w:val="20"/>
                <w:szCs w:val="20"/>
              </w:rPr>
              <w:t>4</w:t>
            </w:r>
          </w:p>
        </w:tc>
      </w:tr>
    </w:tbl>
    <w:p w14:paraId="36028A10" w14:textId="3059E231" w:rsidR="00F8498D" w:rsidRDefault="00F8498D" w:rsidP="00F8498D">
      <w:r>
        <w:t xml:space="preserve">Заложените в таблицата стойности са на база прогноза за постъпленията от приватизация и следприватизационен контрол за периода </w:t>
      </w:r>
      <w:r w:rsidR="001364E0">
        <w:t>2024–2026</w:t>
      </w:r>
      <w:r w:rsidR="00B552D5">
        <w:t> г.</w:t>
      </w:r>
      <w:r>
        <w:t>, изготвена през м. февруари 2023</w:t>
      </w:r>
      <w:r w:rsidR="00B552D5">
        <w:t> г.</w:t>
      </w:r>
      <w:r>
        <w:t xml:space="preserve"> от Агенция за публичните предприятия и контрол. </w:t>
      </w:r>
    </w:p>
    <w:p w14:paraId="1A774734" w14:textId="77777777" w:rsidR="00F8498D" w:rsidRDefault="00F8498D" w:rsidP="00F8498D">
      <w:r>
        <w:t xml:space="preserve">Основните приходи по години, се очакват от продажбата на: </w:t>
      </w:r>
    </w:p>
    <w:p w14:paraId="6CF362FD" w14:textId="51840182" w:rsidR="00F8498D" w:rsidRDefault="00F8498D" w:rsidP="00493D7E">
      <w:pPr>
        <w:pStyle w:val="ListParagraph"/>
        <w:numPr>
          <w:ilvl w:val="0"/>
          <w:numId w:val="13"/>
        </w:numPr>
        <w:jc w:val="left"/>
      </w:pPr>
      <w:r>
        <w:t>2024</w:t>
      </w:r>
      <w:r w:rsidR="00B552D5">
        <w:t> г.</w:t>
      </w:r>
      <w:r w:rsidR="0069464B">
        <w:t>:</w:t>
      </w:r>
      <w:r>
        <w:t xml:space="preserve"> имоти – частна държавна собственост (0</w:t>
      </w:r>
      <w:r w:rsidR="00391102">
        <w:t>.</w:t>
      </w:r>
      <w:r>
        <w:t>4 млн. лв.),</w:t>
      </w:r>
      <w:r w:rsidR="00391102">
        <w:t xml:space="preserve"> </w:t>
      </w:r>
      <w:r w:rsidR="00931615">
        <w:br/>
      </w:r>
      <w:r w:rsidR="00391102">
        <w:t xml:space="preserve">обособени части от дружества </w:t>
      </w:r>
      <w:r>
        <w:t>(0</w:t>
      </w:r>
      <w:r w:rsidR="00391102">
        <w:t>.</w:t>
      </w:r>
      <w:r>
        <w:t>1 млн. лв.);</w:t>
      </w:r>
    </w:p>
    <w:p w14:paraId="50298097" w14:textId="2CACD072" w:rsidR="00F8498D" w:rsidRDefault="00F8498D" w:rsidP="00493D7E">
      <w:pPr>
        <w:pStyle w:val="ListParagraph"/>
        <w:numPr>
          <w:ilvl w:val="0"/>
          <w:numId w:val="13"/>
        </w:numPr>
        <w:jc w:val="left"/>
      </w:pPr>
      <w:r>
        <w:t>2025</w:t>
      </w:r>
      <w:r w:rsidR="00B552D5">
        <w:t> г.</w:t>
      </w:r>
      <w:r w:rsidR="0069464B">
        <w:t>:</w:t>
      </w:r>
      <w:r>
        <w:t xml:space="preserve"> имоти-частна държавна собственост (0</w:t>
      </w:r>
      <w:r w:rsidR="00391102">
        <w:t>.</w:t>
      </w:r>
      <w:r>
        <w:t xml:space="preserve">4 млн. лв.), </w:t>
      </w:r>
      <w:r w:rsidR="00931615">
        <w:br/>
      </w:r>
      <w:r>
        <w:t>обособени части от дружества (0</w:t>
      </w:r>
      <w:r w:rsidR="00391102">
        <w:t>.</w:t>
      </w:r>
      <w:r>
        <w:t>1 млн. лв.);</w:t>
      </w:r>
    </w:p>
    <w:p w14:paraId="63370449" w14:textId="707997CD" w:rsidR="00F8498D" w:rsidRDefault="00F8498D" w:rsidP="00493D7E">
      <w:pPr>
        <w:pStyle w:val="ListParagraph"/>
        <w:numPr>
          <w:ilvl w:val="0"/>
          <w:numId w:val="13"/>
        </w:numPr>
        <w:jc w:val="left"/>
      </w:pPr>
      <w:r>
        <w:t>2026</w:t>
      </w:r>
      <w:r w:rsidR="00B552D5">
        <w:t> г.</w:t>
      </w:r>
      <w:r w:rsidR="0069464B">
        <w:t>:</w:t>
      </w:r>
      <w:r>
        <w:t xml:space="preserve"> имоти-частна държавна собственост (0</w:t>
      </w:r>
      <w:r w:rsidR="00391102">
        <w:t>.</w:t>
      </w:r>
      <w:r>
        <w:t xml:space="preserve">2 млн. лв.), </w:t>
      </w:r>
      <w:r w:rsidR="00931615">
        <w:br/>
      </w:r>
      <w:r>
        <w:t>обособени части от дружества (0</w:t>
      </w:r>
      <w:r w:rsidR="00391102">
        <w:t>.</w:t>
      </w:r>
      <w:r>
        <w:t>2 млн. лв.).</w:t>
      </w:r>
    </w:p>
    <w:p w14:paraId="1E37D188" w14:textId="50AC3FC8" w:rsidR="006D2755" w:rsidRDefault="00F8498D" w:rsidP="00F8498D">
      <w:r>
        <w:t>Очакват се и постъпления от осъществяване на следприватизационен контрол по сключени приватизационни договори.</w:t>
      </w:r>
    </w:p>
    <w:p w14:paraId="345CA459" w14:textId="77777777" w:rsidR="003E07B2" w:rsidRPr="00D661BA" w:rsidRDefault="00D359FF" w:rsidP="00EE53B2">
      <w:pPr>
        <w:pStyle w:val="Heading2"/>
      </w:pPr>
      <w:bookmarkStart w:id="82" w:name="_Toc352851598"/>
      <w:bookmarkStart w:id="83" w:name="_Toc448227287"/>
      <w:bookmarkStart w:id="84" w:name="_Toc479332435"/>
      <w:bookmarkStart w:id="85" w:name="_Toc133597275"/>
      <w:bookmarkEnd w:id="80"/>
      <w:bookmarkEnd w:id="81"/>
      <w:r w:rsidRPr="00D661BA">
        <w:t xml:space="preserve">Ефекти върху бюджета от провеждането на основни </w:t>
      </w:r>
      <w:r w:rsidR="004C3633" w:rsidRPr="00D661BA">
        <w:br/>
      </w:r>
      <w:r w:rsidRPr="00D661BA">
        <w:t>структурни реформи</w:t>
      </w:r>
      <w:bookmarkStart w:id="86" w:name="_Toc385006966"/>
      <w:bookmarkStart w:id="87" w:name="_Toc417035470"/>
      <w:bookmarkEnd w:id="82"/>
      <w:bookmarkEnd w:id="83"/>
      <w:bookmarkEnd w:id="84"/>
      <w:bookmarkEnd w:id="85"/>
    </w:p>
    <w:p w14:paraId="150D7797" w14:textId="11A0C11D" w:rsidR="00AF3271" w:rsidRPr="00D661BA" w:rsidRDefault="0008700F" w:rsidP="00B552D5">
      <w:pPr>
        <w:pStyle w:val="Heading3"/>
      </w:pPr>
      <w:r w:rsidRPr="00D661BA">
        <w:t>Ефекти върху разходната част на бюджета</w:t>
      </w:r>
      <w:bookmarkEnd w:id="86"/>
      <w:bookmarkEnd w:id="87"/>
    </w:p>
    <w:p w14:paraId="7F075AE5" w14:textId="67A6CCA6" w:rsidR="0081379D" w:rsidRPr="00887584" w:rsidRDefault="0081379D" w:rsidP="00C0210D">
      <w:pPr>
        <w:pStyle w:val="Heading4"/>
      </w:pPr>
      <w:r w:rsidRPr="00887584">
        <w:t>Пенсионна политика</w:t>
      </w:r>
    </w:p>
    <w:p w14:paraId="02161FB9" w14:textId="77777777" w:rsidR="00EC6573" w:rsidRPr="00013C93" w:rsidRDefault="00EC6573" w:rsidP="00EC6573">
      <w:pPr>
        <w:pStyle w:val="Default"/>
        <w:rPr>
          <w:rFonts w:eastAsia="Times New Roman" w:cs="Times New Roman"/>
          <w:color w:val="auto"/>
        </w:rPr>
      </w:pPr>
      <w:r w:rsidRPr="00013C93">
        <w:rPr>
          <w:rFonts w:eastAsia="Times New Roman" w:cs="Times New Roman"/>
          <w:color w:val="auto"/>
        </w:rPr>
        <w:t>Пенсионната политика през следващите години има за цел да осигури стабилността на приходите в пенсионно-осигурителната система, както и да постигне по-голяма адекватност на пенсиите с оглед на демографските предизвикателства пред страната.</w:t>
      </w:r>
    </w:p>
    <w:p w14:paraId="3BB33568" w14:textId="429BB3CC" w:rsidR="00B11A79" w:rsidRDefault="00B11A79" w:rsidP="00B11A79">
      <w:pPr>
        <w:spacing w:after="0"/>
        <w:rPr>
          <w:szCs w:val="24"/>
        </w:rPr>
      </w:pPr>
      <w:r>
        <w:rPr>
          <w:szCs w:val="24"/>
        </w:rPr>
        <w:t>При разработването на прогнозата за разходите за пенсии за периода 2023 – 2026</w:t>
      </w:r>
      <w:r w:rsidR="00B552D5">
        <w:rPr>
          <w:szCs w:val="24"/>
        </w:rPr>
        <w:t> г.</w:t>
      </w:r>
      <w:r>
        <w:rPr>
          <w:szCs w:val="24"/>
        </w:rPr>
        <w:t xml:space="preserve"> са взети предвид разпоредбите на част първа от </w:t>
      </w:r>
      <w:r w:rsidR="00781CA8">
        <w:rPr>
          <w:szCs w:val="24"/>
        </w:rPr>
        <w:t>КСО</w:t>
      </w:r>
      <w:r>
        <w:rPr>
          <w:szCs w:val="24"/>
        </w:rPr>
        <w:t>, актуализирания ЗБДОО за 2022</w:t>
      </w:r>
      <w:r w:rsidR="00B552D5">
        <w:rPr>
          <w:szCs w:val="24"/>
        </w:rPr>
        <w:t> г.</w:t>
      </w:r>
      <w:r>
        <w:rPr>
          <w:szCs w:val="24"/>
        </w:rPr>
        <w:t>, и допусканията, заложени в пролетната макроикономическа прогноза на Министерството на финансите от 2</w:t>
      </w:r>
      <w:r>
        <w:rPr>
          <w:szCs w:val="24"/>
          <w:lang w:val="en-US"/>
        </w:rPr>
        <w:t>4</w:t>
      </w:r>
      <w:r>
        <w:rPr>
          <w:szCs w:val="24"/>
        </w:rPr>
        <w:t xml:space="preserve"> март 2023</w:t>
      </w:r>
      <w:r w:rsidR="00B552D5">
        <w:rPr>
          <w:szCs w:val="24"/>
        </w:rPr>
        <w:t> г.</w:t>
      </w:r>
      <w:r>
        <w:rPr>
          <w:szCs w:val="24"/>
        </w:rPr>
        <w:t>, в т.ч.:</w:t>
      </w:r>
    </w:p>
    <w:p w14:paraId="6746E43B" w14:textId="2F2BD8EA" w:rsidR="00B11A79" w:rsidRDefault="00EC6573" w:rsidP="00493D7E">
      <w:pPr>
        <w:pStyle w:val="ListParagraph"/>
        <w:numPr>
          <w:ilvl w:val="0"/>
          <w:numId w:val="6"/>
        </w:numPr>
        <w:rPr>
          <w:szCs w:val="24"/>
        </w:rPr>
      </w:pPr>
      <w:r w:rsidRPr="00013C93">
        <w:rPr>
          <w:rFonts w:eastAsia="Times New Roman"/>
        </w:rPr>
        <w:t xml:space="preserve">чл. 68, ал. 1-2 на КСО – от 1 януари на всяка календарна година </w:t>
      </w:r>
      <w:r>
        <w:rPr>
          <w:rFonts w:eastAsia="Times New Roman"/>
        </w:rPr>
        <w:t>п</w:t>
      </w:r>
      <w:r w:rsidR="00B11A79">
        <w:rPr>
          <w:szCs w:val="24"/>
        </w:rPr>
        <w:t>родължава нарастването на възрастта за придобиване право на пенсия за работещите при условията на трета категория труд, като се увеличава с по 2 месеца за жените и с по 1 месец за мъжете. Необходимият осигурителен стаж за придобиване право на пенсия и за двата пола продължава да се увеличава с по 2 месеца до достигане на 36 години и 10 месеца за жените и 39 години и 10 месеца за мъжете в 2026</w:t>
      </w:r>
      <w:r w:rsidR="00B552D5">
        <w:rPr>
          <w:szCs w:val="24"/>
        </w:rPr>
        <w:t> г.</w:t>
      </w:r>
      <w:r w:rsidR="00B11A79">
        <w:rPr>
          <w:szCs w:val="24"/>
        </w:rPr>
        <w:t xml:space="preserve"> </w:t>
      </w:r>
    </w:p>
    <w:p w14:paraId="25AEA02C" w14:textId="25EB8AE3" w:rsidR="00B11A79" w:rsidRDefault="00B11A79" w:rsidP="00931615">
      <w:r>
        <w:lastRenderedPageBreak/>
        <w:t>Необходимите условия за пенсиониране в периода 2023 – 2026</w:t>
      </w:r>
      <w:r w:rsidR="00B552D5">
        <w:t> г.</w:t>
      </w:r>
      <w:r>
        <w:t xml:space="preserve"> са посочени в таблицата по-долу:</w:t>
      </w:r>
    </w:p>
    <w:p w14:paraId="36385D95" w14:textId="4BA49181" w:rsidR="00B11A79" w:rsidRPr="008C43E0" w:rsidRDefault="0005652B" w:rsidP="008C43E0">
      <w:pPr>
        <w:pStyle w:val="Caption"/>
      </w:pPr>
      <w:r w:rsidRPr="008C43E0">
        <w:t xml:space="preserve"> </w:t>
      </w:r>
      <w:r w:rsidR="00B11A79" w:rsidRPr="008C43E0">
        <w:t>Табл</w:t>
      </w:r>
      <w:r w:rsidR="00251736">
        <w:t>.</w:t>
      </w:r>
      <w:r w:rsidR="00253843" w:rsidRPr="008C43E0">
        <w:t xml:space="preserve"> 3-</w:t>
      </w:r>
      <w:r w:rsidR="003038C1" w:rsidRPr="008C43E0">
        <w:t>2</w:t>
      </w:r>
      <w:r w:rsidR="00B11A79" w:rsidRPr="008C43E0">
        <w:t xml:space="preserve">: </w:t>
      </w:r>
      <w:r w:rsidR="00EE53B2" w:rsidRPr="008C43E0">
        <w:tab/>
      </w:r>
      <w:r w:rsidR="00B11A79" w:rsidRPr="008C43E0">
        <w:t>Условия за пенсиониране по чл. 68, ал. 1-2 на КСО, 2023–2026</w:t>
      </w:r>
      <w:r w:rsidR="00B552D5" w:rsidRPr="008C43E0">
        <w:t> г.</w:t>
      </w:r>
    </w:p>
    <w:tbl>
      <w:tblPr>
        <w:tblW w:w="5000" w:type="pct"/>
        <w:jc w:val="center"/>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ayout w:type="fixed"/>
        <w:tblLook w:val="01E0" w:firstRow="1" w:lastRow="1" w:firstColumn="1" w:lastColumn="1" w:noHBand="0" w:noVBand="0"/>
      </w:tblPr>
      <w:tblGrid>
        <w:gridCol w:w="1476"/>
        <w:gridCol w:w="1894"/>
        <w:gridCol w:w="1814"/>
        <w:gridCol w:w="2064"/>
        <w:gridCol w:w="1816"/>
      </w:tblGrid>
      <w:tr w:rsidR="008C43E0" w:rsidRPr="00646E11" w14:paraId="0866745F" w14:textId="77777777" w:rsidTr="008C43E0">
        <w:trPr>
          <w:trHeight w:val="397"/>
          <w:jc w:val="center"/>
        </w:trPr>
        <w:tc>
          <w:tcPr>
            <w:tcW w:w="1476" w:type="dxa"/>
            <w:vMerge w:val="restart"/>
            <w:shd w:val="clear" w:color="auto" w:fill="D8EDFC"/>
            <w:vAlign w:val="bottom"/>
          </w:tcPr>
          <w:p w14:paraId="69C1B2AF" w14:textId="77777777" w:rsidR="008C43E0" w:rsidRPr="00646E11" w:rsidRDefault="008C43E0" w:rsidP="00B5035B">
            <w:pPr>
              <w:tabs>
                <w:tab w:val="left" w:pos="2736"/>
              </w:tabs>
              <w:spacing w:after="0"/>
              <w:ind w:left="55"/>
              <w:jc w:val="center"/>
              <w:rPr>
                <w:bCs/>
                <w:sz w:val="20"/>
                <w:szCs w:val="24"/>
              </w:rPr>
            </w:pPr>
            <w:r w:rsidRPr="00646E11">
              <w:rPr>
                <w:b/>
                <w:bCs/>
                <w:sz w:val="20"/>
                <w:szCs w:val="24"/>
              </w:rPr>
              <w:t>година</w:t>
            </w:r>
          </w:p>
        </w:tc>
        <w:tc>
          <w:tcPr>
            <w:tcW w:w="3708" w:type="dxa"/>
            <w:gridSpan w:val="2"/>
            <w:shd w:val="clear" w:color="auto" w:fill="D8EDFC"/>
            <w:vAlign w:val="center"/>
            <w:hideMark/>
          </w:tcPr>
          <w:p w14:paraId="46F0E02E" w14:textId="77777777" w:rsidR="008C43E0" w:rsidRPr="00646E11" w:rsidRDefault="008C43E0" w:rsidP="00B5035B">
            <w:pPr>
              <w:tabs>
                <w:tab w:val="left" w:pos="2736"/>
              </w:tabs>
              <w:spacing w:after="0"/>
              <w:ind w:left="55"/>
              <w:jc w:val="center"/>
              <w:rPr>
                <w:b/>
                <w:bCs/>
                <w:sz w:val="20"/>
                <w:szCs w:val="24"/>
              </w:rPr>
            </w:pPr>
            <w:r w:rsidRPr="00646E11">
              <w:rPr>
                <w:b/>
                <w:bCs/>
                <w:sz w:val="20"/>
                <w:szCs w:val="24"/>
              </w:rPr>
              <w:t>ЖЕНИ</w:t>
            </w:r>
          </w:p>
        </w:tc>
        <w:tc>
          <w:tcPr>
            <w:tcW w:w="3880" w:type="dxa"/>
            <w:gridSpan w:val="2"/>
            <w:shd w:val="clear" w:color="auto" w:fill="D8EDFC"/>
            <w:vAlign w:val="center"/>
            <w:hideMark/>
          </w:tcPr>
          <w:p w14:paraId="21D5212D" w14:textId="77777777" w:rsidR="008C43E0" w:rsidRPr="00646E11" w:rsidRDefault="008C43E0" w:rsidP="00B5035B">
            <w:pPr>
              <w:tabs>
                <w:tab w:val="left" w:pos="2736"/>
              </w:tabs>
              <w:spacing w:after="0"/>
              <w:ind w:left="55"/>
              <w:jc w:val="center"/>
              <w:rPr>
                <w:b/>
                <w:bCs/>
                <w:sz w:val="20"/>
                <w:szCs w:val="24"/>
              </w:rPr>
            </w:pPr>
            <w:r w:rsidRPr="00646E11">
              <w:rPr>
                <w:b/>
                <w:bCs/>
                <w:sz w:val="20"/>
                <w:szCs w:val="24"/>
              </w:rPr>
              <w:t>МЪЖЕ</w:t>
            </w:r>
          </w:p>
        </w:tc>
      </w:tr>
      <w:tr w:rsidR="008C43E0" w:rsidRPr="00646E11" w14:paraId="037DD649" w14:textId="77777777" w:rsidTr="008C43E0">
        <w:trPr>
          <w:trHeight w:val="397"/>
          <w:jc w:val="center"/>
        </w:trPr>
        <w:tc>
          <w:tcPr>
            <w:tcW w:w="1476" w:type="dxa"/>
            <w:vMerge/>
            <w:shd w:val="clear" w:color="auto" w:fill="D8EDFC"/>
            <w:vAlign w:val="center"/>
            <w:hideMark/>
          </w:tcPr>
          <w:p w14:paraId="5D8B1CC1" w14:textId="77777777" w:rsidR="008C43E0" w:rsidRPr="00646E11" w:rsidRDefault="008C43E0" w:rsidP="00B5035B">
            <w:pPr>
              <w:tabs>
                <w:tab w:val="left" w:pos="2736"/>
              </w:tabs>
              <w:spacing w:after="0"/>
              <w:ind w:left="55"/>
              <w:jc w:val="center"/>
              <w:rPr>
                <w:b/>
                <w:bCs/>
                <w:sz w:val="20"/>
                <w:szCs w:val="24"/>
              </w:rPr>
            </w:pPr>
          </w:p>
        </w:tc>
        <w:tc>
          <w:tcPr>
            <w:tcW w:w="1894" w:type="dxa"/>
            <w:shd w:val="clear" w:color="auto" w:fill="D8EDFC"/>
            <w:vAlign w:val="center"/>
            <w:hideMark/>
          </w:tcPr>
          <w:p w14:paraId="3CDAF374" w14:textId="77777777" w:rsidR="008C43E0" w:rsidRPr="00646E11" w:rsidRDefault="008C43E0" w:rsidP="00B5035B">
            <w:pPr>
              <w:tabs>
                <w:tab w:val="left" w:pos="2736"/>
              </w:tabs>
              <w:spacing w:after="0"/>
              <w:ind w:left="55"/>
              <w:jc w:val="center"/>
              <w:rPr>
                <w:b/>
                <w:bCs/>
                <w:sz w:val="20"/>
                <w:szCs w:val="24"/>
              </w:rPr>
            </w:pPr>
            <w:r w:rsidRPr="00646E11">
              <w:rPr>
                <w:b/>
                <w:bCs/>
                <w:sz w:val="20"/>
                <w:szCs w:val="24"/>
              </w:rPr>
              <w:t>възраст</w:t>
            </w:r>
          </w:p>
        </w:tc>
        <w:tc>
          <w:tcPr>
            <w:tcW w:w="1814" w:type="dxa"/>
            <w:shd w:val="clear" w:color="auto" w:fill="D8EDFC"/>
            <w:vAlign w:val="center"/>
            <w:hideMark/>
          </w:tcPr>
          <w:p w14:paraId="36BA6CBA" w14:textId="77777777" w:rsidR="008C43E0" w:rsidRPr="00646E11" w:rsidRDefault="008C43E0" w:rsidP="00B5035B">
            <w:pPr>
              <w:tabs>
                <w:tab w:val="left" w:pos="2736"/>
              </w:tabs>
              <w:spacing w:after="0"/>
              <w:ind w:left="55"/>
              <w:jc w:val="center"/>
              <w:rPr>
                <w:b/>
                <w:bCs/>
                <w:sz w:val="20"/>
                <w:szCs w:val="24"/>
              </w:rPr>
            </w:pPr>
            <w:r w:rsidRPr="00646E11">
              <w:rPr>
                <w:b/>
                <w:bCs/>
                <w:sz w:val="20"/>
                <w:szCs w:val="24"/>
              </w:rPr>
              <w:t>стаж</w:t>
            </w:r>
          </w:p>
        </w:tc>
        <w:tc>
          <w:tcPr>
            <w:tcW w:w="2064" w:type="dxa"/>
            <w:shd w:val="clear" w:color="auto" w:fill="D8EDFC"/>
            <w:vAlign w:val="center"/>
            <w:hideMark/>
          </w:tcPr>
          <w:p w14:paraId="28E9EF44" w14:textId="77777777" w:rsidR="008C43E0" w:rsidRPr="00646E11" w:rsidRDefault="008C43E0" w:rsidP="00B5035B">
            <w:pPr>
              <w:tabs>
                <w:tab w:val="left" w:pos="2736"/>
              </w:tabs>
              <w:spacing w:after="0"/>
              <w:ind w:left="55"/>
              <w:jc w:val="center"/>
              <w:rPr>
                <w:b/>
                <w:bCs/>
                <w:sz w:val="20"/>
                <w:szCs w:val="24"/>
              </w:rPr>
            </w:pPr>
            <w:r w:rsidRPr="00646E11">
              <w:rPr>
                <w:b/>
                <w:bCs/>
                <w:sz w:val="20"/>
                <w:szCs w:val="24"/>
              </w:rPr>
              <w:t>възраст</w:t>
            </w:r>
          </w:p>
        </w:tc>
        <w:tc>
          <w:tcPr>
            <w:tcW w:w="1816" w:type="dxa"/>
            <w:shd w:val="clear" w:color="auto" w:fill="D8EDFC"/>
            <w:vAlign w:val="center"/>
            <w:hideMark/>
          </w:tcPr>
          <w:p w14:paraId="318CD96C" w14:textId="77777777" w:rsidR="008C43E0" w:rsidRPr="00646E11" w:rsidRDefault="008C43E0" w:rsidP="00B5035B">
            <w:pPr>
              <w:tabs>
                <w:tab w:val="left" w:pos="2736"/>
              </w:tabs>
              <w:spacing w:after="0"/>
              <w:ind w:left="55"/>
              <w:jc w:val="center"/>
              <w:rPr>
                <w:b/>
                <w:bCs/>
                <w:sz w:val="20"/>
                <w:szCs w:val="24"/>
              </w:rPr>
            </w:pPr>
            <w:r w:rsidRPr="00646E11">
              <w:rPr>
                <w:b/>
                <w:bCs/>
                <w:sz w:val="20"/>
                <w:szCs w:val="24"/>
              </w:rPr>
              <w:t>стаж</w:t>
            </w:r>
          </w:p>
        </w:tc>
      </w:tr>
      <w:tr w:rsidR="008C43E0" w:rsidRPr="00646E11" w14:paraId="4AFE180A" w14:textId="77777777" w:rsidTr="008C43E0">
        <w:trPr>
          <w:trHeight w:val="397"/>
          <w:jc w:val="center"/>
        </w:trPr>
        <w:tc>
          <w:tcPr>
            <w:tcW w:w="1476" w:type="dxa"/>
            <w:shd w:val="clear" w:color="auto" w:fill="auto"/>
            <w:vAlign w:val="center"/>
            <w:hideMark/>
          </w:tcPr>
          <w:p w14:paraId="0D925E07" w14:textId="0AAD36A2" w:rsidR="008C43E0" w:rsidRPr="00646E11" w:rsidRDefault="008C43E0" w:rsidP="008C43E0">
            <w:pPr>
              <w:tabs>
                <w:tab w:val="left" w:pos="2736"/>
              </w:tabs>
              <w:spacing w:after="0"/>
              <w:ind w:left="55"/>
              <w:jc w:val="center"/>
              <w:rPr>
                <w:b/>
                <w:bCs/>
                <w:sz w:val="20"/>
                <w:szCs w:val="24"/>
              </w:rPr>
            </w:pPr>
            <w:r w:rsidRPr="00646E11">
              <w:rPr>
                <w:b/>
                <w:bCs/>
                <w:sz w:val="20"/>
                <w:szCs w:val="24"/>
              </w:rPr>
              <w:t>202</w:t>
            </w:r>
            <w:r>
              <w:rPr>
                <w:b/>
                <w:bCs/>
                <w:sz w:val="20"/>
                <w:szCs w:val="24"/>
              </w:rPr>
              <w:t>3</w:t>
            </w:r>
          </w:p>
        </w:tc>
        <w:tc>
          <w:tcPr>
            <w:tcW w:w="1894" w:type="dxa"/>
            <w:shd w:val="clear" w:color="auto" w:fill="auto"/>
            <w:vAlign w:val="center"/>
            <w:hideMark/>
          </w:tcPr>
          <w:p w14:paraId="432DEC2A" w14:textId="6FE1262E" w:rsidR="008C43E0" w:rsidRPr="00646E11" w:rsidRDefault="008C43E0" w:rsidP="008C43E0">
            <w:pPr>
              <w:tabs>
                <w:tab w:val="left" w:pos="2736"/>
              </w:tabs>
              <w:spacing w:after="0"/>
              <w:ind w:left="55"/>
              <w:jc w:val="center"/>
              <w:rPr>
                <w:bCs/>
                <w:sz w:val="20"/>
                <w:szCs w:val="24"/>
              </w:rPr>
            </w:pPr>
            <w:r w:rsidRPr="008C43E0">
              <w:rPr>
                <w:bCs/>
                <w:sz w:val="20"/>
                <w:szCs w:val="24"/>
              </w:rPr>
              <w:t>62 г.</w:t>
            </w:r>
          </w:p>
        </w:tc>
        <w:tc>
          <w:tcPr>
            <w:tcW w:w="1814" w:type="dxa"/>
            <w:shd w:val="clear" w:color="auto" w:fill="auto"/>
            <w:vAlign w:val="center"/>
            <w:hideMark/>
          </w:tcPr>
          <w:p w14:paraId="53C9D4E2" w14:textId="409FF3C4" w:rsidR="008C43E0" w:rsidRPr="00646E11" w:rsidRDefault="008C43E0" w:rsidP="008C43E0">
            <w:pPr>
              <w:tabs>
                <w:tab w:val="left" w:pos="2736"/>
              </w:tabs>
              <w:spacing w:after="0"/>
              <w:ind w:left="55"/>
              <w:jc w:val="center"/>
              <w:rPr>
                <w:bCs/>
                <w:sz w:val="20"/>
                <w:szCs w:val="24"/>
              </w:rPr>
            </w:pPr>
            <w:r w:rsidRPr="008C43E0">
              <w:rPr>
                <w:bCs/>
                <w:sz w:val="20"/>
                <w:szCs w:val="24"/>
              </w:rPr>
              <w:t>36 г. и 4 м.</w:t>
            </w:r>
          </w:p>
        </w:tc>
        <w:tc>
          <w:tcPr>
            <w:tcW w:w="2064" w:type="dxa"/>
            <w:shd w:val="clear" w:color="auto" w:fill="auto"/>
            <w:vAlign w:val="center"/>
            <w:hideMark/>
          </w:tcPr>
          <w:p w14:paraId="00F8C2D7" w14:textId="5EA439FF" w:rsidR="008C43E0" w:rsidRPr="00646E11" w:rsidRDefault="008C43E0" w:rsidP="008C43E0">
            <w:pPr>
              <w:tabs>
                <w:tab w:val="left" w:pos="2736"/>
              </w:tabs>
              <w:spacing w:after="0"/>
              <w:ind w:left="55"/>
              <w:jc w:val="center"/>
              <w:rPr>
                <w:bCs/>
                <w:sz w:val="20"/>
                <w:szCs w:val="24"/>
              </w:rPr>
            </w:pPr>
            <w:r w:rsidRPr="008C43E0">
              <w:rPr>
                <w:bCs/>
                <w:sz w:val="20"/>
                <w:szCs w:val="24"/>
              </w:rPr>
              <w:t>64 г. и 6 м.</w:t>
            </w:r>
          </w:p>
        </w:tc>
        <w:tc>
          <w:tcPr>
            <w:tcW w:w="1816" w:type="dxa"/>
            <w:shd w:val="clear" w:color="auto" w:fill="auto"/>
            <w:vAlign w:val="center"/>
            <w:hideMark/>
          </w:tcPr>
          <w:p w14:paraId="62575253" w14:textId="249EB02B" w:rsidR="008C43E0" w:rsidRPr="00646E11" w:rsidRDefault="008C43E0" w:rsidP="008C43E0">
            <w:pPr>
              <w:tabs>
                <w:tab w:val="left" w:pos="2736"/>
              </w:tabs>
              <w:spacing w:after="0"/>
              <w:ind w:left="55"/>
              <w:jc w:val="center"/>
              <w:rPr>
                <w:bCs/>
                <w:sz w:val="20"/>
                <w:szCs w:val="24"/>
              </w:rPr>
            </w:pPr>
            <w:r w:rsidRPr="008C43E0">
              <w:rPr>
                <w:bCs/>
                <w:sz w:val="20"/>
                <w:szCs w:val="24"/>
              </w:rPr>
              <w:t>39 г. и 4 м.</w:t>
            </w:r>
          </w:p>
        </w:tc>
      </w:tr>
      <w:tr w:rsidR="008C43E0" w:rsidRPr="00646E11" w14:paraId="639C4AF7" w14:textId="77777777" w:rsidTr="008C43E0">
        <w:trPr>
          <w:trHeight w:val="397"/>
          <w:jc w:val="center"/>
        </w:trPr>
        <w:tc>
          <w:tcPr>
            <w:tcW w:w="1476" w:type="dxa"/>
            <w:shd w:val="clear" w:color="auto" w:fill="auto"/>
            <w:vAlign w:val="center"/>
            <w:hideMark/>
          </w:tcPr>
          <w:p w14:paraId="10ED0D6E" w14:textId="7FE04A44" w:rsidR="008C43E0" w:rsidRPr="00646E11" w:rsidRDefault="008C43E0" w:rsidP="008C43E0">
            <w:pPr>
              <w:tabs>
                <w:tab w:val="left" w:pos="2736"/>
              </w:tabs>
              <w:spacing w:after="0"/>
              <w:ind w:left="55"/>
              <w:jc w:val="center"/>
              <w:rPr>
                <w:b/>
                <w:bCs/>
                <w:sz w:val="20"/>
                <w:szCs w:val="24"/>
              </w:rPr>
            </w:pPr>
            <w:r w:rsidRPr="00646E11">
              <w:rPr>
                <w:b/>
                <w:bCs/>
                <w:sz w:val="20"/>
                <w:szCs w:val="24"/>
              </w:rPr>
              <w:t>202</w:t>
            </w:r>
            <w:r>
              <w:rPr>
                <w:b/>
                <w:bCs/>
                <w:sz w:val="20"/>
                <w:szCs w:val="24"/>
              </w:rPr>
              <w:t>4</w:t>
            </w:r>
          </w:p>
        </w:tc>
        <w:tc>
          <w:tcPr>
            <w:tcW w:w="1894" w:type="dxa"/>
            <w:shd w:val="clear" w:color="auto" w:fill="auto"/>
            <w:vAlign w:val="center"/>
            <w:hideMark/>
          </w:tcPr>
          <w:p w14:paraId="7128E79C" w14:textId="4EEE7A00" w:rsidR="008C43E0" w:rsidRPr="00646E11" w:rsidRDefault="008C43E0" w:rsidP="008C43E0">
            <w:pPr>
              <w:tabs>
                <w:tab w:val="left" w:pos="2736"/>
              </w:tabs>
              <w:spacing w:after="0"/>
              <w:ind w:left="55"/>
              <w:jc w:val="center"/>
              <w:rPr>
                <w:bCs/>
                <w:sz w:val="20"/>
                <w:szCs w:val="24"/>
              </w:rPr>
            </w:pPr>
            <w:r w:rsidRPr="008C43E0">
              <w:rPr>
                <w:bCs/>
                <w:sz w:val="20"/>
                <w:szCs w:val="24"/>
              </w:rPr>
              <w:t>62 г. и 2 м.</w:t>
            </w:r>
          </w:p>
        </w:tc>
        <w:tc>
          <w:tcPr>
            <w:tcW w:w="1814" w:type="dxa"/>
            <w:shd w:val="clear" w:color="auto" w:fill="auto"/>
            <w:vAlign w:val="center"/>
            <w:hideMark/>
          </w:tcPr>
          <w:p w14:paraId="494A43C8" w14:textId="02AEDEE0" w:rsidR="008C43E0" w:rsidRPr="00646E11" w:rsidRDefault="008C43E0" w:rsidP="008C43E0">
            <w:pPr>
              <w:tabs>
                <w:tab w:val="left" w:pos="2736"/>
              </w:tabs>
              <w:spacing w:after="0"/>
              <w:ind w:left="55"/>
              <w:jc w:val="center"/>
              <w:rPr>
                <w:bCs/>
                <w:sz w:val="20"/>
                <w:szCs w:val="24"/>
              </w:rPr>
            </w:pPr>
            <w:r w:rsidRPr="008C43E0">
              <w:rPr>
                <w:bCs/>
                <w:sz w:val="20"/>
                <w:szCs w:val="24"/>
              </w:rPr>
              <w:t>36 г. и 6 м.</w:t>
            </w:r>
          </w:p>
        </w:tc>
        <w:tc>
          <w:tcPr>
            <w:tcW w:w="2064" w:type="dxa"/>
            <w:shd w:val="clear" w:color="auto" w:fill="auto"/>
            <w:vAlign w:val="center"/>
            <w:hideMark/>
          </w:tcPr>
          <w:p w14:paraId="41173017" w14:textId="3206EAB2" w:rsidR="008C43E0" w:rsidRPr="00646E11" w:rsidRDefault="008C43E0" w:rsidP="008C43E0">
            <w:pPr>
              <w:tabs>
                <w:tab w:val="left" w:pos="2736"/>
              </w:tabs>
              <w:spacing w:after="0"/>
              <w:ind w:left="55"/>
              <w:jc w:val="center"/>
              <w:rPr>
                <w:bCs/>
                <w:sz w:val="20"/>
                <w:szCs w:val="24"/>
              </w:rPr>
            </w:pPr>
            <w:r w:rsidRPr="008C43E0">
              <w:rPr>
                <w:bCs/>
                <w:sz w:val="20"/>
                <w:szCs w:val="24"/>
              </w:rPr>
              <w:t>64 г. и 7 м.</w:t>
            </w:r>
          </w:p>
        </w:tc>
        <w:tc>
          <w:tcPr>
            <w:tcW w:w="1816" w:type="dxa"/>
            <w:shd w:val="clear" w:color="auto" w:fill="auto"/>
            <w:vAlign w:val="center"/>
            <w:hideMark/>
          </w:tcPr>
          <w:p w14:paraId="319CB36E" w14:textId="4D951DD0" w:rsidR="008C43E0" w:rsidRPr="00646E11" w:rsidRDefault="008C43E0" w:rsidP="008C43E0">
            <w:pPr>
              <w:tabs>
                <w:tab w:val="left" w:pos="2736"/>
              </w:tabs>
              <w:spacing w:after="0"/>
              <w:ind w:left="55"/>
              <w:jc w:val="center"/>
              <w:rPr>
                <w:bCs/>
                <w:sz w:val="20"/>
                <w:szCs w:val="24"/>
              </w:rPr>
            </w:pPr>
            <w:r w:rsidRPr="008C43E0">
              <w:rPr>
                <w:bCs/>
                <w:sz w:val="20"/>
                <w:szCs w:val="24"/>
              </w:rPr>
              <w:t>39 г. и 6 м.</w:t>
            </w:r>
          </w:p>
        </w:tc>
      </w:tr>
      <w:tr w:rsidR="008C43E0" w:rsidRPr="00646E11" w14:paraId="1A071387" w14:textId="77777777" w:rsidTr="008C43E0">
        <w:trPr>
          <w:trHeight w:val="397"/>
          <w:jc w:val="center"/>
        </w:trPr>
        <w:tc>
          <w:tcPr>
            <w:tcW w:w="1476" w:type="dxa"/>
            <w:shd w:val="clear" w:color="auto" w:fill="auto"/>
            <w:vAlign w:val="center"/>
            <w:hideMark/>
          </w:tcPr>
          <w:p w14:paraId="7DF4D4EC" w14:textId="2A3E0649" w:rsidR="008C43E0" w:rsidRPr="00646E11" w:rsidRDefault="008C43E0" w:rsidP="008C43E0">
            <w:pPr>
              <w:tabs>
                <w:tab w:val="left" w:pos="2736"/>
              </w:tabs>
              <w:spacing w:after="0"/>
              <w:ind w:left="55"/>
              <w:jc w:val="center"/>
              <w:rPr>
                <w:b/>
                <w:bCs/>
                <w:sz w:val="20"/>
                <w:szCs w:val="24"/>
              </w:rPr>
            </w:pPr>
            <w:r w:rsidRPr="00646E11">
              <w:rPr>
                <w:b/>
                <w:bCs/>
                <w:sz w:val="20"/>
                <w:szCs w:val="24"/>
              </w:rPr>
              <w:t>202</w:t>
            </w:r>
            <w:r>
              <w:rPr>
                <w:b/>
                <w:bCs/>
                <w:sz w:val="20"/>
                <w:szCs w:val="24"/>
              </w:rPr>
              <w:t>5</w:t>
            </w:r>
          </w:p>
        </w:tc>
        <w:tc>
          <w:tcPr>
            <w:tcW w:w="1894" w:type="dxa"/>
            <w:shd w:val="clear" w:color="auto" w:fill="auto"/>
            <w:vAlign w:val="center"/>
            <w:hideMark/>
          </w:tcPr>
          <w:p w14:paraId="349950DB" w14:textId="66AB4549" w:rsidR="008C43E0" w:rsidRPr="00646E11" w:rsidRDefault="008C43E0" w:rsidP="008C43E0">
            <w:pPr>
              <w:tabs>
                <w:tab w:val="left" w:pos="2736"/>
              </w:tabs>
              <w:spacing w:after="0"/>
              <w:ind w:left="55"/>
              <w:jc w:val="center"/>
              <w:rPr>
                <w:bCs/>
                <w:sz w:val="20"/>
                <w:szCs w:val="24"/>
              </w:rPr>
            </w:pPr>
            <w:r w:rsidRPr="008C43E0">
              <w:rPr>
                <w:bCs/>
                <w:sz w:val="20"/>
                <w:szCs w:val="24"/>
              </w:rPr>
              <w:t>62 г. и 4 м.</w:t>
            </w:r>
          </w:p>
        </w:tc>
        <w:tc>
          <w:tcPr>
            <w:tcW w:w="1814" w:type="dxa"/>
            <w:shd w:val="clear" w:color="auto" w:fill="auto"/>
            <w:vAlign w:val="center"/>
            <w:hideMark/>
          </w:tcPr>
          <w:p w14:paraId="78BFA36B" w14:textId="25943FC2" w:rsidR="008C43E0" w:rsidRPr="00646E11" w:rsidRDefault="008C43E0" w:rsidP="008C43E0">
            <w:pPr>
              <w:tabs>
                <w:tab w:val="left" w:pos="2736"/>
              </w:tabs>
              <w:spacing w:after="0"/>
              <w:ind w:left="55"/>
              <w:jc w:val="center"/>
              <w:rPr>
                <w:bCs/>
                <w:sz w:val="20"/>
                <w:szCs w:val="24"/>
              </w:rPr>
            </w:pPr>
            <w:r w:rsidRPr="008C43E0">
              <w:rPr>
                <w:bCs/>
                <w:sz w:val="20"/>
                <w:szCs w:val="24"/>
              </w:rPr>
              <w:t>36 г. и 8 м.</w:t>
            </w:r>
          </w:p>
        </w:tc>
        <w:tc>
          <w:tcPr>
            <w:tcW w:w="2064" w:type="dxa"/>
            <w:shd w:val="clear" w:color="auto" w:fill="auto"/>
            <w:vAlign w:val="center"/>
            <w:hideMark/>
          </w:tcPr>
          <w:p w14:paraId="6AED331C" w14:textId="22985DE6" w:rsidR="008C43E0" w:rsidRPr="00646E11" w:rsidRDefault="008C43E0" w:rsidP="008C43E0">
            <w:pPr>
              <w:tabs>
                <w:tab w:val="left" w:pos="2736"/>
              </w:tabs>
              <w:spacing w:after="0"/>
              <w:ind w:left="55"/>
              <w:jc w:val="center"/>
              <w:rPr>
                <w:bCs/>
                <w:sz w:val="20"/>
                <w:szCs w:val="24"/>
              </w:rPr>
            </w:pPr>
            <w:r w:rsidRPr="008C43E0">
              <w:rPr>
                <w:bCs/>
                <w:sz w:val="20"/>
                <w:szCs w:val="24"/>
              </w:rPr>
              <w:t>64 г. и 8 м.</w:t>
            </w:r>
          </w:p>
        </w:tc>
        <w:tc>
          <w:tcPr>
            <w:tcW w:w="1816" w:type="dxa"/>
            <w:shd w:val="clear" w:color="auto" w:fill="auto"/>
            <w:vAlign w:val="center"/>
            <w:hideMark/>
          </w:tcPr>
          <w:p w14:paraId="28CEA119" w14:textId="08BF3BD6" w:rsidR="008C43E0" w:rsidRPr="00646E11" w:rsidRDefault="008C43E0" w:rsidP="008C43E0">
            <w:pPr>
              <w:tabs>
                <w:tab w:val="left" w:pos="2736"/>
              </w:tabs>
              <w:spacing w:after="0"/>
              <w:ind w:left="55"/>
              <w:jc w:val="center"/>
              <w:rPr>
                <w:bCs/>
                <w:sz w:val="20"/>
                <w:szCs w:val="24"/>
              </w:rPr>
            </w:pPr>
            <w:r w:rsidRPr="008C43E0">
              <w:rPr>
                <w:bCs/>
                <w:sz w:val="20"/>
                <w:szCs w:val="24"/>
              </w:rPr>
              <w:t>39 г. и 8 м.</w:t>
            </w:r>
          </w:p>
        </w:tc>
      </w:tr>
      <w:tr w:rsidR="008C43E0" w:rsidRPr="00646E11" w14:paraId="0957E75A" w14:textId="77777777" w:rsidTr="008C43E0">
        <w:trPr>
          <w:trHeight w:val="397"/>
          <w:jc w:val="center"/>
        </w:trPr>
        <w:tc>
          <w:tcPr>
            <w:tcW w:w="1476" w:type="dxa"/>
            <w:shd w:val="clear" w:color="auto" w:fill="auto"/>
            <w:vAlign w:val="center"/>
            <w:hideMark/>
          </w:tcPr>
          <w:p w14:paraId="1C84D48C" w14:textId="32266F46" w:rsidR="008C43E0" w:rsidRPr="00646E11" w:rsidRDefault="008C43E0" w:rsidP="008C43E0">
            <w:pPr>
              <w:tabs>
                <w:tab w:val="left" w:pos="2736"/>
              </w:tabs>
              <w:spacing w:after="0"/>
              <w:ind w:left="55"/>
              <w:jc w:val="center"/>
              <w:rPr>
                <w:b/>
                <w:bCs/>
                <w:sz w:val="20"/>
                <w:szCs w:val="24"/>
              </w:rPr>
            </w:pPr>
            <w:r w:rsidRPr="00646E11">
              <w:rPr>
                <w:b/>
                <w:bCs/>
                <w:sz w:val="20"/>
                <w:szCs w:val="24"/>
              </w:rPr>
              <w:t>202</w:t>
            </w:r>
            <w:r>
              <w:rPr>
                <w:b/>
                <w:bCs/>
                <w:sz w:val="20"/>
                <w:szCs w:val="24"/>
              </w:rPr>
              <w:t>6</w:t>
            </w:r>
          </w:p>
        </w:tc>
        <w:tc>
          <w:tcPr>
            <w:tcW w:w="1894" w:type="dxa"/>
            <w:shd w:val="clear" w:color="auto" w:fill="auto"/>
            <w:vAlign w:val="center"/>
            <w:hideMark/>
          </w:tcPr>
          <w:p w14:paraId="2EDAC2AC" w14:textId="04A68447" w:rsidR="008C43E0" w:rsidRPr="00646E11" w:rsidRDefault="008C43E0" w:rsidP="008C43E0">
            <w:pPr>
              <w:tabs>
                <w:tab w:val="left" w:pos="2736"/>
              </w:tabs>
              <w:spacing w:after="0"/>
              <w:ind w:left="55"/>
              <w:jc w:val="center"/>
              <w:rPr>
                <w:bCs/>
                <w:sz w:val="20"/>
                <w:szCs w:val="24"/>
              </w:rPr>
            </w:pPr>
            <w:r w:rsidRPr="008C43E0">
              <w:rPr>
                <w:bCs/>
                <w:sz w:val="20"/>
                <w:szCs w:val="24"/>
              </w:rPr>
              <w:t>62 г. и 6 м.</w:t>
            </w:r>
          </w:p>
        </w:tc>
        <w:tc>
          <w:tcPr>
            <w:tcW w:w="1814" w:type="dxa"/>
            <w:shd w:val="clear" w:color="auto" w:fill="auto"/>
            <w:vAlign w:val="center"/>
            <w:hideMark/>
          </w:tcPr>
          <w:p w14:paraId="196B02B9" w14:textId="3042A5EA" w:rsidR="008C43E0" w:rsidRPr="00646E11" w:rsidRDefault="008C43E0" w:rsidP="008C43E0">
            <w:pPr>
              <w:tabs>
                <w:tab w:val="left" w:pos="2736"/>
              </w:tabs>
              <w:spacing w:after="0"/>
              <w:ind w:left="55"/>
              <w:jc w:val="center"/>
              <w:rPr>
                <w:bCs/>
                <w:sz w:val="20"/>
                <w:szCs w:val="24"/>
              </w:rPr>
            </w:pPr>
            <w:r w:rsidRPr="008C43E0">
              <w:rPr>
                <w:bCs/>
                <w:sz w:val="20"/>
                <w:szCs w:val="24"/>
              </w:rPr>
              <w:t>36 г. и 10 м.</w:t>
            </w:r>
          </w:p>
        </w:tc>
        <w:tc>
          <w:tcPr>
            <w:tcW w:w="2064" w:type="dxa"/>
            <w:shd w:val="clear" w:color="auto" w:fill="auto"/>
            <w:vAlign w:val="center"/>
            <w:hideMark/>
          </w:tcPr>
          <w:p w14:paraId="39543C90" w14:textId="4AB82E0A" w:rsidR="008C43E0" w:rsidRPr="00646E11" w:rsidRDefault="008C43E0" w:rsidP="008C43E0">
            <w:pPr>
              <w:tabs>
                <w:tab w:val="left" w:pos="2736"/>
              </w:tabs>
              <w:spacing w:after="0"/>
              <w:ind w:left="55"/>
              <w:jc w:val="center"/>
              <w:rPr>
                <w:bCs/>
                <w:sz w:val="20"/>
                <w:szCs w:val="24"/>
              </w:rPr>
            </w:pPr>
            <w:r w:rsidRPr="008C43E0">
              <w:rPr>
                <w:bCs/>
                <w:sz w:val="20"/>
                <w:szCs w:val="24"/>
              </w:rPr>
              <w:t>64 г. и 9 м.</w:t>
            </w:r>
          </w:p>
        </w:tc>
        <w:tc>
          <w:tcPr>
            <w:tcW w:w="1816" w:type="dxa"/>
            <w:shd w:val="clear" w:color="auto" w:fill="auto"/>
            <w:vAlign w:val="center"/>
            <w:hideMark/>
          </w:tcPr>
          <w:p w14:paraId="6FA4337B" w14:textId="07906176" w:rsidR="008C43E0" w:rsidRPr="00646E11" w:rsidRDefault="008C43E0" w:rsidP="008C43E0">
            <w:pPr>
              <w:tabs>
                <w:tab w:val="left" w:pos="2736"/>
              </w:tabs>
              <w:spacing w:after="0"/>
              <w:ind w:left="55"/>
              <w:jc w:val="center"/>
              <w:rPr>
                <w:bCs/>
                <w:sz w:val="20"/>
                <w:szCs w:val="24"/>
              </w:rPr>
            </w:pPr>
            <w:r w:rsidRPr="008C43E0">
              <w:rPr>
                <w:bCs/>
                <w:sz w:val="20"/>
                <w:szCs w:val="24"/>
              </w:rPr>
              <w:t>39 г. и 10 м.</w:t>
            </w:r>
          </w:p>
        </w:tc>
      </w:tr>
    </w:tbl>
    <w:p w14:paraId="15B1AAC6" w14:textId="7DE01779" w:rsidR="00B11A79" w:rsidRPr="008C43E0" w:rsidRDefault="00B11A79" w:rsidP="008C43E0">
      <w:pPr>
        <w:pStyle w:val="a"/>
      </w:pPr>
      <w:r w:rsidRPr="008C43E0">
        <w:t>Източник: НОИ</w:t>
      </w:r>
      <w:r w:rsidR="00EC6573" w:rsidRPr="008C43E0">
        <w:t>; МФ</w:t>
      </w:r>
    </w:p>
    <w:p w14:paraId="5BF13DBA" w14:textId="15BA845B" w:rsidR="00B11A79" w:rsidRPr="00EE53B2" w:rsidRDefault="00EC6573" w:rsidP="00493D7E">
      <w:pPr>
        <w:pStyle w:val="ListParagraph"/>
        <w:numPr>
          <w:ilvl w:val="0"/>
          <w:numId w:val="31"/>
        </w:numPr>
        <w:rPr>
          <w:szCs w:val="24"/>
        </w:rPr>
      </w:pPr>
      <w:r w:rsidRPr="00EE53B2">
        <w:rPr>
          <w:rFonts w:eastAsia="Times New Roman"/>
        </w:rPr>
        <w:t>чл. 68, ал. 3 на КСО</w:t>
      </w:r>
      <w:r w:rsidR="00B552D5" w:rsidRPr="00EE53B2">
        <w:rPr>
          <w:rFonts w:eastAsia="Times New Roman"/>
        </w:rPr>
        <w:t xml:space="preserve"> – </w:t>
      </w:r>
      <w:r w:rsidRPr="00EE53B2">
        <w:rPr>
          <w:rFonts w:eastAsia="Times New Roman"/>
        </w:rPr>
        <w:t>м</w:t>
      </w:r>
      <w:r w:rsidR="00B11A79" w:rsidRPr="00EE53B2">
        <w:rPr>
          <w:szCs w:val="24"/>
        </w:rPr>
        <w:t>инималната възраст за пенсиониране при непълен стаж за трета категория труд продължава да се увеличава с по 2 месеца до достигане на 67 години през 2023</w:t>
      </w:r>
      <w:r w:rsidR="00B552D5" w:rsidRPr="00EE53B2">
        <w:rPr>
          <w:szCs w:val="24"/>
        </w:rPr>
        <w:t> г.</w:t>
      </w:r>
      <w:r w:rsidR="00B11A79" w:rsidRPr="00EE53B2">
        <w:rPr>
          <w:szCs w:val="24"/>
        </w:rPr>
        <w:t xml:space="preserve"> В периода 2024</w:t>
      </w:r>
      <w:r w:rsidR="00B552D5" w:rsidRPr="00EE53B2">
        <w:rPr>
          <w:szCs w:val="24"/>
        </w:rPr>
        <w:t xml:space="preserve"> – </w:t>
      </w:r>
      <w:r w:rsidR="00B11A79" w:rsidRPr="00EE53B2">
        <w:rPr>
          <w:szCs w:val="24"/>
        </w:rPr>
        <w:t>2026</w:t>
      </w:r>
      <w:r w:rsidR="00B552D5" w:rsidRPr="00EE53B2">
        <w:rPr>
          <w:szCs w:val="24"/>
        </w:rPr>
        <w:t> г.</w:t>
      </w:r>
      <w:r w:rsidR="00B11A79" w:rsidRPr="00EE53B2">
        <w:rPr>
          <w:szCs w:val="24"/>
        </w:rPr>
        <w:t xml:space="preserve"> пенсионната възраст се запазва на достигнатото през 2023</w:t>
      </w:r>
      <w:r w:rsidR="00B552D5" w:rsidRPr="00EE53B2">
        <w:rPr>
          <w:szCs w:val="24"/>
        </w:rPr>
        <w:t> г.</w:t>
      </w:r>
      <w:r w:rsidR="00B11A79" w:rsidRPr="00EE53B2">
        <w:rPr>
          <w:szCs w:val="24"/>
        </w:rPr>
        <w:t xml:space="preserve"> ниво.</w:t>
      </w:r>
    </w:p>
    <w:p w14:paraId="50D9F391" w14:textId="0CFD1778" w:rsidR="00B11A79" w:rsidRPr="00EE53B2" w:rsidRDefault="00EC6573" w:rsidP="00493D7E">
      <w:pPr>
        <w:pStyle w:val="ListParagraph"/>
        <w:numPr>
          <w:ilvl w:val="0"/>
          <w:numId w:val="31"/>
        </w:numPr>
        <w:rPr>
          <w:szCs w:val="24"/>
        </w:rPr>
      </w:pPr>
      <w:r w:rsidRPr="00EE53B2">
        <w:rPr>
          <w:rFonts w:eastAsia="Times New Roman"/>
        </w:rPr>
        <w:t>чл. 69, ал. 1, 2, 3, 5, 5а и 6 на КСО – м</w:t>
      </w:r>
      <w:r w:rsidR="00B11A79" w:rsidRPr="00EE53B2">
        <w:rPr>
          <w:szCs w:val="24"/>
        </w:rPr>
        <w:t>инималната възраст за пенсиониране на работещите в сектор „Сигурност” продължава да се увеличава с по 2 месеца до достигане на 54 години и 6 месеца в 2026</w:t>
      </w:r>
      <w:r w:rsidR="00B552D5" w:rsidRPr="00EE53B2">
        <w:rPr>
          <w:szCs w:val="24"/>
        </w:rPr>
        <w:t> г.</w:t>
      </w:r>
    </w:p>
    <w:p w14:paraId="5461EA33" w14:textId="1F41AE91" w:rsidR="00B11A79" w:rsidRPr="00EE53B2" w:rsidRDefault="003038C1" w:rsidP="00493D7E">
      <w:pPr>
        <w:pStyle w:val="ListParagraph"/>
        <w:numPr>
          <w:ilvl w:val="0"/>
          <w:numId w:val="31"/>
        </w:numPr>
        <w:rPr>
          <w:szCs w:val="24"/>
        </w:rPr>
      </w:pPr>
      <w:r w:rsidRPr="00EE53B2">
        <w:rPr>
          <w:rFonts w:eastAsia="Times New Roman"/>
        </w:rPr>
        <w:t>чл. 69б</w:t>
      </w:r>
      <w:r w:rsidR="00B552D5" w:rsidRPr="00EE53B2">
        <w:rPr>
          <w:rFonts w:eastAsia="Times New Roman"/>
        </w:rPr>
        <w:t xml:space="preserve"> – </w:t>
      </w:r>
      <w:r w:rsidRPr="00EE53B2">
        <w:rPr>
          <w:rFonts w:eastAsia="Times New Roman"/>
        </w:rPr>
        <w:t>м</w:t>
      </w:r>
      <w:r w:rsidR="00B11A79" w:rsidRPr="00EE53B2">
        <w:rPr>
          <w:szCs w:val="24"/>
        </w:rPr>
        <w:t>инималната възраст за пенсиониране на лицата, работили при условията на първа и втора категория труд, които не отговарят на условията за пенсиониране от професионален пенсионен фонд по чл. 168 на КСО или са променили осигуряването си по чл. 4в на КСО, продължава да се увеличава с по 4 месеца за жените и с по 2 месеца за мъжете до достигане в 2026</w:t>
      </w:r>
      <w:r w:rsidR="00B552D5" w:rsidRPr="00EE53B2">
        <w:rPr>
          <w:szCs w:val="24"/>
        </w:rPr>
        <w:t> г.</w:t>
      </w:r>
      <w:r w:rsidR="00B11A79" w:rsidRPr="00EE53B2">
        <w:rPr>
          <w:szCs w:val="24"/>
        </w:rPr>
        <w:t xml:space="preserve"> на 51 години и 4 месеца за жените и 54 години и 6 месеца за мъжете от първа категория и на 56 години и 4 месеца за жените и 59 години и 6 месеца за мъжете от втора категория труд. </w:t>
      </w:r>
    </w:p>
    <w:p w14:paraId="4B628F47" w14:textId="71A2B0F4" w:rsidR="00B11A79" w:rsidRPr="00EE53B2" w:rsidRDefault="00B11A79" w:rsidP="00493D7E">
      <w:pPr>
        <w:pStyle w:val="ListParagraph"/>
        <w:numPr>
          <w:ilvl w:val="0"/>
          <w:numId w:val="31"/>
        </w:numPr>
        <w:rPr>
          <w:szCs w:val="24"/>
        </w:rPr>
      </w:pPr>
      <w:r w:rsidRPr="00EE53B2">
        <w:rPr>
          <w:szCs w:val="24"/>
        </w:rPr>
        <w:t>В периода 2023 – 2026</w:t>
      </w:r>
      <w:r w:rsidR="00B552D5" w:rsidRPr="00EE53B2">
        <w:rPr>
          <w:szCs w:val="24"/>
        </w:rPr>
        <w:t> г.</w:t>
      </w:r>
      <w:r w:rsidRPr="00EE53B2">
        <w:rPr>
          <w:szCs w:val="24"/>
        </w:rPr>
        <w:t xml:space="preserve"> е предвидено пенсиите за трудова дейност, отпуснати до 31 декември на предходната година, да се осъвременяват от 1 юли на съответната година по чл. 100 от КСО (т.нар. „швейцарско правило”) с процент, равен на сбора от 50 на сто от нарастването на осигурителния доход и 50 на сто от индекса на потребителските цени през предходната календарна година. Със същите проценти от 1 юли на съответната година се увеличават и размерите на минималната пенсия за осигурителен стаж и възраст и на социалната пенсия за старост, както и на свързаните с тях пенсии и добавки.</w:t>
      </w:r>
    </w:p>
    <w:p w14:paraId="1F1F6E16" w14:textId="77777777" w:rsidR="00B11A79" w:rsidRDefault="00B11A79" w:rsidP="00EE53B2">
      <w:r>
        <w:t>Очакваният ефект върху разходите за пенсии е както следва:</w:t>
      </w:r>
    </w:p>
    <w:p w14:paraId="13CF0CEC" w14:textId="06BE6B23" w:rsidR="00B11A79" w:rsidRDefault="00B11A79" w:rsidP="00493D7E">
      <w:pPr>
        <w:pStyle w:val="ListParagraph2"/>
        <w:numPr>
          <w:ilvl w:val="0"/>
          <w:numId w:val="32"/>
        </w:numPr>
        <w:ind w:left="360"/>
        <w:rPr>
          <w:szCs w:val="24"/>
        </w:rPr>
      </w:pPr>
      <w:r>
        <w:rPr>
          <w:szCs w:val="24"/>
        </w:rPr>
        <w:t>за 2023</w:t>
      </w:r>
      <w:r w:rsidR="00B552D5">
        <w:rPr>
          <w:szCs w:val="24"/>
        </w:rPr>
        <w:t> г.</w:t>
      </w:r>
      <w:r>
        <w:rPr>
          <w:szCs w:val="24"/>
        </w:rPr>
        <w:t xml:space="preserve"> – пенсиите за трудова дейност, отпуснати до 31 декември</w:t>
      </w:r>
      <w:r w:rsidR="0005652B">
        <w:rPr>
          <w:szCs w:val="24"/>
        </w:rPr>
        <w:t xml:space="preserve"> </w:t>
      </w:r>
      <w:r>
        <w:rPr>
          <w:szCs w:val="24"/>
        </w:rPr>
        <w:t>2022</w:t>
      </w:r>
      <w:r w:rsidR="00B552D5">
        <w:rPr>
          <w:szCs w:val="24"/>
        </w:rPr>
        <w:t> г.</w:t>
      </w:r>
      <w:r>
        <w:rPr>
          <w:szCs w:val="24"/>
        </w:rPr>
        <w:t>, както и пенсиите, несвързани с трудова дейност, е предвидено да се осъвременят от 1 юли 2023</w:t>
      </w:r>
      <w:r w:rsidR="00B552D5">
        <w:rPr>
          <w:szCs w:val="24"/>
        </w:rPr>
        <w:t> г.</w:t>
      </w:r>
      <w:r>
        <w:rPr>
          <w:szCs w:val="24"/>
        </w:rPr>
        <w:t xml:space="preserve"> с 12,0 на сто (процент, определен по чл. 100 от КСО), като необходимите средства са в размер на 1147,2 млн. лв.;</w:t>
      </w:r>
    </w:p>
    <w:p w14:paraId="092F85CA" w14:textId="220BA111" w:rsidR="00B11A79" w:rsidRDefault="00B11A79" w:rsidP="00493D7E">
      <w:pPr>
        <w:pStyle w:val="ListParagraph2"/>
        <w:numPr>
          <w:ilvl w:val="0"/>
          <w:numId w:val="32"/>
        </w:numPr>
        <w:ind w:left="360"/>
        <w:rPr>
          <w:szCs w:val="24"/>
        </w:rPr>
      </w:pPr>
      <w:r>
        <w:rPr>
          <w:szCs w:val="24"/>
        </w:rPr>
        <w:t>за 2024</w:t>
      </w:r>
      <w:r w:rsidR="00B552D5">
        <w:rPr>
          <w:szCs w:val="24"/>
        </w:rPr>
        <w:t> г.</w:t>
      </w:r>
      <w:r>
        <w:rPr>
          <w:szCs w:val="24"/>
        </w:rPr>
        <w:t xml:space="preserve"> </w:t>
      </w:r>
      <w:bookmarkStart w:id="88" w:name="_Hlk99974981"/>
      <w:r>
        <w:rPr>
          <w:szCs w:val="24"/>
        </w:rPr>
        <w:t xml:space="preserve">– </w:t>
      </w:r>
      <w:bookmarkEnd w:id="88"/>
      <w:r>
        <w:rPr>
          <w:szCs w:val="24"/>
        </w:rPr>
        <w:t>пенсиите за трудова дейност, отпуснати до 31 декември 2023</w:t>
      </w:r>
      <w:r w:rsidR="00B552D5">
        <w:rPr>
          <w:szCs w:val="24"/>
        </w:rPr>
        <w:t> г.</w:t>
      </w:r>
      <w:r>
        <w:rPr>
          <w:szCs w:val="24"/>
        </w:rPr>
        <w:t>, както и пенсиите, несвързани с трудова дейност, е предвидено да се осъвременят от 1 юли 2024</w:t>
      </w:r>
      <w:r w:rsidR="00B552D5">
        <w:rPr>
          <w:szCs w:val="24"/>
        </w:rPr>
        <w:t> г.</w:t>
      </w:r>
      <w:r>
        <w:rPr>
          <w:szCs w:val="24"/>
        </w:rPr>
        <w:t xml:space="preserve"> с 9,6 на сто (процент, определен по чл. 100 от КСО), като необходимите средства са в размер на 1010,7 млн. лв.;</w:t>
      </w:r>
    </w:p>
    <w:p w14:paraId="7F2C57DE" w14:textId="6A8EBF07" w:rsidR="00B11A79" w:rsidRDefault="00B11A79" w:rsidP="00493D7E">
      <w:pPr>
        <w:pStyle w:val="ListParagraph2"/>
        <w:numPr>
          <w:ilvl w:val="0"/>
          <w:numId w:val="32"/>
        </w:numPr>
        <w:ind w:left="360"/>
        <w:rPr>
          <w:szCs w:val="24"/>
        </w:rPr>
      </w:pPr>
      <w:r>
        <w:rPr>
          <w:szCs w:val="24"/>
        </w:rPr>
        <w:t>за 2025</w:t>
      </w:r>
      <w:r w:rsidR="00B552D5">
        <w:rPr>
          <w:szCs w:val="24"/>
        </w:rPr>
        <w:t> г.</w:t>
      </w:r>
      <w:r>
        <w:rPr>
          <w:szCs w:val="24"/>
        </w:rPr>
        <w:t xml:space="preserve"> – пенсиите за трудова дейност, отпуснати до 31 декември</w:t>
      </w:r>
      <w:r w:rsidR="00373018">
        <w:rPr>
          <w:szCs w:val="24"/>
        </w:rPr>
        <w:t xml:space="preserve"> </w:t>
      </w:r>
      <w:r>
        <w:rPr>
          <w:szCs w:val="24"/>
        </w:rPr>
        <w:t>2024</w:t>
      </w:r>
      <w:r w:rsidR="00B552D5">
        <w:rPr>
          <w:szCs w:val="24"/>
        </w:rPr>
        <w:t> г.</w:t>
      </w:r>
      <w:r>
        <w:rPr>
          <w:szCs w:val="24"/>
        </w:rPr>
        <w:t xml:space="preserve">, както и пенсиите, несвързани с трудова дейност, е предвидено да се осъвременят от 1 юли </w:t>
      </w:r>
      <w:r>
        <w:rPr>
          <w:szCs w:val="24"/>
        </w:rPr>
        <w:lastRenderedPageBreak/>
        <w:t>2025</w:t>
      </w:r>
      <w:r w:rsidR="00B552D5">
        <w:rPr>
          <w:szCs w:val="24"/>
        </w:rPr>
        <w:t> г.</w:t>
      </w:r>
      <w:r>
        <w:rPr>
          <w:szCs w:val="24"/>
        </w:rPr>
        <w:t xml:space="preserve"> със 7,6 на сто (процент, определен по чл. 100 от КСО), като необходимите средства са в размер на 816,0 млн. лв.;</w:t>
      </w:r>
    </w:p>
    <w:p w14:paraId="6333D668" w14:textId="22B5AC19" w:rsidR="00B11A79" w:rsidRDefault="00B11A79" w:rsidP="00493D7E">
      <w:pPr>
        <w:pStyle w:val="ListParagraph2"/>
        <w:numPr>
          <w:ilvl w:val="0"/>
          <w:numId w:val="32"/>
        </w:numPr>
        <w:ind w:left="360"/>
        <w:rPr>
          <w:szCs w:val="24"/>
        </w:rPr>
      </w:pPr>
      <w:r>
        <w:rPr>
          <w:szCs w:val="24"/>
        </w:rPr>
        <w:t>за 2026</w:t>
      </w:r>
      <w:r w:rsidR="00B552D5">
        <w:rPr>
          <w:szCs w:val="24"/>
        </w:rPr>
        <w:t> г.</w:t>
      </w:r>
      <w:r>
        <w:rPr>
          <w:szCs w:val="24"/>
        </w:rPr>
        <w:t xml:space="preserve"> – пенсиите за трудова дейност, отпуснати до 31 декември 2025</w:t>
      </w:r>
      <w:r w:rsidR="00B552D5">
        <w:rPr>
          <w:szCs w:val="24"/>
        </w:rPr>
        <w:t> г.</w:t>
      </w:r>
      <w:r>
        <w:rPr>
          <w:szCs w:val="24"/>
        </w:rPr>
        <w:t>, както и пенсиите, несвързани с трудова дейност, е предвидено да се осъвременят от 1 юли 2026</w:t>
      </w:r>
      <w:r w:rsidR="00B552D5">
        <w:rPr>
          <w:szCs w:val="24"/>
        </w:rPr>
        <w:t> г.</w:t>
      </w:r>
      <w:r>
        <w:rPr>
          <w:szCs w:val="24"/>
        </w:rPr>
        <w:t xml:space="preserve"> с 5,4 на сто (процент, определен по чл. 100 от КСО), като необходимите средства са в размер на 681,3 млн. лв.</w:t>
      </w:r>
    </w:p>
    <w:p w14:paraId="04D402B0" w14:textId="06613738" w:rsidR="00B11A79" w:rsidRPr="00EE53B2" w:rsidRDefault="00B11A79" w:rsidP="00493D7E">
      <w:pPr>
        <w:pStyle w:val="ListParagraph"/>
        <w:numPr>
          <w:ilvl w:val="0"/>
          <w:numId w:val="32"/>
        </w:numPr>
        <w:ind w:left="360"/>
        <w:rPr>
          <w:szCs w:val="24"/>
        </w:rPr>
      </w:pPr>
      <w:r w:rsidRPr="00EE53B2">
        <w:rPr>
          <w:szCs w:val="24"/>
        </w:rPr>
        <w:t>Максималният размер на получаваните една или повече пенсии за периода 2023 – 2026</w:t>
      </w:r>
      <w:r w:rsidR="00B552D5" w:rsidRPr="00EE53B2">
        <w:rPr>
          <w:szCs w:val="24"/>
        </w:rPr>
        <w:t> г.</w:t>
      </w:r>
      <w:r w:rsidRPr="00EE53B2">
        <w:rPr>
          <w:szCs w:val="24"/>
        </w:rPr>
        <w:t xml:space="preserve"> се запазва в размер на 3 400 лв. (в сила от 1 октомври 2022</w:t>
      </w:r>
      <w:r w:rsidR="00B552D5" w:rsidRPr="00EE53B2">
        <w:rPr>
          <w:szCs w:val="24"/>
        </w:rPr>
        <w:t> г.</w:t>
      </w:r>
      <w:r w:rsidRPr="00EE53B2">
        <w:rPr>
          <w:szCs w:val="24"/>
        </w:rPr>
        <w:t>), като се прилага за всички пенсии, без оглед на началната дата на отпускането им.</w:t>
      </w:r>
    </w:p>
    <w:p w14:paraId="3A421152" w14:textId="62CD43DE" w:rsidR="003038C1" w:rsidRPr="00EE53B2" w:rsidRDefault="003038C1" w:rsidP="00493D7E">
      <w:pPr>
        <w:pStyle w:val="ListParagraph"/>
        <w:numPr>
          <w:ilvl w:val="0"/>
          <w:numId w:val="32"/>
        </w:numPr>
        <w:ind w:left="360"/>
        <w:rPr>
          <w:szCs w:val="24"/>
        </w:rPr>
      </w:pPr>
      <w:r w:rsidRPr="003D4DBD">
        <w:t xml:space="preserve">В периода </w:t>
      </w:r>
      <w:r w:rsidR="00B552D5">
        <w:t>2023–2026 г.</w:t>
      </w:r>
      <w:r w:rsidRPr="003D4DBD">
        <w:t xml:space="preserve"> е предвидено размерите на минималната пенсия за осигурителен стаж и възраст и на социалната пенсия за старост, както и на свързаните с тях пенсии и добавки, да се увеличават с процентите по чл. 100 на КСО, считано от 1 юли;</w:t>
      </w:r>
    </w:p>
    <w:p w14:paraId="5477DB33" w14:textId="509E2A6F" w:rsidR="00B11A79" w:rsidRPr="008C43E0" w:rsidRDefault="00B11A79" w:rsidP="00493D7E">
      <w:pPr>
        <w:pStyle w:val="ListParagraph"/>
        <w:numPr>
          <w:ilvl w:val="0"/>
          <w:numId w:val="32"/>
        </w:numPr>
        <w:ind w:left="360"/>
      </w:pPr>
      <w:r w:rsidRPr="008C43E0">
        <w:t>В рамките на референтната средносрочна програма разходи</w:t>
      </w:r>
      <w:r w:rsidR="00C47A1A">
        <w:t>те</w:t>
      </w:r>
      <w:r w:rsidRPr="008C43E0">
        <w:t xml:space="preserve"> за пенсии и добавки остават на нива между 10,4% и 11,0% от БВП.</w:t>
      </w:r>
    </w:p>
    <w:p w14:paraId="062653CB" w14:textId="562C53DF" w:rsidR="003038C1" w:rsidRPr="00CB726C" w:rsidRDefault="003038C1" w:rsidP="00CB726C">
      <w:pPr>
        <w:rPr>
          <w:szCs w:val="24"/>
        </w:rPr>
      </w:pPr>
      <w:r w:rsidRPr="003D4DBD">
        <w:t>В резултат на посочените по-горе допускания за 2023</w:t>
      </w:r>
      <w:r w:rsidR="00B552D5">
        <w:t> г.</w:t>
      </w:r>
      <w:r w:rsidRPr="003D4DBD">
        <w:t xml:space="preserve"> разходите за пенсии по бюджета на ДОО нарастват с 3</w:t>
      </w:r>
      <w:r>
        <w:t> </w:t>
      </w:r>
      <w:r w:rsidRPr="003D4DBD">
        <w:t>657</w:t>
      </w:r>
      <w:r w:rsidRPr="00CB726C">
        <w:rPr>
          <w:lang w:val="en-US"/>
        </w:rPr>
        <w:t>.</w:t>
      </w:r>
      <w:r w:rsidRPr="003D4DBD">
        <w:t>4 млн. лв. спрямо закона за 2022</w:t>
      </w:r>
      <w:r w:rsidR="00B552D5">
        <w:t> г.</w:t>
      </w:r>
      <w:r w:rsidRPr="003D4DBD">
        <w:t xml:space="preserve"> </w:t>
      </w:r>
    </w:p>
    <w:p w14:paraId="32810E27" w14:textId="12D5BE65" w:rsidR="003038C1" w:rsidRPr="008C43E0" w:rsidRDefault="003038C1" w:rsidP="003038C1">
      <w:pPr>
        <w:pStyle w:val="ListParagraph"/>
        <w:rPr>
          <w:spacing w:val="-2"/>
          <w:lang w:val="en-US"/>
        </w:rPr>
      </w:pPr>
      <w:r w:rsidRPr="008C43E0">
        <w:rPr>
          <w:spacing w:val="-2"/>
        </w:rPr>
        <w:t>През 2024</w:t>
      </w:r>
      <w:r w:rsidR="00B552D5" w:rsidRPr="008C43E0">
        <w:rPr>
          <w:spacing w:val="-2"/>
        </w:rPr>
        <w:t> г.</w:t>
      </w:r>
      <w:r w:rsidRPr="008C43E0">
        <w:rPr>
          <w:spacing w:val="-2"/>
        </w:rPr>
        <w:t>, 2025</w:t>
      </w:r>
      <w:r w:rsidR="00B552D5" w:rsidRPr="008C43E0">
        <w:rPr>
          <w:spacing w:val="-2"/>
        </w:rPr>
        <w:t> г.</w:t>
      </w:r>
      <w:r w:rsidRPr="008C43E0">
        <w:rPr>
          <w:spacing w:val="-2"/>
        </w:rPr>
        <w:t xml:space="preserve"> и 2026</w:t>
      </w:r>
      <w:r w:rsidR="00B552D5" w:rsidRPr="008C43E0">
        <w:rPr>
          <w:spacing w:val="-2"/>
        </w:rPr>
        <w:t> г.</w:t>
      </w:r>
      <w:r w:rsidRPr="008C43E0">
        <w:rPr>
          <w:spacing w:val="-2"/>
        </w:rPr>
        <w:t xml:space="preserve"> ръстовете в разходите за пенсии по бюджета на ДОО спрямо предходната година са съответно 2 145</w:t>
      </w:r>
      <w:r w:rsidRPr="008C43E0">
        <w:rPr>
          <w:spacing w:val="-2"/>
          <w:lang w:val="en-US"/>
        </w:rPr>
        <w:t>.</w:t>
      </w:r>
      <w:r w:rsidR="00251736">
        <w:rPr>
          <w:spacing w:val="-2"/>
        </w:rPr>
        <w:t>9 млн. лв.</w:t>
      </w:r>
      <w:r w:rsidRPr="008C43E0">
        <w:rPr>
          <w:spacing w:val="-2"/>
        </w:rPr>
        <w:t>, 1 812</w:t>
      </w:r>
      <w:r w:rsidRPr="008C43E0">
        <w:rPr>
          <w:spacing w:val="-2"/>
          <w:lang w:val="en-US"/>
        </w:rPr>
        <w:t>.</w:t>
      </w:r>
      <w:r w:rsidRPr="008C43E0">
        <w:rPr>
          <w:spacing w:val="-2"/>
        </w:rPr>
        <w:t>3 млн. лв. и 1 481</w:t>
      </w:r>
      <w:r w:rsidRPr="008C43E0">
        <w:rPr>
          <w:spacing w:val="-2"/>
          <w:lang w:val="en-US"/>
        </w:rPr>
        <w:t>.</w:t>
      </w:r>
      <w:r w:rsidRPr="008C43E0">
        <w:rPr>
          <w:spacing w:val="-2"/>
        </w:rPr>
        <w:t>7 млн. лв.</w:t>
      </w:r>
    </w:p>
    <w:p w14:paraId="15211563" w14:textId="57970896" w:rsidR="00B11A79" w:rsidRDefault="00B11A79" w:rsidP="00EE53B2">
      <w:pPr>
        <w:pStyle w:val="Caption"/>
      </w:pPr>
      <w:r w:rsidRPr="00EE53B2">
        <w:t>Табл</w:t>
      </w:r>
      <w:r w:rsidR="00251736">
        <w:t>.</w:t>
      </w:r>
      <w:r w:rsidRPr="00EE53B2">
        <w:t xml:space="preserve"> </w:t>
      </w:r>
      <w:r w:rsidR="00253843" w:rsidRPr="00EE53B2">
        <w:t>3-</w:t>
      </w:r>
      <w:r w:rsidR="003038C1" w:rsidRPr="00EE53B2">
        <w:t>3</w:t>
      </w:r>
      <w:r w:rsidRPr="00EE53B2">
        <w:t xml:space="preserve">: </w:t>
      </w:r>
      <w:r w:rsidR="00EE53B2" w:rsidRPr="00EE53B2">
        <w:tab/>
      </w:r>
      <w:r w:rsidRPr="00EE53B2">
        <w:t>Прогнозни разходи за пенсии и добавки, 2023–2026</w:t>
      </w:r>
      <w:r w:rsidR="00B552D5" w:rsidRPr="00EE53B2">
        <w:t> г.</w:t>
      </w:r>
    </w:p>
    <w:tbl>
      <w:tblPr>
        <w:tblStyle w:val="TableGrid7"/>
        <w:tblW w:w="9072" w:type="dxa"/>
        <w:jc w:val="center"/>
        <w:tblInd w:w="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2217"/>
        <w:gridCol w:w="3433"/>
        <w:gridCol w:w="3422"/>
      </w:tblGrid>
      <w:tr w:rsidR="008C43E0" w:rsidRPr="00646E11" w14:paraId="313A7434" w14:textId="77777777" w:rsidTr="000C3504">
        <w:trPr>
          <w:trHeight w:val="397"/>
          <w:jc w:val="center"/>
        </w:trPr>
        <w:tc>
          <w:tcPr>
            <w:tcW w:w="2217" w:type="dxa"/>
            <w:vMerge w:val="restart"/>
            <w:shd w:val="clear" w:color="auto" w:fill="D8EDFC"/>
            <w:vAlign w:val="center"/>
            <w:hideMark/>
          </w:tcPr>
          <w:p w14:paraId="072CB978" w14:textId="77777777" w:rsidR="008C43E0" w:rsidRPr="00646E11" w:rsidRDefault="008C43E0" w:rsidP="00B5035B">
            <w:pPr>
              <w:tabs>
                <w:tab w:val="left" w:pos="2736"/>
              </w:tabs>
              <w:spacing w:after="0"/>
              <w:ind w:left="55"/>
              <w:jc w:val="center"/>
              <w:rPr>
                <w:rFonts w:eastAsia="MS Mincho"/>
                <w:b/>
                <w:bCs/>
                <w:sz w:val="20"/>
                <w:szCs w:val="24"/>
                <w:lang w:eastAsia="bg-BG"/>
              </w:rPr>
            </w:pPr>
            <w:r w:rsidRPr="00646E11">
              <w:rPr>
                <w:rFonts w:eastAsia="MS Mincho"/>
                <w:b/>
                <w:bCs/>
                <w:sz w:val="20"/>
                <w:szCs w:val="24"/>
                <w:lang w:eastAsia="bg-BG"/>
              </w:rPr>
              <w:t>година</w:t>
            </w:r>
          </w:p>
        </w:tc>
        <w:tc>
          <w:tcPr>
            <w:tcW w:w="6855" w:type="dxa"/>
            <w:gridSpan w:val="2"/>
            <w:shd w:val="clear" w:color="auto" w:fill="D8EDFC"/>
            <w:vAlign w:val="center"/>
            <w:hideMark/>
          </w:tcPr>
          <w:p w14:paraId="59D3E664" w14:textId="77777777" w:rsidR="008C43E0" w:rsidRPr="00646E11" w:rsidRDefault="008C43E0" w:rsidP="00B5035B">
            <w:pPr>
              <w:tabs>
                <w:tab w:val="left" w:pos="2736"/>
              </w:tabs>
              <w:spacing w:after="0"/>
              <w:ind w:left="55"/>
              <w:jc w:val="center"/>
              <w:rPr>
                <w:rFonts w:eastAsia="MS Mincho"/>
                <w:b/>
                <w:bCs/>
                <w:sz w:val="20"/>
                <w:szCs w:val="24"/>
                <w:lang w:eastAsia="bg-BG"/>
              </w:rPr>
            </w:pPr>
            <w:r w:rsidRPr="00646E11">
              <w:rPr>
                <w:rFonts w:eastAsia="MS Mincho"/>
                <w:b/>
                <w:bCs/>
                <w:sz w:val="20"/>
                <w:szCs w:val="24"/>
                <w:lang w:eastAsia="bg-BG"/>
              </w:rPr>
              <w:t>Разходи за пенсии</w:t>
            </w:r>
          </w:p>
        </w:tc>
      </w:tr>
      <w:tr w:rsidR="008C43E0" w:rsidRPr="00646E11" w14:paraId="7CA16BC4" w14:textId="77777777" w:rsidTr="000C3504">
        <w:trPr>
          <w:trHeight w:val="397"/>
          <w:jc w:val="center"/>
        </w:trPr>
        <w:tc>
          <w:tcPr>
            <w:tcW w:w="0" w:type="auto"/>
            <w:vMerge/>
            <w:shd w:val="clear" w:color="auto" w:fill="D8EDFC"/>
            <w:vAlign w:val="center"/>
            <w:hideMark/>
          </w:tcPr>
          <w:p w14:paraId="2A88BB9E" w14:textId="77777777" w:rsidR="008C43E0" w:rsidRPr="00646E11" w:rsidRDefault="008C43E0" w:rsidP="00B5035B">
            <w:pPr>
              <w:tabs>
                <w:tab w:val="left" w:pos="2736"/>
              </w:tabs>
              <w:spacing w:after="0"/>
              <w:ind w:left="55"/>
              <w:jc w:val="center"/>
              <w:rPr>
                <w:rFonts w:eastAsia="MS Mincho"/>
                <w:b/>
                <w:bCs/>
                <w:sz w:val="20"/>
                <w:szCs w:val="24"/>
              </w:rPr>
            </w:pPr>
          </w:p>
        </w:tc>
        <w:tc>
          <w:tcPr>
            <w:tcW w:w="3433" w:type="dxa"/>
            <w:shd w:val="clear" w:color="auto" w:fill="D8EDFC"/>
            <w:vAlign w:val="center"/>
            <w:hideMark/>
          </w:tcPr>
          <w:p w14:paraId="5A92763C" w14:textId="77777777" w:rsidR="008C43E0" w:rsidRPr="00646E11" w:rsidRDefault="008C43E0" w:rsidP="00B5035B">
            <w:pPr>
              <w:pStyle w:val="tabletextleft"/>
              <w:tabs>
                <w:tab w:val="left" w:pos="2736"/>
              </w:tabs>
              <w:ind w:left="55"/>
              <w:jc w:val="center"/>
              <w:rPr>
                <w:b/>
                <w:bCs/>
                <w:sz w:val="20"/>
                <w:szCs w:val="24"/>
              </w:rPr>
            </w:pPr>
            <w:r w:rsidRPr="00646E11">
              <w:rPr>
                <w:b/>
                <w:bCs/>
                <w:sz w:val="20"/>
                <w:szCs w:val="24"/>
              </w:rPr>
              <w:t>млн. лв.</w:t>
            </w:r>
          </w:p>
        </w:tc>
        <w:tc>
          <w:tcPr>
            <w:tcW w:w="3422" w:type="dxa"/>
            <w:shd w:val="clear" w:color="auto" w:fill="D8EDFC"/>
            <w:vAlign w:val="center"/>
            <w:hideMark/>
          </w:tcPr>
          <w:p w14:paraId="3FCED3D5" w14:textId="77777777" w:rsidR="008C43E0" w:rsidRPr="00646E11" w:rsidRDefault="008C43E0" w:rsidP="00B5035B">
            <w:pPr>
              <w:pStyle w:val="tabletextleft"/>
              <w:tabs>
                <w:tab w:val="left" w:pos="2736"/>
              </w:tabs>
              <w:ind w:left="55"/>
              <w:jc w:val="center"/>
              <w:rPr>
                <w:b/>
                <w:bCs/>
                <w:sz w:val="20"/>
                <w:szCs w:val="24"/>
              </w:rPr>
            </w:pPr>
            <w:r w:rsidRPr="00646E11">
              <w:rPr>
                <w:b/>
                <w:bCs/>
                <w:sz w:val="20"/>
                <w:szCs w:val="24"/>
              </w:rPr>
              <w:t>% от БВП</w:t>
            </w:r>
          </w:p>
        </w:tc>
      </w:tr>
      <w:tr w:rsidR="008C43E0" w:rsidRPr="008C43E0" w14:paraId="0DE32435" w14:textId="77777777" w:rsidTr="000C3504">
        <w:trPr>
          <w:trHeight w:val="397"/>
          <w:jc w:val="center"/>
        </w:trPr>
        <w:tc>
          <w:tcPr>
            <w:tcW w:w="2217" w:type="dxa"/>
            <w:vAlign w:val="center"/>
            <w:hideMark/>
          </w:tcPr>
          <w:p w14:paraId="57B032CA" w14:textId="5419A937" w:rsidR="008C43E0" w:rsidRPr="00646E11" w:rsidRDefault="008C43E0" w:rsidP="008C43E0">
            <w:pPr>
              <w:tabs>
                <w:tab w:val="left" w:pos="2736"/>
              </w:tabs>
              <w:spacing w:after="0"/>
              <w:ind w:left="55"/>
              <w:jc w:val="center"/>
              <w:rPr>
                <w:rFonts w:eastAsia="MS Mincho"/>
                <w:bCs/>
                <w:sz w:val="20"/>
                <w:szCs w:val="24"/>
                <w:lang w:eastAsia="bg-BG"/>
              </w:rPr>
            </w:pPr>
            <w:r w:rsidRPr="00646E11">
              <w:rPr>
                <w:rFonts w:eastAsia="MS Mincho"/>
                <w:bCs/>
                <w:sz w:val="20"/>
                <w:szCs w:val="24"/>
                <w:lang w:eastAsia="bg-BG"/>
              </w:rPr>
              <w:t>202</w:t>
            </w:r>
            <w:r>
              <w:rPr>
                <w:rFonts w:eastAsia="MS Mincho"/>
                <w:bCs/>
                <w:sz w:val="20"/>
                <w:szCs w:val="24"/>
                <w:lang w:eastAsia="bg-BG"/>
              </w:rPr>
              <w:t>3</w:t>
            </w:r>
            <w:r w:rsidRPr="00646E11">
              <w:rPr>
                <w:rFonts w:eastAsia="MS Mincho"/>
                <w:bCs/>
                <w:sz w:val="20"/>
                <w:szCs w:val="24"/>
                <w:lang w:eastAsia="bg-BG"/>
              </w:rPr>
              <w:t xml:space="preserve"> </w:t>
            </w:r>
            <w:r>
              <w:rPr>
                <w:rFonts w:eastAsia="MS Mincho"/>
                <w:bCs/>
                <w:sz w:val="20"/>
                <w:szCs w:val="24"/>
                <w:lang w:eastAsia="bg-BG"/>
              </w:rPr>
              <w:br/>
            </w:r>
            <w:r w:rsidRPr="00646E11">
              <w:rPr>
                <w:rFonts w:eastAsia="MS Mincho"/>
                <w:bCs/>
                <w:sz w:val="20"/>
                <w:szCs w:val="24"/>
                <w:lang w:eastAsia="bg-BG"/>
              </w:rPr>
              <w:t>(</w:t>
            </w:r>
            <w:r w:rsidRPr="008C43E0">
              <w:rPr>
                <w:rFonts w:eastAsia="MS Mincho"/>
                <w:bCs/>
                <w:sz w:val="20"/>
                <w:szCs w:val="24"/>
                <w:lang w:eastAsia="bg-BG"/>
              </w:rPr>
              <w:t>проект на ЗБДОО</w:t>
            </w:r>
            <w:r w:rsidRPr="00646E11">
              <w:rPr>
                <w:rFonts w:eastAsia="MS Mincho"/>
                <w:bCs/>
                <w:sz w:val="20"/>
                <w:szCs w:val="24"/>
                <w:lang w:eastAsia="bg-BG"/>
              </w:rPr>
              <w:t>)</w:t>
            </w:r>
          </w:p>
        </w:tc>
        <w:tc>
          <w:tcPr>
            <w:tcW w:w="3433" w:type="dxa"/>
            <w:vAlign w:val="center"/>
            <w:hideMark/>
          </w:tcPr>
          <w:p w14:paraId="1D996180" w14:textId="0CF9A36C" w:rsidR="008C43E0" w:rsidRPr="00646E11" w:rsidRDefault="008C43E0" w:rsidP="008C43E0">
            <w:pPr>
              <w:tabs>
                <w:tab w:val="left" w:pos="2736"/>
              </w:tabs>
              <w:spacing w:after="0"/>
              <w:ind w:left="55"/>
              <w:jc w:val="center"/>
              <w:rPr>
                <w:rFonts w:eastAsia="MS Mincho"/>
                <w:bCs/>
                <w:sz w:val="20"/>
                <w:szCs w:val="24"/>
                <w:lang w:eastAsia="bg-BG"/>
              </w:rPr>
            </w:pPr>
            <w:r w:rsidRPr="008C43E0">
              <w:rPr>
                <w:rFonts w:eastAsia="MS Mincho"/>
                <w:bCs/>
                <w:sz w:val="20"/>
                <w:szCs w:val="24"/>
                <w:lang w:eastAsia="bg-BG"/>
              </w:rPr>
              <w:t>19 163.2</w:t>
            </w:r>
          </w:p>
        </w:tc>
        <w:tc>
          <w:tcPr>
            <w:tcW w:w="3422" w:type="dxa"/>
            <w:vAlign w:val="center"/>
            <w:hideMark/>
          </w:tcPr>
          <w:p w14:paraId="203E377B" w14:textId="20E2703C" w:rsidR="008C43E0" w:rsidRPr="00646E11" w:rsidRDefault="008C43E0" w:rsidP="008C43E0">
            <w:pPr>
              <w:tabs>
                <w:tab w:val="left" w:pos="2736"/>
              </w:tabs>
              <w:spacing w:after="0"/>
              <w:ind w:left="55"/>
              <w:jc w:val="center"/>
              <w:rPr>
                <w:rFonts w:eastAsia="MS Mincho"/>
                <w:bCs/>
                <w:sz w:val="20"/>
                <w:szCs w:val="24"/>
                <w:lang w:eastAsia="bg-BG"/>
              </w:rPr>
            </w:pPr>
            <w:r w:rsidRPr="008C43E0">
              <w:rPr>
                <w:rFonts w:eastAsia="MS Mincho"/>
                <w:bCs/>
                <w:sz w:val="20"/>
                <w:szCs w:val="24"/>
                <w:lang w:eastAsia="bg-BG"/>
              </w:rPr>
              <w:t>10.4</w:t>
            </w:r>
          </w:p>
        </w:tc>
      </w:tr>
      <w:tr w:rsidR="008C43E0" w:rsidRPr="008C43E0" w14:paraId="5829B101" w14:textId="77777777" w:rsidTr="000C3504">
        <w:trPr>
          <w:trHeight w:val="397"/>
          <w:jc w:val="center"/>
        </w:trPr>
        <w:tc>
          <w:tcPr>
            <w:tcW w:w="2217" w:type="dxa"/>
            <w:vAlign w:val="center"/>
            <w:hideMark/>
          </w:tcPr>
          <w:p w14:paraId="5DF0B369" w14:textId="3839AD21" w:rsidR="008C43E0" w:rsidRPr="00646E11" w:rsidRDefault="008C43E0" w:rsidP="008C43E0">
            <w:pPr>
              <w:tabs>
                <w:tab w:val="left" w:pos="2736"/>
              </w:tabs>
              <w:spacing w:after="0"/>
              <w:ind w:left="55"/>
              <w:jc w:val="center"/>
              <w:rPr>
                <w:rFonts w:eastAsia="MS Mincho"/>
                <w:bCs/>
                <w:sz w:val="20"/>
                <w:szCs w:val="24"/>
                <w:lang w:eastAsia="bg-BG"/>
              </w:rPr>
            </w:pPr>
            <w:r w:rsidRPr="00646E11">
              <w:rPr>
                <w:rFonts w:eastAsia="MS Mincho"/>
                <w:bCs/>
                <w:sz w:val="20"/>
                <w:szCs w:val="24"/>
                <w:lang w:eastAsia="bg-BG"/>
              </w:rPr>
              <w:t>202</w:t>
            </w:r>
            <w:r>
              <w:rPr>
                <w:rFonts w:eastAsia="MS Mincho"/>
                <w:bCs/>
                <w:sz w:val="20"/>
                <w:szCs w:val="24"/>
                <w:lang w:eastAsia="bg-BG"/>
              </w:rPr>
              <w:t>4</w:t>
            </w:r>
          </w:p>
        </w:tc>
        <w:tc>
          <w:tcPr>
            <w:tcW w:w="3433" w:type="dxa"/>
            <w:vAlign w:val="center"/>
            <w:hideMark/>
          </w:tcPr>
          <w:p w14:paraId="761F98C9" w14:textId="598A0147" w:rsidR="008C43E0" w:rsidRPr="00646E11" w:rsidRDefault="008C43E0" w:rsidP="008C43E0">
            <w:pPr>
              <w:tabs>
                <w:tab w:val="left" w:pos="2736"/>
              </w:tabs>
              <w:spacing w:after="0"/>
              <w:ind w:left="55"/>
              <w:jc w:val="center"/>
              <w:rPr>
                <w:rFonts w:eastAsia="MS Mincho"/>
                <w:bCs/>
                <w:sz w:val="20"/>
                <w:szCs w:val="24"/>
                <w:lang w:eastAsia="bg-BG"/>
              </w:rPr>
            </w:pPr>
            <w:r w:rsidRPr="008C43E0">
              <w:rPr>
                <w:rFonts w:eastAsia="MS Mincho"/>
                <w:bCs/>
                <w:sz w:val="20"/>
                <w:szCs w:val="24"/>
                <w:lang w:eastAsia="bg-BG"/>
              </w:rPr>
              <w:t>21 309.0</w:t>
            </w:r>
          </w:p>
        </w:tc>
        <w:tc>
          <w:tcPr>
            <w:tcW w:w="3422" w:type="dxa"/>
            <w:vAlign w:val="center"/>
            <w:hideMark/>
          </w:tcPr>
          <w:p w14:paraId="35354876" w14:textId="3DA95333" w:rsidR="008C43E0" w:rsidRPr="00646E11" w:rsidRDefault="008C43E0" w:rsidP="008C43E0">
            <w:pPr>
              <w:tabs>
                <w:tab w:val="left" w:pos="2736"/>
              </w:tabs>
              <w:spacing w:after="0"/>
              <w:ind w:left="55"/>
              <w:jc w:val="center"/>
              <w:rPr>
                <w:rFonts w:eastAsia="MS Mincho"/>
                <w:bCs/>
                <w:sz w:val="20"/>
                <w:szCs w:val="24"/>
                <w:lang w:eastAsia="bg-BG"/>
              </w:rPr>
            </w:pPr>
            <w:r w:rsidRPr="008C43E0">
              <w:rPr>
                <w:rFonts w:eastAsia="MS Mincho"/>
                <w:bCs/>
                <w:sz w:val="20"/>
                <w:szCs w:val="24"/>
                <w:lang w:eastAsia="bg-BG"/>
              </w:rPr>
              <w:t>10.8</w:t>
            </w:r>
          </w:p>
        </w:tc>
      </w:tr>
      <w:tr w:rsidR="008C43E0" w:rsidRPr="008C43E0" w14:paraId="6419C2F1" w14:textId="77777777" w:rsidTr="000C3504">
        <w:trPr>
          <w:trHeight w:val="397"/>
          <w:jc w:val="center"/>
        </w:trPr>
        <w:tc>
          <w:tcPr>
            <w:tcW w:w="2217" w:type="dxa"/>
            <w:vAlign w:val="center"/>
            <w:hideMark/>
          </w:tcPr>
          <w:p w14:paraId="527860E8" w14:textId="5AF32710" w:rsidR="008C43E0" w:rsidRPr="00646E11" w:rsidRDefault="008C43E0" w:rsidP="008C43E0">
            <w:pPr>
              <w:tabs>
                <w:tab w:val="left" w:pos="2736"/>
              </w:tabs>
              <w:spacing w:after="0"/>
              <w:ind w:left="55"/>
              <w:jc w:val="center"/>
              <w:rPr>
                <w:rFonts w:eastAsia="MS Mincho"/>
                <w:bCs/>
                <w:sz w:val="20"/>
                <w:szCs w:val="24"/>
                <w:lang w:eastAsia="bg-BG"/>
              </w:rPr>
            </w:pPr>
            <w:r w:rsidRPr="00646E11">
              <w:rPr>
                <w:rFonts w:eastAsia="MS Mincho"/>
                <w:bCs/>
                <w:sz w:val="20"/>
                <w:szCs w:val="24"/>
                <w:lang w:eastAsia="bg-BG"/>
              </w:rPr>
              <w:t>202</w:t>
            </w:r>
            <w:r>
              <w:rPr>
                <w:rFonts w:eastAsia="MS Mincho"/>
                <w:bCs/>
                <w:sz w:val="20"/>
                <w:szCs w:val="24"/>
                <w:lang w:eastAsia="bg-BG"/>
              </w:rPr>
              <w:t>5</w:t>
            </w:r>
          </w:p>
        </w:tc>
        <w:tc>
          <w:tcPr>
            <w:tcW w:w="3433" w:type="dxa"/>
            <w:vAlign w:val="center"/>
            <w:hideMark/>
          </w:tcPr>
          <w:p w14:paraId="6F2A938C" w14:textId="60C8CE33" w:rsidR="008C43E0" w:rsidRPr="00646E11" w:rsidRDefault="008C43E0" w:rsidP="008C43E0">
            <w:pPr>
              <w:tabs>
                <w:tab w:val="left" w:pos="2736"/>
              </w:tabs>
              <w:spacing w:after="0"/>
              <w:ind w:left="55"/>
              <w:jc w:val="center"/>
              <w:rPr>
                <w:rFonts w:eastAsia="MS Mincho"/>
                <w:bCs/>
                <w:sz w:val="20"/>
                <w:szCs w:val="24"/>
                <w:lang w:eastAsia="bg-BG"/>
              </w:rPr>
            </w:pPr>
            <w:r w:rsidRPr="008C43E0">
              <w:rPr>
                <w:rFonts w:eastAsia="MS Mincho"/>
                <w:bCs/>
                <w:sz w:val="20"/>
                <w:szCs w:val="24"/>
                <w:lang w:eastAsia="bg-BG"/>
              </w:rPr>
              <w:t>23 121.3</w:t>
            </w:r>
          </w:p>
        </w:tc>
        <w:tc>
          <w:tcPr>
            <w:tcW w:w="3422" w:type="dxa"/>
            <w:vAlign w:val="center"/>
            <w:hideMark/>
          </w:tcPr>
          <w:p w14:paraId="4F6B57F2" w14:textId="53E1AB2F" w:rsidR="008C43E0" w:rsidRPr="00646E11" w:rsidRDefault="008C43E0" w:rsidP="008C43E0">
            <w:pPr>
              <w:tabs>
                <w:tab w:val="left" w:pos="2736"/>
              </w:tabs>
              <w:spacing w:after="0"/>
              <w:ind w:left="55"/>
              <w:jc w:val="center"/>
              <w:rPr>
                <w:rFonts w:eastAsia="MS Mincho"/>
                <w:bCs/>
                <w:sz w:val="20"/>
                <w:szCs w:val="24"/>
                <w:lang w:eastAsia="bg-BG"/>
              </w:rPr>
            </w:pPr>
            <w:r w:rsidRPr="008C43E0">
              <w:rPr>
                <w:rFonts w:eastAsia="MS Mincho"/>
                <w:bCs/>
                <w:sz w:val="20"/>
                <w:szCs w:val="24"/>
                <w:lang w:eastAsia="bg-BG"/>
              </w:rPr>
              <w:t>11.0</w:t>
            </w:r>
          </w:p>
        </w:tc>
      </w:tr>
      <w:tr w:rsidR="008C43E0" w:rsidRPr="008C43E0" w14:paraId="48BC3573" w14:textId="77777777" w:rsidTr="000C3504">
        <w:trPr>
          <w:trHeight w:val="397"/>
          <w:jc w:val="center"/>
        </w:trPr>
        <w:tc>
          <w:tcPr>
            <w:tcW w:w="2217" w:type="dxa"/>
            <w:vAlign w:val="center"/>
            <w:hideMark/>
          </w:tcPr>
          <w:p w14:paraId="4B588432" w14:textId="218EC31D" w:rsidR="008C43E0" w:rsidRPr="00646E11" w:rsidRDefault="008C43E0" w:rsidP="008C43E0">
            <w:pPr>
              <w:tabs>
                <w:tab w:val="left" w:pos="2736"/>
              </w:tabs>
              <w:spacing w:after="0"/>
              <w:ind w:left="55"/>
              <w:jc w:val="center"/>
              <w:rPr>
                <w:rFonts w:eastAsia="MS Mincho"/>
                <w:bCs/>
                <w:sz w:val="20"/>
                <w:szCs w:val="24"/>
                <w:lang w:eastAsia="bg-BG"/>
              </w:rPr>
            </w:pPr>
            <w:r w:rsidRPr="00646E11">
              <w:rPr>
                <w:rFonts w:eastAsia="MS Mincho"/>
                <w:bCs/>
                <w:sz w:val="20"/>
                <w:szCs w:val="24"/>
                <w:lang w:eastAsia="bg-BG"/>
              </w:rPr>
              <w:t>202</w:t>
            </w:r>
            <w:r>
              <w:rPr>
                <w:rFonts w:eastAsia="MS Mincho"/>
                <w:bCs/>
                <w:sz w:val="20"/>
                <w:szCs w:val="24"/>
                <w:lang w:eastAsia="bg-BG"/>
              </w:rPr>
              <w:t>6</w:t>
            </w:r>
          </w:p>
        </w:tc>
        <w:tc>
          <w:tcPr>
            <w:tcW w:w="3433" w:type="dxa"/>
            <w:vAlign w:val="center"/>
            <w:hideMark/>
          </w:tcPr>
          <w:p w14:paraId="1DD45A8B" w14:textId="6EA9AD2B" w:rsidR="008C43E0" w:rsidRPr="00646E11" w:rsidRDefault="008C43E0" w:rsidP="008C43E0">
            <w:pPr>
              <w:tabs>
                <w:tab w:val="left" w:pos="2736"/>
              </w:tabs>
              <w:spacing w:after="0"/>
              <w:ind w:left="55"/>
              <w:jc w:val="center"/>
              <w:rPr>
                <w:rFonts w:eastAsia="MS Mincho"/>
                <w:bCs/>
                <w:sz w:val="20"/>
                <w:szCs w:val="24"/>
                <w:lang w:eastAsia="bg-BG"/>
              </w:rPr>
            </w:pPr>
            <w:r w:rsidRPr="008C43E0">
              <w:rPr>
                <w:rFonts w:eastAsia="MS Mincho"/>
                <w:bCs/>
                <w:sz w:val="20"/>
                <w:szCs w:val="24"/>
                <w:lang w:eastAsia="bg-BG"/>
              </w:rPr>
              <w:t>24 603.1</w:t>
            </w:r>
          </w:p>
        </w:tc>
        <w:tc>
          <w:tcPr>
            <w:tcW w:w="3422" w:type="dxa"/>
            <w:vAlign w:val="center"/>
            <w:hideMark/>
          </w:tcPr>
          <w:p w14:paraId="76A23AF1" w14:textId="731469A4" w:rsidR="008C43E0" w:rsidRPr="00646E11" w:rsidRDefault="008C43E0" w:rsidP="008C43E0">
            <w:pPr>
              <w:tabs>
                <w:tab w:val="left" w:pos="2736"/>
              </w:tabs>
              <w:spacing w:after="0"/>
              <w:ind w:left="55"/>
              <w:jc w:val="center"/>
              <w:rPr>
                <w:rFonts w:eastAsia="MS Mincho"/>
                <w:bCs/>
                <w:sz w:val="20"/>
                <w:szCs w:val="24"/>
                <w:lang w:eastAsia="bg-BG"/>
              </w:rPr>
            </w:pPr>
            <w:r w:rsidRPr="008C43E0">
              <w:rPr>
                <w:rFonts w:eastAsia="MS Mincho"/>
                <w:bCs/>
                <w:sz w:val="20"/>
                <w:szCs w:val="24"/>
                <w:lang w:eastAsia="bg-BG"/>
              </w:rPr>
              <w:t>11.0</w:t>
            </w:r>
          </w:p>
        </w:tc>
      </w:tr>
    </w:tbl>
    <w:p w14:paraId="2A5340DC" w14:textId="279F320B" w:rsidR="00B11A79" w:rsidRPr="00EE53B2" w:rsidRDefault="00B11A79" w:rsidP="00EE53B2">
      <w:pPr>
        <w:pStyle w:val="a"/>
      </w:pPr>
      <w:r w:rsidRPr="00EE53B2">
        <w:t>Източник: НОИ</w:t>
      </w:r>
    </w:p>
    <w:p w14:paraId="3193304C" w14:textId="7659B108" w:rsidR="00AF3271" w:rsidRPr="00D661BA" w:rsidRDefault="0008700F" w:rsidP="00B552D5">
      <w:pPr>
        <w:pStyle w:val="Heading3"/>
      </w:pPr>
      <w:bookmarkStart w:id="89" w:name="_Toc385006967"/>
      <w:r w:rsidRPr="00D661BA">
        <w:t>Ефекти върху приходната част на бюджета</w:t>
      </w:r>
      <w:bookmarkEnd w:id="89"/>
    </w:p>
    <w:p w14:paraId="6A3C76B5" w14:textId="1F3E2460" w:rsidR="00364AE5" w:rsidRPr="00887584" w:rsidRDefault="00CD39A1" w:rsidP="00887584">
      <w:pPr>
        <w:pStyle w:val="a"/>
        <w:spacing w:before="0" w:after="120"/>
        <w:jc w:val="both"/>
        <w:rPr>
          <w:sz w:val="24"/>
        </w:rPr>
      </w:pPr>
      <w:r w:rsidRPr="00CD39A1">
        <w:rPr>
          <w:sz w:val="24"/>
        </w:rPr>
        <w:t>Оценките за размера на данъчните приходи за периода 2023–2026</w:t>
      </w:r>
      <w:r w:rsidR="00B552D5">
        <w:rPr>
          <w:sz w:val="24"/>
        </w:rPr>
        <w:t> г.</w:t>
      </w:r>
      <w:r w:rsidRPr="00CD39A1">
        <w:rPr>
          <w:sz w:val="24"/>
        </w:rPr>
        <w:t xml:space="preserve"> са направени въз основа на прогнозите на Министерството на финансите за основ</w:t>
      </w:r>
      <w:r w:rsidR="003A0B57">
        <w:rPr>
          <w:sz w:val="24"/>
        </w:rPr>
        <w:t>ните макроикономическа показате</w:t>
      </w:r>
      <w:r w:rsidRPr="00CD39A1">
        <w:rPr>
          <w:sz w:val="24"/>
        </w:rPr>
        <w:t>ли и въздействието на прилаганите от страна на приходните агенции мерки за подобряване на събираемостта и спазване на законодателството. Съобразени са приоритетите в данъчната политика в средносрочен план и се отчитат ефектите от</w:t>
      </w:r>
      <w:r w:rsidR="003A0B57">
        <w:rPr>
          <w:sz w:val="24"/>
        </w:rPr>
        <w:t xml:space="preserve"> промените в данъчното законода</w:t>
      </w:r>
      <w:r w:rsidRPr="00CD39A1">
        <w:rPr>
          <w:sz w:val="24"/>
        </w:rPr>
        <w:t>телство, свързани с реализирането на мерки за подобряване на събираемостта, стимулиране на икономическото възстановяване</w:t>
      </w:r>
      <w:r w:rsidR="0005652B">
        <w:rPr>
          <w:sz w:val="24"/>
        </w:rPr>
        <w:t xml:space="preserve"> </w:t>
      </w:r>
      <w:r w:rsidRPr="00CD39A1">
        <w:rPr>
          <w:sz w:val="24"/>
        </w:rPr>
        <w:t>и развитие, намаляване на административната тежест и въвеждане в националното законодателство на разпоредби</w:t>
      </w:r>
      <w:r w:rsidR="000C7ABB">
        <w:rPr>
          <w:sz w:val="24"/>
        </w:rPr>
        <w:t xml:space="preserve"> от европейското право в област</w:t>
      </w:r>
      <w:r w:rsidRPr="00CD39A1">
        <w:rPr>
          <w:sz w:val="24"/>
        </w:rPr>
        <w:t xml:space="preserve">та на данъците. Отчетени са ефектите от продължаващото </w:t>
      </w:r>
      <w:r w:rsidR="003A0B57">
        <w:rPr>
          <w:sz w:val="24"/>
        </w:rPr>
        <w:t>изпълнение на някои мерки, свър</w:t>
      </w:r>
      <w:r w:rsidRPr="00CD39A1">
        <w:rPr>
          <w:sz w:val="24"/>
        </w:rPr>
        <w:t>зани с пандемията от COVID-19, както и на антикризисни мерки в отговор на предизвикате</w:t>
      </w:r>
      <w:r w:rsidR="003A0B57">
        <w:rPr>
          <w:sz w:val="24"/>
        </w:rPr>
        <w:t>лс</w:t>
      </w:r>
      <w:r w:rsidRPr="00CD39A1">
        <w:rPr>
          <w:sz w:val="24"/>
        </w:rPr>
        <w:t xml:space="preserve">твата свързани с високите цени на енергията и на основни хранителни продукти. </w:t>
      </w:r>
    </w:p>
    <w:p w14:paraId="2CA2DC9D" w14:textId="77777777" w:rsidR="00364AE5" w:rsidRPr="00887584" w:rsidRDefault="00364AE5" w:rsidP="00C0210D">
      <w:pPr>
        <w:pStyle w:val="Heading4"/>
      </w:pPr>
      <w:r w:rsidRPr="00887584">
        <w:lastRenderedPageBreak/>
        <w:t xml:space="preserve">Корпоративни данъци </w:t>
      </w:r>
    </w:p>
    <w:p w14:paraId="6E2E09DA" w14:textId="011AB5D4" w:rsidR="00CD39A1" w:rsidRPr="00CD39A1" w:rsidRDefault="00CD39A1" w:rsidP="00CD39A1">
      <w:pPr>
        <w:pStyle w:val="a"/>
        <w:spacing w:before="0" w:after="120"/>
        <w:jc w:val="both"/>
        <w:rPr>
          <w:sz w:val="24"/>
        </w:rPr>
      </w:pPr>
      <w:r w:rsidRPr="00CD39A1">
        <w:rPr>
          <w:sz w:val="24"/>
        </w:rPr>
        <w:t xml:space="preserve">Основно влияние върху приходите от корпоративен данък през периода оказват отчетените финансови резултати (облагаема печалба/загуба) и размера на авансовите вноски, които правят данъчно задължените по Закона за корпоративното подоходно облагане (ЗКПО) лица, формирали данъчна печалба за предходната година. </w:t>
      </w:r>
    </w:p>
    <w:p w14:paraId="773CF33E" w14:textId="3F25FE43" w:rsidR="00CD39A1" w:rsidRPr="00CD39A1" w:rsidRDefault="00CD39A1" w:rsidP="00CD39A1">
      <w:pPr>
        <w:pStyle w:val="a"/>
        <w:spacing w:before="0" w:after="120"/>
        <w:jc w:val="both"/>
        <w:rPr>
          <w:sz w:val="24"/>
        </w:rPr>
      </w:pPr>
      <w:r w:rsidRPr="00CD39A1">
        <w:rPr>
          <w:sz w:val="24"/>
        </w:rPr>
        <w:t>От 2021</w:t>
      </w:r>
      <w:r w:rsidR="00B552D5">
        <w:rPr>
          <w:sz w:val="24"/>
        </w:rPr>
        <w:t> г.</w:t>
      </w:r>
      <w:r w:rsidRPr="00CD39A1">
        <w:rPr>
          <w:sz w:val="24"/>
        </w:rPr>
        <w:t xml:space="preserve"> е изместена датата на подаване на годишните данъчни декларации по ЗКПО и датата за внасяне на корпоративния данък, от 1 март до 30 юни на следващата година. Променени са разпоредбите на ЗКПО относно срока за деклариране на авансови вноски (съгласно чл. 87а, ал.1 от ЗКПО в срок от 1 март до 15 април на същата година) и за подаване на декларацията за промени на авансовите вноски за корпоративен данък по чл. 88 от ЗКПО. </w:t>
      </w:r>
      <w:r w:rsidR="003A0B57">
        <w:rPr>
          <w:sz w:val="24"/>
        </w:rPr>
        <w:t>Сроковете за месеч</w:t>
      </w:r>
      <w:r w:rsidRPr="00CD39A1">
        <w:rPr>
          <w:sz w:val="24"/>
        </w:rPr>
        <w:t xml:space="preserve">ните и тримесечни плащания не са променени, с изключение на срока за внасяне на авансов корпоративен данък за месец декември и за третото тримесечие на текущата година, който се променя от 15 декември на 1 декември на годината. </w:t>
      </w:r>
    </w:p>
    <w:p w14:paraId="784C85E2" w14:textId="23C1C757" w:rsidR="00CD39A1" w:rsidRPr="00CD39A1" w:rsidRDefault="00CD39A1" w:rsidP="00CD39A1">
      <w:pPr>
        <w:pStyle w:val="a"/>
        <w:spacing w:before="0" w:after="120"/>
        <w:jc w:val="both"/>
        <w:rPr>
          <w:sz w:val="24"/>
        </w:rPr>
      </w:pPr>
      <w:r w:rsidRPr="00CD39A1">
        <w:rPr>
          <w:sz w:val="24"/>
        </w:rPr>
        <w:t>Прогнозата за периода 2023</w:t>
      </w:r>
      <w:r w:rsidR="00B552D5">
        <w:rPr>
          <w:sz w:val="24"/>
        </w:rPr>
        <w:t>–</w:t>
      </w:r>
      <w:r w:rsidRPr="00CD39A1">
        <w:rPr>
          <w:sz w:val="24"/>
        </w:rPr>
        <w:t>2026</w:t>
      </w:r>
      <w:r w:rsidR="00B552D5">
        <w:rPr>
          <w:sz w:val="24"/>
        </w:rPr>
        <w:t> г.</w:t>
      </w:r>
      <w:r w:rsidRPr="00CD39A1">
        <w:rPr>
          <w:sz w:val="24"/>
        </w:rPr>
        <w:t xml:space="preserve"> отчита ефект от прилагане на новата схема на данъчното облекчение, представляващо държавна помощ за регионално развитие, за която през 2023</w:t>
      </w:r>
      <w:r w:rsidR="00B552D5">
        <w:rPr>
          <w:sz w:val="24"/>
        </w:rPr>
        <w:t> г.</w:t>
      </w:r>
      <w:r w:rsidRPr="00CD39A1">
        <w:rPr>
          <w:sz w:val="24"/>
        </w:rPr>
        <w:t xml:space="preserve"> се очаква постановяване на положително решение на Ев</w:t>
      </w:r>
      <w:r w:rsidR="003A0B57">
        <w:rPr>
          <w:sz w:val="24"/>
        </w:rPr>
        <w:t>ропейската комисия относно съот</w:t>
      </w:r>
      <w:r w:rsidRPr="00CD39A1">
        <w:rPr>
          <w:sz w:val="24"/>
        </w:rPr>
        <w:t>ветствие с Насоките за регионална държавна помощ (2021/C 153/01).</w:t>
      </w:r>
    </w:p>
    <w:p w14:paraId="5AFFF843" w14:textId="195C67EB" w:rsidR="006D2755" w:rsidRDefault="00CD39A1" w:rsidP="00CD39A1">
      <w:pPr>
        <w:pStyle w:val="a"/>
        <w:spacing w:before="0" w:after="120"/>
        <w:jc w:val="both"/>
        <w:rPr>
          <w:sz w:val="24"/>
        </w:rPr>
      </w:pPr>
      <w:r w:rsidRPr="00CD39A1">
        <w:rPr>
          <w:sz w:val="24"/>
        </w:rPr>
        <w:t>При планиране на постъпленията от други данъци по ЗКПО е съобразено намалението от 2022</w:t>
      </w:r>
      <w:r w:rsidR="00B552D5">
        <w:rPr>
          <w:sz w:val="24"/>
        </w:rPr>
        <w:t> г.</w:t>
      </w:r>
      <w:r w:rsidRPr="00CD39A1">
        <w:rPr>
          <w:sz w:val="24"/>
        </w:rPr>
        <w:t xml:space="preserve"> на ставката от 10% на 3% на данъка върху разходите в натура по чл. 204, ал. 1, т. 4 от ЗКПО.</w:t>
      </w:r>
    </w:p>
    <w:p w14:paraId="5A84AF74" w14:textId="77777777" w:rsidR="00364AE5" w:rsidRPr="00887584" w:rsidRDefault="00364AE5" w:rsidP="00C0210D">
      <w:pPr>
        <w:pStyle w:val="Heading4"/>
      </w:pPr>
      <w:r w:rsidRPr="00887584">
        <w:t>Данъци върху доходите на физическите лица</w:t>
      </w:r>
    </w:p>
    <w:p w14:paraId="4909AC9E" w14:textId="12791C8D" w:rsidR="00CD39A1" w:rsidRPr="00CD39A1" w:rsidRDefault="00CD39A1" w:rsidP="003A0B57">
      <w:pPr>
        <w:pStyle w:val="a"/>
        <w:spacing w:before="0" w:after="120"/>
        <w:jc w:val="both"/>
        <w:rPr>
          <w:sz w:val="24"/>
        </w:rPr>
      </w:pPr>
      <w:r w:rsidRPr="00CD39A1">
        <w:rPr>
          <w:sz w:val="24"/>
        </w:rPr>
        <w:t>Прогнозата за периода 2023–2026</w:t>
      </w:r>
      <w:r w:rsidR="00B552D5">
        <w:rPr>
          <w:sz w:val="24"/>
        </w:rPr>
        <w:t> г.</w:t>
      </w:r>
      <w:r w:rsidRPr="00CD39A1">
        <w:rPr>
          <w:sz w:val="24"/>
        </w:rPr>
        <w:t xml:space="preserve"> е изготвена при запазване на единната данъчна ставка от 10</w:t>
      </w:r>
      <w:r w:rsidR="008B5514">
        <w:rPr>
          <w:sz w:val="24"/>
        </w:rPr>
        <w:t>%</w:t>
      </w:r>
      <w:r w:rsidRPr="00CD39A1">
        <w:rPr>
          <w:sz w:val="24"/>
        </w:rPr>
        <w:t xml:space="preserve"> (без необлагаем минимум) за всички доходи на данъкоплатците, с изключение на доходите от стопанска дейност на лицата, извършващи стопанска дейност като търговци по смисъла на Търговския закон, включително еднолични търговци или физически лица, регистрирани като земеделски стопани, избрали доходът от стопанската им дейност да се облага с данък върху такава годишна данъчна основа. В размера на приходите от личното подоходно облага</w:t>
      </w:r>
      <w:r w:rsidR="00F703D3">
        <w:rPr>
          <w:sz w:val="24"/>
          <w:lang w:val="en-US"/>
        </w:rPr>
        <w:t xml:space="preserve"> </w:t>
      </w:r>
      <w:r w:rsidRPr="00CD39A1">
        <w:rPr>
          <w:sz w:val="24"/>
        </w:rPr>
        <w:t xml:space="preserve">не се включват и постъпленията в местните бюджети от патентен данък и от данък върху таксиметров превоз на пътници. </w:t>
      </w:r>
    </w:p>
    <w:p w14:paraId="13300C9B" w14:textId="18191E9A" w:rsidR="00CD39A1" w:rsidRPr="00CD39A1" w:rsidRDefault="00CD39A1" w:rsidP="003A0B57">
      <w:pPr>
        <w:pStyle w:val="a"/>
        <w:spacing w:before="0" w:after="120"/>
        <w:jc w:val="both"/>
        <w:rPr>
          <w:sz w:val="24"/>
        </w:rPr>
      </w:pPr>
      <w:r w:rsidRPr="00CD39A1">
        <w:rPr>
          <w:sz w:val="24"/>
        </w:rPr>
        <w:t>Върху размера на данъчните постъпления от ДДФЛ основно</w:t>
      </w:r>
      <w:r w:rsidR="003A0B57">
        <w:rPr>
          <w:sz w:val="24"/>
        </w:rPr>
        <w:t xml:space="preserve"> влияние имат развитието на</w:t>
      </w:r>
      <w:r w:rsidR="0005652B">
        <w:rPr>
          <w:sz w:val="24"/>
        </w:rPr>
        <w:t xml:space="preserve"> </w:t>
      </w:r>
      <w:r w:rsidR="003A0B57">
        <w:rPr>
          <w:sz w:val="24"/>
        </w:rPr>
        <w:t>па</w:t>
      </w:r>
      <w:r w:rsidRPr="00CD39A1">
        <w:rPr>
          <w:sz w:val="24"/>
        </w:rPr>
        <w:t>раметрите на пазара на труда и предприетите законодателни и административни мерки в областта на трудовото, социалното и данъчното законодателство. Влияние оказват размерът на средната работна заплата, нивото на безработица в стра</w:t>
      </w:r>
      <w:r w:rsidR="003A0B57">
        <w:rPr>
          <w:sz w:val="24"/>
        </w:rPr>
        <w:t xml:space="preserve">ната, декларираните с </w:t>
      </w:r>
      <w:r w:rsidR="00781CA8">
        <w:rPr>
          <w:sz w:val="24"/>
        </w:rPr>
        <w:t xml:space="preserve">годишната данъчна декларация </w:t>
      </w:r>
      <w:r w:rsidR="003A0B57">
        <w:rPr>
          <w:sz w:val="24"/>
        </w:rPr>
        <w:t>на фи</w:t>
      </w:r>
      <w:r w:rsidRPr="00CD39A1">
        <w:rPr>
          <w:sz w:val="24"/>
        </w:rPr>
        <w:t>зическите лица резултати, размер</w:t>
      </w:r>
      <w:r w:rsidR="00D16EDC">
        <w:rPr>
          <w:sz w:val="24"/>
        </w:rPr>
        <w:t>ът</w:t>
      </w:r>
      <w:r w:rsidRPr="00CD39A1">
        <w:rPr>
          <w:sz w:val="24"/>
        </w:rPr>
        <w:t xml:space="preserve"> на изплатените суми за дивиденти и ликвидационни дялове, нивото на лихвените проценти по депозити на гражданите и обема на депозитите.</w:t>
      </w:r>
    </w:p>
    <w:p w14:paraId="35605CAB" w14:textId="1247442F" w:rsidR="00CD39A1" w:rsidRPr="00CD39A1" w:rsidRDefault="00CD39A1" w:rsidP="003A0B57">
      <w:pPr>
        <w:pStyle w:val="a"/>
        <w:spacing w:before="0" w:after="120"/>
        <w:jc w:val="both"/>
        <w:rPr>
          <w:sz w:val="24"/>
        </w:rPr>
      </w:pPr>
      <w:r w:rsidRPr="00CD39A1">
        <w:rPr>
          <w:sz w:val="24"/>
        </w:rPr>
        <w:t>Отчетен е ефектът от приетото увеличаване на размера на нормативно признатите разходи от 25 на сто на 40 на сто за доходите от дейността на адвокатите, както и наличната информация относно ефектите от постоянните мерки на Националната агенция по приходите</w:t>
      </w:r>
      <w:r w:rsidR="00781CA8">
        <w:rPr>
          <w:sz w:val="24"/>
        </w:rPr>
        <w:t xml:space="preserve"> (НАП)</w:t>
      </w:r>
      <w:r w:rsidRPr="00CD39A1">
        <w:rPr>
          <w:sz w:val="24"/>
        </w:rPr>
        <w:t xml:space="preserve"> за спазване на данъчното законодателство и подобряване събираемостта на приходите.</w:t>
      </w:r>
    </w:p>
    <w:p w14:paraId="59B25DBF" w14:textId="7ACF998B" w:rsidR="00364AE5" w:rsidRDefault="00CD39A1" w:rsidP="003A0B57">
      <w:pPr>
        <w:pStyle w:val="a"/>
        <w:spacing w:before="0" w:after="120"/>
        <w:jc w:val="both"/>
        <w:rPr>
          <w:sz w:val="24"/>
        </w:rPr>
      </w:pPr>
      <w:r w:rsidRPr="00CD39A1">
        <w:rPr>
          <w:sz w:val="24"/>
        </w:rPr>
        <w:t>При прогнозиране на постъпленията от ДДФЛ е взет предвид очакваният отрицателен годишен бюджетен ефект от прилагане на увеличен размер на данъчните облекчения за деца за придобитите през 2022</w:t>
      </w:r>
      <w:r w:rsidR="00B552D5">
        <w:rPr>
          <w:sz w:val="24"/>
        </w:rPr>
        <w:t> г.</w:t>
      </w:r>
      <w:r w:rsidRPr="00CD39A1">
        <w:rPr>
          <w:sz w:val="24"/>
        </w:rPr>
        <w:t xml:space="preserve"> и през 2023</w:t>
      </w:r>
      <w:r w:rsidR="00B552D5">
        <w:rPr>
          <w:sz w:val="24"/>
        </w:rPr>
        <w:t> г.</w:t>
      </w:r>
      <w:r w:rsidRPr="00CD39A1">
        <w:rPr>
          <w:sz w:val="24"/>
        </w:rPr>
        <w:t xml:space="preserve"> доходи.</w:t>
      </w:r>
    </w:p>
    <w:p w14:paraId="2AC34B98" w14:textId="77777777" w:rsidR="00364AE5" w:rsidRPr="00887584" w:rsidRDefault="00364AE5" w:rsidP="00C0210D">
      <w:pPr>
        <w:pStyle w:val="Heading4"/>
      </w:pPr>
      <w:r w:rsidRPr="00887584">
        <w:lastRenderedPageBreak/>
        <w:t xml:space="preserve">Данък върху добавената стойност </w:t>
      </w:r>
    </w:p>
    <w:p w14:paraId="0380511B" w14:textId="5578D75B" w:rsidR="00CD39A1" w:rsidRPr="00CD39A1" w:rsidRDefault="00CD39A1" w:rsidP="003A0B57">
      <w:pPr>
        <w:pStyle w:val="a"/>
        <w:spacing w:before="0" w:after="120"/>
        <w:jc w:val="both"/>
        <w:rPr>
          <w:sz w:val="24"/>
        </w:rPr>
      </w:pPr>
      <w:r w:rsidRPr="00CD39A1">
        <w:rPr>
          <w:sz w:val="24"/>
        </w:rPr>
        <w:t xml:space="preserve">При прогнозиране на приходите от ДДС за периода </w:t>
      </w:r>
      <w:r w:rsidR="00B552D5">
        <w:rPr>
          <w:sz w:val="24"/>
        </w:rPr>
        <w:t>2023–2026 г.</w:t>
      </w:r>
      <w:r w:rsidR="00F703D3">
        <w:rPr>
          <w:sz w:val="24"/>
        </w:rPr>
        <w:t xml:space="preserve"> са взети предвид допускания</w:t>
      </w:r>
      <w:r w:rsidRPr="00CD39A1">
        <w:rPr>
          <w:sz w:val="24"/>
        </w:rPr>
        <w:t xml:space="preserve">та относно промените в икономическата активност в страната, динамиката на потреблението, вноса, износа, влиянието на приетите законодателни изменения и въздействието на фактори, обусловени от промени във външната среда. Отчетени са както прогнозите за макроикономическите показатели, така и ефектите от промени в законодателството. </w:t>
      </w:r>
    </w:p>
    <w:p w14:paraId="6CB43127" w14:textId="1DC3C4E0" w:rsidR="00CD39A1" w:rsidRPr="00CD39A1" w:rsidRDefault="00CD39A1" w:rsidP="003A0B57">
      <w:pPr>
        <w:pStyle w:val="a"/>
        <w:spacing w:before="0" w:after="120"/>
        <w:jc w:val="both"/>
        <w:rPr>
          <w:sz w:val="24"/>
        </w:rPr>
      </w:pPr>
      <w:r w:rsidRPr="00CD39A1">
        <w:rPr>
          <w:sz w:val="24"/>
        </w:rPr>
        <w:t xml:space="preserve">Прогнозата е направена при допускането за отпадане от </w:t>
      </w:r>
      <w:r w:rsidR="000C7ABB" w:rsidRPr="000C7ABB">
        <w:rPr>
          <w:sz w:val="24"/>
        </w:rPr>
        <w:t>01.01.2024</w:t>
      </w:r>
      <w:r w:rsidR="00B552D5">
        <w:rPr>
          <w:sz w:val="24"/>
        </w:rPr>
        <w:t> г.</w:t>
      </w:r>
      <w:r w:rsidRPr="00CD39A1">
        <w:rPr>
          <w:sz w:val="24"/>
        </w:rPr>
        <w:t xml:space="preserve"> на действието на мерките за намаление на ставката по ДДС за ресторантьорски и кетъринг услуги, обща туристическа услуга и спортни съоръжения. Едновременно с това, намалената ставка на ДДС за книги, на храна, подходяща за бебета или за малки деца и на бебешки пелени и подобни хигиенни артикули остава като постоянна мярка на данъчната политика.</w:t>
      </w:r>
    </w:p>
    <w:p w14:paraId="57CE95C9" w14:textId="7E825213" w:rsidR="00CD39A1" w:rsidRPr="00CD39A1" w:rsidRDefault="00CD39A1" w:rsidP="003A0B57">
      <w:pPr>
        <w:pStyle w:val="a"/>
        <w:spacing w:before="0" w:after="120"/>
        <w:jc w:val="both"/>
        <w:rPr>
          <w:sz w:val="24"/>
        </w:rPr>
      </w:pPr>
      <w:r w:rsidRPr="00CD39A1">
        <w:rPr>
          <w:sz w:val="24"/>
        </w:rPr>
        <w:t>Взет е предвид ефект от действието на намалена ставката по ДДС от 9% за доставки на природен газ и централно отопление</w:t>
      </w:r>
      <w:r w:rsidR="000C7ABB">
        <w:rPr>
          <w:sz w:val="24"/>
        </w:rPr>
        <w:t xml:space="preserve"> </w:t>
      </w:r>
      <w:r w:rsidR="000C7ABB" w:rsidRPr="000C7ABB">
        <w:rPr>
          <w:sz w:val="24"/>
        </w:rPr>
        <w:t>до 01.07.2023</w:t>
      </w:r>
      <w:r w:rsidR="00B552D5">
        <w:rPr>
          <w:sz w:val="24"/>
        </w:rPr>
        <w:t> г.</w:t>
      </w:r>
      <w:r w:rsidR="000C7ABB" w:rsidRPr="000C7ABB">
        <w:rPr>
          <w:sz w:val="24"/>
        </w:rPr>
        <w:t xml:space="preserve"> </w:t>
      </w:r>
      <w:r w:rsidRPr="00CD39A1">
        <w:rPr>
          <w:sz w:val="24"/>
        </w:rPr>
        <w:t xml:space="preserve">и прилагането на нулева ставка на ДДС за доставки на хляб и брашно до </w:t>
      </w:r>
      <w:r w:rsidR="000C7ABB">
        <w:rPr>
          <w:sz w:val="24"/>
        </w:rPr>
        <w:t>3</w:t>
      </w:r>
      <w:r w:rsidRPr="00CD39A1">
        <w:rPr>
          <w:sz w:val="24"/>
        </w:rPr>
        <w:t>1.</w:t>
      </w:r>
      <w:r w:rsidR="000C7ABB">
        <w:rPr>
          <w:sz w:val="24"/>
        </w:rPr>
        <w:t>12</w:t>
      </w:r>
      <w:r w:rsidRPr="00CD39A1">
        <w:rPr>
          <w:sz w:val="24"/>
        </w:rPr>
        <w:t>.2023 година.</w:t>
      </w:r>
    </w:p>
    <w:p w14:paraId="263DDD1C" w14:textId="77777777" w:rsidR="00364AE5" w:rsidRPr="00887584" w:rsidRDefault="00364AE5" w:rsidP="00C0210D">
      <w:pPr>
        <w:pStyle w:val="Heading4"/>
      </w:pPr>
      <w:r w:rsidRPr="00887584">
        <w:t>Акцизи</w:t>
      </w:r>
    </w:p>
    <w:p w14:paraId="3434BD7E" w14:textId="2DEE3F3C" w:rsidR="00CD39A1" w:rsidRPr="00CD39A1" w:rsidRDefault="00CD39A1" w:rsidP="003A0B57">
      <w:pPr>
        <w:pStyle w:val="a"/>
        <w:spacing w:before="0" w:after="120"/>
        <w:jc w:val="both"/>
        <w:rPr>
          <w:sz w:val="24"/>
        </w:rPr>
      </w:pPr>
      <w:r w:rsidRPr="00CD39A1">
        <w:rPr>
          <w:sz w:val="24"/>
        </w:rPr>
        <w:t>При изготвянето на прогнозите за приходите от акцизи о</w:t>
      </w:r>
      <w:r w:rsidR="00F703D3">
        <w:rPr>
          <w:sz w:val="24"/>
        </w:rPr>
        <w:t>свен макроикономическите показа</w:t>
      </w:r>
      <w:r w:rsidRPr="00CD39A1">
        <w:rPr>
          <w:sz w:val="24"/>
        </w:rPr>
        <w:t>тели е отчетен и положителният ефект от мерките за подобряване на контрола върху търговията с акцизни стоки, като са взети предвид и направените законодателни промени. Прието е допускане за запазване през целия период на относителна устойчивост на структурата на потреблението на акцизните продукти в рамките на различните групи акцизни стоки.</w:t>
      </w:r>
    </w:p>
    <w:p w14:paraId="66564CB5" w14:textId="036F0E5A" w:rsidR="00CD39A1" w:rsidRPr="00CD39A1" w:rsidRDefault="00CD39A1" w:rsidP="003A0B57">
      <w:pPr>
        <w:pStyle w:val="a"/>
        <w:spacing w:before="0" w:after="120"/>
        <w:jc w:val="both"/>
        <w:rPr>
          <w:sz w:val="24"/>
        </w:rPr>
      </w:pPr>
      <w:r w:rsidRPr="00CD39A1">
        <w:rPr>
          <w:sz w:val="24"/>
        </w:rPr>
        <w:t>Отчетени са ефектите от увеличаване на акцизните ставки за всички тютюневи изделия с въвеждане на акцизен календар за период от четири години напред, считано от 1 март 2023</w:t>
      </w:r>
      <w:r w:rsidR="00B552D5">
        <w:rPr>
          <w:sz w:val="24"/>
        </w:rPr>
        <w:t> г.</w:t>
      </w:r>
      <w:r w:rsidRPr="00CD39A1">
        <w:rPr>
          <w:sz w:val="24"/>
        </w:rPr>
        <w:t xml:space="preserve">, с цел балансирано увеличение на минималното облагане с акциз на цигарите и другите категории тютюневи изделия. Прогнозата е направена на база </w:t>
      </w:r>
      <w:r w:rsidR="003A0B57" w:rsidRPr="00CD39A1">
        <w:rPr>
          <w:sz w:val="24"/>
        </w:rPr>
        <w:t>презумпцията</w:t>
      </w:r>
      <w:r w:rsidRPr="00CD39A1">
        <w:rPr>
          <w:sz w:val="24"/>
        </w:rPr>
        <w:t xml:space="preserve"> за запазване на акцизните ставки на алкохолните напитки, бирата и горивата (без природен газ, електроенергия и втечнен нефтен газ).</w:t>
      </w:r>
    </w:p>
    <w:p w14:paraId="17C9B5F7" w14:textId="01151AF1" w:rsidR="00CD39A1" w:rsidRPr="00CD39A1" w:rsidRDefault="00CD39A1" w:rsidP="003A0B57">
      <w:pPr>
        <w:pStyle w:val="a"/>
        <w:spacing w:before="0" w:after="120"/>
        <w:jc w:val="both"/>
        <w:rPr>
          <w:sz w:val="24"/>
        </w:rPr>
      </w:pPr>
      <w:r w:rsidRPr="00CD39A1">
        <w:rPr>
          <w:sz w:val="24"/>
        </w:rPr>
        <w:t>По отношение на постъпленията от акциз върху електроенергията, природния газ и втечнен нефтен газ, използвани като моторно гориво, е взето предвид, че освобождаването от облагане на тези продукти ще се прилага до 30.06.2025 година.</w:t>
      </w:r>
    </w:p>
    <w:p w14:paraId="463DCE3D" w14:textId="7852F6BF" w:rsidR="006D2755" w:rsidRDefault="00CD39A1" w:rsidP="003A0B57">
      <w:pPr>
        <w:pStyle w:val="a"/>
        <w:spacing w:before="0" w:after="120"/>
        <w:jc w:val="both"/>
        <w:rPr>
          <w:sz w:val="24"/>
        </w:rPr>
      </w:pPr>
      <w:r w:rsidRPr="00CD39A1">
        <w:rPr>
          <w:sz w:val="24"/>
        </w:rPr>
        <w:t>За 2023</w:t>
      </w:r>
      <w:r w:rsidR="00B552D5">
        <w:rPr>
          <w:sz w:val="24"/>
        </w:rPr>
        <w:t> г.</w:t>
      </w:r>
      <w:r w:rsidRPr="00CD39A1">
        <w:rPr>
          <w:sz w:val="24"/>
        </w:rPr>
        <w:t xml:space="preserve"> е непроменен</w:t>
      </w:r>
      <w:r w:rsidR="0005652B">
        <w:rPr>
          <w:sz w:val="24"/>
        </w:rPr>
        <w:t xml:space="preserve"> </w:t>
      </w:r>
      <w:r w:rsidRPr="00CD39A1">
        <w:rPr>
          <w:sz w:val="24"/>
        </w:rPr>
        <w:t>размерът на сумата по схемата за държавна помощ „Помощ под формата на отстъпка от стойността на акциза върху газьола, използван в първично</w:t>
      </w:r>
      <w:r w:rsidR="003A0B57">
        <w:rPr>
          <w:sz w:val="24"/>
        </w:rPr>
        <w:t>то селскос</w:t>
      </w:r>
      <w:r w:rsidRPr="00CD39A1">
        <w:rPr>
          <w:sz w:val="24"/>
        </w:rPr>
        <w:t>топанско производство“ от 100 млн. лева.</w:t>
      </w:r>
    </w:p>
    <w:p w14:paraId="2BAB3B50" w14:textId="77777777" w:rsidR="00CD39A1" w:rsidRPr="00CD39A1" w:rsidRDefault="00CD39A1" w:rsidP="00C0210D">
      <w:pPr>
        <w:pStyle w:val="Heading4"/>
      </w:pPr>
      <w:r w:rsidRPr="00CD39A1">
        <w:t>Други данъци</w:t>
      </w:r>
    </w:p>
    <w:p w14:paraId="365A1AC0" w14:textId="121CC32C" w:rsidR="006D2755" w:rsidRDefault="00CD39A1" w:rsidP="00F703D3">
      <w:pPr>
        <w:pStyle w:val="a"/>
        <w:spacing w:before="0" w:after="120"/>
        <w:jc w:val="both"/>
        <w:rPr>
          <w:sz w:val="24"/>
        </w:rPr>
      </w:pPr>
      <w:r w:rsidRPr="00CD39A1">
        <w:rPr>
          <w:sz w:val="24"/>
        </w:rPr>
        <w:t xml:space="preserve">При изготвянето на прогнозите за приходите от данъци са включени постъпления </w:t>
      </w:r>
      <w:r w:rsidR="000E6DA4" w:rsidRPr="000E6DA4">
        <w:rPr>
          <w:sz w:val="24"/>
        </w:rPr>
        <w:t>от приетата временна солидарна вноска по Регламент (ЕС) 2022/1854 на Съвета от 6 октомври 2022</w:t>
      </w:r>
      <w:r w:rsidR="00B552D5">
        <w:rPr>
          <w:sz w:val="24"/>
        </w:rPr>
        <w:t> г.</w:t>
      </w:r>
      <w:r w:rsidR="000E6DA4" w:rsidRPr="000E6DA4">
        <w:rPr>
          <w:sz w:val="24"/>
        </w:rPr>
        <w:t xml:space="preserve"> относно спешна намеса за справяне с високите цени на енергията с действие от 1 октомври 2022 година. Временната сол</w:t>
      </w:r>
      <w:r w:rsidR="000E6DA4">
        <w:rPr>
          <w:sz w:val="24"/>
        </w:rPr>
        <w:t>идарна вноска се внася за данъч</w:t>
      </w:r>
      <w:r w:rsidR="000E6DA4" w:rsidRPr="000E6DA4">
        <w:rPr>
          <w:sz w:val="24"/>
        </w:rPr>
        <w:t>ните печалби за 2022</w:t>
      </w:r>
      <w:r w:rsidR="00B552D5">
        <w:rPr>
          <w:sz w:val="24"/>
        </w:rPr>
        <w:t> г.</w:t>
      </w:r>
      <w:r w:rsidR="000E6DA4" w:rsidRPr="000E6DA4">
        <w:rPr>
          <w:sz w:val="24"/>
        </w:rPr>
        <w:t xml:space="preserve"> и за 2023</w:t>
      </w:r>
      <w:r w:rsidR="00B552D5">
        <w:rPr>
          <w:sz w:val="24"/>
        </w:rPr>
        <w:t> г.</w:t>
      </w:r>
      <w:r w:rsidR="000E6DA4" w:rsidRPr="000E6DA4">
        <w:rPr>
          <w:sz w:val="24"/>
        </w:rPr>
        <w:t>, като данъчната печалба се определя по правилата, регламентирани в Закона за корпоративното подоходно облагане (§ 9. От ПРЗ на ЗКПО в сила от 8.10.2022</w:t>
      </w:r>
      <w:r w:rsidR="00B552D5">
        <w:rPr>
          <w:sz w:val="24"/>
        </w:rPr>
        <w:t> г.</w:t>
      </w:r>
      <w:r w:rsidR="000E6DA4" w:rsidRPr="000E6DA4">
        <w:rPr>
          <w:sz w:val="24"/>
        </w:rPr>
        <w:t xml:space="preserve"> – ДВ, бр. 99 от 2022</w:t>
      </w:r>
      <w:r w:rsidR="00B552D5">
        <w:rPr>
          <w:sz w:val="24"/>
        </w:rPr>
        <w:t> г.</w:t>
      </w:r>
      <w:r w:rsidR="000E6DA4" w:rsidRPr="000E6DA4">
        <w:rPr>
          <w:sz w:val="24"/>
        </w:rPr>
        <w:t>). Предвид предоставената в закона възможност, задължените лица могат да правят авансови вноски по тази вноска.</w:t>
      </w:r>
    </w:p>
    <w:p w14:paraId="5E4C0980" w14:textId="49B4B6E4" w:rsidR="00CD15E6" w:rsidRPr="009E4F54" w:rsidRDefault="00CD15E6" w:rsidP="00646E11">
      <w:pPr>
        <w:pStyle w:val="Caption"/>
      </w:pPr>
      <w:r w:rsidRPr="00F703D3">
        <w:rPr>
          <w:szCs w:val="24"/>
        </w:rPr>
        <w:t>Табл.</w:t>
      </w:r>
      <w:r w:rsidR="00887584" w:rsidRPr="00F703D3">
        <w:rPr>
          <w:szCs w:val="24"/>
        </w:rPr>
        <w:t xml:space="preserve"> 3-</w:t>
      </w:r>
      <w:r w:rsidR="0020238C">
        <w:rPr>
          <w:szCs w:val="24"/>
        </w:rPr>
        <w:t>5</w:t>
      </w:r>
      <w:r w:rsidRPr="00F703D3">
        <w:rPr>
          <w:szCs w:val="24"/>
        </w:rPr>
        <w:t xml:space="preserve">: </w:t>
      </w:r>
      <w:r w:rsidR="00646E11" w:rsidRPr="00F703D3">
        <w:rPr>
          <w:szCs w:val="24"/>
        </w:rPr>
        <w:tab/>
      </w:r>
      <w:r w:rsidR="00647960" w:rsidRPr="00F703D3">
        <w:t>Очаквани ефекти върху бюджета от дискреционните</w:t>
      </w:r>
      <w:r w:rsidR="001F5959">
        <w:t xml:space="preserve"> приходни</w:t>
      </w:r>
      <w:r w:rsidR="00647960" w:rsidRPr="00F703D3">
        <w:t xml:space="preserve"> мерки на начислена основа</w:t>
      </w:r>
      <w:r w:rsidR="00647960" w:rsidRPr="00F703D3">
        <w:rPr>
          <w:lang w:val="en-US"/>
        </w:rPr>
        <w:t xml:space="preserve"> </w:t>
      </w:r>
      <w:r w:rsidR="00647960" w:rsidRPr="00F703D3">
        <w:t>за периода 202</w:t>
      </w:r>
      <w:r w:rsidR="00647960">
        <w:t>3</w:t>
      </w:r>
      <w:r w:rsidR="00647960" w:rsidRPr="00F703D3">
        <w:t>–202</w:t>
      </w:r>
      <w:r w:rsidR="00647960">
        <w:t>6</w:t>
      </w:r>
      <w:r w:rsidR="00B552D5">
        <w:t> г.</w:t>
      </w:r>
      <w:r w:rsidR="00647960" w:rsidRPr="00F703D3">
        <w:t>,</w:t>
      </w:r>
      <w:r w:rsidR="00647960">
        <w:t xml:space="preserve"> </w:t>
      </w:r>
      <w:r w:rsidR="00647960" w:rsidRPr="009E4F54">
        <w:t>изменение спрямо предходна година,</w:t>
      </w:r>
      <w:r w:rsidR="00647960" w:rsidRPr="00F703D3">
        <w:t xml:space="preserve"> млн. лв.</w:t>
      </w:r>
    </w:p>
    <w:tbl>
      <w:tblPr>
        <w:tblW w:w="5000" w:type="pct"/>
        <w:jc w:val="center"/>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ayout w:type="fixed"/>
        <w:tblCellMar>
          <w:top w:w="57" w:type="dxa"/>
          <w:left w:w="113" w:type="dxa"/>
          <w:bottom w:w="57" w:type="dxa"/>
          <w:right w:w="113" w:type="dxa"/>
        </w:tblCellMar>
        <w:tblLook w:val="04A0" w:firstRow="1" w:lastRow="0" w:firstColumn="1" w:lastColumn="0" w:noHBand="0" w:noVBand="1"/>
      </w:tblPr>
      <w:tblGrid>
        <w:gridCol w:w="4959"/>
        <w:gridCol w:w="1026"/>
        <w:gridCol w:w="1026"/>
        <w:gridCol w:w="1026"/>
        <w:gridCol w:w="1027"/>
      </w:tblGrid>
      <w:tr w:rsidR="00647960" w:rsidRPr="00251736" w14:paraId="7A6C2B80" w14:textId="77777777" w:rsidTr="00C24D24">
        <w:trPr>
          <w:trHeight w:val="300"/>
          <w:tblHeader/>
          <w:jc w:val="center"/>
        </w:trPr>
        <w:tc>
          <w:tcPr>
            <w:tcW w:w="4959" w:type="dxa"/>
            <w:shd w:val="clear" w:color="000000" w:fill="D9D9D9"/>
            <w:vAlign w:val="center"/>
            <w:hideMark/>
          </w:tcPr>
          <w:p w14:paraId="1D5C3886" w14:textId="77777777" w:rsidR="00647960" w:rsidRPr="00251736" w:rsidRDefault="00647960" w:rsidP="001B3937">
            <w:pPr>
              <w:spacing w:after="0"/>
              <w:rPr>
                <w:rFonts w:asciiTheme="minorHAnsi" w:eastAsia="Times New Roman" w:hAnsiTheme="minorHAnsi" w:cstheme="minorHAnsi"/>
                <w:b/>
                <w:bCs/>
                <w:color w:val="000000"/>
                <w:sz w:val="20"/>
                <w:szCs w:val="20"/>
              </w:rPr>
            </w:pPr>
          </w:p>
        </w:tc>
        <w:tc>
          <w:tcPr>
            <w:tcW w:w="1026" w:type="dxa"/>
            <w:shd w:val="clear" w:color="000000" w:fill="D9D9D9"/>
            <w:noWrap/>
            <w:vAlign w:val="center"/>
            <w:hideMark/>
          </w:tcPr>
          <w:p w14:paraId="75F13CA0" w14:textId="3DDFE5A8" w:rsidR="00647960" w:rsidRPr="00251736" w:rsidRDefault="00647960" w:rsidP="001B3937">
            <w:pPr>
              <w:spacing w:after="0"/>
              <w:jc w:val="center"/>
              <w:rPr>
                <w:rFonts w:asciiTheme="minorHAnsi" w:eastAsia="Times New Roman" w:hAnsiTheme="minorHAnsi" w:cstheme="minorHAnsi"/>
                <w:b/>
                <w:bCs/>
                <w:color w:val="000000"/>
                <w:sz w:val="20"/>
                <w:szCs w:val="20"/>
              </w:rPr>
            </w:pPr>
            <w:r w:rsidRPr="00251736">
              <w:rPr>
                <w:rFonts w:asciiTheme="minorHAnsi" w:eastAsia="Times New Roman" w:hAnsiTheme="minorHAnsi" w:cstheme="minorHAnsi"/>
                <w:b/>
                <w:bCs/>
                <w:color w:val="000000"/>
                <w:sz w:val="20"/>
                <w:szCs w:val="20"/>
              </w:rPr>
              <w:t>2023</w:t>
            </w:r>
            <w:r w:rsidR="00B552D5" w:rsidRPr="00251736">
              <w:rPr>
                <w:rFonts w:asciiTheme="minorHAnsi" w:eastAsia="Times New Roman" w:hAnsiTheme="minorHAnsi" w:cstheme="minorHAnsi"/>
                <w:b/>
                <w:bCs/>
                <w:color w:val="000000"/>
                <w:sz w:val="20"/>
                <w:szCs w:val="20"/>
              </w:rPr>
              <w:t> г.</w:t>
            </w:r>
          </w:p>
        </w:tc>
        <w:tc>
          <w:tcPr>
            <w:tcW w:w="1026" w:type="dxa"/>
            <w:shd w:val="clear" w:color="000000" w:fill="D9D9D9"/>
            <w:noWrap/>
            <w:vAlign w:val="center"/>
            <w:hideMark/>
          </w:tcPr>
          <w:p w14:paraId="42AFBF0F" w14:textId="5822FEAA" w:rsidR="00647960" w:rsidRPr="00251736" w:rsidRDefault="00647960" w:rsidP="001B3937">
            <w:pPr>
              <w:spacing w:after="0"/>
              <w:jc w:val="center"/>
              <w:rPr>
                <w:rFonts w:asciiTheme="minorHAnsi" w:eastAsia="Times New Roman" w:hAnsiTheme="minorHAnsi" w:cstheme="minorHAnsi"/>
                <w:b/>
                <w:bCs/>
                <w:color w:val="000000"/>
                <w:sz w:val="20"/>
                <w:szCs w:val="20"/>
              </w:rPr>
            </w:pPr>
            <w:r w:rsidRPr="00251736">
              <w:rPr>
                <w:rFonts w:asciiTheme="minorHAnsi" w:eastAsia="Times New Roman" w:hAnsiTheme="minorHAnsi" w:cstheme="minorHAnsi"/>
                <w:b/>
                <w:bCs/>
                <w:color w:val="000000"/>
                <w:sz w:val="20"/>
                <w:szCs w:val="20"/>
              </w:rPr>
              <w:t>2024</w:t>
            </w:r>
            <w:r w:rsidR="00B552D5" w:rsidRPr="00251736">
              <w:rPr>
                <w:rFonts w:asciiTheme="minorHAnsi" w:eastAsia="Times New Roman" w:hAnsiTheme="minorHAnsi" w:cstheme="minorHAnsi"/>
                <w:b/>
                <w:bCs/>
                <w:color w:val="000000"/>
                <w:sz w:val="20"/>
                <w:szCs w:val="20"/>
              </w:rPr>
              <w:t> г.</w:t>
            </w:r>
          </w:p>
        </w:tc>
        <w:tc>
          <w:tcPr>
            <w:tcW w:w="1026" w:type="dxa"/>
            <w:shd w:val="clear" w:color="000000" w:fill="D9D9D9"/>
            <w:noWrap/>
            <w:vAlign w:val="center"/>
            <w:hideMark/>
          </w:tcPr>
          <w:p w14:paraId="6B4182E1" w14:textId="37EAA002" w:rsidR="00647960" w:rsidRPr="00251736" w:rsidRDefault="00647960" w:rsidP="001B3937">
            <w:pPr>
              <w:spacing w:after="0"/>
              <w:jc w:val="center"/>
              <w:rPr>
                <w:rFonts w:asciiTheme="minorHAnsi" w:eastAsia="Times New Roman" w:hAnsiTheme="minorHAnsi" w:cstheme="minorHAnsi"/>
                <w:b/>
                <w:bCs/>
                <w:color w:val="000000"/>
                <w:sz w:val="20"/>
                <w:szCs w:val="20"/>
              </w:rPr>
            </w:pPr>
            <w:r w:rsidRPr="00251736">
              <w:rPr>
                <w:rFonts w:asciiTheme="minorHAnsi" w:eastAsia="Times New Roman" w:hAnsiTheme="minorHAnsi" w:cstheme="minorHAnsi"/>
                <w:b/>
                <w:bCs/>
                <w:color w:val="000000"/>
                <w:sz w:val="20"/>
                <w:szCs w:val="20"/>
              </w:rPr>
              <w:t>2025</w:t>
            </w:r>
            <w:r w:rsidR="00B552D5" w:rsidRPr="00251736">
              <w:rPr>
                <w:rFonts w:asciiTheme="minorHAnsi" w:eastAsia="Times New Roman" w:hAnsiTheme="minorHAnsi" w:cstheme="minorHAnsi"/>
                <w:b/>
                <w:bCs/>
                <w:color w:val="000000"/>
                <w:sz w:val="20"/>
                <w:szCs w:val="20"/>
              </w:rPr>
              <w:t> г.</w:t>
            </w:r>
          </w:p>
        </w:tc>
        <w:tc>
          <w:tcPr>
            <w:tcW w:w="1027" w:type="dxa"/>
            <w:shd w:val="clear" w:color="000000" w:fill="D9D9D9"/>
            <w:noWrap/>
            <w:vAlign w:val="center"/>
            <w:hideMark/>
          </w:tcPr>
          <w:p w14:paraId="4B46E92C" w14:textId="5F895581" w:rsidR="00647960" w:rsidRPr="00251736" w:rsidRDefault="00647960" w:rsidP="001B3937">
            <w:pPr>
              <w:spacing w:after="0"/>
              <w:jc w:val="center"/>
              <w:rPr>
                <w:rFonts w:asciiTheme="minorHAnsi" w:eastAsia="Times New Roman" w:hAnsiTheme="minorHAnsi" w:cstheme="minorHAnsi"/>
                <w:b/>
                <w:bCs/>
                <w:color w:val="000000"/>
                <w:sz w:val="20"/>
                <w:szCs w:val="20"/>
              </w:rPr>
            </w:pPr>
            <w:r w:rsidRPr="00251736">
              <w:rPr>
                <w:rFonts w:asciiTheme="minorHAnsi" w:eastAsia="Times New Roman" w:hAnsiTheme="minorHAnsi" w:cstheme="minorHAnsi"/>
                <w:b/>
                <w:bCs/>
                <w:color w:val="000000"/>
                <w:sz w:val="20"/>
                <w:szCs w:val="20"/>
              </w:rPr>
              <w:t>2026</w:t>
            </w:r>
            <w:r w:rsidR="00B552D5" w:rsidRPr="00251736">
              <w:rPr>
                <w:rFonts w:asciiTheme="minorHAnsi" w:eastAsia="Times New Roman" w:hAnsiTheme="minorHAnsi" w:cstheme="minorHAnsi"/>
                <w:b/>
                <w:bCs/>
                <w:color w:val="000000"/>
                <w:sz w:val="20"/>
                <w:szCs w:val="20"/>
              </w:rPr>
              <w:t> г.</w:t>
            </w:r>
          </w:p>
        </w:tc>
      </w:tr>
      <w:tr w:rsidR="00647960" w:rsidRPr="00251736" w14:paraId="322F6C17" w14:textId="77777777" w:rsidTr="00251736">
        <w:trPr>
          <w:trHeight w:val="1275"/>
          <w:jc w:val="center"/>
        </w:trPr>
        <w:tc>
          <w:tcPr>
            <w:tcW w:w="4959" w:type="dxa"/>
            <w:shd w:val="clear" w:color="auto" w:fill="auto"/>
            <w:vAlign w:val="center"/>
            <w:hideMark/>
          </w:tcPr>
          <w:p w14:paraId="22CDCAA2" w14:textId="7ADE31CB" w:rsidR="00647960" w:rsidRPr="00251736" w:rsidRDefault="00647960" w:rsidP="001F5959">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Приходи от осигурителни вноски от промяната в</w:t>
            </w:r>
            <w:r w:rsidR="00781CA8">
              <w:rPr>
                <w:rFonts w:asciiTheme="minorHAnsi" w:eastAsia="Times New Roman" w:hAnsiTheme="minorHAnsi" w:cstheme="minorHAnsi"/>
                <w:sz w:val="20"/>
                <w:szCs w:val="20"/>
              </w:rPr>
              <w:t xml:space="preserve"> политиката по доходите (вкл. </w:t>
            </w:r>
            <w:r w:rsidRPr="00251736">
              <w:rPr>
                <w:rFonts w:asciiTheme="minorHAnsi" w:eastAsia="Times New Roman" w:hAnsiTheme="minorHAnsi" w:cstheme="minorHAnsi"/>
                <w:sz w:val="20"/>
                <w:szCs w:val="20"/>
              </w:rPr>
              <w:t xml:space="preserve">увеличение на  МРЗ, минималните осигурителни прагове и на минималните осигурителни доходи на самоосигуряващите се лица и минималния осигурителен доход на земеделските стопани и тютюнопроизводители, увеличение на максималния осигурителен доход, увеличение на заплати на педагогическия персонал) </w:t>
            </w:r>
          </w:p>
        </w:tc>
        <w:tc>
          <w:tcPr>
            <w:tcW w:w="1026" w:type="dxa"/>
            <w:shd w:val="clear" w:color="auto" w:fill="auto"/>
            <w:vAlign w:val="center"/>
            <w:hideMark/>
          </w:tcPr>
          <w:p w14:paraId="4BE36984" w14:textId="2889134E"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332</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6E53BD6C" w14:textId="160D0D5A"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519</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3</w:t>
            </w:r>
          </w:p>
        </w:tc>
        <w:tc>
          <w:tcPr>
            <w:tcW w:w="1026" w:type="dxa"/>
            <w:shd w:val="clear" w:color="auto" w:fill="auto"/>
            <w:vAlign w:val="center"/>
            <w:hideMark/>
          </w:tcPr>
          <w:p w14:paraId="1D96DB96" w14:textId="67AAD591"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430</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6</w:t>
            </w:r>
          </w:p>
        </w:tc>
        <w:tc>
          <w:tcPr>
            <w:tcW w:w="1027" w:type="dxa"/>
            <w:shd w:val="clear" w:color="auto" w:fill="auto"/>
            <w:vAlign w:val="center"/>
            <w:hideMark/>
          </w:tcPr>
          <w:p w14:paraId="3F72CD01" w14:textId="19A475BB"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421</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2</w:t>
            </w:r>
          </w:p>
        </w:tc>
      </w:tr>
      <w:tr w:rsidR="00647960" w:rsidRPr="00251736" w14:paraId="69C4C34B" w14:textId="77777777" w:rsidTr="00251736">
        <w:trPr>
          <w:trHeight w:val="765"/>
          <w:jc w:val="center"/>
        </w:trPr>
        <w:tc>
          <w:tcPr>
            <w:tcW w:w="4959" w:type="dxa"/>
            <w:shd w:val="clear" w:color="auto" w:fill="auto"/>
            <w:vAlign w:val="center"/>
            <w:hideMark/>
          </w:tcPr>
          <w:p w14:paraId="60528831"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Временна солидарна вноска по Регламент (ЕС) 2022/1854 на Съвета от 6 октомври 2022 година за спешна намеса за справяне с високите цени на енергията от дружества в дейности добив на нефт,природен газ и въглища и нефтопреработване.</w:t>
            </w:r>
          </w:p>
        </w:tc>
        <w:tc>
          <w:tcPr>
            <w:tcW w:w="1026" w:type="dxa"/>
            <w:shd w:val="clear" w:color="auto" w:fill="auto"/>
            <w:vAlign w:val="center"/>
            <w:hideMark/>
          </w:tcPr>
          <w:p w14:paraId="593FB7D6" w14:textId="07EDF4DB"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288</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7C7C6621" w14:textId="7313DA2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-375</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9</w:t>
            </w:r>
          </w:p>
        </w:tc>
        <w:tc>
          <w:tcPr>
            <w:tcW w:w="1026" w:type="dxa"/>
            <w:shd w:val="clear" w:color="auto" w:fill="auto"/>
            <w:vAlign w:val="center"/>
            <w:hideMark/>
          </w:tcPr>
          <w:p w14:paraId="4B66F494"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47C19D85"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01C51895" w14:textId="77777777" w:rsidTr="00251736">
        <w:trPr>
          <w:trHeight w:val="300"/>
          <w:jc w:val="center"/>
        </w:trPr>
        <w:tc>
          <w:tcPr>
            <w:tcW w:w="4959" w:type="dxa"/>
            <w:shd w:val="clear" w:color="auto" w:fill="auto"/>
            <w:vAlign w:val="center"/>
            <w:hideMark/>
          </w:tcPr>
          <w:p w14:paraId="3C84F521"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Приходи от оперирането на ТОЛ системата</w:t>
            </w:r>
          </w:p>
        </w:tc>
        <w:tc>
          <w:tcPr>
            <w:tcW w:w="1026" w:type="dxa"/>
            <w:shd w:val="clear" w:color="auto" w:fill="auto"/>
            <w:vAlign w:val="center"/>
            <w:hideMark/>
          </w:tcPr>
          <w:p w14:paraId="53BCC782" w14:textId="68BDF6D2"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189</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3</w:t>
            </w:r>
          </w:p>
        </w:tc>
        <w:tc>
          <w:tcPr>
            <w:tcW w:w="1026" w:type="dxa"/>
            <w:shd w:val="clear" w:color="auto" w:fill="auto"/>
            <w:vAlign w:val="center"/>
            <w:hideMark/>
          </w:tcPr>
          <w:p w14:paraId="0C3E9BE0" w14:textId="228EBBA9"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66</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3</w:t>
            </w:r>
          </w:p>
        </w:tc>
        <w:tc>
          <w:tcPr>
            <w:tcW w:w="1026" w:type="dxa"/>
            <w:shd w:val="clear" w:color="auto" w:fill="auto"/>
            <w:vAlign w:val="center"/>
            <w:hideMark/>
          </w:tcPr>
          <w:p w14:paraId="58EE8517"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51749D58"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33F6305B" w14:textId="77777777" w:rsidTr="00251736">
        <w:trPr>
          <w:trHeight w:val="765"/>
          <w:jc w:val="center"/>
        </w:trPr>
        <w:tc>
          <w:tcPr>
            <w:tcW w:w="4959" w:type="dxa"/>
            <w:shd w:val="clear" w:color="auto" w:fill="auto"/>
            <w:vAlign w:val="center"/>
            <w:hideMark/>
          </w:tcPr>
          <w:p w14:paraId="014CB6EB" w14:textId="116619DB"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Ефект върху приходите от ДДС и акцизи в резултат на повишаване на акцизната ставка на пури и пурети, на тютюн за пушене, на нагреваемо тютюнево изделие, на течността за електронна цигара (от 1.03.2023</w:t>
            </w:r>
            <w:r w:rsidR="00B552D5" w:rsidRPr="00251736">
              <w:rPr>
                <w:rFonts w:asciiTheme="minorHAnsi" w:eastAsia="Times New Roman" w:hAnsiTheme="minorHAnsi" w:cstheme="minorHAnsi"/>
                <w:sz w:val="20"/>
                <w:szCs w:val="20"/>
              </w:rPr>
              <w:t> г.</w:t>
            </w:r>
            <w:r w:rsidRPr="00251736">
              <w:rPr>
                <w:rFonts w:asciiTheme="minorHAnsi" w:eastAsia="Times New Roman" w:hAnsiTheme="minorHAnsi" w:cstheme="minorHAnsi"/>
                <w:sz w:val="20"/>
                <w:szCs w:val="20"/>
              </w:rPr>
              <w:t>)</w:t>
            </w:r>
          </w:p>
        </w:tc>
        <w:tc>
          <w:tcPr>
            <w:tcW w:w="1026" w:type="dxa"/>
            <w:shd w:val="clear" w:color="auto" w:fill="auto"/>
            <w:vAlign w:val="center"/>
            <w:hideMark/>
          </w:tcPr>
          <w:p w14:paraId="7711FDFB" w14:textId="1989B09F"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97</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1</w:t>
            </w:r>
          </w:p>
        </w:tc>
        <w:tc>
          <w:tcPr>
            <w:tcW w:w="1026" w:type="dxa"/>
            <w:shd w:val="clear" w:color="auto" w:fill="auto"/>
            <w:vAlign w:val="center"/>
            <w:hideMark/>
          </w:tcPr>
          <w:p w14:paraId="08498842" w14:textId="202FFE8C"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209</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6</w:t>
            </w:r>
          </w:p>
        </w:tc>
        <w:tc>
          <w:tcPr>
            <w:tcW w:w="1026" w:type="dxa"/>
            <w:shd w:val="clear" w:color="auto" w:fill="auto"/>
            <w:vAlign w:val="center"/>
            <w:hideMark/>
          </w:tcPr>
          <w:p w14:paraId="07FCF903" w14:textId="6115D554"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187</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8</w:t>
            </w:r>
          </w:p>
        </w:tc>
        <w:tc>
          <w:tcPr>
            <w:tcW w:w="1027" w:type="dxa"/>
            <w:shd w:val="clear" w:color="auto" w:fill="auto"/>
            <w:vAlign w:val="center"/>
            <w:hideMark/>
          </w:tcPr>
          <w:p w14:paraId="0EE9A1F0" w14:textId="574FB34B"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179</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2</w:t>
            </w:r>
          </w:p>
        </w:tc>
      </w:tr>
      <w:tr w:rsidR="00647960" w:rsidRPr="00251736" w14:paraId="17D019C4" w14:textId="77777777" w:rsidTr="00251736">
        <w:trPr>
          <w:trHeight w:val="510"/>
          <w:jc w:val="center"/>
        </w:trPr>
        <w:tc>
          <w:tcPr>
            <w:tcW w:w="4959" w:type="dxa"/>
            <w:shd w:val="clear" w:color="auto" w:fill="auto"/>
            <w:vAlign w:val="center"/>
            <w:hideMark/>
          </w:tcPr>
          <w:p w14:paraId="06A9E76F"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Приходи от ДДФЛ от увеличение на МРЗ, минималните осигурителни прагове и минималния осигурителен доход</w:t>
            </w:r>
          </w:p>
        </w:tc>
        <w:tc>
          <w:tcPr>
            <w:tcW w:w="1026" w:type="dxa"/>
            <w:shd w:val="clear" w:color="auto" w:fill="auto"/>
            <w:vAlign w:val="center"/>
            <w:hideMark/>
          </w:tcPr>
          <w:p w14:paraId="3F202EAB" w14:textId="7183C010"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34</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4</w:t>
            </w:r>
          </w:p>
        </w:tc>
        <w:tc>
          <w:tcPr>
            <w:tcW w:w="1026" w:type="dxa"/>
            <w:shd w:val="clear" w:color="auto" w:fill="auto"/>
            <w:vAlign w:val="center"/>
            <w:hideMark/>
          </w:tcPr>
          <w:p w14:paraId="50AB2971" w14:textId="5B7FE178"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86</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5161AD4A" w14:textId="3A8C1351"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68</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7" w:type="dxa"/>
            <w:shd w:val="clear" w:color="auto" w:fill="auto"/>
            <w:vAlign w:val="center"/>
            <w:hideMark/>
          </w:tcPr>
          <w:p w14:paraId="2B41D689" w14:textId="7B01AC6A"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74</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r>
      <w:tr w:rsidR="00647960" w:rsidRPr="00251736" w14:paraId="548E526E" w14:textId="77777777" w:rsidTr="00251736">
        <w:trPr>
          <w:trHeight w:val="300"/>
          <w:jc w:val="center"/>
        </w:trPr>
        <w:tc>
          <w:tcPr>
            <w:tcW w:w="4959" w:type="dxa"/>
            <w:shd w:val="clear" w:color="auto" w:fill="auto"/>
            <w:vAlign w:val="center"/>
            <w:hideMark/>
          </w:tcPr>
          <w:p w14:paraId="25793F6F"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Приходи от избор на осигуряване</w:t>
            </w:r>
          </w:p>
        </w:tc>
        <w:tc>
          <w:tcPr>
            <w:tcW w:w="1026" w:type="dxa"/>
            <w:shd w:val="clear" w:color="auto" w:fill="auto"/>
            <w:vAlign w:val="center"/>
            <w:hideMark/>
          </w:tcPr>
          <w:p w14:paraId="378346E3" w14:textId="41BDF894"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7</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424349D5" w14:textId="7232A8AD"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7</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7</w:t>
            </w:r>
          </w:p>
        </w:tc>
        <w:tc>
          <w:tcPr>
            <w:tcW w:w="1026" w:type="dxa"/>
            <w:shd w:val="clear" w:color="auto" w:fill="auto"/>
            <w:vAlign w:val="center"/>
            <w:hideMark/>
          </w:tcPr>
          <w:p w14:paraId="2A744247" w14:textId="072F2454"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7</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4</w:t>
            </w:r>
          </w:p>
        </w:tc>
        <w:tc>
          <w:tcPr>
            <w:tcW w:w="1027" w:type="dxa"/>
            <w:shd w:val="clear" w:color="auto" w:fill="auto"/>
            <w:vAlign w:val="center"/>
            <w:hideMark/>
          </w:tcPr>
          <w:p w14:paraId="491F65B9" w14:textId="1B0C5436"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7</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r>
      <w:tr w:rsidR="00647960" w:rsidRPr="00251736" w14:paraId="3060452B" w14:textId="77777777" w:rsidTr="00251736">
        <w:trPr>
          <w:trHeight w:val="555"/>
          <w:jc w:val="center"/>
        </w:trPr>
        <w:tc>
          <w:tcPr>
            <w:tcW w:w="4959" w:type="dxa"/>
            <w:shd w:val="clear" w:color="auto" w:fill="auto"/>
            <w:vAlign w:val="center"/>
            <w:hideMark/>
          </w:tcPr>
          <w:p w14:paraId="72FD3933"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Приходи от осигурителни вноски от увеличение на осигурителния стаж при пенсиониране</w:t>
            </w:r>
          </w:p>
        </w:tc>
        <w:tc>
          <w:tcPr>
            <w:tcW w:w="1026" w:type="dxa"/>
            <w:shd w:val="clear" w:color="auto" w:fill="auto"/>
            <w:vAlign w:val="center"/>
            <w:hideMark/>
          </w:tcPr>
          <w:p w14:paraId="7788414D" w14:textId="5D7F985A"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0</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5</w:t>
            </w:r>
          </w:p>
        </w:tc>
        <w:tc>
          <w:tcPr>
            <w:tcW w:w="1026" w:type="dxa"/>
            <w:shd w:val="clear" w:color="auto" w:fill="auto"/>
            <w:vAlign w:val="center"/>
            <w:hideMark/>
          </w:tcPr>
          <w:p w14:paraId="413E16D7" w14:textId="0318F164"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0</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5</w:t>
            </w:r>
          </w:p>
        </w:tc>
        <w:tc>
          <w:tcPr>
            <w:tcW w:w="1026" w:type="dxa"/>
            <w:shd w:val="clear" w:color="auto" w:fill="auto"/>
            <w:vAlign w:val="center"/>
            <w:hideMark/>
          </w:tcPr>
          <w:p w14:paraId="05FF174B" w14:textId="1F7517FB"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0</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5</w:t>
            </w:r>
          </w:p>
        </w:tc>
        <w:tc>
          <w:tcPr>
            <w:tcW w:w="1027" w:type="dxa"/>
            <w:shd w:val="clear" w:color="auto" w:fill="auto"/>
            <w:vAlign w:val="center"/>
            <w:hideMark/>
          </w:tcPr>
          <w:p w14:paraId="262D3BEA" w14:textId="6645172D"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0</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5</w:t>
            </w:r>
          </w:p>
        </w:tc>
      </w:tr>
      <w:tr w:rsidR="00647960" w:rsidRPr="00251736" w14:paraId="18E64403" w14:textId="77777777" w:rsidTr="00251736">
        <w:trPr>
          <w:trHeight w:val="300"/>
          <w:jc w:val="center"/>
        </w:trPr>
        <w:tc>
          <w:tcPr>
            <w:tcW w:w="4959" w:type="dxa"/>
            <w:shd w:val="clear" w:color="auto" w:fill="auto"/>
            <w:vAlign w:val="center"/>
            <w:hideMark/>
          </w:tcPr>
          <w:p w14:paraId="784A4F32" w14:textId="6C6FE2E3"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Намалена ставка на 9% на ДДС за централно отопление (до 30.06.2023</w:t>
            </w:r>
            <w:r w:rsidR="00B552D5" w:rsidRPr="00251736">
              <w:rPr>
                <w:rFonts w:asciiTheme="minorHAnsi" w:eastAsia="Times New Roman" w:hAnsiTheme="minorHAnsi" w:cstheme="minorHAnsi"/>
                <w:sz w:val="20"/>
                <w:szCs w:val="20"/>
              </w:rPr>
              <w:t> г.</w:t>
            </w:r>
            <w:r w:rsidRPr="00251736">
              <w:rPr>
                <w:rFonts w:asciiTheme="minorHAnsi" w:eastAsia="Times New Roman" w:hAnsiTheme="minorHAnsi" w:cstheme="minorHAnsi"/>
                <w:sz w:val="20"/>
                <w:szCs w:val="20"/>
              </w:rPr>
              <w:t>)</w:t>
            </w:r>
          </w:p>
        </w:tc>
        <w:tc>
          <w:tcPr>
            <w:tcW w:w="1026" w:type="dxa"/>
            <w:shd w:val="clear" w:color="auto" w:fill="auto"/>
            <w:vAlign w:val="center"/>
            <w:hideMark/>
          </w:tcPr>
          <w:p w14:paraId="55CD236E" w14:textId="38B99100"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6" w:type="dxa"/>
            <w:shd w:val="clear" w:color="auto" w:fill="auto"/>
            <w:vAlign w:val="center"/>
            <w:hideMark/>
          </w:tcPr>
          <w:p w14:paraId="39D50CF3" w14:textId="51B521EA"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15</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3D5EA5E3"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730EC69C"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0ED26B8A" w14:textId="77777777" w:rsidTr="00251736">
        <w:trPr>
          <w:trHeight w:val="300"/>
          <w:jc w:val="center"/>
        </w:trPr>
        <w:tc>
          <w:tcPr>
            <w:tcW w:w="4959" w:type="dxa"/>
            <w:shd w:val="clear" w:color="auto" w:fill="auto"/>
            <w:vAlign w:val="center"/>
            <w:hideMark/>
          </w:tcPr>
          <w:p w14:paraId="54CBEBF3" w14:textId="511DDC86"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Намалена ставка на 9% на ДДС за природен газ (до 30.06.2023</w:t>
            </w:r>
            <w:r w:rsidR="00B552D5" w:rsidRPr="00251736">
              <w:rPr>
                <w:rFonts w:asciiTheme="minorHAnsi" w:eastAsia="Times New Roman" w:hAnsiTheme="minorHAnsi" w:cstheme="minorHAnsi"/>
                <w:sz w:val="20"/>
                <w:szCs w:val="20"/>
              </w:rPr>
              <w:t> г.</w:t>
            </w:r>
            <w:r w:rsidRPr="00251736">
              <w:rPr>
                <w:rFonts w:asciiTheme="minorHAnsi" w:eastAsia="Times New Roman" w:hAnsiTheme="minorHAnsi" w:cstheme="minorHAnsi"/>
                <w:sz w:val="20"/>
                <w:szCs w:val="20"/>
              </w:rPr>
              <w:t>)</w:t>
            </w:r>
          </w:p>
        </w:tc>
        <w:tc>
          <w:tcPr>
            <w:tcW w:w="1026" w:type="dxa"/>
            <w:shd w:val="clear" w:color="auto" w:fill="auto"/>
            <w:vAlign w:val="center"/>
            <w:hideMark/>
          </w:tcPr>
          <w:p w14:paraId="2E27A058" w14:textId="7CFB5783"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6" w:type="dxa"/>
            <w:shd w:val="clear" w:color="auto" w:fill="auto"/>
            <w:vAlign w:val="center"/>
            <w:hideMark/>
          </w:tcPr>
          <w:p w14:paraId="413F2C5B" w14:textId="348A76ED"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46</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2F95777A"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141543B0"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0C1ECEEB" w14:textId="77777777" w:rsidTr="00251736">
        <w:trPr>
          <w:trHeight w:val="510"/>
          <w:jc w:val="center"/>
        </w:trPr>
        <w:tc>
          <w:tcPr>
            <w:tcW w:w="4959" w:type="dxa"/>
            <w:shd w:val="clear" w:color="auto" w:fill="auto"/>
            <w:vAlign w:val="center"/>
            <w:hideMark/>
          </w:tcPr>
          <w:p w14:paraId="3974543E"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Увеличен размер от 40 на сто на нормативно признатите разходи за доходите на адвокатите</w:t>
            </w:r>
          </w:p>
        </w:tc>
        <w:tc>
          <w:tcPr>
            <w:tcW w:w="1026" w:type="dxa"/>
            <w:shd w:val="clear" w:color="auto" w:fill="auto"/>
            <w:vAlign w:val="center"/>
            <w:hideMark/>
          </w:tcPr>
          <w:p w14:paraId="3ED09076" w14:textId="71289B13"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-6</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6242D2B6"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6" w:type="dxa"/>
            <w:shd w:val="clear" w:color="auto" w:fill="auto"/>
            <w:vAlign w:val="center"/>
            <w:hideMark/>
          </w:tcPr>
          <w:p w14:paraId="389A73C6"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18583CBD"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4944B719" w14:textId="77777777" w:rsidTr="00251736">
        <w:trPr>
          <w:trHeight w:val="510"/>
          <w:jc w:val="center"/>
        </w:trPr>
        <w:tc>
          <w:tcPr>
            <w:tcW w:w="4959" w:type="dxa"/>
            <w:shd w:val="clear" w:color="auto" w:fill="auto"/>
            <w:vAlign w:val="center"/>
            <w:hideMark/>
          </w:tcPr>
          <w:p w14:paraId="14F4BFF3" w14:textId="477C4285"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Държавна помощ за регионално развитие</w:t>
            </w:r>
            <w:r w:rsidR="00B552D5" w:rsidRPr="00251736">
              <w:rPr>
                <w:rFonts w:asciiTheme="minorHAnsi" w:eastAsia="Times New Roman" w:hAnsiTheme="minorHAnsi" w:cstheme="minorHAnsi"/>
                <w:sz w:val="20"/>
                <w:szCs w:val="20"/>
              </w:rPr>
              <w:t xml:space="preserve"> – </w:t>
            </w:r>
            <w:r w:rsidRPr="00251736">
              <w:rPr>
                <w:rFonts w:asciiTheme="minorHAnsi" w:eastAsia="Times New Roman" w:hAnsiTheme="minorHAnsi" w:cstheme="minorHAnsi"/>
                <w:sz w:val="20"/>
                <w:szCs w:val="20"/>
              </w:rPr>
              <w:t>данъчно облекчение за корпоративния данък</w:t>
            </w:r>
          </w:p>
        </w:tc>
        <w:tc>
          <w:tcPr>
            <w:tcW w:w="1026" w:type="dxa"/>
            <w:shd w:val="clear" w:color="auto" w:fill="auto"/>
            <w:vAlign w:val="center"/>
            <w:hideMark/>
          </w:tcPr>
          <w:p w14:paraId="0C74980F" w14:textId="10DB6A56"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-11</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6FFA3590"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6" w:type="dxa"/>
            <w:shd w:val="clear" w:color="auto" w:fill="auto"/>
            <w:vAlign w:val="center"/>
            <w:hideMark/>
          </w:tcPr>
          <w:p w14:paraId="6CE5C567"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45D2F66E"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15FD7E44" w14:textId="77777777" w:rsidTr="00251736">
        <w:trPr>
          <w:trHeight w:val="300"/>
          <w:jc w:val="center"/>
        </w:trPr>
        <w:tc>
          <w:tcPr>
            <w:tcW w:w="4959" w:type="dxa"/>
            <w:shd w:val="clear" w:color="auto" w:fill="auto"/>
            <w:vAlign w:val="center"/>
            <w:hideMark/>
          </w:tcPr>
          <w:p w14:paraId="6C310B74"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 xml:space="preserve">Отпадане на таксите за ползване на детски градини и на детски ясли </w:t>
            </w:r>
          </w:p>
        </w:tc>
        <w:tc>
          <w:tcPr>
            <w:tcW w:w="1026" w:type="dxa"/>
            <w:shd w:val="clear" w:color="auto" w:fill="auto"/>
            <w:vAlign w:val="center"/>
            <w:hideMark/>
          </w:tcPr>
          <w:p w14:paraId="30914505" w14:textId="4CCF1F56"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-11</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5</w:t>
            </w:r>
          </w:p>
        </w:tc>
        <w:tc>
          <w:tcPr>
            <w:tcW w:w="1026" w:type="dxa"/>
            <w:shd w:val="clear" w:color="auto" w:fill="auto"/>
            <w:vAlign w:val="center"/>
            <w:hideMark/>
          </w:tcPr>
          <w:p w14:paraId="5011AF9A"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6" w:type="dxa"/>
            <w:shd w:val="clear" w:color="auto" w:fill="auto"/>
            <w:vAlign w:val="center"/>
            <w:hideMark/>
          </w:tcPr>
          <w:p w14:paraId="518A782B"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4830DF90"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3DF52029" w14:textId="77777777" w:rsidTr="00251736">
        <w:trPr>
          <w:trHeight w:val="300"/>
          <w:jc w:val="center"/>
        </w:trPr>
        <w:tc>
          <w:tcPr>
            <w:tcW w:w="4959" w:type="dxa"/>
            <w:shd w:val="clear" w:color="auto" w:fill="auto"/>
            <w:vAlign w:val="center"/>
            <w:hideMark/>
          </w:tcPr>
          <w:p w14:paraId="38E1C035"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Изменение на параметрите на политиката по дивидентите</w:t>
            </w:r>
          </w:p>
        </w:tc>
        <w:tc>
          <w:tcPr>
            <w:tcW w:w="1026" w:type="dxa"/>
            <w:shd w:val="clear" w:color="auto" w:fill="auto"/>
            <w:vAlign w:val="center"/>
            <w:hideMark/>
          </w:tcPr>
          <w:p w14:paraId="4797925C" w14:textId="5EF9BE9C"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-15</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4</w:t>
            </w:r>
          </w:p>
        </w:tc>
        <w:tc>
          <w:tcPr>
            <w:tcW w:w="1026" w:type="dxa"/>
            <w:shd w:val="clear" w:color="auto" w:fill="auto"/>
            <w:vAlign w:val="center"/>
            <w:hideMark/>
          </w:tcPr>
          <w:p w14:paraId="1CD6BCD9"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6" w:type="dxa"/>
            <w:shd w:val="clear" w:color="auto" w:fill="auto"/>
            <w:vAlign w:val="center"/>
            <w:hideMark/>
          </w:tcPr>
          <w:p w14:paraId="75179A1C" w14:textId="2F143CA1"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258016BD" w14:textId="685D37A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29E8E9A3" w14:textId="77777777" w:rsidTr="00251736">
        <w:trPr>
          <w:trHeight w:val="300"/>
          <w:jc w:val="center"/>
        </w:trPr>
        <w:tc>
          <w:tcPr>
            <w:tcW w:w="4959" w:type="dxa"/>
            <w:shd w:val="clear" w:color="auto" w:fill="auto"/>
            <w:vAlign w:val="center"/>
            <w:hideMark/>
          </w:tcPr>
          <w:p w14:paraId="7FDF9404" w14:textId="397F8F88"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Намалена ставка на 0% на ДДС за хляба и брашно (до 31.12.2023</w:t>
            </w:r>
            <w:r w:rsidR="00B552D5" w:rsidRPr="00251736">
              <w:rPr>
                <w:rFonts w:asciiTheme="minorHAnsi" w:eastAsia="Times New Roman" w:hAnsiTheme="minorHAnsi" w:cstheme="minorHAnsi"/>
                <w:sz w:val="20"/>
                <w:szCs w:val="20"/>
              </w:rPr>
              <w:t> г.</w:t>
            </w:r>
            <w:r w:rsidRPr="00251736">
              <w:rPr>
                <w:rFonts w:asciiTheme="minorHAnsi" w:eastAsia="Times New Roman" w:hAnsiTheme="minorHAnsi" w:cstheme="minorHAnsi"/>
                <w:sz w:val="20"/>
                <w:szCs w:val="20"/>
              </w:rPr>
              <w:t>)</w:t>
            </w:r>
          </w:p>
        </w:tc>
        <w:tc>
          <w:tcPr>
            <w:tcW w:w="1026" w:type="dxa"/>
            <w:shd w:val="clear" w:color="auto" w:fill="auto"/>
            <w:vAlign w:val="center"/>
            <w:hideMark/>
          </w:tcPr>
          <w:p w14:paraId="3F3E5676" w14:textId="2B77EB3A"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-82</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7</w:t>
            </w:r>
          </w:p>
        </w:tc>
        <w:tc>
          <w:tcPr>
            <w:tcW w:w="1026" w:type="dxa"/>
            <w:shd w:val="clear" w:color="auto" w:fill="auto"/>
            <w:vAlign w:val="center"/>
            <w:hideMark/>
          </w:tcPr>
          <w:p w14:paraId="5587D431" w14:textId="58A64D61"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165</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4</w:t>
            </w:r>
          </w:p>
        </w:tc>
        <w:tc>
          <w:tcPr>
            <w:tcW w:w="1026" w:type="dxa"/>
            <w:shd w:val="clear" w:color="auto" w:fill="auto"/>
            <w:vAlign w:val="center"/>
            <w:hideMark/>
          </w:tcPr>
          <w:p w14:paraId="56E44825"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0EB0A64F"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247898A1" w14:textId="77777777" w:rsidTr="00251736">
        <w:trPr>
          <w:trHeight w:val="510"/>
          <w:jc w:val="center"/>
        </w:trPr>
        <w:tc>
          <w:tcPr>
            <w:tcW w:w="4959" w:type="dxa"/>
            <w:shd w:val="clear" w:color="auto" w:fill="auto"/>
            <w:vAlign w:val="center"/>
            <w:hideMark/>
          </w:tcPr>
          <w:p w14:paraId="6757C9E2" w14:textId="71C6C9BD"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Ефект върху приходите от ДДС и акцизи в резултат на освобождаване от акциз на електрическата енергия, природния газ и втечнен нефтен газ (LPG)</w:t>
            </w:r>
            <w:r w:rsidR="00B552D5" w:rsidRPr="00251736">
              <w:rPr>
                <w:rFonts w:asciiTheme="minorHAnsi" w:eastAsia="Times New Roman" w:hAnsiTheme="minorHAnsi" w:cstheme="minorHAnsi"/>
                <w:sz w:val="20"/>
                <w:szCs w:val="20"/>
              </w:rPr>
              <w:t xml:space="preserve"> – </w:t>
            </w:r>
            <w:r w:rsidRPr="00251736">
              <w:rPr>
                <w:rFonts w:asciiTheme="minorHAnsi" w:eastAsia="Times New Roman" w:hAnsiTheme="minorHAnsi" w:cstheme="minorHAnsi"/>
                <w:sz w:val="20"/>
                <w:szCs w:val="20"/>
              </w:rPr>
              <w:t>до 01.07.2025</w:t>
            </w:r>
          </w:p>
        </w:tc>
        <w:tc>
          <w:tcPr>
            <w:tcW w:w="1026" w:type="dxa"/>
            <w:shd w:val="clear" w:color="auto" w:fill="auto"/>
            <w:vAlign w:val="center"/>
            <w:hideMark/>
          </w:tcPr>
          <w:p w14:paraId="2DE8E1BB" w14:textId="642096B9"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-92</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6</w:t>
            </w:r>
          </w:p>
        </w:tc>
        <w:tc>
          <w:tcPr>
            <w:tcW w:w="1026" w:type="dxa"/>
            <w:shd w:val="clear" w:color="auto" w:fill="auto"/>
            <w:vAlign w:val="center"/>
            <w:hideMark/>
          </w:tcPr>
          <w:p w14:paraId="5A289BB9" w14:textId="457C8EBC"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6" w:type="dxa"/>
            <w:shd w:val="clear" w:color="auto" w:fill="auto"/>
            <w:vAlign w:val="center"/>
            <w:hideMark/>
          </w:tcPr>
          <w:p w14:paraId="62EAEB69" w14:textId="1EE072FF"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92</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6</w:t>
            </w:r>
          </w:p>
        </w:tc>
        <w:tc>
          <w:tcPr>
            <w:tcW w:w="1027" w:type="dxa"/>
            <w:shd w:val="clear" w:color="auto" w:fill="auto"/>
            <w:vAlign w:val="center"/>
            <w:hideMark/>
          </w:tcPr>
          <w:p w14:paraId="695607DD"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420B0271" w14:textId="77777777" w:rsidTr="00251736">
        <w:trPr>
          <w:trHeight w:val="300"/>
          <w:jc w:val="center"/>
        </w:trPr>
        <w:tc>
          <w:tcPr>
            <w:tcW w:w="4959" w:type="dxa"/>
            <w:shd w:val="clear" w:color="auto" w:fill="auto"/>
            <w:vAlign w:val="center"/>
            <w:hideMark/>
          </w:tcPr>
          <w:p w14:paraId="41842F2E" w14:textId="08F2E8CA"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Повишаване на прага за регистрация от 50 на 100 хил.</w:t>
            </w:r>
            <w:r w:rsidR="005B1EE9" w:rsidRPr="00251736">
              <w:rPr>
                <w:rFonts w:asciiTheme="minorHAnsi" w:eastAsia="Times New Roman" w:hAnsiTheme="minorHAnsi" w:cstheme="minorHAnsi"/>
                <w:sz w:val="20"/>
                <w:szCs w:val="20"/>
              </w:rPr>
              <w:t xml:space="preserve"> </w:t>
            </w:r>
            <w:r w:rsidRPr="00251736">
              <w:rPr>
                <w:rFonts w:asciiTheme="minorHAnsi" w:eastAsia="Times New Roman" w:hAnsiTheme="minorHAnsi" w:cstheme="minorHAnsi"/>
                <w:sz w:val="20"/>
                <w:szCs w:val="20"/>
              </w:rPr>
              <w:t>лв. оборот по ЗДДС</w:t>
            </w:r>
          </w:p>
        </w:tc>
        <w:tc>
          <w:tcPr>
            <w:tcW w:w="1026" w:type="dxa"/>
            <w:shd w:val="clear" w:color="auto" w:fill="auto"/>
            <w:vAlign w:val="center"/>
            <w:hideMark/>
          </w:tcPr>
          <w:p w14:paraId="0712D79F" w14:textId="1E6C204D"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-110</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78E6B56A"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6" w:type="dxa"/>
            <w:shd w:val="clear" w:color="auto" w:fill="auto"/>
            <w:vAlign w:val="center"/>
            <w:hideMark/>
          </w:tcPr>
          <w:p w14:paraId="45CAAEB9"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0B9DDBEE"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545A9816" w14:textId="77777777" w:rsidTr="00251736">
        <w:trPr>
          <w:trHeight w:val="765"/>
          <w:jc w:val="center"/>
        </w:trPr>
        <w:tc>
          <w:tcPr>
            <w:tcW w:w="4959" w:type="dxa"/>
            <w:shd w:val="clear" w:color="auto" w:fill="auto"/>
            <w:vAlign w:val="center"/>
            <w:hideMark/>
          </w:tcPr>
          <w:p w14:paraId="3B697FBE" w14:textId="4FBF2EA0"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Намалена ставка на 9% на ДДС за ресторантьорски, кетъринг и туристически услуги, спортни съоръжения (до 30.12.2023</w:t>
            </w:r>
            <w:r w:rsidR="00B552D5" w:rsidRPr="00251736">
              <w:rPr>
                <w:rFonts w:asciiTheme="minorHAnsi" w:eastAsia="Times New Roman" w:hAnsiTheme="minorHAnsi" w:cstheme="minorHAnsi"/>
                <w:sz w:val="20"/>
                <w:szCs w:val="20"/>
              </w:rPr>
              <w:t> г.</w:t>
            </w:r>
            <w:r w:rsidRPr="00251736">
              <w:rPr>
                <w:rFonts w:asciiTheme="minorHAnsi" w:eastAsia="Times New Roman" w:hAnsiTheme="minorHAnsi" w:cstheme="minorHAnsi"/>
                <w:sz w:val="20"/>
                <w:szCs w:val="20"/>
              </w:rPr>
              <w:t>), както и книги, бебешка храна, пелени и хигиенни продукти (и след 31.12.2023</w:t>
            </w:r>
            <w:r w:rsidR="00B552D5" w:rsidRPr="00251736">
              <w:rPr>
                <w:rFonts w:asciiTheme="minorHAnsi" w:eastAsia="Times New Roman" w:hAnsiTheme="minorHAnsi" w:cstheme="minorHAnsi"/>
                <w:sz w:val="20"/>
                <w:szCs w:val="20"/>
              </w:rPr>
              <w:t> г.</w:t>
            </w:r>
            <w:r w:rsidRPr="00251736">
              <w:rPr>
                <w:rFonts w:asciiTheme="minorHAnsi" w:eastAsia="Times New Roman" w:hAnsiTheme="minorHAnsi" w:cstheme="minorHAnsi"/>
                <w:sz w:val="20"/>
                <w:szCs w:val="20"/>
              </w:rPr>
              <w:t xml:space="preserve"> като постоянна мярка)</w:t>
            </w:r>
          </w:p>
        </w:tc>
        <w:tc>
          <w:tcPr>
            <w:tcW w:w="1026" w:type="dxa"/>
            <w:shd w:val="clear" w:color="auto" w:fill="auto"/>
            <w:vAlign w:val="center"/>
            <w:hideMark/>
          </w:tcPr>
          <w:p w14:paraId="59567BEE" w14:textId="2868D38C"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-243</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2</w:t>
            </w:r>
          </w:p>
        </w:tc>
        <w:tc>
          <w:tcPr>
            <w:tcW w:w="1026" w:type="dxa"/>
            <w:shd w:val="clear" w:color="auto" w:fill="auto"/>
            <w:vAlign w:val="center"/>
            <w:hideMark/>
          </w:tcPr>
          <w:p w14:paraId="65DD467B" w14:textId="35E2D461"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211</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5</w:t>
            </w:r>
          </w:p>
        </w:tc>
        <w:tc>
          <w:tcPr>
            <w:tcW w:w="1026" w:type="dxa"/>
            <w:shd w:val="clear" w:color="auto" w:fill="auto"/>
            <w:vAlign w:val="center"/>
            <w:hideMark/>
          </w:tcPr>
          <w:p w14:paraId="74E5C189"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2D3E9158"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6B893300" w14:textId="77777777" w:rsidTr="00251736">
        <w:trPr>
          <w:trHeight w:val="765"/>
          <w:jc w:val="center"/>
        </w:trPr>
        <w:tc>
          <w:tcPr>
            <w:tcW w:w="4959" w:type="dxa"/>
            <w:shd w:val="clear" w:color="auto" w:fill="auto"/>
            <w:vAlign w:val="center"/>
            <w:hideMark/>
          </w:tcPr>
          <w:p w14:paraId="328969E5"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lastRenderedPageBreak/>
              <w:t>Отрицателен ефект върху приходите от ДДС при внос от приемането на Закон за контрол по прилагане на ограничителните мерки с оглед на действията на Русия, дестабилизиращи положението в Украйна</w:t>
            </w:r>
          </w:p>
        </w:tc>
        <w:tc>
          <w:tcPr>
            <w:tcW w:w="1026" w:type="dxa"/>
            <w:shd w:val="clear" w:color="auto" w:fill="auto"/>
            <w:vAlign w:val="center"/>
            <w:hideMark/>
          </w:tcPr>
          <w:p w14:paraId="5CB0513A" w14:textId="3207DCD3"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-520</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0</w:t>
            </w:r>
          </w:p>
        </w:tc>
        <w:tc>
          <w:tcPr>
            <w:tcW w:w="1026" w:type="dxa"/>
            <w:shd w:val="clear" w:color="auto" w:fill="auto"/>
            <w:vAlign w:val="center"/>
            <w:hideMark/>
          </w:tcPr>
          <w:p w14:paraId="73291282"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6" w:type="dxa"/>
            <w:shd w:val="clear" w:color="auto" w:fill="auto"/>
            <w:vAlign w:val="center"/>
            <w:hideMark/>
          </w:tcPr>
          <w:p w14:paraId="09B7E969"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6F820F13"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3E91CA82" w14:textId="77777777" w:rsidTr="00251736">
        <w:trPr>
          <w:trHeight w:val="300"/>
          <w:jc w:val="center"/>
        </w:trPr>
        <w:tc>
          <w:tcPr>
            <w:tcW w:w="4959" w:type="dxa"/>
            <w:shd w:val="clear" w:color="auto" w:fill="auto"/>
            <w:vAlign w:val="center"/>
            <w:hideMark/>
          </w:tcPr>
          <w:p w14:paraId="097684CF" w14:textId="77777777" w:rsidR="00647960" w:rsidRPr="00251736" w:rsidRDefault="00647960" w:rsidP="001B3937">
            <w:pPr>
              <w:spacing w:after="0"/>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Мерки в областта на енергетиката</w:t>
            </w:r>
          </w:p>
        </w:tc>
        <w:tc>
          <w:tcPr>
            <w:tcW w:w="1026" w:type="dxa"/>
            <w:shd w:val="clear" w:color="auto" w:fill="auto"/>
            <w:vAlign w:val="center"/>
            <w:hideMark/>
          </w:tcPr>
          <w:p w14:paraId="22D1ABC7" w14:textId="3BA70F80"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-3 767</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8</w:t>
            </w:r>
          </w:p>
        </w:tc>
        <w:tc>
          <w:tcPr>
            <w:tcW w:w="1026" w:type="dxa"/>
            <w:shd w:val="clear" w:color="auto" w:fill="auto"/>
            <w:vAlign w:val="center"/>
            <w:hideMark/>
          </w:tcPr>
          <w:p w14:paraId="60B7BC12" w14:textId="3DE8C389"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r w:rsidRPr="00251736">
              <w:rPr>
                <w:rFonts w:asciiTheme="minorHAnsi" w:eastAsia="Times New Roman" w:hAnsiTheme="minorHAnsi" w:cstheme="minorHAnsi"/>
                <w:sz w:val="20"/>
                <w:szCs w:val="20"/>
              </w:rPr>
              <w:t>-692</w:t>
            </w:r>
            <w:r w:rsidR="00C24D24">
              <w:rPr>
                <w:rFonts w:asciiTheme="minorHAnsi" w:eastAsia="Times New Roman" w:hAnsiTheme="minorHAnsi" w:cstheme="minorHAnsi"/>
                <w:sz w:val="20"/>
                <w:szCs w:val="20"/>
              </w:rPr>
              <w:t>.</w:t>
            </w:r>
            <w:r w:rsidRPr="00251736">
              <w:rPr>
                <w:rFonts w:asciiTheme="minorHAnsi" w:eastAsia="Times New Roman" w:hAnsiTheme="minorHAnsi" w:cstheme="minorHAnsi"/>
                <w:sz w:val="20"/>
                <w:szCs w:val="20"/>
              </w:rPr>
              <w:t>5</w:t>
            </w:r>
          </w:p>
        </w:tc>
        <w:tc>
          <w:tcPr>
            <w:tcW w:w="1026" w:type="dxa"/>
            <w:shd w:val="clear" w:color="auto" w:fill="auto"/>
            <w:vAlign w:val="center"/>
            <w:hideMark/>
          </w:tcPr>
          <w:p w14:paraId="03B6E306"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c>
          <w:tcPr>
            <w:tcW w:w="1027" w:type="dxa"/>
            <w:shd w:val="clear" w:color="auto" w:fill="auto"/>
            <w:vAlign w:val="center"/>
            <w:hideMark/>
          </w:tcPr>
          <w:p w14:paraId="1A30008C" w14:textId="77777777" w:rsidR="00647960" w:rsidRPr="00251736" w:rsidRDefault="00647960" w:rsidP="001B3937">
            <w:pPr>
              <w:spacing w:after="0"/>
              <w:ind w:firstLineChars="100" w:firstLine="200"/>
              <w:jc w:val="right"/>
              <w:rPr>
                <w:rFonts w:asciiTheme="minorHAnsi" w:eastAsia="Times New Roman" w:hAnsiTheme="minorHAnsi" w:cstheme="minorHAnsi"/>
                <w:sz w:val="20"/>
                <w:szCs w:val="20"/>
              </w:rPr>
            </w:pPr>
          </w:p>
        </w:tc>
      </w:tr>
      <w:tr w:rsidR="00647960" w:rsidRPr="00251736" w14:paraId="0A2778ED" w14:textId="77777777" w:rsidTr="00251736">
        <w:trPr>
          <w:trHeight w:val="300"/>
          <w:jc w:val="center"/>
        </w:trPr>
        <w:tc>
          <w:tcPr>
            <w:tcW w:w="4959" w:type="dxa"/>
            <w:shd w:val="clear" w:color="auto" w:fill="auto"/>
            <w:vAlign w:val="center"/>
            <w:hideMark/>
          </w:tcPr>
          <w:p w14:paraId="7A12BA49" w14:textId="77777777" w:rsidR="00647960" w:rsidRPr="00251736" w:rsidRDefault="00647960" w:rsidP="001B3937">
            <w:pPr>
              <w:spacing w:after="0"/>
              <w:rPr>
                <w:rFonts w:asciiTheme="minorHAnsi" w:eastAsia="Times New Roman" w:hAnsiTheme="minorHAnsi" w:cstheme="minorHAnsi"/>
                <w:b/>
                <w:bCs/>
                <w:color w:val="000000"/>
                <w:sz w:val="20"/>
                <w:szCs w:val="20"/>
              </w:rPr>
            </w:pPr>
            <w:r w:rsidRPr="00251736">
              <w:rPr>
                <w:rFonts w:asciiTheme="minorHAnsi" w:eastAsia="Times New Roman" w:hAnsiTheme="minorHAnsi" w:cstheme="minorHAnsi"/>
                <w:b/>
                <w:bCs/>
                <w:color w:val="000000"/>
                <w:sz w:val="20"/>
                <w:szCs w:val="20"/>
              </w:rPr>
              <w:t>Общо:</w:t>
            </w:r>
          </w:p>
        </w:tc>
        <w:tc>
          <w:tcPr>
            <w:tcW w:w="1026" w:type="dxa"/>
            <w:shd w:val="clear" w:color="auto" w:fill="auto"/>
            <w:noWrap/>
            <w:vAlign w:val="center"/>
            <w:hideMark/>
          </w:tcPr>
          <w:p w14:paraId="3B81734A" w14:textId="01865168" w:rsidR="00647960" w:rsidRPr="00251736" w:rsidRDefault="00647960" w:rsidP="001B3937">
            <w:pPr>
              <w:spacing w:after="0"/>
              <w:jc w:val="right"/>
              <w:rPr>
                <w:rFonts w:asciiTheme="minorHAnsi" w:eastAsia="Times New Roman" w:hAnsiTheme="minorHAnsi" w:cstheme="minorHAnsi"/>
                <w:b/>
                <w:bCs/>
                <w:color w:val="000000"/>
                <w:sz w:val="20"/>
                <w:szCs w:val="20"/>
              </w:rPr>
            </w:pPr>
            <w:r w:rsidRPr="00251736">
              <w:rPr>
                <w:rFonts w:asciiTheme="minorHAnsi" w:eastAsia="Times New Roman" w:hAnsiTheme="minorHAnsi" w:cstheme="minorHAnsi"/>
                <w:b/>
                <w:bCs/>
                <w:color w:val="000000"/>
                <w:sz w:val="20"/>
                <w:szCs w:val="20"/>
              </w:rPr>
              <w:t>-3 912</w:t>
            </w:r>
            <w:r w:rsidR="00C24D24">
              <w:rPr>
                <w:rFonts w:asciiTheme="minorHAnsi" w:eastAsia="Times New Roman" w:hAnsiTheme="minorHAnsi" w:cstheme="minorHAnsi"/>
                <w:b/>
                <w:bCs/>
                <w:color w:val="000000"/>
                <w:sz w:val="20"/>
                <w:szCs w:val="20"/>
              </w:rPr>
              <w:t>.</w:t>
            </w:r>
            <w:r w:rsidRPr="00251736">
              <w:rPr>
                <w:rFonts w:asciiTheme="minorHAnsi" w:eastAsia="Times New Roman" w:hAnsiTheme="minorHAnsi" w:cstheme="minorHAnsi"/>
                <w:b/>
                <w:bCs/>
                <w:color w:val="000000"/>
                <w:sz w:val="20"/>
                <w:szCs w:val="20"/>
              </w:rPr>
              <w:t>0</w:t>
            </w:r>
          </w:p>
        </w:tc>
        <w:tc>
          <w:tcPr>
            <w:tcW w:w="1026" w:type="dxa"/>
            <w:shd w:val="clear" w:color="auto" w:fill="auto"/>
            <w:noWrap/>
            <w:vAlign w:val="center"/>
            <w:hideMark/>
          </w:tcPr>
          <w:p w14:paraId="70309F98" w14:textId="64B9EE04" w:rsidR="00647960" w:rsidRPr="00251736" w:rsidRDefault="00647960" w:rsidP="001B3937">
            <w:pPr>
              <w:spacing w:after="0"/>
              <w:jc w:val="right"/>
              <w:rPr>
                <w:rFonts w:asciiTheme="minorHAnsi" w:eastAsia="Times New Roman" w:hAnsiTheme="minorHAnsi" w:cstheme="minorHAnsi"/>
                <w:b/>
                <w:bCs/>
                <w:color w:val="000000"/>
                <w:sz w:val="20"/>
                <w:szCs w:val="20"/>
              </w:rPr>
            </w:pPr>
            <w:r w:rsidRPr="00251736">
              <w:rPr>
                <w:rFonts w:asciiTheme="minorHAnsi" w:eastAsia="Times New Roman" w:hAnsiTheme="minorHAnsi" w:cstheme="minorHAnsi"/>
                <w:b/>
                <w:bCs/>
                <w:color w:val="000000"/>
                <w:sz w:val="20"/>
                <w:szCs w:val="20"/>
              </w:rPr>
              <w:t>258</w:t>
            </w:r>
            <w:r w:rsidR="00C24D24">
              <w:rPr>
                <w:rFonts w:asciiTheme="minorHAnsi" w:eastAsia="Times New Roman" w:hAnsiTheme="minorHAnsi" w:cstheme="minorHAnsi"/>
                <w:b/>
                <w:bCs/>
                <w:color w:val="000000"/>
                <w:sz w:val="20"/>
                <w:szCs w:val="20"/>
              </w:rPr>
              <w:t>.</w:t>
            </w:r>
            <w:r w:rsidRPr="00251736">
              <w:rPr>
                <w:rFonts w:asciiTheme="minorHAnsi" w:eastAsia="Times New Roman" w:hAnsiTheme="minorHAnsi" w:cstheme="minorHAnsi"/>
                <w:b/>
                <w:bCs/>
                <w:color w:val="000000"/>
                <w:sz w:val="20"/>
                <w:szCs w:val="20"/>
              </w:rPr>
              <w:t>9</w:t>
            </w:r>
          </w:p>
        </w:tc>
        <w:tc>
          <w:tcPr>
            <w:tcW w:w="1026" w:type="dxa"/>
            <w:shd w:val="clear" w:color="auto" w:fill="auto"/>
            <w:noWrap/>
            <w:vAlign w:val="center"/>
            <w:hideMark/>
          </w:tcPr>
          <w:p w14:paraId="14676F86" w14:textId="694887D5" w:rsidR="00647960" w:rsidRPr="00251736" w:rsidRDefault="00647960" w:rsidP="001B3937">
            <w:pPr>
              <w:spacing w:after="0"/>
              <w:jc w:val="right"/>
              <w:rPr>
                <w:rFonts w:asciiTheme="minorHAnsi" w:eastAsia="Times New Roman" w:hAnsiTheme="minorHAnsi" w:cstheme="minorHAnsi"/>
                <w:b/>
                <w:bCs/>
                <w:color w:val="000000"/>
                <w:sz w:val="20"/>
                <w:szCs w:val="20"/>
              </w:rPr>
            </w:pPr>
            <w:r w:rsidRPr="00251736">
              <w:rPr>
                <w:rFonts w:asciiTheme="minorHAnsi" w:eastAsia="Times New Roman" w:hAnsiTheme="minorHAnsi" w:cstheme="minorHAnsi"/>
                <w:b/>
                <w:bCs/>
                <w:color w:val="000000"/>
                <w:sz w:val="20"/>
                <w:szCs w:val="20"/>
              </w:rPr>
              <w:t>786</w:t>
            </w:r>
            <w:r w:rsidR="00C24D24">
              <w:rPr>
                <w:rFonts w:asciiTheme="minorHAnsi" w:eastAsia="Times New Roman" w:hAnsiTheme="minorHAnsi" w:cstheme="minorHAnsi"/>
                <w:b/>
                <w:bCs/>
                <w:color w:val="000000"/>
                <w:sz w:val="20"/>
                <w:szCs w:val="20"/>
              </w:rPr>
              <w:t>.</w:t>
            </w:r>
            <w:r w:rsidRPr="00251736">
              <w:rPr>
                <w:rFonts w:asciiTheme="minorHAnsi" w:eastAsia="Times New Roman" w:hAnsiTheme="minorHAnsi" w:cstheme="minorHAnsi"/>
                <w:b/>
                <w:bCs/>
                <w:color w:val="000000"/>
                <w:sz w:val="20"/>
                <w:szCs w:val="20"/>
              </w:rPr>
              <w:t>9</w:t>
            </w:r>
          </w:p>
        </w:tc>
        <w:tc>
          <w:tcPr>
            <w:tcW w:w="1027" w:type="dxa"/>
            <w:shd w:val="clear" w:color="auto" w:fill="auto"/>
            <w:noWrap/>
            <w:vAlign w:val="center"/>
            <w:hideMark/>
          </w:tcPr>
          <w:p w14:paraId="5F2E3155" w14:textId="7F535B39" w:rsidR="00647960" w:rsidRPr="00251736" w:rsidRDefault="00647960" w:rsidP="001B3937">
            <w:pPr>
              <w:spacing w:after="0"/>
              <w:jc w:val="right"/>
              <w:rPr>
                <w:rFonts w:asciiTheme="minorHAnsi" w:eastAsia="Times New Roman" w:hAnsiTheme="minorHAnsi" w:cstheme="minorHAnsi"/>
                <w:b/>
                <w:bCs/>
                <w:color w:val="000000"/>
                <w:sz w:val="20"/>
                <w:szCs w:val="20"/>
              </w:rPr>
            </w:pPr>
            <w:r w:rsidRPr="00251736">
              <w:rPr>
                <w:rFonts w:asciiTheme="minorHAnsi" w:eastAsia="Times New Roman" w:hAnsiTheme="minorHAnsi" w:cstheme="minorHAnsi"/>
                <w:b/>
                <w:bCs/>
                <w:color w:val="000000"/>
                <w:sz w:val="20"/>
                <w:szCs w:val="20"/>
              </w:rPr>
              <w:t>681</w:t>
            </w:r>
            <w:r w:rsidR="00C24D24">
              <w:rPr>
                <w:rFonts w:asciiTheme="minorHAnsi" w:eastAsia="Times New Roman" w:hAnsiTheme="minorHAnsi" w:cstheme="minorHAnsi"/>
                <w:b/>
                <w:bCs/>
                <w:color w:val="000000"/>
                <w:sz w:val="20"/>
                <w:szCs w:val="20"/>
              </w:rPr>
              <w:t>.</w:t>
            </w:r>
            <w:r w:rsidRPr="00251736">
              <w:rPr>
                <w:rFonts w:asciiTheme="minorHAnsi" w:eastAsia="Times New Roman" w:hAnsiTheme="minorHAnsi" w:cstheme="minorHAnsi"/>
                <w:b/>
                <w:bCs/>
                <w:color w:val="000000"/>
                <w:sz w:val="20"/>
                <w:szCs w:val="20"/>
              </w:rPr>
              <w:t>9</w:t>
            </w:r>
          </w:p>
        </w:tc>
      </w:tr>
    </w:tbl>
    <w:p w14:paraId="52E501FC" w14:textId="2B8F90E0" w:rsidR="00CD15E6" w:rsidRPr="00807278" w:rsidRDefault="00887584" w:rsidP="00807278">
      <w:pPr>
        <w:pStyle w:val="a"/>
        <w:sectPr w:rsidR="00CD15E6" w:rsidRPr="00807278" w:rsidSect="00202EFA">
          <w:headerReference w:type="default" r:id="rId56"/>
          <w:type w:val="continuous"/>
          <w:pgSz w:w="11906" w:h="16838" w:code="9"/>
          <w:pgMar w:top="1418" w:right="1418" w:bottom="851" w:left="1418" w:header="680" w:footer="680" w:gutter="0"/>
          <w:cols w:space="708"/>
          <w:docGrid w:linePitch="360"/>
        </w:sectPr>
      </w:pPr>
      <w:r w:rsidRPr="00807278">
        <w:t>Източник: МФ</w:t>
      </w:r>
    </w:p>
    <w:p w14:paraId="78233B9F" w14:textId="77777777" w:rsidR="00D359FF" w:rsidRPr="00EE53B2" w:rsidRDefault="00D359FF" w:rsidP="00EE53B2">
      <w:pPr>
        <w:pStyle w:val="Heading1"/>
      </w:pPr>
      <w:bookmarkStart w:id="90" w:name="_Toc352851602"/>
      <w:bookmarkStart w:id="91" w:name="_Toc448227290"/>
      <w:bookmarkStart w:id="92" w:name="_Toc479332438"/>
      <w:bookmarkStart w:id="93" w:name="_Toc133597276"/>
      <w:r w:rsidRPr="00EE53B2">
        <w:lastRenderedPageBreak/>
        <w:t xml:space="preserve">Анализ на чувствителността и сравнение с предходната </w:t>
      </w:r>
      <w:r w:rsidR="005C2559" w:rsidRPr="00EE53B2">
        <w:br/>
      </w:r>
      <w:r w:rsidRPr="00EE53B2">
        <w:t>актуализация</w:t>
      </w:r>
      <w:bookmarkEnd w:id="90"/>
      <w:bookmarkEnd w:id="91"/>
      <w:bookmarkEnd w:id="92"/>
      <w:bookmarkEnd w:id="93"/>
    </w:p>
    <w:p w14:paraId="69DBFC41" w14:textId="73EAA4DD" w:rsidR="001C65FE" w:rsidRPr="00EE53B2" w:rsidRDefault="001C65FE" w:rsidP="00EE53B2">
      <w:pPr>
        <w:pStyle w:val="Heading2"/>
      </w:pPr>
      <w:bookmarkStart w:id="94" w:name="_Toc69812285"/>
      <w:bookmarkStart w:id="95" w:name="_Toc133597277"/>
      <w:bookmarkStart w:id="96" w:name="_Toc352851605"/>
      <w:bookmarkStart w:id="97" w:name="_Toc448227295"/>
      <w:bookmarkStart w:id="98" w:name="_Toc479332444"/>
      <w:r w:rsidRPr="00EE53B2">
        <w:t>Алтернативен сценарий</w:t>
      </w:r>
      <w:bookmarkEnd w:id="94"/>
      <w:bookmarkEnd w:id="95"/>
    </w:p>
    <w:p w14:paraId="58A2914E" w14:textId="4B0EF5A8" w:rsidR="00081704" w:rsidRPr="00182391" w:rsidRDefault="00081704" w:rsidP="00745DF8">
      <w:pPr>
        <w:rPr>
          <w:highlight w:val="yellow"/>
        </w:rPr>
      </w:pPr>
      <w:r w:rsidRPr="00C4695C">
        <w:t xml:space="preserve">Повече от година след началото на </w:t>
      </w:r>
      <w:r>
        <w:t>войната</w:t>
      </w:r>
      <w:r w:rsidRPr="00C4695C">
        <w:t xml:space="preserve"> на Руската федерация в Украйна международната икономическа обстановка остава несигурна и трудно предвидима. В алтернативния макроикономически сценарий е разгледан вариант на по-неблагоприятна динамика на външното търсене и по-голям спад на цените на международните суровини спрямо базовия сценарий. Шокът върху растежа на европейската и световната икономики се проявява през втората половина на 2023</w:t>
      </w:r>
      <w:r w:rsidR="00B552D5">
        <w:t> г.</w:t>
      </w:r>
      <w:r w:rsidRPr="00C4695C">
        <w:t>, като тенденцията ще се пренесе и през 2024</w:t>
      </w:r>
      <w:r w:rsidR="00B552D5">
        <w:t> г.</w:t>
      </w:r>
      <w:r w:rsidRPr="00C4695C">
        <w:t xml:space="preserve"> През последните две години от прогнозния период БВП както на ЕС, така и на света ще отбележи по-високи растежи спрямо базовия сценарий, но</w:t>
      </w:r>
      <w:r w:rsidR="0005652B">
        <w:t xml:space="preserve"> </w:t>
      </w:r>
      <w:r w:rsidRPr="00C4695C">
        <w:t>нивото му по постоянни цени ще остане по-ниско до края на прогнозния хоризонт. В разгледания сценарий отрицателният ефект върху икономиката на ЕС е по-силен, което предполага и известно обезценяване на еврото спрямо долара. По-слабото световно търсене ще доведе и до относително по-ниски международни цени на суровините до края на 2026</w:t>
      </w:r>
      <w:r w:rsidR="00B552D5">
        <w:t> г.</w:t>
      </w:r>
      <w:r w:rsidRPr="00C4695C">
        <w:t xml:space="preserve"> В резултат на по-ниската икономическа активност в ЕС и по-големия спад на международните цени се предполага, че ЕЦБ ще започне политика на постепенно понижение на основния лихвен процент още през втората половина на 2024</w:t>
      </w:r>
      <w:r w:rsidR="00B552D5">
        <w:t> г.</w:t>
      </w:r>
      <w:r w:rsidRPr="00C4695C">
        <w:t xml:space="preserve"> Вероятността от осъществяването на подобен негативен сценарий е диктувана от силното повишение на лихвените проценти през 2022</w:t>
      </w:r>
      <w:r w:rsidR="00B552D5">
        <w:t> г.</w:t>
      </w:r>
      <w:r w:rsidRPr="00C4695C">
        <w:t xml:space="preserve"> Високата задлъжнялост и покачващата се цена на обслужване на дълга увеличават риска от просрочване на текущите плащания към кредиторите и влошаване на финансовата стабилност. Това би се отразило негативно върху пазара на недвижими имоти, строителството и потреблението на домакинствата.</w:t>
      </w:r>
    </w:p>
    <w:p w14:paraId="6FAD47E2" w14:textId="4147A907" w:rsidR="00081704" w:rsidRPr="00BA5673" w:rsidRDefault="00081704" w:rsidP="00EE53B2">
      <w:pPr>
        <w:pStyle w:val="Caption"/>
        <w:rPr>
          <w:rFonts w:asciiTheme="majorHAnsi" w:hAnsiTheme="majorHAnsi"/>
          <w:sz w:val="20"/>
        </w:rPr>
      </w:pPr>
      <w:r w:rsidRPr="00EE53B2">
        <w:t>Табл. 4-1:</w:t>
      </w:r>
      <w:r w:rsidRPr="00EE53B2">
        <w:tab/>
        <w:t xml:space="preserve">Обобщение на допусканията, използвани в алтернативния сценарий </w:t>
      </w:r>
      <w:r w:rsidR="00EC1867">
        <w:br/>
      </w:r>
      <w:r w:rsidRPr="00EE53B2">
        <w:t xml:space="preserve">(отклонение спрямо базовия) за периода </w:t>
      </w:r>
      <w:r w:rsidR="00B552D5" w:rsidRPr="00EE53B2">
        <w:t>2023–2026 г</w:t>
      </w:r>
      <w:r w:rsidR="00B552D5">
        <w:rPr>
          <w:rFonts w:asciiTheme="majorHAnsi" w:hAnsiTheme="majorHAnsi"/>
          <w:sz w:val="20"/>
        </w:rPr>
        <w:t>.</w:t>
      </w:r>
    </w:p>
    <w:tbl>
      <w:tblPr>
        <w:tblW w:w="5000" w:type="pct"/>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CellMar>
          <w:left w:w="70" w:type="dxa"/>
          <w:right w:w="70" w:type="dxa"/>
        </w:tblCellMar>
        <w:tblLook w:val="04A0" w:firstRow="1" w:lastRow="0" w:firstColumn="1" w:lastColumn="0" w:noHBand="0" w:noVBand="1"/>
      </w:tblPr>
      <w:tblGrid>
        <w:gridCol w:w="4790"/>
        <w:gridCol w:w="1070"/>
        <w:gridCol w:w="1070"/>
        <w:gridCol w:w="1070"/>
        <w:gridCol w:w="1064"/>
      </w:tblGrid>
      <w:tr w:rsidR="00081704" w:rsidRPr="00745DF8" w14:paraId="165F01AB" w14:textId="77777777" w:rsidTr="00745DF8">
        <w:trPr>
          <w:trHeight w:val="340"/>
        </w:trPr>
        <w:tc>
          <w:tcPr>
            <w:tcW w:w="2643" w:type="pct"/>
            <w:shd w:val="clear" w:color="auto" w:fill="D8EDFC"/>
            <w:vAlign w:val="center"/>
            <w:hideMark/>
          </w:tcPr>
          <w:p w14:paraId="65AB8E2E" w14:textId="1B82BC6F" w:rsidR="00081704" w:rsidRPr="00745DF8" w:rsidRDefault="00745DF8" w:rsidP="00745DF8">
            <w:pPr>
              <w:spacing w:after="0"/>
              <w:rPr>
                <w:rFonts w:asciiTheme="minorHAnsi" w:eastAsia="Times New Roman" w:hAnsiTheme="minorHAnsi" w:cstheme="minorHAnsi"/>
                <w:b/>
                <w:bCs/>
                <w:sz w:val="20"/>
                <w:szCs w:val="20"/>
              </w:rPr>
            </w:pPr>
            <w:r>
              <w:rPr>
                <w:rFonts w:asciiTheme="minorHAnsi" w:eastAsia="Times New Roman" w:hAnsiTheme="minorHAnsi" w:cstheme="minorHAnsi"/>
                <w:b/>
                <w:bCs/>
                <w:sz w:val="20"/>
                <w:szCs w:val="20"/>
              </w:rPr>
              <w:t>М</w:t>
            </w:r>
            <w:r w:rsidRPr="00745DF8">
              <w:rPr>
                <w:rFonts w:asciiTheme="minorHAnsi" w:eastAsia="Times New Roman" w:hAnsiTheme="minorHAnsi" w:cstheme="minorHAnsi"/>
                <w:b/>
                <w:bCs/>
                <w:sz w:val="20"/>
                <w:szCs w:val="20"/>
              </w:rPr>
              <w:t>еждународна среда</w:t>
            </w:r>
          </w:p>
        </w:tc>
        <w:tc>
          <w:tcPr>
            <w:tcW w:w="590" w:type="pct"/>
            <w:shd w:val="clear" w:color="auto" w:fill="D8EDFC"/>
            <w:noWrap/>
            <w:vAlign w:val="center"/>
            <w:hideMark/>
          </w:tcPr>
          <w:p w14:paraId="017A55E7" w14:textId="77777777" w:rsidR="00081704" w:rsidRPr="00745DF8" w:rsidRDefault="00081704" w:rsidP="00745DF8">
            <w:pPr>
              <w:spacing w:after="0"/>
              <w:jc w:val="right"/>
              <w:rPr>
                <w:rFonts w:asciiTheme="minorHAnsi" w:eastAsia="Times New Roman" w:hAnsiTheme="minorHAnsi" w:cstheme="minorHAnsi"/>
                <w:b/>
                <w:bCs/>
                <w:sz w:val="20"/>
                <w:szCs w:val="20"/>
              </w:rPr>
            </w:pPr>
            <w:r w:rsidRPr="00745DF8">
              <w:rPr>
                <w:rFonts w:asciiTheme="minorHAnsi" w:eastAsia="Times New Roman" w:hAnsiTheme="minorHAnsi" w:cstheme="minorHAnsi"/>
                <w:b/>
                <w:bCs/>
                <w:sz w:val="20"/>
                <w:szCs w:val="20"/>
              </w:rPr>
              <w:t>2023</w:t>
            </w:r>
          </w:p>
        </w:tc>
        <w:tc>
          <w:tcPr>
            <w:tcW w:w="590" w:type="pct"/>
            <w:shd w:val="clear" w:color="auto" w:fill="D8EDFC"/>
            <w:noWrap/>
            <w:vAlign w:val="center"/>
            <w:hideMark/>
          </w:tcPr>
          <w:p w14:paraId="4D3E3491" w14:textId="77777777" w:rsidR="00081704" w:rsidRPr="00745DF8" w:rsidRDefault="00081704" w:rsidP="00745DF8">
            <w:pPr>
              <w:spacing w:after="0"/>
              <w:jc w:val="right"/>
              <w:rPr>
                <w:rFonts w:asciiTheme="minorHAnsi" w:eastAsia="Times New Roman" w:hAnsiTheme="minorHAnsi" w:cstheme="minorHAnsi"/>
                <w:b/>
                <w:bCs/>
                <w:sz w:val="20"/>
                <w:szCs w:val="20"/>
              </w:rPr>
            </w:pPr>
            <w:r w:rsidRPr="00745DF8">
              <w:rPr>
                <w:rFonts w:asciiTheme="minorHAnsi" w:eastAsia="Times New Roman" w:hAnsiTheme="minorHAnsi" w:cstheme="minorHAnsi"/>
                <w:b/>
                <w:bCs/>
                <w:sz w:val="20"/>
                <w:szCs w:val="20"/>
              </w:rPr>
              <w:t>2024</w:t>
            </w:r>
          </w:p>
        </w:tc>
        <w:tc>
          <w:tcPr>
            <w:tcW w:w="590" w:type="pct"/>
            <w:shd w:val="clear" w:color="auto" w:fill="D8EDFC"/>
            <w:noWrap/>
            <w:vAlign w:val="center"/>
            <w:hideMark/>
          </w:tcPr>
          <w:p w14:paraId="66737A9D" w14:textId="77777777" w:rsidR="00081704" w:rsidRPr="00745DF8" w:rsidRDefault="00081704" w:rsidP="00745DF8">
            <w:pPr>
              <w:spacing w:after="0"/>
              <w:jc w:val="right"/>
              <w:rPr>
                <w:rFonts w:asciiTheme="minorHAnsi" w:eastAsia="Times New Roman" w:hAnsiTheme="minorHAnsi" w:cstheme="minorHAnsi"/>
                <w:b/>
                <w:bCs/>
                <w:sz w:val="20"/>
                <w:szCs w:val="20"/>
              </w:rPr>
            </w:pPr>
            <w:r w:rsidRPr="00745DF8">
              <w:rPr>
                <w:rFonts w:asciiTheme="minorHAnsi" w:eastAsia="Times New Roman" w:hAnsiTheme="minorHAnsi" w:cstheme="minorHAnsi"/>
                <w:b/>
                <w:bCs/>
                <w:sz w:val="20"/>
                <w:szCs w:val="20"/>
              </w:rPr>
              <w:t>2025</w:t>
            </w:r>
          </w:p>
        </w:tc>
        <w:tc>
          <w:tcPr>
            <w:tcW w:w="587" w:type="pct"/>
            <w:shd w:val="clear" w:color="auto" w:fill="D8EDFC"/>
            <w:noWrap/>
            <w:vAlign w:val="center"/>
            <w:hideMark/>
          </w:tcPr>
          <w:p w14:paraId="7733B977" w14:textId="77777777" w:rsidR="00081704" w:rsidRPr="00745DF8" w:rsidRDefault="00081704" w:rsidP="00745DF8">
            <w:pPr>
              <w:spacing w:after="0"/>
              <w:jc w:val="right"/>
              <w:rPr>
                <w:rFonts w:asciiTheme="minorHAnsi" w:eastAsia="Times New Roman" w:hAnsiTheme="minorHAnsi" w:cstheme="minorHAnsi"/>
                <w:b/>
                <w:bCs/>
                <w:sz w:val="20"/>
                <w:szCs w:val="20"/>
              </w:rPr>
            </w:pPr>
            <w:r w:rsidRPr="00745DF8">
              <w:rPr>
                <w:rFonts w:asciiTheme="minorHAnsi" w:eastAsia="Times New Roman" w:hAnsiTheme="minorHAnsi" w:cstheme="minorHAnsi"/>
                <w:b/>
                <w:bCs/>
                <w:sz w:val="20"/>
                <w:szCs w:val="20"/>
              </w:rPr>
              <w:t>2026</w:t>
            </w:r>
          </w:p>
        </w:tc>
      </w:tr>
      <w:tr w:rsidR="00081704" w:rsidRPr="00745DF8" w14:paraId="4390F0D4" w14:textId="77777777" w:rsidTr="00745DF8">
        <w:trPr>
          <w:trHeight w:val="340"/>
        </w:trPr>
        <w:tc>
          <w:tcPr>
            <w:tcW w:w="2643" w:type="pct"/>
            <w:shd w:val="clear" w:color="auto" w:fill="auto"/>
            <w:vAlign w:val="center"/>
            <w:hideMark/>
          </w:tcPr>
          <w:p w14:paraId="55CFC547" w14:textId="77777777" w:rsidR="00081704" w:rsidRPr="00745DF8" w:rsidRDefault="00081704" w:rsidP="00745DF8">
            <w:pPr>
              <w:spacing w:after="0"/>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Световна икономика [реален растеж, пр.п.]</w:t>
            </w:r>
          </w:p>
        </w:tc>
        <w:tc>
          <w:tcPr>
            <w:tcW w:w="590" w:type="pct"/>
            <w:shd w:val="clear" w:color="auto" w:fill="auto"/>
            <w:noWrap/>
            <w:vAlign w:val="center"/>
            <w:hideMark/>
          </w:tcPr>
          <w:p w14:paraId="1ED00B90"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-0.4</w:t>
            </w:r>
          </w:p>
        </w:tc>
        <w:tc>
          <w:tcPr>
            <w:tcW w:w="590" w:type="pct"/>
            <w:shd w:val="clear" w:color="auto" w:fill="auto"/>
            <w:noWrap/>
            <w:vAlign w:val="center"/>
            <w:hideMark/>
          </w:tcPr>
          <w:p w14:paraId="2E5853D4"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-0.6</w:t>
            </w:r>
          </w:p>
        </w:tc>
        <w:tc>
          <w:tcPr>
            <w:tcW w:w="590" w:type="pct"/>
            <w:shd w:val="clear" w:color="auto" w:fill="auto"/>
            <w:noWrap/>
            <w:vAlign w:val="center"/>
            <w:hideMark/>
          </w:tcPr>
          <w:p w14:paraId="0D94AE8E"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0.4</w:t>
            </w:r>
          </w:p>
        </w:tc>
        <w:tc>
          <w:tcPr>
            <w:tcW w:w="587" w:type="pct"/>
            <w:shd w:val="clear" w:color="auto" w:fill="auto"/>
            <w:noWrap/>
            <w:vAlign w:val="center"/>
            <w:hideMark/>
          </w:tcPr>
          <w:p w14:paraId="1BF93C74"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0.1</w:t>
            </w:r>
          </w:p>
        </w:tc>
      </w:tr>
      <w:tr w:rsidR="00081704" w:rsidRPr="00745DF8" w14:paraId="34D3D008" w14:textId="77777777" w:rsidTr="00745DF8">
        <w:trPr>
          <w:trHeight w:val="340"/>
        </w:trPr>
        <w:tc>
          <w:tcPr>
            <w:tcW w:w="2643" w:type="pct"/>
            <w:shd w:val="clear" w:color="auto" w:fill="auto"/>
            <w:vAlign w:val="center"/>
            <w:hideMark/>
          </w:tcPr>
          <w:p w14:paraId="2A73C1D2" w14:textId="77777777" w:rsidR="00081704" w:rsidRPr="00745DF8" w:rsidRDefault="00081704" w:rsidP="00745DF8">
            <w:pPr>
              <w:spacing w:after="0"/>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Европейска икономика – ЕС 27 [реален растеж, пр.п.]</w:t>
            </w:r>
          </w:p>
        </w:tc>
        <w:tc>
          <w:tcPr>
            <w:tcW w:w="590" w:type="pct"/>
            <w:shd w:val="clear" w:color="auto" w:fill="auto"/>
            <w:noWrap/>
            <w:vAlign w:val="center"/>
            <w:hideMark/>
          </w:tcPr>
          <w:p w14:paraId="35DF4FBC"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-0.7</w:t>
            </w:r>
          </w:p>
        </w:tc>
        <w:tc>
          <w:tcPr>
            <w:tcW w:w="590" w:type="pct"/>
            <w:shd w:val="clear" w:color="auto" w:fill="auto"/>
            <w:noWrap/>
            <w:vAlign w:val="center"/>
            <w:hideMark/>
          </w:tcPr>
          <w:p w14:paraId="5302ACD9"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-1.1</w:t>
            </w:r>
          </w:p>
        </w:tc>
        <w:tc>
          <w:tcPr>
            <w:tcW w:w="590" w:type="pct"/>
            <w:shd w:val="clear" w:color="auto" w:fill="auto"/>
            <w:noWrap/>
            <w:vAlign w:val="center"/>
            <w:hideMark/>
          </w:tcPr>
          <w:p w14:paraId="28ADDA99"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0.7</w:t>
            </w:r>
          </w:p>
        </w:tc>
        <w:tc>
          <w:tcPr>
            <w:tcW w:w="587" w:type="pct"/>
            <w:shd w:val="clear" w:color="auto" w:fill="auto"/>
            <w:noWrap/>
            <w:vAlign w:val="center"/>
            <w:hideMark/>
          </w:tcPr>
          <w:p w14:paraId="30A7EA49"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0.1</w:t>
            </w:r>
          </w:p>
        </w:tc>
      </w:tr>
      <w:tr w:rsidR="00081704" w:rsidRPr="00745DF8" w14:paraId="755184CC" w14:textId="77777777" w:rsidTr="00745DF8">
        <w:trPr>
          <w:trHeight w:val="340"/>
        </w:trPr>
        <w:tc>
          <w:tcPr>
            <w:tcW w:w="2643" w:type="pct"/>
            <w:shd w:val="clear" w:color="auto" w:fill="auto"/>
            <w:noWrap/>
            <w:vAlign w:val="center"/>
            <w:hideMark/>
          </w:tcPr>
          <w:p w14:paraId="3CE090C2" w14:textId="77777777" w:rsidR="00081704" w:rsidRPr="00745DF8" w:rsidRDefault="00081704" w:rsidP="00745DF8">
            <w:pPr>
              <w:spacing w:after="0"/>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Валутен курс щ.д./евро  [%]</w:t>
            </w:r>
          </w:p>
        </w:tc>
        <w:tc>
          <w:tcPr>
            <w:tcW w:w="590" w:type="pct"/>
            <w:shd w:val="clear" w:color="auto" w:fill="auto"/>
            <w:noWrap/>
            <w:vAlign w:val="center"/>
            <w:hideMark/>
          </w:tcPr>
          <w:p w14:paraId="0E1E31C1"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-4.0%</w:t>
            </w:r>
          </w:p>
        </w:tc>
        <w:tc>
          <w:tcPr>
            <w:tcW w:w="590" w:type="pct"/>
            <w:shd w:val="clear" w:color="auto" w:fill="auto"/>
            <w:noWrap/>
            <w:vAlign w:val="center"/>
            <w:hideMark/>
          </w:tcPr>
          <w:p w14:paraId="37677355"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-2.0%</w:t>
            </w:r>
          </w:p>
        </w:tc>
        <w:tc>
          <w:tcPr>
            <w:tcW w:w="590" w:type="pct"/>
            <w:shd w:val="clear" w:color="auto" w:fill="auto"/>
            <w:noWrap/>
            <w:vAlign w:val="center"/>
            <w:hideMark/>
          </w:tcPr>
          <w:p w14:paraId="16C062E4"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0.0%</w:t>
            </w:r>
          </w:p>
        </w:tc>
        <w:tc>
          <w:tcPr>
            <w:tcW w:w="587" w:type="pct"/>
            <w:shd w:val="clear" w:color="auto" w:fill="auto"/>
            <w:noWrap/>
            <w:vAlign w:val="center"/>
            <w:hideMark/>
          </w:tcPr>
          <w:p w14:paraId="6D9E8497"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0.0%</w:t>
            </w:r>
          </w:p>
        </w:tc>
      </w:tr>
      <w:tr w:rsidR="00081704" w:rsidRPr="00745DF8" w14:paraId="118B2240" w14:textId="77777777" w:rsidTr="00745DF8">
        <w:trPr>
          <w:trHeight w:val="340"/>
        </w:trPr>
        <w:tc>
          <w:tcPr>
            <w:tcW w:w="2643" w:type="pct"/>
            <w:shd w:val="clear" w:color="auto" w:fill="auto"/>
            <w:noWrap/>
            <w:vAlign w:val="center"/>
            <w:hideMark/>
          </w:tcPr>
          <w:p w14:paraId="53606E55" w14:textId="77777777" w:rsidR="00081704" w:rsidRPr="00745DF8" w:rsidRDefault="00081704" w:rsidP="00745DF8">
            <w:pPr>
              <w:spacing w:after="0"/>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Цена на петрол "Брент", щ.д./барел [%]</w:t>
            </w:r>
          </w:p>
        </w:tc>
        <w:tc>
          <w:tcPr>
            <w:tcW w:w="590" w:type="pct"/>
            <w:shd w:val="clear" w:color="auto" w:fill="auto"/>
            <w:noWrap/>
            <w:vAlign w:val="center"/>
            <w:hideMark/>
          </w:tcPr>
          <w:p w14:paraId="3575A632"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-2.9%</w:t>
            </w:r>
          </w:p>
        </w:tc>
        <w:tc>
          <w:tcPr>
            <w:tcW w:w="590" w:type="pct"/>
            <w:shd w:val="clear" w:color="auto" w:fill="auto"/>
            <w:noWrap/>
            <w:vAlign w:val="center"/>
            <w:hideMark/>
          </w:tcPr>
          <w:p w14:paraId="7D75948B"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-8.7%</w:t>
            </w:r>
          </w:p>
        </w:tc>
        <w:tc>
          <w:tcPr>
            <w:tcW w:w="590" w:type="pct"/>
            <w:shd w:val="clear" w:color="auto" w:fill="auto"/>
            <w:noWrap/>
            <w:vAlign w:val="center"/>
            <w:hideMark/>
          </w:tcPr>
          <w:p w14:paraId="22D0842C"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-2.5%</w:t>
            </w:r>
          </w:p>
        </w:tc>
        <w:tc>
          <w:tcPr>
            <w:tcW w:w="587" w:type="pct"/>
            <w:shd w:val="clear" w:color="auto" w:fill="auto"/>
            <w:noWrap/>
            <w:vAlign w:val="center"/>
            <w:hideMark/>
          </w:tcPr>
          <w:p w14:paraId="346B4036"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-2.0%</w:t>
            </w:r>
          </w:p>
        </w:tc>
      </w:tr>
      <w:tr w:rsidR="00081704" w:rsidRPr="00745DF8" w14:paraId="4EEE8D51" w14:textId="77777777" w:rsidTr="00745DF8">
        <w:trPr>
          <w:trHeight w:val="340"/>
        </w:trPr>
        <w:tc>
          <w:tcPr>
            <w:tcW w:w="2643" w:type="pct"/>
            <w:shd w:val="clear" w:color="auto" w:fill="auto"/>
            <w:vAlign w:val="center"/>
            <w:hideMark/>
          </w:tcPr>
          <w:p w14:paraId="21ADA16E" w14:textId="77777777" w:rsidR="00081704" w:rsidRPr="00745DF8" w:rsidRDefault="00081704" w:rsidP="00745DF8">
            <w:pPr>
              <w:spacing w:after="0"/>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Цени на метали [в щ.д., %]</w:t>
            </w:r>
          </w:p>
        </w:tc>
        <w:tc>
          <w:tcPr>
            <w:tcW w:w="590" w:type="pct"/>
            <w:shd w:val="clear" w:color="auto" w:fill="auto"/>
            <w:noWrap/>
            <w:vAlign w:val="center"/>
            <w:hideMark/>
          </w:tcPr>
          <w:p w14:paraId="1D16CAEF"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-0.5%</w:t>
            </w:r>
          </w:p>
        </w:tc>
        <w:tc>
          <w:tcPr>
            <w:tcW w:w="590" w:type="pct"/>
            <w:shd w:val="clear" w:color="auto" w:fill="auto"/>
            <w:noWrap/>
            <w:vAlign w:val="center"/>
            <w:hideMark/>
          </w:tcPr>
          <w:p w14:paraId="0E7401BA"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-1.0%</w:t>
            </w:r>
          </w:p>
        </w:tc>
        <w:tc>
          <w:tcPr>
            <w:tcW w:w="590" w:type="pct"/>
            <w:shd w:val="clear" w:color="auto" w:fill="auto"/>
            <w:noWrap/>
            <w:vAlign w:val="center"/>
            <w:hideMark/>
          </w:tcPr>
          <w:p w14:paraId="1372FA50"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-0.5%</w:t>
            </w:r>
          </w:p>
        </w:tc>
        <w:tc>
          <w:tcPr>
            <w:tcW w:w="587" w:type="pct"/>
            <w:shd w:val="clear" w:color="auto" w:fill="auto"/>
            <w:noWrap/>
            <w:vAlign w:val="center"/>
            <w:hideMark/>
          </w:tcPr>
          <w:p w14:paraId="3CF99C50"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-0.5%</w:t>
            </w:r>
          </w:p>
        </w:tc>
      </w:tr>
      <w:tr w:rsidR="00081704" w:rsidRPr="00745DF8" w14:paraId="0407402B" w14:textId="77777777" w:rsidTr="00745DF8">
        <w:trPr>
          <w:trHeight w:val="340"/>
        </w:trPr>
        <w:tc>
          <w:tcPr>
            <w:tcW w:w="2643" w:type="pct"/>
            <w:shd w:val="clear" w:color="auto" w:fill="auto"/>
            <w:vAlign w:val="center"/>
            <w:hideMark/>
          </w:tcPr>
          <w:p w14:paraId="30B0379D" w14:textId="77777777" w:rsidR="00081704" w:rsidRPr="00745DF8" w:rsidRDefault="00081704" w:rsidP="00745DF8">
            <w:pPr>
              <w:spacing w:after="0"/>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Цени на селскостопански суровини [в щ.д., %]</w:t>
            </w:r>
          </w:p>
        </w:tc>
        <w:tc>
          <w:tcPr>
            <w:tcW w:w="590" w:type="pct"/>
            <w:shd w:val="clear" w:color="auto" w:fill="auto"/>
            <w:noWrap/>
            <w:vAlign w:val="center"/>
            <w:hideMark/>
          </w:tcPr>
          <w:p w14:paraId="73525E0B"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-0.5%</w:t>
            </w:r>
          </w:p>
        </w:tc>
        <w:tc>
          <w:tcPr>
            <w:tcW w:w="590" w:type="pct"/>
            <w:shd w:val="clear" w:color="auto" w:fill="auto"/>
            <w:noWrap/>
            <w:vAlign w:val="center"/>
            <w:hideMark/>
          </w:tcPr>
          <w:p w14:paraId="39EECE4C"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-6.1%</w:t>
            </w:r>
          </w:p>
        </w:tc>
        <w:tc>
          <w:tcPr>
            <w:tcW w:w="590" w:type="pct"/>
            <w:shd w:val="clear" w:color="auto" w:fill="auto"/>
            <w:noWrap/>
            <w:vAlign w:val="center"/>
            <w:hideMark/>
          </w:tcPr>
          <w:p w14:paraId="196D0EA8"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-0.5%</w:t>
            </w:r>
          </w:p>
        </w:tc>
        <w:tc>
          <w:tcPr>
            <w:tcW w:w="587" w:type="pct"/>
            <w:shd w:val="clear" w:color="auto" w:fill="auto"/>
            <w:noWrap/>
            <w:vAlign w:val="center"/>
            <w:hideMark/>
          </w:tcPr>
          <w:p w14:paraId="07D7FCBB"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-0.5%</w:t>
            </w:r>
          </w:p>
        </w:tc>
      </w:tr>
      <w:tr w:rsidR="00081704" w:rsidRPr="00745DF8" w14:paraId="0CCE94B1" w14:textId="77777777" w:rsidTr="00745DF8">
        <w:trPr>
          <w:trHeight w:val="340"/>
        </w:trPr>
        <w:tc>
          <w:tcPr>
            <w:tcW w:w="2643" w:type="pct"/>
            <w:shd w:val="clear" w:color="auto" w:fill="auto"/>
            <w:vAlign w:val="center"/>
            <w:hideMark/>
          </w:tcPr>
          <w:p w14:paraId="253567DF" w14:textId="77777777" w:rsidR="00081704" w:rsidRPr="00745DF8" w:rsidRDefault="00081704" w:rsidP="00745DF8">
            <w:pPr>
              <w:spacing w:after="0"/>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Цени на хранителни продукти [в щ.д., %]</w:t>
            </w:r>
          </w:p>
        </w:tc>
        <w:tc>
          <w:tcPr>
            <w:tcW w:w="590" w:type="pct"/>
            <w:shd w:val="clear" w:color="auto" w:fill="auto"/>
            <w:noWrap/>
            <w:vAlign w:val="center"/>
            <w:hideMark/>
          </w:tcPr>
          <w:p w14:paraId="0CDE9CF9"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-2.6%</w:t>
            </w:r>
          </w:p>
        </w:tc>
        <w:tc>
          <w:tcPr>
            <w:tcW w:w="590" w:type="pct"/>
            <w:shd w:val="clear" w:color="auto" w:fill="auto"/>
            <w:noWrap/>
            <w:vAlign w:val="center"/>
            <w:hideMark/>
          </w:tcPr>
          <w:p w14:paraId="5338B075"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-3.4%</w:t>
            </w:r>
          </w:p>
        </w:tc>
        <w:tc>
          <w:tcPr>
            <w:tcW w:w="590" w:type="pct"/>
            <w:shd w:val="clear" w:color="auto" w:fill="auto"/>
            <w:noWrap/>
            <w:vAlign w:val="center"/>
            <w:hideMark/>
          </w:tcPr>
          <w:p w14:paraId="40D65497"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-1.2%</w:t>
            </w:r>
          </w:p>
        </w:tc>
        <w:tc>
          <w:tcPr>
            <w:tcW w:w="587" w:type="pct"/>
            <w:shd w:val="clear" w:color="auto" w:fill="auto"/>
            <w:noWrap/>
            <w:vAlign w:val="center"/>
            <w:hideMark/>
          </w:tcPr>
          <w:p w14:paraId="797807C2"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-1.2%</w:t>
            </w:r>
          </w:p>
        </w:tc>
      </w:tr>
      <w:tr w:rsidR="00081704" w:rsidRPr="00745DF8" w14:paraId="7CC8B604" w14:textId="77777777" w:rsidTr="00745DF8">
        <w:trPr>
          <w:trHeight w:val="340"/>
        </w:trPr>
        <w:tc>
          <w:tcPr>
            <w:tcW w:w="2643" w:type="pct"/>
            <w:shd w:val="clear" w:color="auto" w:fill="auto"/>
            <w:vAlign w:val="center"/>
            <w:hideMark/>
          </w:tcPr>
          <w:p w14:paraId="6C2AFD79" w14:textId="77777777" w:rsidR="00081704" w:rsidRPr="00745DF8" w:rsidRDefault="00081704" w:rsidP="00745DF8">
            <w:pPr>
              <w:spacing w:after="0"/>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 xml:space="preserve">Цени на неенергийни суровини </w:t>
            </w:r>
            <w:r w:rsidRPr="00745DF8">
              <w:rPr>
                <w:rFonts w:asciiTheme="minorHAnsi" w:eastAsia="Times New Roman" w:hAnsiTheme="minorHAnsi" w:cstheme="minorHAnsi"/>
                <w:sz w:val="20"/>
                <w:szCs w:val="20"/>
                <w:lang w:val="en-GB"/>
              </w:rPr>
              <w:t>[</w:t>
            </w:r>
            <w:r w:rsidRPr="00745DF8">
              <w:rPr>
                <w:rFonts w:asciiTheme="minorHAnsi" w:eastAsia="Times New Roman" w:hAnsiTheme="minorHAnsi" w:cstheme="minorHAnsi"/>
                <w:sz w:val="20"/>
                <w:szCs w:val="20"/>
              </w:rPr>
              <w:t xml:space="preserve">в щ.д. </w:t>
            </w:r>
            <w:r w:rsidRPr="00745DF8">
              <w:rPr>
                <w:rFonts w:asciiTheme="minorHAnsi" w:eastAsia="Times New Roman" w:hAnsiTheme="minorHAnsi" w:cstheme="minorHAnsi"/>
                <w:sz w:val="20"/>
                <w:szCs w:val="20"/>
                <w:lang w:val="en-GB"/>
              </w:rPr>
              <w:t>,</w:t>
            </w:r>
            <w:r w:rsidRPr="00745DF8">
              <w:rPr>
                <w:rFonts w:asciiTheme="minorHAnsi" w:eastAsia="Times New Roman" w:hAnsiTheme="minorHAnsi" w:cstheme="minorHAnsi"/>
                <w:sz w:val="20"/>
                <w:szCs w:val="20"/>
              </w:rPr>
              <w:t>%]</w:t>
            </w:r>
          </w:p>
        </w:tc>
        <w:tc>
          <w:tcPr>
            <w:tcW w:w="590" w:type="pct"/>
            <w:shd w:val="clear" w:color="auto" w:fill="auto"/>
            <w:noWrap/>
            <w:vAlign w:val="center"/>
            <w:hideMark/>
          </w:tcPr>
          <w:p w14:paraId="484B0D7B"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-5.4</w:t>
            </w:r>
          </w:p>
        </w:tc>
        <w:tc>
          <w:tcPr>
            <w:tcW w:w="590" w:type="pct"/>
            <w:shd w:val="clear" w:color="auto" w:fill="auto"/>
            <w:noWrap/>
            <w:vAlign w:val="center"/>
            <w:hideMark/>
          </w:tcPr>
          <w:p w14:paraId="025111B6"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-2.6</w:t>
            </w:r>
          </w:p>
        </w:tc>
        <w:tc>
          <w:tcPr>
            <w:tcW w:w="590" w:type="pct"/>
            <w:shd w:val="clear" w:color="auto" w:fill="auto"/>
            <w:noWrap/>
            <w:vAlign w:val="center"/>
            <w:hideMark/>
          </w:tcPr>
          <w:p w14:paraId="7B21276A"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-0.3</w:t>
            </w:r>
          </w:p>
        </w:tc>
        <w:tc>
          <w:tcPr>
            <w:tcW w:w="587" w:type="pct"/>
            <w:shd w:val="clear" w:color="auto" w:fill="auto"/>
            <w:noWrap/>
            <w:vAlign w:val="center"/>
            <w:hideMark/>
          </w:tcPr>
          <w:p w14:paraId="41F20578"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2.1</w:t>
            </w:r>
          </w:p>
        </w:tc>
      </w:tr>
      <w:tr w:rsidR="00081704" w:rsidRPr="00745DF8" w14:paraId="5C6E47F3" w14:textId="77777777" w:rsidTr="00745DF8">
        <w:trPr>
          <w:trHeight w:val="340"/>
        </w:trPr>
        <w:tc>
          <w:tcPr>
            <w:tcW w:w="2643" w:type="pct"/>
            <w:shd w:val="clear" w:color="auto" w:fill="auto"/>
            <w:vAlign w:val="center"/>
          </w:tcPr>
          <w:p w14:paraId="3AFBA719" w14:textId="77777777" w:rsidR="00081704" w:rsidRPr="00745DF8" w:rsidRDefault="00081704" w:rsidP="00745DF8">
            <w:pPr>
              <w:spacing w:after="0"/>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EURIBOR 3м. [пр.п.]</w:t>
            </w:r>
          </w:p>
        </w:tc>
        <w:tc>
          <w:tcPr>
            <w:tcW w:w="590" w:type="pct"/>
            <w:shd w:val="clear" w:color="auto" w:fill="auto"/>
            <w:noWrap/>
            <w:vAlign w:val="center"/>
          </w:tcPr>
          <w:p w14:paraId="6346366F"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0.0</w:t>
            </w:r>
          </w:p>
        </w:tc>
        <w:tc>
          <w:tcPr>
            <w:tcW w:w="590" w:type="pct"/>
            <w:shd w:val="clear" w:color="auto" w:fill="auto"/>
            <w:noWrap/>
            <w:vAlign w:val="center"/>
          </w:tcPr>
          <w:p w14:paraId="17A31DB0"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-0.3</w:t>
            </w:r>
          </w:p>
        </w:tc>
        <w:tc>
          <w:tcPr>
            <w:tcW w:w="590" w:type="pct"/>
            <w:shd w:val="clear" w:color="auto" w:fill="auto"/>
            <w:noWrap/>
            <w:vAlign w:val="center"/>
          </w:tcPr>
          <w:p w14:paraId="67B6A8D9"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0.0</w:t>
            </w:r>
          </w:p>
        </w:tc>
        <w:tc>
          <w:tcPr>
            <w:tcW w:w="587" w:type="pct"/>
            <w:shd w:val="clear" w:color="auto" w:fill="auto"/>
            <w:noWrap/>
            <w:vAlign w:val="center"/>
          </w:tcPr>
          <w:p w14:paraId="65788AB6" w14:textId="77777777" w:rsidR="00081704" w:rsidRPr="00745DF8" w:rsidRDefault="00081704" w:rsidP="00745DF8">
            <w:pPr>
              <w:spacing w:after="0"/>
              <w:jc w:val="right"/>
              <w:rPr>
                <w:rFonts w:asciiTheme="minorHAnsi" w:eastAsia="Times New Roman" w:hAnsiTheme="minorHAnsi" w:cstheme="minorHAnsi"/>
                <w:sz w:val="20"/>
                <w:szCs w:val="20"/>
              </w:rPr>
            </w:pPr>
            <w:r w:rsidRPr="00745DF8">
              <w:rPr>
                <w:rFonts w:asciiTheme="minorHAnsi" w:eastAsia="Times New Roman" w:hAnsiTheme="minorHAnsi" w:cstheme="minorHAnsi"/>
                <w:sz w:val="20"/>
                <w:szCs w:val="20"/>
              </w:rPr>
              <w:t>0.0</w:t>
            </w:r>
          </w:p>
        </w:tc>
      </w:tr>
    </w:tbl>
    <w:p w14:paraId="0DCB1B55" w14:textId="77777777" w:rsidR="00081704" w:rsidRPr="00745DF8" w:rsidRDefault="00081704" w:rsidP="00745DF8">
      <w:pPr>
        <w:pStyle w:val="a"/>
      </w:pPr>
      <w:r w:rsidRPr="00745DF8">
        <w:t>Източник: МФ</w:t>
      </w:r>
    </w:p>
    <w:p w14:paraId="43E44E7E" w14:textId="115C28DC" w:rsidR="00081704" w:rsidRPr="00C4695C" w:rsidRDefault="00081704" w:rsidP="00081704">
      <w:pPr>
        <w:rPr>
          <w:szCs w:val="24"/>
        </w:rPr>
      </w:pPr>
      <w:r w:rsidRPr="00C4695C">
        <w:rPr>
          <w:szCs w:val="24"/>
        </w:rPr>
        <w:lastRenderedPageBreak/>
        <w:t>По-слабото търсене от страна на основните ни търговски партньори ще понижи реалния растеж на БВП на България през 2023 и 2024</w:t>
      </w:r>
      <w:r w:rsidR="00B552D5">
        <w:rPr>
          <w:szCs w:val="24"/>
        </w:rPr>
        <w:t> г.</w:t>
      </w:r>
      <w:r w:rsidRPr="00C4695C">
        <w:rPr>
          <w:szCs w:val="24"/>
        </w:rPr>
        <w:t xml:space="preserve"> През следващите две години от прогнозния период, икономическият растеж ще е малко по-висок спрямо базовия сценарий. През 2025</w:t>
      </w:r>
      <w:r w:rsidR="00B552D5">
        <w:rPr>
          <w:szCs w:val="24"/>
        </w:rPr>
        <w:t> г.</w:t>
      </w:r>
      <w:r w:rsidRPr="00C4695C">
        <w:rPr>
          <w:szCs w:val="24"/>
        </w:rPr>
        <w:t xml:space="preserve"> причина за това развитие ще бъде по-силното външно търсене, което ще се отрази положително на растежа на износа на стоки и услуги, а в края на периода – от по-високите инвестиции в основен капитал. Нивото на БВП по текущи цени обаче ще остане под това в базовия сценарий отчасти поради по-ниския дефлатор на БВП. По-слабият растеж на приходите на фирмите от износ ще се отрази негативно върху заетостта и доходите в страната и оттам на потреблението. Инвестициите също ще бъдат повлияни отрицателно по линия на по-слабото търсене и високата несигурност, особено в сферата на недвижимите имоти и строителството. Обезценяването на еврото спрямо долара през 2023</w:t>
      </w:r>
      <w:r w:rsidR="00B552D5">
        <w:rPr>
          <w:szCs w:val="24"/>
        </w:rPr>
        <w:t> г.</w:t>
      </w:r>
      <w:r w:rsidRPr="00C4695C">
        <w:rPr>
          <w:szCs w:val="24"/>
        </w:rPr>
        <w:t xml:space="preserve"> ще повиши цените на вносните суровини и ще се отрази в малко по-висока инфлация спрямо базовия сценарий. През остатъка от периода</w:t>
      </w:r>
      <w:r>
        <w:rPr>
          <w:szCs w:val="24"/>
        </w:rPr>
        <w:t>,</w:t>
      </w:r>
      <w:r w:rsidRPr="00C4695C">
        <w:rPr>
          <w:szCs w:val="24"/>
        </w:rPr>
        <w:t xml:space="preserve"> в алтернативния сценарий</w:t>
      </w:r>
      <w:r>
        <w:rPr>
          <w:szCs w:val="24"/>
        </w:rPr>
        <w:t>,</w:t>
      </w:r>
      <w:r w:rsidRPr="00C4695C">
        <w:rPr>
          <w:szCs w:val="24"/>
        </w:rPr>
        <w:t xml:space="preserve"> ще се наблюдава относително по-ниска инфлация, под влияние на очакваното по-голямо понижение на международните цени на суровините. В резултат на влошените условия на търговия дефлаторът на БВП ще бъде по-нисък спрямо базовия сценарий през целия период </w:t>
      </w:r>
      <w:r w:rsidR="00B552D5">
        <w:rPr>
          <w:szCs w:val="24"/>
        </w:rPr>
        <w:t>2023–2026 г.</w:t>
      </w:r>
      <w:r w:rsidRPr="00C4695C">
        <w:rPr>
          <w:szCs w:val="24"/>
        </w:rPr>
        <w:t xml:space="preserve"> Дефицитът по текущата сметка ще се повиши спрямо основния сценарий, следвайки тенденциите във външната търговия.</w:t>
      </w:r>
    </w:p>
    <w:p w14:paraId="28A3FD9C" w14:textId="77777777" w:rsidR="00081704" w:rsidRPr="00C4695C" w:rsidRDefault="00081704" w:rsidP="00081704">
      <w:pPr>
        <w:rPr>
          <w:szCs w:val="24"/>
        </w:rPr>
      </w:pPr>
      <w:r w:rsidRPr="00C4695C">
        <w:rPr>
          <w:szCs w:val="24"/>
        </w:rPr>
        <w:t>Обобщение на очакваните промени в основни макроикономически показатели, в резултат от направените промени в допусканията, са представени в следващата таблица.</w:t>
      </w:r>
    </w:p>
    <w:p w14:paraId="3645083D" w14:textId="32583968" w:rsidR="00081704" w:rsidRPr="00BA5673" w:rsidRDefault="00081704" w:rsidP="00450C56">
      <w:pPr>
        <w:pStyle w:val="Caption"/>
      </w:pPr>
      <w:r w:rsidRPr="00BA5673">
        <w:t xml:space="preserve">Табл. 4-2: </w:t>
      </w:r>
      <w:r w:rsidR="00EE53B2">
        <w:tab/>
      </w:r>
      <w:r w:rsidRPr="00BA5673">
        <w:t xml:space="preserve">Промени в основните макроикономически показатели </w:t>
      </w:r>
      <w:r w:rsidR="00EE53B2">
        <w:br/>
      </w:r>
      <w:r w:rsidRPr="00BA5673">
        <w:t>(отклонение спрямо базовия сценарий)</w:t>
      </w:r>
    </w:p>
    <w:tbl>
      <w:tblPr>
        <w:tblW w:w="5000" w:type="pct"/>
        <w:jc w:val="center"/>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CellMar>
          <w:left w:w="70" w:type="dxa"/>
          <w:right w:w="70" w:type="dxa"/>
        </w:tblCellMar>
        <w:tblLook w:val="04A0" w:firstRow="1" w:lastRow="0" w:firstColumn="1" w:lastColumn="0" w:noHBand="0" w:noVBand="1"/>
      </w:tblPr>
      <w:tblGrid>
        <w:gridCol w:w="4697"/>
        <w:gridCol w:w="1203"/>
        <w:gridCol w:w="1153"/>
        <w:gridCol w:w="1019"/>
        <w:gridCol w:w="992"/>
      </w:tblGrid>
      <w:tr w:rsidR="00081704" w:rsidRPr="004A4C4B" w14:paraId="7AFBB7D0" w14:textId="77777777" w:rsidTr="000C3504">
        <w:trPr>
          <w:trHeight w:val="340"/>
          <w:jc w:val="center"/>
        </w:trPr>
        <w:tc>
          <w:tcPr>
            <w:tcW w:w="2604" w:type="pct"/>
            <w:shd w:val="clear" w:color="auto" w:fill="D8EDFC"/>
            <w:vAlign w:val="center"/>
            <w:hideMark/>
          </w:tcPr>
          <w:p w14:paraId="1159D957" w14:textId="77777777" w:rsidR="00081704" w:rsidRPr="004A4C4B" w:rsidRDefault="00081704" w:rsidP="00777E7B">
            <w:pPr>
              <w:spacing w:after="0"/>
              <w:rPr>
                <w:b/>
                <w:color w:val="000000"/>
                <w:sz w:val="20"/>
                <w:szCs w:val="20"/>
              </w:rPr>
            </w:pPr>
            <w:r w:rsidRPr="004A4C4B">
              <w:rPr>
                <w:b/>
                <w:color w:val="000000"/>
                <w:sz w:val="20"/>
                <w:szCs w:val="20"/>
              </w:rPr>
              <w:t>Основни макроикономически показатели</w:t>
            </w:r>
          </w:p>
        </w:tc>
        <w:tc>
          <w:tcPr>
            <w:tcW w:w="645" w:type="pct"/>
            <w:shd w:val="clear" w:color="auto" w:fill="D8EDFC"/>
            <w:noWrap/>
            <w:vAlign w:val="center"/>
            <w:hideMark/>
          </w:tcPr>
          <w:p w14:paraId="3EF39587" w14:textId="77777777" w:rsidR="00081704" w:rsidRPr="004A4C4B" w:rsidRDefault="00081704" w:rsidP="00FF205F">
            <w:pPr>
              <w:spacing w:after="0"/>
              <w:ind w:right="113"/>
              <w:jc w:val="center"/>
              <w:rPr>
                <w:b/>
                <w:bCs/>
                <w:sz w:val="20"/>
                <w:szCs w:val="20"/>
              </w:rPr>
            </w:pPr>
            <w:r w:rsidRPr="004A4C4B">
              <w:rPr>
                <w:b/>
                <w:bCs/>
                <w:sz w:val="20"/>
                <w:szCs w:val="20"/>
              </w:rPr>
              <w:t xml:space="preserve">           2023</w:t>
            </w:r>
          </w:p>
        </w:tc>
        <w:tc>
          <w:tcPr>
            <w:tcW w:w="616" w:type="pct"/>
            <w:shd w:val="clear" w:color="auto" w:fill="D8EDFC"/>
            <w:noWrap/>
            <w:vAlign w:val="center"/>
            <w:hideMark/>
          </w:tcPr>
          <w:p w14:paraId="21BC3B5B" w14:textId="77777777" w:rsidR="00081704" w:rsidRPr="004A4C4B" w:rsidRDefault="00081704" w:rsidP="00FF205F">
            <w:pPr>
              <w:spacing w:after="0"/>
              <w:ind w:right="113"/>
              <w:jc w:val="center"/>
              <w:rPr>
                <w:b/>
                <w:bCs/>
                <w:sz w:val="20"/>
                <w:szCs w:val="20"/>
              </w:rPr>
            </w:pPr>
            <w:r w:rsidRPr="004A4C4B">
              <w:rPr>
                <w:b/>
                <w:bCs/>
                <w:sz w:val="20"/>
                <w:szCs w:val="20"/>
              </w:rPr>
              <w:t xml:space="preserve">          2024</w:t>
            </w:r>
          </w:p>
        </w:tc>
        <w:tc>
          <w:tcPr>
            <w:tcW w:w="575" w:type="pct"/>
            <w:shd w:val="clear" w:color="auto" w:fill="D8EDFC"/>
            <w:noWrap/>
            <w:vAlign w:val="center"/>
            <w:hideMark/>
          </w:tcPr>
          <w:p w14:paraId="4D3DC755" w14:textId="77777777" w:rsidR="00081704" w:rsidRPr="004A4C4B" w:rsidRDefault="00081704" w:rsidP="00FF205F">
            <w:pPr>
              <w:spacing w:after="0"/>
              <w:ind w:right="113"/>
              <w:jc w:val="center"/>
              <w:rPr>
                <w:b/>
                <w:bCs/>
                <w:sz w:val="20"/>
                <w:szCs w:val="20"/>
              </w:rPr>
            </w:pPr>
            <w:r w:rsidRPr="004A4C4B">
              <w:rPr>
                <w:b/>
                <w:bCs/>
                <w:sz w:val="20"/>
                <w:szCs w:val="20"/>
              </w:rPr>
              <w:t xml:space="preserve">      2025</w:t>
            </w:r>
          </w:p>
        </w:tc>
        <w:tc>
          <w:tcPr>
            <w:tcW w:w="561" w:type="pct"/>
            <w:shd w:val="clear" w:color="auto" w:fill="D8EDFC"/>
            <w:noWrap/>
            <w:vAlign w:val="center"/>
            <w:hideMark/>
          </w:tcPr>
          <w:p w14:paraId="5614E756" w14:textId="77777777" w:rsidR="00081704" w:rsidRPr="004A4C4B" w:rsidRDefault="00081704" w:rsidP="00FF205F">
            <w:pPr>
              <w:spacing w:after="0"/>
              <w:ind w:right="113"/>
              <w:jc w:val="center"/>
              <w:rPr>
                <w:b/>
                <w:bCs/>
                <w:sz w:val="20"/>
                <w:szCs w:val="20"/>
              </w:rPr>
            </w:pPr>
            <w:r w:rsidRPr="004A4C4B">
              <w:rPr>
                <w:b/>
                <w:bCs/>
                <w:sz w:val="20"/>
                <w:szCs w:val="20"/>
              </w:rPr>
              <w:t xml:space="preserve">      2026</w:t>
            </w:r>
          </w:p>
        </w:tc>
      </w:tr>
      <w:tr w:rsidR="00081704" w:rsidRPr="004A4C4B" w14:paraId="76F0E366" w14:textId="77777777" w:rsidTr="000C3504">
        <w:trPr>
          <w:trHeight w:val="340"/>
          <w:jc w:val="center"/>
        </w:trPr>
        <w:tc>
          <w:tcPr>
            <w:tcW w:w="5000" w:type="pct"/>
            <w:gridSpan w:val="5"/>
            <w:shd w:val="clear" w:color="auto" w:fill="auto"/>
            <w:noWrap/>
            <w:vAlign w:val="bottom"/>
            <w:hideMark/>
          </w:tcPr>
          <w:p w14:paraId="25C7A425" w14:textId="77777777" w:rsidR="00081704" w:rsidRPr="004A4C4B" w:rsidRDefault="00081704" w:rsidP="00FF205F">
            <w:pPr>
              <w:spacing w:after="0"/>
              <w:ind w:right="113"/>
              <w:rPr>
                <w:b/>
                <w:bCs/>
                <w:sz w:val="20"/>
                <w:szCs w:val="20"/>
              </w:rPr>
            </w:pPr>
            <w:r w:rsidRPr="004A4C4B">
              <w:rPr>
                <w:b/>
                <w:bCs/>
                <w:sz w:val="20"/>
                <w:szCs w:val="20"/>
              </w:rPr>
              <w:t>БРУТЕН ВЪТРЕШЕН ПРОДУКТ</w:t>
            </w:r>
          </w:p>
        </w:tc>
      </w:tr>
      <w:tr w:rsidR="00081704" w:rsidRPr="004A4C4B" w14:paraId="1FE741C9" w14:textId="77777777" w:rsidTr="000C3504">
        <w:trPr>
          <w:trHeight w:val="340"/>
          <w:jc w:val="center"/>
        </w:trPr>
        <w:tc>
          <w:tcPr>
            <w:tcW w:w="2604" w:type="pct"/>
            <w:shd w:val="clear" w:color="auto" w:fill="auto"/>
            <w:noWrap/>
            <w:vAlign w:val="center"/>
            <w:hideMark/>
          </w:tcPr>
          <w:p w14:paraId="1250B698" w14:textId="77777777" w:rsidR="00081704" w:rsidRPr="004A4C4B" w:rsidRDefault="00081704" w:rsidP="00777E7B">
            <w:pPr>
              <w:spacing w:after="0"/>
              <w:ind w:firstLineChars="100" w:firstLine="200"/>
              <w:rPr>
                <w:sz w:val="20"/>
                <w:szCs w:val="20"/>
              </w:rPr>
            </w:pPr>
            <w:r w:rsidRPr="004A4C4B">
              <w:rPr>
                <w:sz w:val="20"/>
                <w:szCs w:val="20"/>
              </w:rPr>
              <w:t>БВП ниво по текущи цени [%]</w:t>
            </w:r>
          </w:p>
        </w:tc>
        <w:tc>
          <w:tcPr>
            <w:tcW w:w="645" w:type="pct"/>
            <w:shd w:val="clear" w:color="auto" w:fill="auto"/>
            <w:noWrap/>
            <w:vAlign w:val="center"/>
            <w:hideMark/>
          </w:tcPr>
          <w:p w14:paraId="3D79A67B"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5%</w:t>
            </w:r>
          </w:p>
        </w:tc>
        <w:tc>
          <w:tcPr>
            <w:tcW w:w="616" w:type="pct"/>
            <w:shd w:val="clear" w:color="auto" w:fill="auto"/>
            <w:noWrap/>
            <w:vAlign w:val="center"/>
            <w:hideMark/>
          </w:tcPr>
          <w:p w14:paraId="7EF49E89" w14:textId="77777777" w:rsidR="00081704" w:rsidRPr="004A4C4B" w:rsidRDefault="00081704" w:rsidP="00FF205F">
            <w:pPr>
              <w:spacing w:after="0"/>
              <w:ind w:right="113" w:firstLineChars="100" w:firstLine="200"/>
              <w:jc w:val="right"/>
              <w:rPr>
                <w:sz w:val="20"/>
                <w:szCs w:val="20"/>
              </w:rPr>
            </w:pPr>
            <w:r w:rsidRPr="004A4C4B">
              <w:rPr>
                <w:sz w:val="20"/>
                <w:szCs w:val="20"/>
              </w:rPr>
              <w:t>-1</w:t>
            </w:r>
            <w:r>
              <w:rPr>
                <w:sz w:val="20"/>
                <w:szCs w:val="20"/>
              </w:rPr>
              <w:t>.</w:t>
            </w:r>
            <w:r w:rsidRPr="004A4C4B">
              <w:rPr>
                <w:sz w:val="20"/>
                <w:szCs w:val="20"/>
              </w:rPr>
              <w:t>2%</w:t>
            </w:r>
          </w:p>
        </w:tc>
        <w:tc>
          <w:tcPr>
            <w:tcW w:w="575" w:type="pct"/>
            <w:shd w:val="clear" w:color="auto" w:fill="auto"/>
            <w:noWrap/>
            <w:vAlign w:val="center"/>
            <w:hideMark/>
          </w:tcPr>
          <w:p w14:paraId="0972F684" w14:textId="77777777" w:rsidR="00081704" w:rsidRPr="004A4C4B" w:rsidRDefault="00081704" w:rsidP="00FF205F">
            <w:pPr>
              <w:spacing w:after="0"/>
              <w:ind w:right="113" w:firstLineChars="100" w:firstLine="200"/>
              <w:jc w:val="right"/>
              <w:rPr>
                <w:sz w:val="20"/>
                <w:szCs w:val="20"/>
              </w:rPr>
            </w:pPr>
            <w:r w:rsidRPr="004A4C4B">
              <w:rPr>
                <w:sz w:val="20"/>
                <w:szCs w:val="20"/>
              </w:rPr>
              <w:t>-1</w:t>
            </w:r>
            <w:r>
              <w:rPr>
                <w:sz w:val="20"/>
                <w:szCs w:val="20"/>
              </w:rPr>
              <w:t>.</w:t>
            </w:r>
            <w:r w:rsidRPr="004A4C4B">
              <w:rPr>
                <w:sz w:val="20"/>
                <w:szCs w:val="20"/>
              </w:rPr>
              <w:t>1%</w:t>
            </w:r>
          </w:p>
        </w:tc>
        <w:tc>
          <w:tcPr>
            <w:tcW w:w="561" w:type="pct"/>
            <w:shd w:val="clear" w:color="auto" w:fill="auto"/>
            <w:noWrap/>
            <w:vAlign w:val="center"/>
            <w:hideMark/>
          </w:tcPr>
          <w:p w14:paraId="1A67EC77" w14:textId="77777777" w:rsidR="00081704" w:rsidRPr="004A4C4B" w:rsidRDefault="00081704" w:rsidP="00FF205F">
            <w:pPr>
              <w:spacing w:after="0"/>
              <w:ind w:right="113" w:firstLineChars="100" w:firstLine="200"/>
              <w:jc w:val="right"/>
              <w:rPr>
                <w:sz w:val="20"/>
                <w:szCs w:val="20"/>
              </w:rPr>
            </w:pPr>
            <w:r w:rsidRPr="004A4C4B">
              <w:rPr>
                <w:sz w:val="20"/>
                <w:szCs w:val="20"/>
              </w:rPr>
              <w:t>-1</w:t>
            </w:r>
            <w:r>
              <w:rPr>
                <w:sz w:val="20"/>
                <w:szCs w:val="20"/>
              </w:rPr>
              <w:t>.</w:t>
            </w:r>
            <w:r w:rsidRPr="004A4C4B">
              <w:rPr>
                <w:sz w:val="20"/>
                <w:szCs w:val="20"/>
              </w:rPr>
              <w:t>1%</w:t>
            </w:r>
          </w:p>
        </w:tc>
      </w:tr>
      <w:tr w:rsidR="00081704" w:rsidRPr="004A4C4B" w14:paraId="5F1B87E5" w14:textId="77777777" w:rsidTr="000C3504">
        <w:trPr>
          <w:trHeight w:val="340"/>
          <w:jc w:val="center"/>
        </w:trPr>
        <w:tc>
          <w:tcPr>
            <w:tcW w:w="2604" w:type="pct"/>
            <w:shd w:val="clear" w:color="auto" w:fill="auto"/>
            <w:noWrap/>
            <w:vAlign w:val="center"/>
            <w:hideMark/>
          </w:tcPr>
          <w:p w14:paraId="05D38A79" w14:textId="77777777" w:rsidR="00081704" w:rsidRPr="004A4C4B" w:rsidRDefault="00081704" w:rsidP="00777E7B">
            <w:pPr>
              <w:spacing w:after="0"/>
              <w:ind w:firstLineChars="100" w:firstLine="200"/>
              <w:rPr>
                <w:sz w:val="20"/>
                <w:szCs w:val="20"/>
              </w:rPr>
            </w:pPr>
            <w:r w:rsidRPr="004A4C4B">
              <w:rPr>
                <w:sz w:val="20"/>
                <w:szCs w:val="20"/>
              </w:rPr>
              <w:t>БВП [реален растеж, [пр.п.]</w:t>
            </w:r>
          </w:p>
        </w:tc>
        <w:tc>
          <w:tcPr>
            <w:tcW w:w="645" w:type="pct"/>
            <w:shd w:val="clear" w:color="auto" w:fill="auto"/>
            <w:noWrap/>
            <w:vAlign w:val="center"/>
            <w:hideMark/>
          </w:tcPr>
          <w:p w14:paraId="1F73FE41"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c>
          <w:tcPr>
            <w:tcW w:w="616" w:type="pct"/>
            <w:shd w:val="clear" w:color="auto" w:fill="auto"/>
            <w:noWrap/>
            <w:vAlign w:val="center"/>
            <w:hideMark/>
          </w:tcPr>
          <w:p w14:paraId="3FEDC33A"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5</w:t>
            </w:r>
          </w:p>
        </w:tc>
        <w:tc>
          <w:tcPr>
            <w:tcW w:w="575" w:type="pct"/>
            <w:shd w:val="clear" w:color="auto" w:fill="auto"/>
            <w:noWrap/>
            <w:vAlign w:val="center"/>
            <w:hideMark/>
          </w:tcPr>
          <w:p w14:paraId="1F676A14"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c>
          <w:tcPr>
            <w:tcW w:w="561" w:type="pct"/>
            <w:shd w:val="clear" w:color="auto" w:fill="auto"/>
            <w:noWrap/>
            <w:vAlign w:val="center"/>
            <w:hideMark/>
          </w:tcPr>
          <w:p w14:paraId="5D5D4B38"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2</w:t>
            </w:r>
          </w:p>
        </w:tc>
      </w:tr>
      <w:tr w:rsidR="00081704" w:rsidRPr="004A4C4B" w14:paraId="093AC7ED" w14:textId="77777777" w:rsidTr="000C3504">
        <w:trPr>
          <w:trHeight w:val="340"/>
          <w:jc w:val="center"/>
        </w:trPr>
        <w:tc>
          <w:tcPr>
            <w:tcW w:w="2604" w:type="pct"/>
            <w:shd w:val="clear" w:color="auto" w:fill="auto"/>
            <w:noWrap/>
            <w:vAlign w:val="center"/>
            <w:hideMark/>
          </w:tcPr>
          <w:p w14:paraId="3E395341" w14:textId="77777777" w:rsidR="00081704" w:rsidRPr="004A4C4B" w:rsidRDefault="00081704" w:rsidP="00777E7B">
            <w:pPr>
              <w:spacing w:after="0"/>
              <w:ind w:firstLineChars="100" w:firstLine="200"/>
              <w:rPr>
                <w:sz w:val="20"/>
                <w:szCs w:val="20"/>
              </w:rPr>
            </w:pPr>
            <w:r w:rsidRPr="004A4C4B">
              <w:rPr>
                <w:sz w:val="20"/>
                <w:szCs w:val="20"/>
              </w:rPr>
              <w:t xml:space="preserve">    Потребление</w:t>
            </w:r>
          </w:p>
        </w:tc>
        <w:tc>
          <w:tcPr>
            <w:tcW w:w="645" w:type="pct"/>
            <w:shd w:val="clear" w:color="auto" w:fill="auto"/>
            <w:noWrap/>
            <w:vAlign w:val="center"/>
            <w:hideMark/>
          </w:tcPr>
          <w:p w14:paraId="383BB024"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0</w:t>
            </w:r>
          </w:p>
        </w:tc>
        <w:tc>
          <w:tcPr>
            <w:tcW w:w="616" w:type="pct"/>
            <w:shd w:val="clear" w:color="auto" w:fill="auto"/>
            <w:noWrap/>
            <w:vAlign w:val="center"/>
            <w:hideMark/>
          </w:tcPr>
          <w:p w14:paraId="64E13283"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c>
          <w:tcPr>
            <w:tcW w:w="575" w:type="pct"/>
            <w:shd w:val="clear" w:color="auto" w:fill="auto"/>
            <w:noWrap/>
            <w:vAlign w:val="center"/>
            <w:hideMark/>
          </w:tcPr>
          <w:p w14:paraId="2E5BB8D6"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c>
          <w:tcPr>
            <w:tcW w:w="561" w:type="pct"/>
            <w:shd w:val="clear" w:color="auto" w:fill="auto"/>
            <w:noWrap/>
            <w:vAlign w:val="center"/>
            <w:hideMark/>
          </w:tcPr>
          <w:p w14:paraId="0FCEBD24"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0</w:t>
            </w:r>
          </w:p>
        </w:tc>
      </w:tr>
      <w:tr w:rsidR="00081704" w:rsidRPr="004A4C4B" w14:paraId="647D1C3D" w14:textId="77777777" w:rsidTr="000C3504">
        <w:trPr>
          <w:trHeight w:val="340"/>
          <w:jc w:val="center"/>
        </w:trPr>
        <w:tc>
          <w:tcPr>
            <w:tcW w:w="2604" w:type="pct"/>
            <w:shd w:val="clear" w:color="auto" w:fill="auto"/>
            <w:vAlign w:val="center"/>
            <w:hideMark/>
          </w:tcPr>
          <w:p w14:paraId="2F148B44" w14:textId="77777777" w:rsidR="00081704" w:rsidRPr="004A4C4B" w:rsidRDefault="00081704" w:rsidP="00777E7B">
            <w:pPr>
              <w:spacing w:after="0"/>
              <w:ind w:firstLineChars="100" w:firstLine="200"/>
              <w:rPr>
                <w:sz w:val="20"/>
                <w:szCs w:val="20"/>
              </w:rPr>
            </w:pPr>
            <w:r w:rsidRPr="004A4C4B">
              <w:rPr>
                <w:sz w:val="20"/>
                <w:szCs w:val="20"/>
              </w:rPr>
              <w:t xml:space="preserve">    Брутообразуване на основен капитал</w:t>
            </w:r>
          </w:p>
        </w:tc>
        <w:tc>
          <w:tcPr>
            <w:tcW w:w="645" w:type="pct"/>
            <w:shd w:val="clear" w:color="auto" w:fill="auto"/>
            <w:noWrap/>
            <w:vAlign w:val="center"/>
            <w:hideMark/>
          </w:tcPr>
          <w:p w14:paraId="422F8413"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5</w:t>
            </w:r>
          </w:p>
        </w:tc>
        <w:tc>
          <w:tcPr>
            <w:tcW w:w="616" w:type="pct"/>
            <w:shd w:val="clear" w:color="auto" w:fill="auto"/>
            <w:noWrap/>
            <w:vAlign w:val="center"/>
            <w:hideMark/>
          </w:tcPr>
          <w:p w14:paraId="33EA949C" w14:textId="77777777" w:rsidR="00081704" w:rsidRPr="004A4C4B" w:rsidRDefault="00081704" w:rsidP="00FF205F">
            <w:pPr>
              <w:spacing w:after="0"/>
              <w:ind w:right="113" w:firstLineChars="100" w:firstLine="200"/>
              <w:jc w:val="right"/>
              <w:rPr>
                <w:sz w:val="20"/>
                <w:szCs w:val="20"/>
              </w:rPr>
            </w:pPr>
            <w:r w:rsidRPr="004A4C4B">
              <w:rPr>
                <w:sz w:val="20"/>
                <w:szCs w:val="20"/>
              </w:rPr>
              <w:t>-1</w:t>
            </w:r>
            <w:r>
              <w:rPr>
                <w:sz w:val="20"/>
                <w:szCs w:val="20"/>
              </w:rPr>
              <w:t>.</w:t>
            </w:r>
            <w:r w:rsidRPr="004A4C4B">
              <w:rPr>
                <w:sz w:val="20"/>
                <w:szCs w:val="20"/>
              </w:rPr>
              <w:t>1</w:t>
            </w:r>
          </w:p>
        </w:tc>
        <w:tc>
          <w:tcPr>
            <w:tcW w:w="575" w:type="pct"/>
            <w:shd w:val="clear" w:color="auto" w:fill="auto"/>
            <w:noWrap/>
            <w:vAlign w:val="center"/>
            <w:hideMark/>
          </w:tcPr>
          <w:p w14:paraId="4953F7FE" w14:textId="77777777" w:rsidR="00081704" w:rsidRPr="004A4C4B" w:rsidRDefault="00081704" w:rsidP="00FF205F">
            <w:pPr>
              <w:spacing w:after="0"/>
              <w:ind w:right="113" w:firstLineChars="100" w:firstLine="200"/>
              <w:jc w:val="right"/>
              <w:rPr>
                <w:sz w:val="20"/>
                <w:szCs w:val="20"/>
              </w:rPr>
            </w:pPr>
            <w:r w:rsidRPr="004A4C4B">
              <w:rPr>
                <w:sz w:val="20"/>
                <w:szCs w:val="20"/>
              </w:rPr>
              <w:t>-1</w:t>
            </w:r>
            <w:r>
              <w:rPr>
                <w:sz w:val="20"/>
                <w:szCs w:val="20"/>
              </w:rPr>
              <w:t>.</w:t>
            </w:r>
            <w:r w:rsidRPr="004A4C4B">
              <w:rPr>
                <w:sz w:val="20"/>
                <w:szCs w:val="20"/>
              </w:rPr>
              <w:t>1</w:t>
            </w:r>
          </w:p>
        </w:tc>
        <w:tc>
          <w:tcPr>
            <w:tcW w:w="561" w:type="pct"/>
            <w:shd w:val="clear" w:color="auto" w:fill="auto"/>
            <w:noWrap/>
            <w:vAlign w:val="center"/>
            <w:hideMark/>
          </w:tcPr>
          <w:p w14:paraId="355DA484" w14:textId="77777777" w:rsidR="00081704" w:rsidRPr="004A4C4B" w:rsidRDefault="00081704" w:rsidP="00FF205F">
            <w:pPr>
              <w:spacing w:after="0"/>
              <w:ind w:right="113" w:firstLineChars="100" w:firstLine="200"/>
              <w:jc w:val="right"/>
              <w:rPr>
                <w:sz w:val="20"/>
                <w:szCs w:val="20"/>
              </w:rPr>
            </w:pPr>
            <w:r w:rsidRPr="004A4C4B">
              <w:rPr>
                <w:sz w:val="20"/>
                <w:szCs w:val="20"/>
              </w:rPr>
              <w:t>1</w:t>
            </w:r>
            <w:r>
              <w:rPr>
                <w:sz w:val="20"/>
                <w:szCs w:val="20"/>
              </w:rPr>
              <w:t>.</w:t>
            </w:r>
            <w:r w:rsidRPr="004A4C4B">
              <w:rPr>
                <w:sz w:val="20"/>
                <w:szCs w:val="20"/>
              </w:rPr>
              <w:t>1</w:t>
            </w:r>
          </w:p>
        </w:tc>
      </w:tr>
      <w:tr w:rsidR="00081704" w:rsidRPr="004A4C4B" w14:paraId="7B954466" w14:textId="77777777" w:rsidTr="000C3504">
        <w:trPr>
          <w:trHeight w:val="340"/>
          <w:jc w:val="center"/>
        </w:trPr>
        <w:tc>
          <w:tcPr>
            <w:tcW w:w="2604" w:type="pct"/>
            <w:shd w:val="clear" w:color="auto" w:fill="auto"/>
            <w:noWrap/>
            <w:vAlign w:val="center"/>
            <w:hideMark/>
          </w:tcPr>
          <w:p w14:paraId="2EB14A85" w14:textId="77777777" w:rsidR="00081704" w:rsidRPr="004A4C4B" w:rsidRDefault="00081704" w:rsidP="00777E7B">
            <w:pPr>
              <w:spacing w:after="0"/>
              <w:ind w:firstLineChars="100" w:firstLine="200"/>
              <w:rPr>
                <w:sz w:val="20"/>
                <w:szCs w:val="20"/>
              </w:rPr>
            </w:pPr>
            <w:r w:rsidRPr="004A4C4B">
              <w:rPr>
                <w:sz w:val="20"/>
                <w:szCs w:val="20"/>
              </w:rPr>
              <w:t xml:space="preserve">    Износ на стоки и услуги</w:t>
            </w:r>
          </w:p>
        </w:tc>
        <w:tc>
          <w:tcPr>
            <w:tcW w:w="645" w:type="pct"/>
            <w:shd w:val="clear" w:color="auto" w:fill="auto"/>
            <w:noWrap/>
            <w:vAlign w:val="center"/>
            <w:hideMark/>
          </w:tcPr>
          <w:p w14:paraId="62849B8B"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7</w:t>
            </w:r>
          </w:p>
        </w:tc>
        <w:tc>
          <w:tcPr>
            <w:tcW w:w="616" w:type="pct"/>
            <w:shd w:val="clear" w:color="auto" w:fill="auto"/>
            <w:noWrap/>
            <w:vAlign w:val="center"/>
            <w:hideMark/>
          </w:tcPr>
          <w:p w14:paraId="14500B6D" w14:textId="77777777" w:rsidR="00081704" w:rsidRPr="004A4C4B" w:rsidRDefault="00081704" w:rsidP="00FF205F">
            <w:pPr>
              <w:spacing w:after="0"/>
              <w:ind w:right="113" w:firstLineChars="100" w:firstLine="200"/>
              <w:jc w:val="right"/>
              <w:rPr>
                <w:sz w:val="20"/>
                <w:szCs w:val="20"/>
              </w:rPr>
            </w:pPr>
            <w:r w:rsidRPr="004A4C4B">
              <w:rPr>
                <w:sz w:val="20"/>
                <w:szCs w:val="20"/>
              </w:rPr>
              <w:t>-1</w:t>
            </w:r>
            <w:r>
              <w:rPr>
                <w:sz w:val="20"/>
                <w:szCs w:val="20"/>
              </w:rPr>
              <w:t>.</w:t>
            </w:r>
            <w:r w:rsidRPr="004A4C4B">
              <w:rPr>
                <w:sz w:val="20"/>
                <w:szCs w:val="20"/>
              </w:rPr>
              <w:t>0</w:t>
            </w:r>
          </w:p>
        </w:tc>
        <w:tc>
          <w:tcPr>
            <w:tcW w:w="575" w:type="pct"/>
            <w:shd w:val="clear" w:color="auto" w:fill="auto"/>
            <w:noWrap/>
            <w:vAlign w:val="center"/>
            <w:hideMark/>
          </w:tcPr>
          <w:p w14:paraId="5DD30599" w14:textId="77777777" w:rsidR="00081704" w:rsidRPr="004A4C4B" w:rsidRDefault="00081704" w:rsidP="00FF205F">
            <w:pPr>
              <w:spacing w:after="0"/>
              <w:ind w:right="113" w:firstLineChars="100" w:firstLine="200"/>
              <w:jc w:val="right"/>
              <w:rPr>
                <w:sz w:val="20"/>
                <w:szCs w:val="20"/>
              </w:rPr>
            </w:pPr>
            <w:r w:rsidRPr="004A4C4B">
              <w:rPr>
                <w:sz w:val="20"/>
                <w:szCs w:val="20"/>
              </w:rPr>
              <w:t>1</w:t>
            </w:r>
            <w:r>
              <w:rPr>
                <w:sz w:val="20"/>
                <w:szCs w:val="20"/>
              </w:rPr>
              <w:t>.</w:t>
            </w:r>
            <w:r w:rsidRPr="004A4C4B">
              <w:rPr>
                <w:sz w:val="20"/>
                <w:szCs w:val="20"/>
              </w:rPr>
              <w:t>0</w:t>
            </w:r>
          </w:p>
        </w:tc>
        <w:tc>
          <w:tcPr>
            <w:tcW w:w="561" w:type="pct"/>
            <w:shd w:val="clear" w:color="auto" w:fill="auto"/>
            <w:noWrap/>
            <w:vAlign w:val="center"/>
            <w:hideMark/>
          </w:tcPr>
          <w:p w14:paraId="038AB6D9"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0</w:t>
            </w:r>
          </w:p>
        </w:tc>
      </w:tr>
      <w:tr w:rsidR="00081704" w:rsidRPr="004A4C4B" w14:paraId="7CD51869" w14:textId="77777777" w:rsidTr="000C3504">
        <w:trPr>
          <w:trHeight w:val="340"/>
          <w:jc w:val="center"/>
        </w:trPr>
        <w:tc>
          <w:tcPr>
            <w:tcW w:w="2604" w:type="pct"/>
            <w:shd w:val="clear" w:color="auto" w:fill="auto"/>
            <w:noWrap/>
            <w:vAlign w:val="center"/>
            <w:hideMark/>
          </w:tcPr>
          <w:p w14:paraId="286DE548" w14:textId="77777777" w:rsidR="00081704" w:rsidRPr="004A4C4B" w:rsidRDefault="00081704" w:rsidP="00777E7B">
            <w:pPr>
              <w:spacing w:after="0"/>
              <w:ind w:firstLineChars="100" w:firstLine="200"/>
              <w:rPr>
                <w:sz w:val="20"/>
                <w:szCs w:val="20"/>
              </w:rPr>
            </w:pPr>
            <w:r w:rsidRPr="004A4C4B">
              <w:rPr>
                <w:sz w:val="20"/>
                <w:szCs w:val="20"/>
              </w:rPr>
              <w:t xml:space="preserve">    Внос на стоки и услуги</w:t>
            </w:r>
          </w:p>
        </w:tc>
        <w:tc>
          <w:tcPr>
            <w:tcW w:w="645" w:type="pct"/>
            <w:shd w:val="clear" w:color="auto" w:fill="auto"/>
            <w:noWrap/>
            <w:vAlign w:val="center"/>
            <w:hideMark/>
          </w:tcPr>
          <w:p w14:paraId="1B01C81C"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3</w:t>
            </w:r>
          </w:p>
        </w:tc>
        <w:tc>
          <w:tcPr>
            <w:tcW w:w="616" w:type="pct"/>
            <w:shd w:val="clear" w:color="auto" w:fill="auto"/>
            <w:noWrap/>
            <w:vAlign w:val="center"/>
            <w:hideMark/>
          </w:tcPr>
          <w:p w14:paraId="2E66A28E"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6</w:t>
            </w:r>
          </w:p>
        </w:tc>
        <w:tc>
          <w:tcPr>
            <w:tcW w:w="575" w:type="pct"/>
            <w:shd w:val="clear" w:color="auto" w:fill="auto"/>
            <w:noWrap/>
            <w:vAlign w:val="center"/>
            <w:hideMark/>
          </w:tcPr>
          <w:p w14:paraId="3276E6E5"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4</w:t>
            </w:r>
          </w:p>
        </w:tc>
        <w:tc>
          <w:tcPr>
            <w:tcW w:w="561" w:type="pct"/>
            <w:shd w:val="clear" w:color="auto" w:fill="auto"/>
            <w:noWrap/>
            <w:vAlign w:val="center"/>
            <w:hideMark/>
          </w:tcPr>
          <w:p w14:paraId="1684B9B5"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0</w:t>
            </w:r>
          </w:p>
        </w:tc>
      </w:tr>
      <w:tr w:rsidR="00081704" w:rsidRPr="004A4C4B" w14:paraId="7699EABA" w14:textId="77777777" w:rsidTr="000C3504">
        <w:trPr>
          <w:trHeight w:val="340"/>
          <w:jc w:val="center"/>
        </w:trPr>
        <w:tc>
          <w:tcPr>
            <w:tcW w:w="5000" w:type="pct"/>
            <w:gridSpan w:val="5"/>
            <w:shd w:val="clear" w:color="auto" w:fill="auto"/>
            <w:noWrap/>
            <w:vAlign w:val="bottom"/>
            <w:hideMark/>
          </w:tcPr>
          <w:p w14:paraId="1616752D" w14:textId="77777777" w:rsidR="00081704" w:rsidRPr="004A4C4B" w:rsidRDefault="00081704" w:rsidP="00FF205F">
            <w:pPr>
              <w:spacing w:after="0"/>
              <w:ind w:right="113"/>
              <w:rPr>
                <w:b/>
                <w:bCs/>
                <w:sz w:val="20"/>
                <w:szCs w:val="20"/>
              </w:rPr>
            </w:pPr>
            <w:r w:rsidRPr="004A4C4B">
              <w:rPr>
                <w:b/>
                <w:bCs/>
                <w:sz w:val="20"/>
                <w:szCs w:val="20"/>
              </w:rPr>
              <w:t>ПАЗАР НА ТРУДА И ЦЕНИ</w:t>
            </w:r>
          </w:p>
        </w:tc>
      </w:tr>
      <w:tr w:rsidR="00081704" w:rsidRPr="004A4C4B" w14:paraId="4246CCE9" w14:textId="77777777" w:rsidTr="000C3504">
        <w:trPr>
          <w:trHeight w:val="340"/>
          <w:jc w:val="center"/>
        </w:trPr>
        <w:tc>
          <w:tcPr>
            <w:tcW w:w="2604" w:type="pct"/>
            <w:shd w:val="clear" w:color="auto" w:fill="auto"/>
            <w:noWrap/>
            <w:vAlign w:val="center"/>
            <w:hideMark/>
          </w:tcPr>
          <w:p w14:paraId="09CEE84C" w14:textId="77777777" w:rsidR="00081704" w:rsidRPr="004A4C4B" w:rsidRDefault="00081704" w:rsidP="00777E7B">
            <w:pPr>
              <w:spacing w:after="0"/>
              <w:ind w:firstLineChars="100" w:firstLine="200"/>
              <w:rPr>
                <w:sz w:val="20"/>
                <w:szCs w:val="20"/>
              </w:rPr>
            </w:pPr>
            <w:r w:rsidRPr="004A4C4B">
              <w:rPr>
                <w:sz w:val="20"/>
                <w:szCs w:val="20"/>
              </w:rPr>
              <w:t>Заетост (СНС) [%]</w:t>
            </w:r>
          </w:p>
        </w:tc>
        <w:tc>
          <w:tcPr>
            <w:tcW w:w="645" w:type="pct"/>
            <w:shd w:val="clear" w:color="auto" w:fill="auto"/>
            <w:noWrap/>
            <w:vAlign w:val="center"/>
            <w:hideMark/>
          </w:tcPr>
          <w:p w14:paraId="61B24F80"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0%</w:t>
            </w:r>
          </w:p>
        </w:tc>
        <w:tc>
          <w:tcPr>
            <w:tcW w:w="616" w:type="pct"/>
            <w:shd w:val="clear" w:color="auto" w:fill="auto"/>
            <w:noWrap/>
            <w:vAlign w:val="center"/>
            <w:hideMark/>
          </w:tcPr>
          <w:p w14:paraId="10A0BB91"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2%</w:t>
            </w:r>
          </w:p>
        </w:tc>
        <w:tc>
          <w:tcPr>
            <w:tcW w:w="575" w:type="pct"/>
            <w:shd w:val="clear" w:color="auto" w:fill="auto"/>
            <w:noWrap/>
            <w:vAlign w:val="center"/>
            <w:hideMark/>
          </w:tcPr>
          <w:p w14:paraId="014869E5"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2%</w:t>
            </w:r>
          </w:p>
        </w:tc>
        <w:tc>
          <w:tcPr>
            <w:tcW w:w="561" w:type="pct"/>
            <w:shd w:val="clear" w:color="auto" w:fill="auto"/>
            <w:noWrap/>
            <w:vAlign w:val="center"/>
            <w:hideMark/>
          </w:tcPr>
          <w:p w14:paraId="52131CDB"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r>
      <w:tr w:rsidR="00081704" w:rsidRPr="004A4C4B" w14:paraId="5983D844" w14:textId="77777777" w:rsidTr="000C3504">
        <w:trPr>
          <w:trHeight w:val="340"/>
          <w:jc w:val="center"/>
        </w:trPr>
        <w:tc>
          <w:tcPr>
            <w:tcW w:w="2604" w:type="pct"/>
            <w:shd w:val="clear" w:color="auto" w:fill="auto"/>
            <w:noWrap/>
            <w:vAlign w:val="center"/>
            <w:hideMark/>
          </w:tcPr>
          <w:p w14:paraId="312FD34C" w14:textId="77777777" w:rsidR="00081704" w:rsidRPr="004A4C4B" w:rsidRDefault="00081704" w:rsidP="00777E7B">
            <w:pPr>
              <w:spacing w:after="0"/>
              <w:ind w:firstLineChars="100" w:firstLine="200"/>
              <w:rPr>
                <w:sz w:val="20"/>
                <w:szCs w:val="20"/>
              </w:rPr>
            </w:pPr>
            <w:r w:rsidRPr="004A4C4B">
              <w:rPr>
                <w:sz w:val="20"/>
                <w:szCs w:val="20"/>
              </w:rPr>
              <w:t>Коефициент на безработица (НРС) [пр.п.]</w:t>
            </w:r>
          </w:p>
        </w:tc>
        <w:tc>
          <w:tcPr>
            <w:tcW w:w="645" w:type="pct"/>
            <w:shd w:val="clear" w:color="auto" w:fill="auto"/>
            <w:noWrap/>
            <w:vAlign w:val="center"/>
            <w:hideMark/>
          </w:tcPr>
          <w:p w14:paraId="12C9DD7C"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0</w:t>
            </w:r>
          </w:p>
        </w:tc>
        <w:tc>
          <w:tcPr>
            <w:tcW w:w="616" w:type="pct"/>
            <w:shd w:val="clear" w:color="auto" w:fill="auto"/>
            <w:noWrap/>
            <w:vAlign w:val="center"/>
            <w:hideMark/>
          </w:tcPr>
          <w:p w14:paraId="65428D79"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c>
          <w:tcPr>
            <w:tcW w:w="575" w:type="pct"/>
            <w:shd w:val="clear" w:color="auto" w:fill="auto"/>
            <w:noWrap/>
            <w:vAlign w:val="center"/>
            <w:hideMark/>
          </w:tcPr>
          <w:p w14:paraId="453A5A56"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c>
          <w:tcPr>
            <w:tcW w:w="561" w:type="pct"/>
            <w:shd w:val="clear" w:color="auto" w:fill="auto"/>
            <w:noWrap/>
            <w:vAlign w:val="center"/>
            <w:hideMark/>
          </w:tcPr>
          <w:p w14:paraId="6AA866FD"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r>
      <w:tr w:rsidR="00081704" w:rsidRPr="004A4C4B" w14:paraId="50EBD16F" w14:textId="77777777" w:rsidTr="000C3504">
        <w:trPr>
          <w:trHeight w:val="340"/>
          <w:jc w:val="center"/>
        </w:trPr>
        <w:tc>
          <w:tcPr>
            <w:tcW w:w="2604" w:type="pct"/>
            <w:shd w:val="clear" w:color="auto" w:fill="auto"/>
            <w:noWrap/>
            <w:vAlign w:val="center"/>
            <w:hideMark/>
          </w:tcPr>
          <w:p w14:paraId="320C992C" w14:textId="77777777" w:rsidR="00081704" w:rsidRPr="004A4C4B" w:rsidRDefault="00081704" w:rsidP="00777E7B">
            <w:pPr>
              <w:spacing w:after="0"/>
              <w:ind w:firstLineChars="100" w:firstLine="200"/>
              <w:rPr>
                <w:sz w:val="20"/>
                <w:szCs w:val="20"/>
              </w:rPr>
            </w:pPr>
            <w:r w:rsidRPr="004A4C4B">
              <w:rPr>
                <w:sz w:val="20"/>
                <w:szCs w:val="20"/>
              </w:rPr>
              <w:t>Компенсация на наетите [%]</w:t>
            </w:r>
          </w:p>
        </w:tc>
        <w:tc>
          <w:tcPr>
            <w:tcW w:w="645" w:type="pct"/>
            <w:shd w:val="clear" w:color="auto" w:fill="auto"/>
            <w:noWrap/>
            <w:vAlign w:val="center"/>
            <w:hideMark/>
          </w:tcPr>
          <w:p w14:paraId="285CF91D"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c>
          <w:tcPr>
            <w:tcW w:w="616" w:type="pct"/>
            <w:shd w:val="clear" w:color="auto" w:fill="auto"/>
            <w:noWrap/>
            <w:vAlign w:val="center"/>
            <w:hideMark/>
          </w:tcPr>
          <w:p w14:paraId="11CD95FE"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3%</w:t>
            </w:r>
          </w:p>
        </w:tc>
        <w:tc>
          <w:tcPr>
            <w:tcW w:w="575" w:type="pct"/>
            <w:shd w:val="clear" w:color="auto" w:fill="auto"/>
            <w:noWrap/>
            <w:vAlign w:val="center"/>
            <w:hideMark/>
          </w:tcPr>
          <w:p w14:paraId="16FFFD8E"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4%</w:t>
            </w:r>
          </w:p>
        </w:tc>
        <w:tc>
          <w:tcPr>
            <w:tcW w:w="561" w:type="pct"/>
            <w:shd w:val="clear" w:color="auto" w:fill="auto"/>
            <w:noWrap/>
            <w:vAlign w:val="center"/>
            <w:hideMark/>
          </w:tcPr>
          <w:p w14:paraId="75AEE09D"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5%</w:t>
            </w:r>
          </w:p>
        </w:tc>
      </w:tr>
      <w:tr w:rsidR="00081704" w:rsidRPr="004A4C4B" w14:paraId="534C9C8F" w14:textId="77777777" w:rsidTr="000C3504">
        <w:trPr>
          <w:trHeight w:val="340"/>
          <w:jc w:val="center"/>
        </w:trPr>
        <w:tc>
          <w:tcPr>
            <w:tcW w:w="2604" w:type="pct"/>
            <w:shd w:val="clear" w:color="auto" w:fill="auto"/>
            <w:noWrap/>
            <w:vAlign w:val="center"/>
            <w:hideMark/>
          </w:tcPr>
          <w:p w14:paraId="01CE6678" w14:textId="77777777" w:rsidR="00081704" w:rsidRPr="004A4C4B" w:rsidRDefault="00081704" w:rsidP="00777E7B">
            <w:pPr>
              <w:spacing w:after="0"/>
              <w:ind w:firstLineChars="100" w:firstLine="200"/>
              <w:rPr>
                <w:sz w:val="20"/>
                <w:szCs w:val="20"/>
              </w:rPr>
            </w:pPr>
            <w:r w:rsidRPr="004A4C4B">
              <w:rPr>
                <w:sz w:val="20"/>
                <w:szCs w:val="20"/>
              </w:rPr>
              <w:t>Дефлатор на БВП [пр.п.]</w:t>
            </w:r>
          </w:p>
        </w:tc>
        <w:tc>
          <w:tcPr>
            <w:tcW w:w="645" w:type="pct"/>
            <w:shd w:val="clear" w:color="auto" w:fill="auto"/>
            <w:noWrap/>
            <w:vAlign w:val="center"/>
            <w:hideMark/>
          </w:tcPr>
          <w:p w14:paraId="663DC695"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3</w:t>
            </w:r>
          </w:p>
        </w:tc>
        <w:tc>
          <w:tcPr>
            <w:tcW w:w="616" w:type="pct"/>
            <w:shd w:val="clear" w:color="auto" w:fill="auto"/>
            <w:noWrap/>
            <w:vAlign w:val="center"/>
            <w:hideMark/>
          </w:tcPr>
          <w:p w14:paraId="6AF83CC9"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2</w:t>
            </w:r>
          </w:p>
        </w:tc>
        <w:tc>
          <w:tcPr>
            <w:tcW w:w="575" w:type="pct"/>
            <w:shd w:val="clear" w:color="auto" w:fill="auto"/>
            <w:noWrap/>
            <w:vAlign w:val="center"/>
            <w:hideMark/>
          </w:tcPr>
          <w:p w14:paraId="5040E920"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c>
          <w:tcPr>
            <w:tcW w:w="561" w:type="pct"/>
            <w:shd w:val="clear" w:color="auto" w:fill="auto"/>
            <w:noWrap/>
            <w:vAlign w:val="center"/>
            <w:hideMark/>
          </w:tcPr>
          <w:p w14:paraId="653C3F13"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2</w:t>
            </w:r>
          </w:p>
        </w:tc>
      </w:tr>
      <w:tr w:rsidR="00081704" w:rsidRPr="004A4C4B" w14:paraId="7C0E55DA" w14:textId="77777777" w:rsidTr="000C3504">
        <w:trPr>
          <w:trHeight w:val="340"/>
          <w:jc w:val="center"/>
        </w:trPr>
        <w:tc>
          <w:tcPr>
            <w:tcW w:w="2604" w:type="pct"/>
            <w:shd w:val="clear" w:color="auto" w:fill="auto"/>
            <w:vAlign w:val="center"/>
            <w:hideMark/>
          </w:tcPr>
          <w:p w14:paraId="3D1EFFED" w14:textId="77777777" w:rsidR="00081704" w:rsidRPr="004A4C4B" w:rsidRDefault="00081704" w:rsidP="00777E7B">
            <w:pPr>
              <w:spacing w:after="0"/>
              <w:ind w:firstLineChars="100" w:firstLine="200"/>
              <w:rPr>
                <w:sz w:val="20"/>
                <w:szCs w:val="20"/>
              </w:rPr>
            </w:pPr>
            <w:r w:rsidRPr="004A4C4B">
              <w:rPr>
                <w:sz w:val="20"/>
                <w:szCs w:val="20"/>
              </w:rPr>
              <w:t>Средногодишна инфлация (ХИПЦ) [пр.п.]</w:t>
            </w:r>
          </w:p>
        </w:tc>
        <w:tc>
          <w:tcPr>
            <w:tcW w:w="645" w:type="pct"/>
            <w:shd w:val="clear" w:color="auto" w:fill="auto"/>
            <w:noWrap/>
            <w:vAlign w:val="center"/>
            <w:hideMark/>
          </w:tcPr>
          <w:p w14:paraId="694D091A"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3</w:t>
            </w:r>
          </w:p>
        </w:tc>
        <w:tc>
          <w:tcPr>
            <w:tcW w:w="616" w:type="pct"/>
            <w:shd w:val="clear" w:color="auto" w:fill="auto"/>
            <w:noWrap/>
            <w:vAlign w:val="center"/>
            <w:hideMark/>
          </w:tcPr>
          <w:p w14:paraId="4B631AC3"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4</w:t>
            </w:r>
          </w:p>
        </w:tc>
        <w:tc>
          <w:tcPr>
            <w:tcW w:w="575" w:type="pct"/>
            <w:shd w:val="clear" w:color="auto" w:fill="auto"/>
            <w:noWrap/>
            <w:vAlign w:val="center"/>
            <w:hideMark/>
          </w:tcPr>
          <w:p w14:paraId="34068F65"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3</w:t>
            </w:r>
          </w:p>
        </w:tc>
        <w:tc>
          <w:tcPr>
            <w:tcW w:w="561" w:type="pct"/>
            <w:shd w:val="clear" w:color="auto" w:fill="auto"/>
            <w:noWrap/>
            <w:vAlign w:val="center"/>
            <w:hideMark/>
          </w:tcPr>
          <w:p w14:paraId="7AB7E663"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2</w:t>
            </w:r>
          </w:p>
        </w:tc>
      </w:tr>
      <w:tr w:rsidR="00081704" w:rsidRPr="004A4C4B" w14:paraId="29A0F098" w14:textId="77777777" w:rsidTr="000C3504">
        <w:trPr>
          <w:trHeight w:val="340"/>
          <w:jc w:val="center"/>
        </w:trPr>
        <w:tc>
          <w:tcPr>
            <w:tcW w:w="5000" w:type="pct"/>
            <w:gridSpan w:val="5"/>
            <w:shd w:val="clear" w:color="auto" w:fill="auto"/>
            <w:noWrap/>
            <w:vAlign w:val="bottom"/>
            <w:hideMark/>
          </w:tcPr>
          <w:p w14:paraId="4D008FFE" w14:textId="77777777" w:rsidR="00081704" w:rsidRPr="004A4C4B" w:rsidRDefault="00081704" w:rsidP="00FF205F">
            <w:pPr>
              <w:spacing w:after="0"/>
              <w:ind w:right="113"/>
              <w:rPr>
                <w:b/>
                <w:bCs/>
                <w:sz w:val="20"/>
                <w:szCs w:val="20"/>
              </w:rPr>
            </w:pPr>
            <w:r w:rsidRPr="004A4C4B">
              <w:rPr>
                <w:b/>
                <w:bCs/>
                <w:sz w:val="20"/>
                <w:szCs w:val="20"/>
              </w:rPr>
              <w:t>ПЛАТЕЖЕН БАЛАНС</w:t>
            </w:r>
          </w:p>
        </w:tc>
      </w:tr>
      <w:tr w:rsidR="00081704" w:rsidRPr="004A4C4B" w14:paraId="6D545862" w14:textId="77777777" w:rsidTr="000C3504">
        <w:trPr>
          <w:trHeight w:val="340"/>
          <w:jc w:val="center"/>
        </w:trPr>
        <w:tc>
          <w:tcPr>
            <w:tcW w:w="2604" w:type="pct"/>
            <w:shd w:val="clear" w:color="auto" w:fill="auto"/>
            <w:noWrap/>
            <w:vAlign w:val="center"/>
            <w:hideMark/>
          </w:tcPr>
          <w:p w14:paraId="1E3AD196" w14:textId="77777777" w:rsidR="00081704" w:rsidRPr="004A4C4B" w:rsidRDefault="00081704" w:rsidP="00777E7B">
            <w:pPr>
              <w:spacing w:after="0"/>
              <w:ind w:firstLineChars="100" w:firstLine="200"/>
              <w:rPr>
                <w:sz w:val="20"/>
                <w:szCs w:val="20"/>
              </w:rPr>
            </w:pPr>
            <w:r w:rsidRPr="004A4C4B">
              <w:rPr>
                <w:sz w:val="20"/>
                <w:szCs w:val="20"/>
              </w:rPr>
              <w:t>Текуща сметка % БВП [пр.п.]</w:t>
            </w:r>
          </w:p>
        </w:tc>
        <w:tc>
          <w:tcPr>
            <w:tcW w:w="645" w:type="pct"/>
            <w:shd w:val="clear" w:color="auto" w:fill="auto"/>
            <w:noWrap/>
            <w:vAlign w:val="center"/>
            <w:hideMark/>
          </w:tcPr>
          <w:p w14:paraId="51871D37"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6</w:t>
            </w:r>
          </w:p>
        </w:tc>
        <w:tc>
          <w:tcPr>
            <w:tcW w:w="616" w:type="pct"/>
            <w:shd w:val="clear" w:color="auto" w:fill="auto"/>
            <w:noWrap/>
            <w:vAlign w:val="center"/>
            <w:hideMark/>
          </w:tcPr>
          <w:p w14:paraId="4778A9E3"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8</w:t>
            </w:r>
          </w:p>
        </w:tc>
        <w:tc>
          <w:tcPr>
            <w:tcW w:w="575" w:type="pct"/>
            <w:shd w:val="clear" w:color="auto" w:fill="auto"/>
            <w:noWrap/>
            <w:vAlign w:val="center"/>
            <w:hideMark/>
          </w:tcPr>
          <w:p w14:paraId="7B1A3A4F"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5</w:t>
            </w:r>
          </w:p>
        </w:tc>
        <w:tc>
          <w:tcPr>
            <w:tcW w:w="561" w:type="pct"/>
            <w:shd w:val="clear" w:color="auto" w:fill="auto"/>
            <w:noWrap/>
            <w:vAlign w:val="center"/>
            <w:hideMark/>
          </w:tcPr>
          <w:p w14:paraId="383BE887"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6</w:t>
            </w:r>
          </w:p>
        </w:tc>
      </w:tr>
      <w:tr w:rsidR="00081704" w:rsidRPr="004A4C4B" w14:paraId="53C18307" w14:textId="77777777" w:rsidTr="000C3504">
        <w:trPr>
          <w:trHeight w:val="340"/>
          <w:jc w:val="center"/>
        </w:trPr>
        <w:tc>
          <w:tcPr>
            <w:tcW w:w="5000" w:type="pct"/>
            <w:gridSpan w:val="5"/>
            <w:shd w:val="clear" w:color="auto" w:fill="auto"/>
            <w:noWrap/>
            <w:vAlign w:val="bottom"/>
            <w:hideMark/>
          </w:tcPr>
          <w:p w14:paraId="57CFA388" w14:textId="77777777" w:rsidR="00081704" w:rsidRPr="004A4C4B" w:rsidRDefault="00081704" w:rsidP="00FF205F">
            <w:pPr>
              <w:spacing w:after="0"/>
              <w:ind w:right="113"/>
              <w:rPr>
                <w:b/>
                <w:bCs/>
                <w:sz w:val="20"/>
                <w:szCs w:val="20"/>
              </w:rPr>
            </w:pPr>
            <w:r w:rsidRPr="004A4C4B">
              <w:rPr>
                <w:b/>
                <w:bCs/>
                <w:sz w:val="20"/>
                <w:szCs w:val="20"/>
              </w:rPr>
              <w:t>БЮДЖЕТЕН СЕКТОР</w:t>
            </w:r>
          </w:p>
        </w:tc>
      </w:tr>
      <w:tr w:rsidR="00081704" w:rsidRPr="004A4C4B" w14:paraId="476D8325" w14:textId="77777777" w:rsidTr="000C3504">
        <w:trPr>
          <w:trHeight w:val="340"/>
          <w:jc w:val="center"/>
        </w:trPr>
        <w:tc>
          <w:tcPr>
            <w:tcW w:w="2604" w:type="pct"/>
            <w:shd w:val="clear" w:color="auto" w:fill="auto"/>
            <w:noWrap/>
            <w:vAlign w:val="center"/>
            <w:hideMark/>
          </w:tcPr>
          <w:p w14:paraId="41CC8F97" w14:textId="77777777" w:rsidR="00081704" w:rsidRPr="004A4C4B" w:rsidRDefault="00081704" w:rsidP="00777E7B">
            <w:pPr>
              <w:spacing w:after="0"/>
              <w:ind w:firstLineChars="100" w:firstLine="200"/>
              <w:rPr>
                <w:sz w:val="20"/>
                <w:szCs w:val="20"/>
              </w:rPr>
            </w:pPr>
            <w:r w:rsidRPr="004A4C4B">
              <w:rPr>
                <w:sz w:val="20"/>
                <w:szCs w:val="20"/>
              </w:rPr>
              <w:t>Бюджетни приходи (%)</w:t>
            </w:r>
          </w:p>
        </w:tc>
        <w:tc>
          <w:tcPr>
            <w:tcW w:w="645" w:type="pct"/>
            <w:shd w:val="clear" w:color="auto" w:fill="auto"/>
            <w:noWrap/>
            <w:vAlign w:val="center"/>
            <w:hideMark/>
          </w:tcPr>
          <w:p w14:paraId="5FAD6AD8"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2</w:t>
            </w:r>
          </w:p>
        </w:tc>
        <w:tc>
          <w:tcPr>
            <w:tcW w:w="616" w:type="pct"/>
            <w:shd w:val="clear" w:color="auto" w:fill="auto"/>
            <w:noWrap/>
            <w:vAlign w:val="center"/>
            <w:hideMark/>
          </w:tcPr>
          <w:p w14:paraId="1AE8DC41"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6</w:t>
            </w:r>
          </w:p>
        </w:tc>
        <w:tc>
          <w:tcPr>
            <w:tcW w:w="575" w:type="pct"/>
            <w:shd w:val="clear" w:color="auto" w:fill="auto"/>
            <w:noWrap/>
            <w:vAlign w:val="center"/>
            <w:hideMark/>
          </w:tcPr>
          <w:p w14:paraId="72565FC9"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5</w:t>
            </w:r>
          </w:p>
        </w:tc>
        <w:tc>
          <w:tcPr>
            <w:tcW w:w="561" w:type="pct"/>
            <w:shd w:val="clear" w:color="auto" w:fill="auto"/>
            <w:noWrap/>
            <w:vAlign w:val="center"/>
            <w:hideMark/>
          </w:tcPr>
          <w:p w14:paraId="76A5885E"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5</w:t>
            </w:r>
          </w:p>
        </w:tc>
      </w:tr>
      <w:tr w:rsidR="00081704" w:rsidRPr="004A4C4B" w14:paraId="0685CBD5" w14:textId="77777777" w:rsidTr="000C3504">
        <w:trPr>
          <w:trHeight w:val="340"/>
          <w:jc w:val="center"/>
        </w:trPr>
        <w:tc>
          <w:tcPr>
            <w:tcW w:w="2604" w:type="pct"/>
            <w:shd w:val="clear" w:color="auto" w:fill="auto"/>
            <w:noWrap/>
            <w:vAlign w:val="center"/>
            <w:hideMark/>
          </w:tcPr>
          <w:p w14:paraId="4F4D0C2A" w14:textId="77777777" w:rsidR="00081704" w:rsidRPr="004A4C4B" w:rsidRDefault="00081704" w:rsidP="00777E7B">
            <w:pPr>
              <w:spacing w:after="0"/>
              <w:ind w:firstLineChars="100" w:firstLine="200"/>
              <w:rPr>
                <w:sz w:val="20"/>
                <w:szCs w:val="20"/>
              </w:rPr>
            </w:pPr>
            <w:r w:rsidRPr="004A4C4B">
              <w:rPr>
                <w:sz w:val="20"/>
                <w:szCs w:val="20"/>
              </w:rPr>
              <w:t>Бюджетен баланс % от БВП [пр.п.]</w:t>
            </w:r>
          </w:p>
        </w:tc>
        <w:tc>
          <w:tcPr>
            <w:tcW w:w="645" w:type="pct"/>
            <w:shd w:val="clear" w:color="auto" w:fill="auto"/>
            <w:noWrap/>
            <w:vAlign w:val="center"/>
            <w:hideMark/>
          </w:tcPr>
          <w:p w14:paraId="59D88C69"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1</w:t>
            </w:r>
          </w:p>
        </w:tc>
        <w:tc>
          <w:tcPr>
            <w:tcW w:w="616" w:type="pct"/>
            <w:shd w:val="clear" w:color="auto" w:fill="auto"/>
            <w:noWrap/>
            <w:vAlign w:val="center"/>
            <w:hideMark/>
          </w:tcPr>
          <w:p w14:paraId="638F7A39"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3</w:t>
            </w:r>
          </w:p>
        </w:tc>
        <w:tc>
          <w:tcPr>
            <w:tcW w:w="575" w:type="pct"/>
            <w:shd w:val="clear" w:color="auto" w:fill="auto"/>
            <w:noWrap/>
            <w:vAlign w:val="center"/>
            <w:hideMark/>
          </w:tcPr>
          <w:p w14:paraId="1250D3FF"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3</w:t>
            </w:r>
          </w:p>
        </w:tc>
        <w:tc>
          <w:tcPr>
            <w:tcW w:w="561" w:type="pct"/>
            <w:shd w:val="clear" w:color="auto" w:fill="auto"/>
            <w:noWrap/>
            <w:vAlign w:val="center"/>
            <w:hideMark/>
          </w:tcPr>
          <w:p w14:paraId="41E197B5"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3</w:t>
            </w:r>
          </w:p>
        </w:tc>
      </w:tr>
      <w:tr w:rsidR="00081704" w:rsidRPr="004A4C4B" w14:paraId="4C62E2E8" w14:textId="77777777" w:rsidTr="000C3504">
        <w:trPr>
          <w:trHeight w:val="340"/>
          <w:jc w:val="center"/>
        </w:trPr>
        <w:tc>
          <w:tcPr>
            <w:tcW w:w="2604" w:type="pct"/>
            <w:shd w:val="clear" w:color="auto" w:fill="auto"/>
            <w:noWrap/>
            <w:vAlign w:val="center"/>
            <w:hideMark/>
          </w:tcPr>
          <w:p w14:paraId="55E94C05" w14:textId="77777777" w:rsidR="00081704" w:rsidRPr="004A4C4B" w:rsidRDefault="00081704" w:rsidP="00777E7B">
            <w:pPr>
              <w:spacing w:after="0"/>
              <w:ind w:firstLineChars="100" w:firstLine="200"/>
              <w:rPr>
                <w:sz w:val="20"/>
                <w:szCs w:val="20"/>
              </w:rPr>
            </w:pPr>
            <w:r w:rsidRPr="004A4C4B">
              <w:rPr>
                <w:sz w:val="20"/>
                <w:szCs w:val="20"/>
              </w:rPr>
              <w:t>Държавен дълг % от БВП [пр.п.]</w:t>
            </w:r>
          </w:p>
        </w:tc>
        <w:tc>
          <w:tcPr>
            <w:tcW w:w="645" w:type="pct"/>
            <w:shd w:val="clear" w:color="auto" w:fill="auto"/>
            <w:noWrap/>
            <w:vAlign w:val="center"/>
            <w:hideMark/>
          </w:tcPr>
          <w:p w14:paraId="72164B02"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2</w:t>
            </w:r>
          </w:p>
        </w:tc>
        <w:tc>
          <w:tcPr>
            <w:tcW w:w="616" w:type="pct"/>
            <w:shd w:val="clear" w:color="auto" w:fill="auto"/>
            <w:noWrap/>
            <w:vAlign w:val="center"/>
            <w:hideMark/>
          </w:tcPr>
          <w:p w14:paraId="5C487AD8"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7</w:t>
            </w:r>
          </w:p>
        </w:tc>
        <w:tc>
          <w:tcPr>
            <w:tcW w:w="575" w:type="pct"/>
            <w:shd w:val="clear" w:color="auto" w:fill="auto"/>
            <w:noWrap/>
            <w:vAlign w:val="center"/>
            <w:hideMark/>
          </w:tcPr>
          <w:p w14:paraId="639D98B1" w14:textId="77777777" w:rsidR="00081704" w:rsidRPr="004A4C4B" w:rsidRDefault="00081704" w:rsidP="00FF205F">
            <w:pPr>
              <w:spacing w:after="0"/>
              <w:ind w:right="113" w:firstLineChars="100" w:firstLine="200"/>
              <w:jc w:val="right"/>
              <w:rPr>
                <w:sz w:val="20"/>
                <w:szCs w:val="20"/>
              </w:rPr>
            </w:pPr>
            <w:r w:rsidRPr="004A4C4B">
              <w:rPr>
                <w:sz w:val="20"/>
                <w:szCs w:val="20"/>
              </w:rPr>
              <w:t>0</w:t>
            </w:r>
            <w:r>
              <w:rPr>
                <w:sz w:val="20"/>
                <w:szCs w:val="20"/>
              </w:rPr>
              <w:t>.</w:t>
            </w:r>
            <w:r w:rsidRPr="004A4C4B">
              <w:rPr>
                <w:sz w:val="20"/>
                <w:szCs w:val="20"/>
              </w:rPr>
              <w:t>9</w:t>
            </w:r>
          </w:p>
        </w:tc>
        <w:tc>
          <w:tcPr>
            <w:tcW w:w="561" w:type="pct"/>
            <w:shd w:val="clear" w:color="auto" w:fill="auto"/>
            <w:noWrap/>
            <w:vAlign w:val="center"/>
            <w:hideMark/>
          </w:tcPr>
          <w:p w14:paraId="2FF7B18B" w14:textId="77777777" w:rsidR="00081704" w:rsidRPr="004A4C4B" w:rsidRDefault="00081704" w:rsidP="00FF205F">
            <w:pPr>
              <w:spacing w:after="0"/>
              <w:ind w:right="113" w:firstLineChars="100" w:firstLine="200"/>
              <w:jc w:val="right"/>
              <w:rPr>
                <w:sz w:val="20"/>
                <w:szCs w:val="20"/>
              </w:rPr>
            </w:pPr>
            <w:r w:rsidRPr="004A4C4B">
              <w:rPr>
                <w:sz w:val="20"/>
                <w:szCs w:val="20"/>
              </w:rPr>
              <w:t>1</w:t>
            </w:r>
            <w:r>
              <w:rPr>
                <w:sz w:val="20"/>
                <w:szCs w:val="20"/>
              </w:rPr>
              <w:t>.</w:t>
            </w:r>
            <w:r w:rsidRPr="004A4C4B">
              <w:rPr>
                <w:sz w:val="20"/>
                <w:szCs w:val="20"/>
              </w:rPr>
              <w:t>2</w:t>
            </w:r>
          </w:p>
        </w:tc>
      </w:tr>
    </w:tbl>
    <w:p w14:paraId="08A7CE14" w14:textId="77777777" w:rsidR="00081704" w:rsidRPr="00CD2015" w:rsidRDefault="00081704" w:rsidP="00E427DE">
      <w:pPr>
        <w:spacing w:before="60" w:after="0"/>
        <w:jc w:val="right"/>
        <w:rPr>
          <w:rFonts w:eastAsia="Times New Roman"/>
          <w:sz w:val="18"/>
          <w:szCs w:val="18"/>
        </w:rPr>
      </w:pPr>
      <w:r w:rsidRPr="00CD2015">
        <w:rPr>
          <w:rFonts w:eastAsia="Times New Roman"/>
          <w:sz w:val="18"/>
          <w:szCs w:val="18"/>
        </w:rPr>
        <w:t>Източник: МФ</w:t>
      </w:r>
    </w:p>
    <w:p w14:paraId="3185575D" w14:textId="08FD1685" w:rsidR="001C65FE" w:rsidRPr="00EE53B2" w:rsidRDefault="001C65FE" w:rsidP="0057481D">
      <w:pPr>
        <w:pStyle w:val="Heading2"/>
        <w:numPr>
          <w:ilvl w:val="1"/>
          <w:numId w:val="4"/>
        </w:numPr>
        <w:ind w:left="720" w:hanging="720"/>
      </w:pPr>
      <w:bookmarkStart w:id="99" w:name="_Toc69812286"/>
      <w:bookmarkStart w:id="100" w:name="_Toc133597278"/>
      <w:bookmarkStart w:id="101" w:name="_Toc352851606"/>
      <w:bookmarkStart w:id="102" w:name="_Toc448227296"/>
      <w:bookmarkStart w:id="103" w:name="_Toc479332445"/>
      <w:bookmarkEnd w:id="96"/>
      <w:bookmarkEnd w:id="97"/>
      <w:bookmarkEnd w:id="98"/>
      <w:r w:rsidRPr="00EE53B2">
        <w:lastRenderedPageBreak/>
        <w:t>Чувствителност на бюджетните прогнози при различни сценарии</w:t>
      </w:r>
      <w:bookmarkEnd w:id="99"/>
      <w:bookmarkEnd w:id="100"/>
    </w:p>
    <w:p w14:paraId="74B939F6" w14:textId="77777777" w:rsidR="00081704" w:rsidRPr="006E52EB" w:rsidRDefault="00081704" w:rsidP="00081704">
      <w:pPr>
        <w:rPr>
          <w:rFonts w:eastAsia="Batang"/>
          <w:szCs w:val="24"/>
        </w:rPr>
      </w:pPr>
      <w:r w:rsidRPr="006E52EB">
        <w:rPr>
          <w:rFonts w:eastAsia="Batang"/>
          <w:szCs w:val="24"/>
        </w:rPr>
        <w:t xml:space="preserve">Анализът на чувствителността представя промяната върху основни бюджетни параметри, която би настъпила при реализиране на алтернативния макроикономически сценарий. </w:t>
      </w:r>
    </w:p>
    <w:p w14:paraId="00F180D1" w14:textId="2050E6B2" w:rsidR="00081704" w:rsidRPr="006E52EB" w:rsidRDefault="00081704" w:rsidP="00081704">
      <w:pPr>
        <w:rPr>
          <w:rFonts w:eastAsia="Batang"/>
          <w:szCs w:val="24"/>
        </w:rPr>
      </w:pPr>
      <w:r w:rsidRPr="006E52EB">
        <w:rPr>
          <w:rFonts w:eastAsia="Batang"/>
          <w:szCs w:val="24"/>
        </w:rPr>
        <w:t xml:space="preserve">При алтернативния сценарий БВП по текущи цени е по-нисък в периода </w:t>
      </w:r>
      <w:r w:rsidR="00B552D5">
        <w:rPr>
          <w:rFonts w:eastAsia="Batang"/>
          <w:szCs w:val="24"/>
        </w:rPr>
        <w:t>2023–2026 г.</w:t>
      </w:r>
      <w:r w:rsidRPr="006E52EB">
        <w:rPr>
          <w:rFonts w:eastAsia="Batang"/>
          <w:szCs w:val="24"/>
        </w:rPr>
        <w:t>, което оказва отрицателен ефект върху данъчните постъпления и съответно общите бюджетни приходи. Основен принос имат по-ниските приходи от данъка върху доходите на физическите лица, както и постъпленията от социално- и здравно-осигурителни вноски, което се дължи на по-ниското ниво на компенсация на наетите в алтернативния сценарий. Общите приходи ще се пони</w:t>
      </w:r>
      <w:r>
        <w:rPr>
          <w:rFonts w:eastAsia="Batang"/>
          <w:szCs w:val="24"/>
        </w:rPr>
        <w:t>жат спрямо базовия сценарий с 0.2% през 2023</w:t>
      </w:r>
      <w:r w:rsidR="00B552D5">
        <w:rPr>
          <w:rFonts w:eastAsia="Batang"/>
          <w:szCs w:val="24"/>
        </w:rPr>
        <w:t> г.</w:t>
      </w:r>
      <w:r>
        <w:rPr>
          <w:rFonts w:eastAsia="Batang"/>
          <w:szCs w:val="24"/>
        </w:rPr>
        <w:t xml:space="preserve"> и 0.</w:t>
      </w:r>
      <w:r w:rsidRPr="006E52EB">
        <w:rPr>
          <w:rFonts w:eastAsia="Batang"/>
          <w:szCs w:val="24"/>
        </w:rPr>
        <w:t>6% през 2024</w:t>
      </w:r>
      <w:r w:rsidR="00B552D5">
        <w:rPr>
          <w:rFonts w:eastAsia="Batang"/>
          <w:szCs w:val="24"/>
        </w:rPr>
        <w:t> г.</w:t>
      </w:r>
      <w:r w:rsidRPr="006E52EB">
        <w:rPr>
          <w:rFonts w:eastAsia="Batang"/>
          <w:szCs w:val="24"/>
        </w:rPr>
        <w:t xml:space="preserve"> В резултат от изменението на приходите и по-ниското ниво на номиналния БВП, бюджетният баланс би </w:t>
      </w:r>
      <w:r>
        <w:rPr>
          <w:rFonts w:eastAsia="Batang"/>
          <w:szCs w:val="24"/>
        </w:rPr>
        <w:t>се влошил с 0.</w:t>
      </w:r>
      <w:r w:rsidRPr="006E52EB">
        <w:rPr>
          <w:rFonts w:eastAsia="Batang"/>
          <w:szCs w:val="24"/>
        </w:rPr>
        <w:t>1</w:t>
      </w:r>
      <w:r>
        <w:rPr>
          <w:rFonts w:eastAsia="Batang"/>
          <w:szCs w:val="24"/>
        </w:rPr>
        <w:t> пр.п. през текущата година и 0.</w:t>
      </w:r>
      <w:r w:rsidRPr="006E52EB">
        <w:rPr>
          <w:rFonts w:eastAsia="Batang"/>
          <w:szCs w:val="24"/>
        </w:rPr>
        <w:t>3 пр.п. за остатъка от периода.</w:t>
      </w:r>
    </w:p>
    <w:p w14:paraId="4BE77B83" w14:textId="77777777" w:rsidR="00081704" w:rsidRDefault="00081704" w:rsidP="00081704">
      <w:pPr>
        <w:rPr>
          <w:highlight w:val="yellow"/>
        </w:rPr>
      </w:pPr>
      <w:r w:rsidRPr="006E52EB">
        <w:rPr>
          <w:rFonts w:eastAsia="Batang"/>
          <w:szCs w:val="24"/>
        </w:rPr>
        <w:t>Промяната в допусканията, по-високите бюджетни дефицити и по-ниското равнище на БВП по текущи цени ще се отрази в повишение на държавния дълг,</w:t>
      </w:r>
      <w:r>
        <w:rPr>
          <w:rFonts w:eastAsia="Batang"/>
          <w:szCs w:val="24"/>
        </w:rPr>
        <w:t xml:space="preserve"> като процент от БВП, с между 0.</w:t>
      </w:r>
      <w:r w:rsidRPr="006E52EB">
        <w:rPr>
          <w:rFonts w:eastAsia="Batang"/>
          <w:szCs w:val="24"/>
        </w:rPr>
        <w:t>2 и</w:t>
      </w:r>
      <w:r>
        <w:rPr>
          <w:rFonts w:eastAsia="Batang"/>
          <w:szCs w:val="24"/>
        </w:rPr>
        <w:t xml:space="preserve"> 1.</w:t>
      </w:r>
      <w:r w:rsidRPr="006E52EB">
        <w:rPr>
          <w:rFonts w:eastAsia="Batang"/>
          <w:szCs w:val="24"/>
        </w:rPr>
        <w:t>2 пр.п.</w:t>
      </w:r>
    </w:p>
    <w:p w14:paraId="34DCEB5D" w14:textId="0E8E8B47" w:rsidR="001C65FE" w:rsidRPr="00EE53B2" w:rsidRDefault="001C65FE" w:rsidP="0057481D">
      <w:pPr>
        <w:pStyle w:val="Heading2"/>
        <w:numPr>
          <w:ilvl w:val="1"/>
          <w:numId w:val="4"/>
        </w:numPr>
        <w:ind w:left="720" w:hanging="720"/>
      </w:pPr>
      <w:bookmarkStart w:id="104" w:name="_Toc69812287"/>
      <w:bookmarkStart w:id="105" w:name="_Toc133597279"/>
      <w:r w:rsidRPr="00EE53B2">
        <w:t>Сравнение с предходната програма</w:t>
      </w:r>
      <w:bookmarkEnd w:id="104"/>
      <w:bookmarkEnd w:id="105"/>
    </w:p>
    <w:p w14:paraId="094EFAC6" w14:textId="04BBE3B3" w:rsidR="00081704" w:rsidRDefault="00081704" w:rsidP="00081704">
      <w:pPr>
        <w:rPr>
          <w:color w:val="FF0000"/>
        </w:rPr>
      </w:pPr>
      <w:r w:rsidRPr="007339E1">
        <w:t>През 2022</w:t>
      </w:r>
      <w:r w:rsidR="00B552D5">
        <w:t> г.</w:t>
      </w:r>
      <w:r w:rsidRPr="007339E1">
        <w:t xml:space="preserve"> българската икономика нарасна с 3.4% при очакван растеж от 2.6% в предходната Конвергентна програма. По-</w:t>
      </w:r>
      <w:r w:rsidRPr="00427D6F">
        <w:t>високото нарастване се дължеше на по-</w:t>
      </w:r>
      <w:r>
        <w:t>голям</w:t>
      </w:r>
      <w:r w:rsidRPr="00427D6F">
        <w:t xml:space="preserve"> от очаквания растеж на публичното и частното потребление. Очакванията бяха, че по-слабото нарастване на реалния разполагаем доход и повишената несигурност ще доведат до по-съществено забавяне в растежа на потреб</w:t>
      </w:r>
      <w:r>
        <w:t>лението на домакинствата</w:t>
      </w:r>
      <w:r w:rsidRPr="00427D6F">
        <w:t xml:space="preserve">. </w:t>
      </w:r>
    </w:p>
    <w:p w14:paraId="35F72857" w14:textId="242DF080" w:rsidR="00081704" w:rsidRDefault="00081704" w:rsidP="00081704">
      <w:pPr>
        <w:rPr>
          <w:szCs w:val="24"/>
        </w:rPr>
      </w:pPr>
      <w:r w:rsidRPr="00500B12">
        <w:rPr>
          <w:szCs w:val="24"/>
        </w:rPr>
        <w:t>В настоящата Конвергентна програма се очаква по-нисък икономически растеж за периода 2023–2025</w:t>
      </w:r>
      <w:r w:rsidR="00B552D5">
        <w:rPr>
          <w:szCs w:val="24"/>
        </w:rPr>
        <w:t> г.</w:t>
      </w:r>
      <w:r w:rsidRPr="00500B12">
        <w:rPr>
          <w:szCs w:val="24"/>
        </w:rPr>
        <w:t xml:space="preserve"> В</w:t>
      </w:r>
      <w:r w:rsidRPr="008D0D7A">
        <w:rPr>
          <w:szCs w:val="24"/>
        </w:rPr>
        <w:t>исок</w:t>
      </w:r>
      <w:r>
        <w:rPr>
          <w:szCs w:val="24"/>
        </w:rPr>
        <w:t>ите нива на</w:t>
      </w:r>
      <w:r w:rsidRPr="008D0D7A">
        <w:rPr>
          <w:szCs w:val="24"/>
        </w:rPr>
        <w:t xml:space="preserve"> инфлация и покачването на лихвените проценти </w:t>
      </w:r>
      <w:r>
        <w:rPr>
          <w:szCs w:val="24"/>
        </w:rPr>
        <w:t>доведоха до влошаване на очакванията за растежа на икономиката на ЕС и респективно това се отрази и на прогнозите за българската икономика.</w:t>
      </w:r>
    </w:p>
    <w:p w14:paraId="65D36419" w14:textId="792B66D6" w:rsidR="00081704" w:rsidRPr="00BD710A" w:rsidRDefault="00081704" w:rsidP="00081704">
      <w:r w:rsidRPr="00BD710A">
        <w:t>Ръстът на заетостта през 2022</w:t>
      </w:r>
      <w:r w:rsidR="00B552D5">
        <w:t> г.</w:t>
      </w:r>
      <w:r w:rsidRPr="00BD710A">
        <w:t xml:space="preserve"> бе с 0</w:t>
      </w:r>
      <w:r>
        <w:t>.</w:t>
      </w:r>
      <w:r w:rsidRPr="00BD710A">
        <w:t xml:space="preserve">4 пр.п. по-нисък спрямо </w:t>
      </w:r>
      <w:r>
        <w:t>представеното</w:t>
      </w:r>
      <w:r w:rsidRPr="00BD710A">
        <w:t xml:space="preserve"> в </w:t>
      </w:r>
      <w:r>
        <w:t xml:space="preserve">предходната </w:t>
      </w:r>
      <w:r w:rsidRPr="00BD710A">
        <w:t>Конвергентна програма. Причина е в съществено по-слабото интегриране на потока от украински бежанци в българската икономика и по-ниското им участие в заетост</w:t>
      </w:r>
      <w:r>
        <w:t>та</w:t>
      </w:r>
      <w:r w:rsidRPr="00BD710A">
        <w:t xml:space="preserve">. В същото време коефициентът </w:t>
      </w:r>
      <w:r>
        <w:t>на безработица за 2022</w:t>
      </w:r>
      <w:r w:rsidR="00B552D5">
        <w:t> г.</w:t>
      </w:r>
      <w:r>
        <w:t xml:space="preserve"> е с 0.</w:t>
      </w:r>
      <w:r w:rsidRPr="00BD710A">
        <w:t>7 пр.п. по-нисък спрямо стойността на показателя в Конвергентната програма за 2022</w:t>
      </w:r>
      <w:r w:rsidR="00B552D5">
        <w:t> г.</w:t>
      </w:r>
      <w:r w:rsidRPr="00BD710A">
        <w:t xml:space="preserve"> Високото търсене на труд през 2022</w:t>
      </w:r>
      <w:r w:rsidR="00B552D5">
        <w:t> г.</w:t>
      </w:r>
      <w:r w:rsidRPr="00BD710A">
        <w:t xml:space="preserve"> в много по-висока степен бе задоволено чрез безработни лица отколкото чрез лица извън работната сила или идващи от външни трудови пазари в сравнение с предварителните очаквания.</w:t>
      </w:r>
    </w:p>
    <w:p w14:paraId="79B412C2" w14:textId="439D5782" w:rsidR="00081704" w:rsidRPr="00BD710A" w:rsidRDefault="00081704" w:rsidP="00081704">
      <w:r w:rsidRPr="00BD710A">
        <w:t xml:space="preserve">В настоящата Конвергентна програма е </w:t>
      </w:r>
      <w:r>
        <w:t>прогнозиран</w:t>
      </w:r>
      <w:r w:rsidRPr="00BD710A">
        <w:t xml:space="preserve"> по-нисък ръст на заетостта през 2023</w:t>
      </w:r>
      <w:r w:rsidR="00B552D5">
        <w:t> г.</w:t>
      </w:r>
      <w:r w:rsidRPr="00BD710A">
        <w:t>, което се дължи основно върху очаквания по-нисък ръст на българската икономика. Същото се отнася и за ръста на заетостта през 2025</w:t>
      </w:r>
      <w:r w:rsidR="00B552D5">
        <w:t> г.</w:t>
      </w:r>
      <w:r w:rsidRPr="00BD710A">
        <w:t>, където очакванията са занижени както за ръста на българската икономика като цяло, така и за заетостта в частност. За динамиката на заетостта през 2025</w:t>
      </w:r>
      <w:r w:rsidR="00B552D5">
        <w:t> г.</w:t>
      </w:r>
      <w:r w:rsidRPr="00BD710A">
        <w:t xml:space="preserve"> няма съществени разлики между двете конвергентни програми.</w:t>
      </w:r>
    </w:p>
    <w:p w14:paraId="0C408A1A" w14:textId="27E3A62B" w:rsidR="00081704" w:rsidRDefault="00081704" w:rsidP="00081704">
      <w:pPr>
        <w:rPr>
          <w:szCs w:val="24"/>
        </w:rPr>
      </w:pPr>
      <w:r w:rsidRPr="00BD710A">
        <w:t>Коефициентът на безработица за 2023</w:t>
      </w:r>
      <w:r w:rsidR="00B552D5">
        <w:t> г.</w:t>
      </w:r>
      <w:r w:rsidRPr="00BD710A">
        <w:t xml:space="preserve"> е по-нисък спрямо стойността му в предходната Конвергентна програма, като новата му стойност отразява достигнатите отчетни стойности на показателя през 2022</w:t>
      </w:r>
      <w:r w:rsidR="00B552D5">
        <w:t> г.</w:t>
      </w:r>
      <w:r w:rsidRPr="00BD710A">
        <w:t xml:space="preserve"> Същото се отнася и за </w:t>
      </w:r>
      <w:r w:rsidR="00541E16">
        <w:t>2024–2025</w:t>
      </w:r>
      <w:r w:rsidR="00B552D5">
        <w:t> г.</w:t>
      </w:r>
      <w:r w:rsidRPr="00BD710A">
        <w:t>, макар през тези години разликите в прогнозата за стойността на показателя да намаляват.</w:t>
      </w:r>
      <w:r>
        <w:rPr>
          <w:szCs w:val="24"/>
        </w:rPr>
        <w:t xml:space="preserve"> </w:t>
      </w:r>
    </w:p>
    <w:p w14:paraId="72EED3AC" w14:textId="77777777" w:rsidR="00E0689E" w:rsidRDefault="00E0689E" w:rsidP="00081704">
      <w:pPr>
        <w:rPr>
          <w:szCs w:val="24"/>
        </w:rPr>
      </w:pPr>
    </w:p>
    <w:p w14:paraId="22FEB108" w14:textId="4921ABFB" w:rsidR="00081704" w:rsidRPr="00EE53B2" w:rsidRDefault="00081704" w:rsidP="00EE53B2">
      <w:pPr>
        <w:pStyle w:val="Caption"/>
      </w:pPr>
      <w:r w:rsidRPr="00EE53B2">
        <w:lastRenderedPageBreak/>
        <w:t xml:space="preserve">Табл. 4-3: </w:t>
      </w:r>
      <w:r w:rsidR="00EE53B2">
        <w:tab/>
      </w:r>
      <w:r w:rsidRPr="00EE53B2">
        <w:t>Основни макроикономически показатели</w:t>
      </w:r>
    </w:p>
    <w:tbl>
      <w:tblPr>
        <w:tblW w:w="5558" w:type="pct"/>
        <w:jc w:val="center"/>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ayout w:type="fixed"/>
        <w:tblCellMar>
          <w:left w:w="70" w:type="dxa"/>
          <w:right w:w="70" w:type="dxa"/>
        </w:tblCellMar>
        <w:tblLook w:val="04A0" w:firstRow="1" w:lastRow="0" w:firstColumn="1" w:lastColumn="0" w:noHBand="0" w:noVBand="1"/>
      </w:tblPr>
      <w:tblGrid>
        <w:gridCol w:w="1630"/>
        <w:gridCol w:w="695"/>
        <w:gridCol w:w="695"/>
        <w:gridCol w:w="846"/>
        <w:gridCol w:w="544"/>
        <w:gridCol w:w="695"/>
        <w:gridCol w:w="831"/>
        <w:gridCol w:w="560"/>
        <w:gridCol w:w="695"/>
        <w:gridCol w:w="815"/>
        <w:gridCol w:w="575"/>
        <w:gridCol w:w="695"/>
        <w:gridCol w:w="800"/>
      </w:tblGrid>
      <w:tr w:rsidR="00081704" w:rsidRPr="00213A47" w14:paraId="447ED4C6" w14:textId="77777777" w:rsidTr="00213A47">
        <w:trPr>
          <w:trHeight w:val="315"/>
          <w:jc w:val="center"/>
        </w:trPr>
        <w:tc>
          <w:tcPr>
            <w:tcW w:w="1631" w:type="dxa"/>
            <w:vMerge w:val="restart"/>
            <w:shd w:val="clear" w:color="auto" w:fill="D8EDFC"/>
            <w:vAlign w:val="center"/>
            <w:hideMark/>
          </w:tcPr>
          <w:p w14:paraId="1FDA527B" w14:textId="77777777" w:rsidR="00081704" w:rsidRPr="00213A47" w:rsidRDefault="00081704" w:rsidP="00777E7B">
            <w:pPr>
              <w:rPr>
                <w:rFonts w:asciiTheme="minorHAnsi" w:hAnsiTheme="minorHAnsi" w:cstheme="minorHAnsi"/>
                <w:noProof/>
                <w:w w:val="90"/>
                <w:sz w:val="20"/>
                <w:szCs w:val="20"/>
              </w:rPr>
            </w:pPr>
          </w:p>
        </w:tc>
        <w:tc>
          <w:tcPr>
            <w:tcW w:w="2236" w:type="dxa"/>
            <w:gridSpan w:val="3"/>
            <w:shd w:val="clear" w:color="auto" w:fill="D8EDFC"/>
            <w:noWrap/>
            <w:vAlign w:val="center"/>
            <w:hideMark/>
          </w:tcPr>
          <w:p w14:paraId="159AF29B" w14:textId="77777777" w:rsidR="00081704" w:rsidRPr="00213A47" w:rsidRDefault="00081704" w:rsidP="00777E7B">
            <w:pPr>
              <w:keepLines/>
              <w:spacing w:after="0"/>
              <w:jc w:val="center"/>
              <w:rPr>
                <w:rFonts w:asciiTheme="minorHAnsi" w:eastAsia="Times New Roman" w:hAnsiTheme="minorHAnsi" w:cstheme="minorHAnsi"/>
                <w:b/>
                <w:bCs/>
                <w:w w:val="90"/>
                <w:sz w:val="20"/>
                <w:szCs w:val="20"/>
              </w:rPr>
            </w:pPr>
            <w:r w:rsidRPr="00213A47">
              <w:rPr>
                <w:rFonts w:asciiTheme="minorHAnsi" w:eastAsia="Times New Roman" w:hAnsiTheme="minorHAnsi" w:cstheme="minorHAnsi"/>
                <w:b/>
                <w:bCs/>
                <w:w w:val="90"/>
                <w:sz w:val="20"/>
                <w:szCs w:val="20"/>
              </w:rPr>
              <w:t>20</w:t>
            </w:r>
            <w:r w:rsidRPr="00213A47">
              <w:rPr>
                <w:rFonts w:asciiTheme="minorHAnsi" w:eastAsia="Times New Roman" w:hAnsiTheme="minorHAnsi" w:cstheme="minorHAnsi"/>
                <w:b/>
                <w:bCs/>
                <w:w w:val="90"/>
                <w:sz w:val="20"/>
                <w:szCs w:val="20"/>
                <w:lang w:val="en-US"/>
              </w:rPr>
              <w:t>2</w:t>
            </w:r>
            <w:r w:rsidRPr="00213A47">
              <w:rPr>
                <w:rFonts w:asciiTheme="minorHAnsi" w:eastAsia="Times New Roman" w:hAnsiTheme="minorHAnsi" w:cstheme="minorHAnsi"/>
                <w:b/>
                <w:bCs/>
                <w:w w:val="90"/>
                <w:sz w:val="20"/>
                <w:szCs w:val="20"/>
              </w:rPr>
              <w:t>2</w:t>
            </w:r>
          </w:p>
        </w:tc>
        <w:tc>
          <w:tcPr>
            <w:tcW w:w="2070" w:type="dxa"/>
            <w:gridSpan w:val="3"/>
            <w:shd w:val="clear" w:color="auto" w:fill="D8EDFC"/>
            <w:noWrap/>
            <w:vAlign w:val="center"/>
            <w:hideMark/>
          </w:tcPr>
          <w:p w14:paraId="7459E771" w14:textId="77777777" w:rsidR="00081704" w:rsidRPr="00213A47" w:rsidRDefault="00081704" w:rsidP="00777E7B">
            <w:pPr>
              <w:keepLines/>
              <w:spacing w:after="0"/>
              <w:jc w:val="center"/>
              <w:rPr>
                <w:rFonts w:asciiTheme="minorHAnsi" w:eastAsia="Times New Roman" w:hAnsiTheme="minorHAnsi" w:cstheme="minorHAnsi"/>
                <w:b/>
                <w:bCs/>
                <w:w w:val="90"/>
                <w:sz w:val="20"/>
                <w:szCs w:val="20"/>
              </w:rPr>
            </w:pPr>
            <w:r w:rsidRPr="00213A47">
              <w:rPr>
                <w:rFonts w:asciiTheme="minorHAnsi" w:eastAsia="Times New Roman" w:hAnsiTheme="minorHAnsi" w:cstheme="minorHAnsi"/>
                <w:b/>
                <w:bCs/>
                <w:w w:val="90"/>
                <w:sz w:val="20"/>
                <w:szCs w:val="20"/>
              </w:rPr>
              <w:t>20</w:t>
            </w:r>
            <w:r w:rsidRPr="00213A47">
              <w:rPr>
                <w:rFonts w:asciiTheme="minorHAnsi" w:eastAsia="Times New Roman" w:hAnsiTheme="minorHAnsi" w:cstheme="minorHAnsi"/>
                <w:b/>
                <w:bCs/>
                <w:w w:val="90"/>
                <w:sz w:val="20"/>
                <w:szCs w:val="20"/>
                <w:lang w:val="en-US"/>
              </w:rPr>
              <w:t>2</w:t>
            </w:r>
            <w:r w:rsidRPr="00213A47">
              <w:rPr>
                <w:rFonts w:asciiTheme="minorHAnsi" w:eastAsia="Times New Roman" w:hAnsiTheme="minorHAnsi" w:cstheme="minorHAnsi"/>
                <w:b/>
                <w:bCs/>
                <w:w w:val="90"/>
                <w:sz w:val="20"/>
                <w:szCs w:val="20"/>
              </w:rPr>
              <w:t>3</w:t>
            </w:r>
          </w:p>
        </w:tc>
        <w:tc>
          <w:tcPr>
            <w:tcW w:w="2070" w:type="dxa"/>
            <w:gridSpan w:val="3"/>
            <w:shd w:val="clear" w:color="auto" w:fill="D8EDFC"/>
            <w:noWrap/>
            <w:vAlign w:val="center"/>
            <w:hideMark/>
          </w:tcPr>
          <w:p w14:paraId="3810D0AA" w14:textId="77777777" w:rsidR="00081704" w:rsidRPr="00213A47" w:rsidRDefault="00081704" w:rsidP="00777E7B">
            <w:pPr>
              <w:keepLines/>
              <w:spacing w:after="0"/>
              <w:jc w:val="center"/>
              <w:rPr>
                <w:rFonts w:asciiTheme="minorHAnsi" w:eastAsia="Times New Roman" w:hAnsiTheme="minorHAnsi" w:cstheme="minorHAnsi"/>
                <w:b/>
                <w:bCs/>
                <w:w w:val="90"/>
                <w:sz w:val="20"/>
                <w:szCs w:val="20"/>
              </w:rPr>
            </w:pPr>
            <w:r w:rsidRPr="00213A47">
              <w:rPr>
                <w:rFonts w:asciiTheme="minorHAnsi" w:eastAsia="Times New Roman" w:hAnsiTheme="minorHAnsi" w:cstheme="minorHAnsi"/>
                <w:b/>
                <w:bCs/>
                <w:w w:val="90"/>
                <w:sz w:val="20"/>
                <w:szCs w:val="20"/>
              </w:rPr>
              <w:t>2024</w:t>
            </w:r>
          </w:p>
        </w:tc>
        <w:tc>
          <w:tcPr>
            <w:tcW w:w="2070" w:type="dxa"/>
            <w:gridSpan w:val="3"/>
            <w:shd w:val="clear" w:color="auto" w:fill="D8EDFC"/>
            <w:noWrap/>
            <w:vAlign w:val="center"/>
            <w:hideMark/>
          </w:tcPr>
          <w:p w14:paraId="7821D1E9" w14:textId="77777777" w:rsidR="00081704" w:rsidRPr="00213A47" w:rsidRDefault="00081704" w:rsidP="00777E7B">
            <w:pPr>
              <w:keepLines/>
              <w:spacing w:after="0"/>
              <w:jc w:val="center"/>
              <w:rPr>
                <w:rFonts w:asciiTheme="minorHAnsi" w:eastAsia="Times New Roman" w:hAnsiTheme="minorHAnsi" w:cstheme="minorHAnsi"/>
                <w:b/>
                <w:bCs/>
                <w:w w:val="90"/>
                <w:sz w:val="20"/>
                <w:szCs w:val="20"/>
              </w:rPr>
            </w:pPr>
            <w:r w:rsidRPr="00213A47">
              <w:rPr>
                <w:rFonts w:asciiTheme="minorHAnsi" w:eastAsia="Times New Roman" w:hAnsiTheme="minorHAnsi" w:cstheme="minorHAnsi"/>
                <w:b/>
                <w:bCs/>
                <w:w w:val="90"/>
                <w:sz w:val="20"/>
                <w:szCs w:val="20"/>
              </w:rPr>
              <w:t>2025</w:t>
            </w:r>
          </w:p>
        </w:tc>
      </w:tr>
      <w:tr w:rsidR="00081704" w:rsidRPr="00213A47" w14:paraId="43864AAD" w14:textId="77777777" w:rsidTr="00213A47">
        <w:trPr>
          <w:trHeight w:val="315"/>
          <w:jc w:val="center"/>
        </w:trPr>
        <w:tc>
          <w:tcPr>
            <w:tcW w:w="1631" w:type="dxa"/>
            <w:vMerge/>
            <w:shd w:val="clear" w:color="auto" w:fill="D8EDFC"/>
            <w:vAlign w:val="center"/>
            <w:hideMark/>
          </w:tcPr>
          <w:p w14:paraId="50B596F5" w14:textId="77777777" w:rsidR="00081704" w:rsidRPr="00213A47" w:rsidRDefault="00081704" w:rsidP="00777E7B">
            <w:pPr>
              <w:spacing w:after="0"/>
              <w:rPr>
                <w:rFonts w:asciiTheme="minorHAnsi" w:hAnsiTheme="minorHAnsi" w:cstheme="minorHAnsi"/>
                <w:noProof/>
                <w:w w:val="90"/>
                <w:sz w:val="20"/>
                <w:szCs w:val="20"/>
              </w:rPr>
            </w:pPr>
          </w:p>
        </w:tc>
        <w:tc>
          <w:tcPr>
            <w:tcW w:w="695" w:type="dxa"/>
            <w:shd w:val="clear" w:color="auto" w:fill="D8EDFC"/>
            <w:noWrap/>
            <w:hideMark/>
          </w:tcPr>
          <w:p w14:paraId="616D057A"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КП 2023</w:t>
            </w:r>
          </w:p>
        </w:tc>
        <w:tc>
          <w:tcPr>
            <w:tcW w:w="695" w:type="dxa"/>
            <w:shd w:val="clear" w:color="auto" w:fill="D8EDFC"/>
            <w:noWrap/>
            <w:hideMark/>
          </w:tcPr>
          <w:p w14:paraId="2E77F64F"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КП 2022</w:t>
            </w:r>
          </w:p>
        </w:tc>
        <w:tc>
          <w:tcPr>
            <w:tcW w:w="846" w:type="dxa"/>
            <w:shd w:val="clear" w:color="auto" w:fill="D8EDFC"/>
            <w:noWrap/>
            <w:hideMark/>
          </w:tcPr>
          <w:p w14:paraId="4B30F822"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Разлика, пр.п.</w:t>
            </w:r>
          </w:p>
        </w:tc>
        <w:tc>
          <w:tcPr>
            <w:tcW w:w="544" w:type="dxa"/>
            <w:shd w:val="clear" w:color="auto" w:fill="D8EDFC"/>
            <w:noWrap/>
            <w:hideMark/>
          </w:tcPr>
          <w:p w14:paraId="30AC1C79"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КП 2023</w:t>
            </w:r>
          </w:p>
        </w:tc>
        <w:tc>
          <w:tcPr>
            <w:tcW w:w="695" w:type="dxa"/>
            <w:shd w:val="clear" w:color="auto" w:fill="D8EDFC"/>
            <w:noWrap/>
            <w:hideMark/>
          </w:tcPr>
          <w:p w14:paraId="55CD2BEB"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КП 2022</w:t>
            </w:r>
          </w:p>
        </w:tc>
        <w:tc>
          <w:tcPr>
            <w:tcW w:w="831" w:type="dxa"/>
            <w:shd w:val="clear" w:color="auto" w:fill="D8EDFC"/>
            <w:noWrap/>
            <w:hideMark/>
          </w:tcPr>
          <w:p w14:paraId="3B1AA7AB"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Разлика, пр.п.</w:t>
            </w:r>
          </w:p>
        </w:tc>
        <w:tc>
          <w:tcPr>
            <w:tcW w:w="560" w:type="dxa"/>
            <w:shd w:val="clear" w:color="auto" w:fill="D8EDFC"/>
            <w:noWrap/>
            <w:hideMark/>
          </w:tcPr>
          <w:p w14:paraId="089F2809"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КП 2023</w:t>
            </w:r>
          </w:p>
        </w:tc>
        <w:tc>
          <w:tcPr>
            <w:tcW w:w="695" w:type="dxa"/>
            <w:shd w:val="clear" w:color="auto" w:fill="D8EDFC"/>
            <w:noWrap/>
            <w:hideMark/>
          </w:tcPr>
          <w:p w14:paraId="5CCF9DBC"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КП 2022</w:t>
            </w:r>
          </w:p>
        </w:tc>
        <w:tc>
          <w:tcPr>
            <w:tcW w:w="815" w:type="dxa"/>
            <w:shd w:val="clear" w:color="auto" w:fill="D8EDFC"/>
            <w:noWrap/>
            <w:hideMark/>
          </w:tcPr>
          <w:p w14:paraId="23E3258B"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Разлика, пр.п.</w:t>
            </w:r>
          </w:p>
        </w:tc>
        <w:tc>
          <w:tcPr>
            <w:tcW w:w="575" w:type="dxa"/>
            <w:shd w:val="clear" w:color="auto" w:fill="D8EDFC"/>
            <w:noWrap/>
            <w:hideMark/>
          </w:tcPr>
          <w:p w14:paraId="5C23FCB8"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КП 2023</w:t>
            </w:r>
          </w:p>
        </w:tc>
        <w:tc>
          <w:tcPr>
            <w:tcW w:w="695" w:type="dxa"/>
            <w:shd w:val="clear" w:color="auto" w:fill="D8EDFC"/>
            <w:noWrap/>
            <w:hideMark/>
          </w:tcPr>
          <w:p w14:paraId="6BA2F3A9"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КП 2022</w:t>
            </w:r>
          </w:p>
        </w:tc>
        <w:tc>
          <w:tcPr>
            <w:tcW w:w="800" w:type="dxa"/>
            <w:shd w:val="clear" w:color="auto" w:fill="D8EDFC"/>
            <w:noWrap/>
            <w:hideMark/>
          </w:tcPr>
          <w:p w14:paraId="656A8BE9" w14:textId="77777777" w:rsidR="00081704" w:rsidRPr="00213A47" w:rsidRDefault="00081704" w:rsidP="00213A47">
            <w:pPr>
              <w:jc w:val="center"/>
              <w:rPr>
                <w:rFonts w:asciiTheme="minorHAnsi" w:hAnsiTheme="minorHAnsi" w:cstheme="minorHAnsi"/>
                <w:w w:val="90"/>
                <w:sz w:val="20"/>
                <w:szCs w:val="20"/>
              </w:rPr>
            </w:pPr>
            <w:r w:rsidRPr="00213A47">
              <w:rPr>
                <w:rFonts w:asciiTheme="minorHAnsi" w:hAnsiTheme="minorHAnsi" w:cstheme="minorHAnsi"/>
                <w:w w:val="90"/>
                <w:sz w:val="20"/>
                <w:szCs w:val="20"/>
              </w:rPr>
              <w:t>Разлика, пр.п.</w:t>
            </w:r>
          </w:p>
        </w:tc>
      </w:tr>
      <w:tr w:rsidR="00081704" w:rsidRPr="00213A47" w14:paraId="234AF357" w14:textId="77777777" w:rsidTr="00213A47">
        <w:trPr>
          <w:trHeight w:val="300"/>
          <w:jc w:val="center"/>
        </w:trPr>
        <w:tc>
          <w:tcPr>
            <w:tcW w:w="1631" w:type="dxa"/>
            <w:noWrap/>
            <w:vAlign w:val="center"/>
            <w:hideMark/>
          </w:tcPr>
          <w:p w14:paraId="11EBB14E" w14:textId="38B2FACB" w:rsidR="00081704" w:rsidRPr="00213A47" w:rsidRDefault="00081704" w:rsidP="00213A47">
            <w:pPr>
              <w:keepLines/>
              <w:spacing w:before="40" w:afterLines="40" w:after="96" w:line="192" w:lineRule="auto"/>
              <w:jc w:val="left"/>
              <w:rPr>
                <w:rFonts w:asciiTheme="minorHAnsi" w:eastAsia="Times New Roman" w:hAnsiTheme="minorHAnsi" w:cstheme="minorHAnsi"/>
                <w:w w:val="90"/>
                <w:sz w:val="20"/>
                <w:szCs w:val="20"/>
              </w:rPr>
            </w:pPr>
            <w:r w:rsidRPr="00213A47">
              <w:rPr>
                <w:rFonts w:asciiTheme="minorHAnsi" w:eastAsia="Times New Roman" w:hAnsiTheme="minorHAnsi" w:cstheme="minorHAnsi"/>
                <w:w w:val="90"/>
                <w:sz w:val="20"/>
                <w:szCs w:val="20"/>
              </w:rPr>
              <w:t xml:space="preserve">БВП, реален </w:t>
            </w:r>
            <w:r w:rsidR="00213A47">
              <w:rPr>
                <w:rFonts w:asciiTheme="minorHAnsi" w:eastAsia="Times New Roman" w:hAnsiTheme="minorHAnsi" w:cstheme="minorHAnsi"/>
                <w:w w:val="90"/>
                <w:sz w:val="20"/>
                <w:szCs w:val="20"/>
              </w:rPr>
              <w:br/>
            </w:r>
            <w:r w:rsidRPr="00213A47">
              <w:rPr>
                <w:rFonts w:asciiTheme="minorHAnsi" w:eastAsia="Times New Roman" w:hAnsiTheme="minorHAnsi" w:cstheme="minorHAnsi"/>
                <w:w w:val="90"/>
                <w:sz w:val="20"/>
                <w:szCs w:val="20"/>
              </w:rPr>
              <w:t>растеж, вкл</w:t>
            </w:r>
            <w:r w:rsidR="00781CA8">
              <w:rPr>
                <w:rFonts w:asciiTheme="minorHAnsi" w:eastAsia="Times New Roman" w:hAnsiTheme="minorHAnsi" w:cstheme="minorHAnsi"/>
                <w:w w:val="90"/>
                <w:sz w:val="20"/>
                <w:szCs w:val="20"/>
              </w:rPr>
              <w:t>.</w:t>
            </w:r>
            <w:r w:rsidRPr="00213A47">
              <w:rPr>
                <w:rFonts w:asciiTheme="minorHAnsi" w:eastAsia="Times New Roman" w:hAnsiTheme="minorHAnsi" w:cstheme="minorHAnsi"/>
                <w:w w:val="90"/>
                <w:sz w:val="20"/>
                <w:szCs w:val="20"/>
              </w:rPr>
              <w:t>:</w:t>
            </w:r>
          </w:p>
        </w:tc>
        <w:tc>
          <w:tcPr>
            <w:tcW w:w="695" w:type="dxa"/>
            <w:noWrap/>
            <w:vAlign w:val="center"/>
            <w:hideMark/>
          </w:tcPr>
          <w:p w14:paraId="19FDCABD"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3.4</w:t>
            </w:r>
          </w:p>
        </w:tc>
        <w:tc>
          <w:tcPr>
            <w:tcW w:w="695" w:type="dxa"/>
            <w:noWrap/>
            <w:vAlign w:val="center"/>
            <w:hideMark/>
          </w:tcPr>
          <w:p w14:paraId="3857807D"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2.6</w:t>
            </w:r>
          </w:p>
        </w:tc>
        <w:tc>
          <w:tcPr>
            <w:tcW w:w="846" w:type="dxa"/>
            <w:noWrap/>
            <w:vAlign w:val="center"/>
            <w:hideMark/>
          </w:tcPr>
          <w:p w14:paraId="0FE90E5C"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0.8</w:t>
            </w:r>
          </w:p>
        </w:tc>
        <w:tc>
          <w:tcPr>
            <w:tcW w:w="544" w:type="dxa"/>
            <w:noWrap/>
            <w:vAlign w:val="center"/>
            <w:hideMark/>
          </w:tcPr>
          <w:p w14:paraId="7AD895D1"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1.8</w:t>
            </w:r>
          </w:p>
        </w:tc>
        <w:tc>
          <w:tcPr>
            <w:tcW w:w="695" w:type="dxa"/>
            <w:noWrap/>
            <w:vAlign w:val="center"/>
            <w:hideMark/>
          </w:tcPr>
          <w:p w14:paraId="61F86E2E"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2.8</w:t>
            </w:r>
          </w:p>
        </w:tc>
        <w:tc>
          <w:tcPr>
            <w:tcW w:w="831" w:type="dxa"/>
            <w:noWrap/>
            <w:vAlign w:val="center"/>
            <w:hideMark/>
          </w:tcPr>
          <w:p w14:paraId="12A7D346"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-1.0</w:t>
            </w:r>
          </w:p>
        </w:tc>
        <w:tc>
          <w:tcPr>
            <w:tcW w:w="560" w:type="dxa"/>
            <w:noWrap/>
            <w:vAlign w:val="center"/>
            <w:hideMark/>
          </w:tcPr>
          <w:p w14:paraId="4B60E1DF"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3.3</w:t>
            </w:r>
          </w:p>
        </w:tc>
        <w:tc>
          <w:tcPr>
            <w:tcW w:w="695" w:type="dxa"/>
            <w:noWrap/>
            <w:vAlign w:val="center"/>
            <w:hideMark/>
          </w:tcPr>
          <w:p w14:paraId="5EC5FFC0"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3.6</w:t>
            </w:r>
          </w:p>
        </w:tc>
        <w:tc>
          <w:tcPr>
            <w:tcW w:w="815" w:type="dxa"/>
            <w:noWrap/>
            <w:vAlign w:val="center"/>
            <w:hideMark/>
          </w:tcPr>
          <w:p w14:paraId="6CF15D7C"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-0.3</w:t>
            </w:r>
          </w:p>
        </w:tc>
        <w:tc>
          <w:tcPr>
            <w:tcW w:w="575" w:type="dxa"/>
            <w:noWrap/>
            <w:vAlign w:val="center"/>
            <w:hideMark/>
          </w:tcPr>
          <w:p w14:paraId="029C5E1A"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3.2</w:t>
            </w:r>
          </w:p>
        </w:tc>
        <w:tc>
          <w:tcPr>
            <w:tcW w:w="695" w:type="dxa"/>
            <w:noWrap/>
            <w:vAlign w:val="center"/>
            <w:hideMark/>
          </w:tcPr>
          <w:p w14:paraId="43D2CF41"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3.4</w:t>
            </w:r>
          </w:p>
        </w:tc>
        <w:tc>
          <w:tcPr>
            <w:tcW w:w="800" w:type="dxa"/>
            <w:noWrap/>
            <w:vAlign w:val="center"/>
            <w:hideMark/>
          </w:tcPr>
          <w:p w14:paraId="0965D938"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-0.2</w:t>
            </w:r>
          </w:p>
        </w:tc>
      </w:tr>
      <w:tr w:rsidR="00081704" w:rsidRPr="00213A47" w14:paraId="38085EBD" w14:textId="77777777" w:rsidTr="00213A47">
        <w:trPr>
          <w:trHeight w:val="300"/>
          <w:jc w:val="center"/>
        </w:trPr>
        <w:tc>
          <w:tcPr>
            <w:tcW w:w="1631" w:type="dxa"/>
            <w:noWrap/>
            <w:vAlign w:val="center"/>
            <w:hideMark/>
          </w:tcPr>
          <w:p w14:paraId="0D661AB7" w14:textId="77BEDFA7" w:rsidR="00081704" w:rsidRPr="00213A47" w:rsidRDefault="00081704" w:rsidP="00213A47">
            <w:pPr>
              <w:keepLines/>
              <w:spacing w:before="40" w:afterLines="40" w:after="96" w:line="192" w:lineRule="auto"/>
              <w:jc w:val="left"/>
              <w:rPr>
                <w:rFonts w:asciiTheme="minorHAnsi" w:eastAsia="Times New Roman" w:hAnsiTheme="minorHAnsi" w:cstheme="minorHAnsi"/>
                <w:w w:val="90"/>
                <w:sz w:val="20"/>
                <w:szCs w:val="20"/>
              </w:rPr>
            </w:pPr>
            <w:r w:rsidRPr="00213A47">
              <w:rPr>
                <w:rFonts w:asciiTheme="minorHAnsi" w:eastAsia="Times New Roman" w:hAnsiTheme="minorHAnsi" w:cstheme="minorHAnsi"/>
                <w:w w:val="90"/>
                <w:sz w:val="20"/>
                <w:szCs w:val="20"/>
              </w:rPr>
              <w:t xml:space="preserve">Крайно </w:t>
            </w:r>
            <w:r w:rsidR="00213A47">
              <w:rPr>
                <w:rFonts w:asciiTheme="minorHAnsi" w:eastAsia="Times New Roman" w:hAnsiTheme="minorHAnsi" w:cstheme="minorHAnsi"/>
                <w:w w:val="90"/>
                <w:sz w:val="20"/>
                <w:szCs w:val="20"/>
              </w:rPr>
              <w:br/>
            </w:r>
            <w:r w:rsidRPr="00213A47">
              <w:rPr>
                <w:rFonts w:asciiTheme="minorHAnsi" w:eastAsia="Times New Roman" w:hAnsiTheme="minorHAnsi" w:cstheme="minorHAnsi"/>
                <w:w w:val="90"/>
                <w:sz w:val="20"/>
                <w:szCs w:val="20"/>
              </w:rPr>
              <w:t>потребление</w:t>
            </w:r>
          </w:p>
        </w:tc>
        <w:tc>
          <w:tcPr>
            <w:tcW w:w="695" w:type="dxa"/>
            <w:noWrap/>
            <w:vAlign w:val="center"/>
            <w:hideMark/>
          </w:tcPr>
          <w:p w14:paraId="211B843F"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5.2</w:t>
            </w:r>
          </w:p>
        </w:tc>
        <w:tc>
          <w:tcPr>
            <w:tcW w:w="695" w:type="dxa"/>
            <w:noWrap/>
            <w:vAlign w:val="center"/>
            <w:hideMark/>
          </w:tcPr>
          <w:p w14:paraId="37AD2D58"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2.6</w:t>
            </w:r>
          </w:p>
        </w:tc>
        <w:tc>
          <w:tcPr>
            <w:tcW w:w="846" w:type="dxa"/>
            <w:noWrap/>
            <w:vAlign w:val="center"/>
            <w:hideMark/>
          </w:tcPr>
          <w:p w14:paraId="09B15540"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2.6</w:t>
            </w:r>
          </w:p>
        </w:tc>
        <w:tc>
          <w:tcPr>
            <w:tcW w:w="544" w:type="dxa"/>
            <w:noWrap/>
            <w:vAlign w:val="center"/>
            <w:hideMark/>
          </w:tcPr>
          <w:p w14:paraId="73202847"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3.0</w:t>
            </w:r>
          </w:p>
        </w:tc>
        <w:tc>
          <w:tcPr>
            <w:tcW w:w="695" w:type="dxa"/>
            <w:noWrap/>
            <w:vAlign w:val="center"/>
            <w:hideMark/>
          </w:tcPr>
          <w:p w14:paraId="33B61631"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3.3</w:t>
            </w:r>
          </w:p>
        </w:tc>
        <w:tc>
          <w:tcPr>
            <w:tcW w:w="831" w:type="dxa"/>
            <w:noWrap/>
            <w:vAlign w:val="center"/>
            <w:hideMark/>
          </w:tcPr>
          <w:p w14:paraId="6B7E2CF1"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-0.4</w:t>
            </w:r>
          </w:p>
        </w:tc>
        <w:tc>
          <w:tcPr>
            <w:tcW w:w="560" w:type="dxa"/>
            <w:noWrap/>
            <w:vAlign w:val="center"/>
            <w:hideMark/>
          </w:tcPr>
          <w:p w14:paraId="628EFCE7"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3.3</w:t>
            </w:r>
          </w:p>
        </w:tc>
        <w:tc>
          <w:tcPr>
            <w:tcW w:w="695" w:type="dxa"/>
            <w:noWrap/>
            <w:vAlign w:val="center"/>
            <w:hideMark/>
          </w:tcPr>
          <w:p w14:paraId="228924BA"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3.6</w:t>
            </w:r>
          </w:p>
        </w:tc>
        <w:tc>
          <w:tcPr>
            <w:tcW w:w="815" w:type="dxa"/>
            <w:noWrap/>
            <w:vAlign w:val="center"/>
            <w:hideMark/>
          </w:tcPr>
          <w:p w14:paraId="0252C240"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-0.4</w:t>
            </w:r>
          </w:p>
        </w:tc>
        <w:tc>
          <w:tcPr>
            <w:tcW w:w="575" w:type="dxa"/>
            <w:noWrap/>
            <w:vAlign w:val="center"/>
            <w:hideMark/>
          </w:tcPr>
          <w:p w14:paraId="3BF2BA16"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3.3</w:t>
            </w:r>
          </w:p>
        </w:tc>
        <w:tc>
          <w:tcPr>
            <w:tcW w:w="695" w:type="dxa"/>
            <w:noWrap/>
            <w:vAlign w:val="center"/>
            <w:hideMark/>
          </w:tcPr>
          <w:p w14:paraId="69D9B79B"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3.7</w:t>
            </w:r>
          </w:p>
        </w:tc>
        <w:tc>
          <w:tcPr>
            <w:tcW w:w="800" w:type="dxa"/>
            <w:noWrap/>
            <w:vAlign w:val="center"/>
            <w:hideMark/>
          </w:tcPr>
          <w:p w14:paraId="6065AF71"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-0.4</w:t>
            </w:r>
          </w:p>
        </w:tc>
      </w:tr>
      <w:tr w:rsidR="00081704" w:rsidRPr="00213A47" w14:paraId="70568882" w14:textId="77777777" w:rsidTr="00213A47">
        <w:trPr>
          <w:trHeight w:val="300"/>
          <w:jc w:val="center"/>
        </w:trPr>
        <w:tc>
          <w:tcPr>
            <w:tcW w:w="1631" w:type="dxa"/>
            <w:noWrap/>
            <w:vAlign w:val="center"/>
            <w:hideMark/>
          </w:tcPr>
          <w:p w14:paraId="34274696" w14:textId="166F079C" w:rsidR="00081704" w:rsidRPr="00213A47" w:rsidRDefault="00081704" w:rsidP="00213A47">
            <w:pPr>
              <w:keepLines/>
              <w:spacing w:before="40" w:afterLines="40" w:after="96" w:line="192" w:lineRule="auto"/>
              <w:ind w:left="113"/>
              <w:jc w:val="left"/>
              <w:rPr>
                <w:rFonts w:asciiTheme="minorHAnsi" w:eastAsia="Times New Roman" w:hAnsiTheme="minorHAnsi" w:cstheme="minorHAnsi"/>
                <w:w w:val="90"/>
                <w:sz w:val="20"/>
                <w:szCs w:val="20"/>
              </w:rPr>
            </w:pPr>
            <w:r w:rsidRPr="00213A47">
              <w:rPr>
                <w:rFonts w:asciiTheme="minorHAnsi" w:eastAsia="Times New Roman" w:hAnsiTheme="minorHAnsi" w:cstheme="minorHAnsi"/>
                <w:w w:val="90"/>
                <w:sz w:val="20"/>
                <w:szCs w:val="20"/>
              </w:rPr>
              <w:t xml:space="preserve">Бруто образуване на основен </w:t>
            </w:r>
            <w:r w:rsidR="00213A47">
              <w:rPr>
                <w:rFonts w:asciiTheme="minorHAnsi" w:eastAsia="Times New Roman" w:hAnsiTheme="minorHAnsi" w:cstheme="minorHAnsi"/>
                <w:w w:val="90"/>
                <w:sz w:val="20"/>
                <w:szCs w:val="20"/>
              </w:rPr>
              <w:br/>
            </w:r>
            <w:r w:rsidRPr="00213A47">
              <w:rPr>
                <w:rFonts w:asciiTheme="minorHAnsi" w:eastAsia="Times New Roman" w:hAnsiTheme="minorHAnsi" w:cstheme="minorHAnsi"/>
                <w:w w:val="90"/>
                <w:sz w:val="20"/>
                <w:szCs w:val="20"/>
              </w:rPr>
              <w:t>капитал</w:t>
            </w:r>
          </w:p>
        </w:tc>
        <w:tc>
          <w:tcPr>
            <w:tcW w:w="695" w:type="dxa"/>
            <w:noWrap/>
            <w:vAlign w:val="center"/>
            <w:hideMark/>
          </w:tcPr>
          <w:p w14:paraId="61CBBEBC"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-4.3</w:t>
            </w:r>
          </w:p>
        </w:tc>
        <w:tc>
          <w:tcPr>
            <w:tcW w:w="695" w:type="dxa"/>
            <w:noWrap/>
            <w:vAlign w:val="center"/>
            <w:hideMark/>
          </w:tcPr>
          <w:p w14:paraId="60610EC2"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7.6</w:t>
            </w:r>
          </w:p>
        </w:tc>
        <w:tc>
          <w:tcPr>
            <w:tcW w:w="846" w:type="dxa"/>
            <w:noWrap/>
            <w:vAlign w:val="center"/>
            <w:hideMark/>
          </w:tcPr>
          <w:p w14:paraId="068007DD"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-11.9</w:t>
            </w:r>
          </w:p>
        </w:tc>
        <w:tc>
          <w:tcPr>
            <w:tcW w:w="544" w:type="dxa"/>
            <w:noWrap/>
            <w:vAlign w:val="center"/>
            <w:hideMark/>
          </w:tcPr>
          <w:p w14:paraId="78BA6586"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6.3</w:t>
            </w:r>
          </w:p>
        </w:tc>
        <w:tc>
          <w:tcPr>
            <w:tcW w:w="695" w:type="dxa"/>
            <w:noWrap/>
            <w:vAlign w:val="center"/>
            <w:hideMark/>
          </w:tcPr>
          <w:p w14:paraId="21D5C762"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9.0</w:t>
            </w:r>
          </w:p>
        </w:tc>
        <w:tc>
          <w:tcPr>
            <w:tcW w:w="831" w:type="dxa"/>
            <w:noWrap/>
            <w:vAlign w:val="center"/>
            <w:hideMark/>
          </w:tcPr>
          <w:p w14:paraId="214EBE44"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-2.7</w:t>
            </w:r>
          </w:p>
        </w:tc>
        <w:tc>
          <w:tcPr>
            <w:tcW w:w="560" w:type="dxa"/>
            <w:noWrap/>
            <w:vAlign w:val="center"/>
            <w:hideMark/>
          </w:tcPr>
          <w:p w14:paraId="64E5EB00"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12.6</w:t>
            </w:r>
          </w:p>
        </w:tc>
        <w:tc>
          <w:tcPr>
            <w:tcW w:w="695" w:type="dxa"/>
            <w:noWrap/>
            <w:vAlign w:val="center"/>
            <w:hideMark/>
          </w:tcPr>
          <w:p w14:paraId="637556F5"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6.0</w:t>
            </w:r>
          </w:p>
        </w:tc>
        <w:tc>
          <w:tcPr>
            <w:tcW w:w="815" w:type="dxa"/>
            <w:noWrap/>
            <w:vAlign w:val="center"/>
            <w:hideMark/>
          </w:tcPr>
          <w:p w14:paraId="2795EDCA"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6.6</w:t>
            </w:r>
          </w:p>
        </w:tc>
        <w:tc>
          <w:tcPr>
            <w:tcW w:w="575" w:type="dxa"/>
            <w:noWrap/>
            <w:vAlign w:val="center"/>
            <w:hideMark/>
          </w:tcPr>
          <w:p w14:paraId="3DD030BB"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6.5</w:t>
            </w:r>
          </w:p>
        </w:tc>
        <w:tc>
          <w:tcPr>
            <w:tcW w:w="695" w:type="dxa"/>
            <w:noWrap/>
            <w:vAlign w:val="center"/>
            <w:hideMark/>
          </w:tcPr>
          <w:p w14:paraId="76EA414F"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9.9</w:t>
            </w:r>
          </w:p>
        </w:tc>
        <w:tc>
          <w:tcPr>
            <w:tcW w:w="800" w:type="dxa"/>
            <w:noWrap/>
            <w:vAlign w:val="center"/>
            <w:hideMark/>
          </w:tcPr>
          <w:p w14:paraId="13D86990"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-3.4</w:t>
            </w:r>
          </w:p>
        </w:tc>
      </w:tr>
      <w:tr w:rsidR="00081704" w:rsidRPr="00213A47" w14:paraId="478EE201" w14:textId="77777777" w:rsidTr="00213A47">
        <w:trPr>
          <w:trHeight w:val="300"/>
          <w:jc w:val="center"/>
        </w:trPr>
        <w:tc>
          <w:tcPr>
            <w:tcW w:w="1631" w:type="dxa"/>
            <w:noWrap/>
            <w:vAlign w:val="center"/>
            <w:hideMark/>
          </w:tcPr>
          <w:p w14:paraId="42BFE334" w14:textId="77777777" w:rsidR="00081704" w:rsidRPr="00213A47" w:rsidRDefault="00081704" w:rsidP="00213A47">
            <w:pPr>
              <w:keepLines/>
              <w:spacing w:before="40" w:afterLines="40" w:after="96" w:line="192" w:lineRule="auto"/>
              <w:jc w:val="left"/>
              <w:rPr>
                <w:rFonts w:asciiTheme="minorHAnsi" w:eastAsia="Times New Roman" w:hAnsiTheme="minorHAnsi" w:cstheme="minorHAnsi"/>
                <w:w w:val="90"/>
                <w:sz w:val="20"/>
                <w:szCs w:val="20"/>
              </w:rPr>
            </w:pPr>
            <w:r w:rsidRPr="00213A47">
              <w:rPr>
                <w:rFonts w:asciiTheme="minorHAnsi" w:eastAsia="Times New Roman" w:hAnsiTheme="minorHAnsi" w:cstheme="minorHAnsi"/>
                <w:w w:val="90"/>
                <w:sz w:val="20"/>
                <w:szCs w:val="20"/>
              </w:rPr>
              <w:t xml:space="preserve">Износ на стоки и </w:t>
            </w:r>
            <w:r w:rsidRPr="00213A47">
              <w:rPr>
                <w:rFonts w:asciiTheme="minorHAnsi" w:eastAsia="Times New Roman" w:hAnsiTheme="minorHAnsi" w:cstheme="minorHAnsi"/>
                <w:w w:val="90"/>
                <w:sz w:val="20"/>
                <w:szCs w:val="20"/>
              </w:rPr>
              <w:br/>
              <w:t>услуги</w:t>
            </w:r>
          </w:p>
        </w:tc>
        <w:tc>
          <w:tcPr>
            <w:tcW w:w="695" w:type="dxa"/>
            <w:noWrap/>
            <w:vAlign w:val="center"/>
            <w:hideMark/>
          </w:tcPr>
          <w:p w14:paraId="567C2505"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8.3</w:t>
            </w:r>
          </w:p>
        </w:tc>
        <w:tc>
          <w:tcPr>
            <w:tcW w:w="695" w:type="dxa"/>
            <w:noWrap/>
            <w:vAlign w:val="center"/>
            <w:hideMark/>
          </w:tcPr>
          <w:p w14:paraId="73A51691"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4.1</w:t>
            </w:r>
          </w:p>
        </w:tc>
        <w:tc>
          <w:tcPr>
            <w:tcW w:w="846" w:type="dxa"/>
            <w:noWrap/>
            <w:vAlign w:val="center"/>
            <w:hideMark/>
          </w:tcPr>
          <w:p w14:paraId="1F5FAC25"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4.1</w:t>
            </w:r>
          </w:p>
        </w:tc>
        <w:tc>
          <w:tcPr>
            <w:tcW w:w="544" w:type="dxa"/>
            <w:noWrap/>
            <w:vAlign w:val="center"/>
            <w:hideMark/>
          </w:tcPr>
          <w:p w14:paraId="345BB779"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1.7</w:t>
            </w:r>
          </w:p>
        </w:tc>
        <w:tc>
          <w:tcPr>
            <w:tcW w:w="695" w:type="dxa"/>
            <w:noWrap/>
            <w:vAlign w:val="center"/>
            <w:hideMark/>
          </w:tcPr>
          <w:p w14:paraId="3D9A60FE"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4.0</w:t>
            </w:r>
          </w:p>
        </w:tc>
        <w:tc>
          <w:tcPr>
            <w:tcW w:w="831" w:type="dxa"/>
            <w:noWrap/>
            <w:vAlign w:val="center"/>
            <w:hideMark/>
          </w:tcPr>
          <w:p w14:paraId="6687C76A"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-2.3</w:t>
            </w:r>
          </w:p>
        </w:tc>
        <w:tc>
          <w:tcPr>
            <w:tcW w:w="560" w:type="dxa"/>
            <w:noWrap/>
            <w:vAlign w:val="center"/>
            <w:hideMark/>
          </w:tcPr>
          <w:p w14:paraId="01FA10DE"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4.3</w:t>
            </w:r>
          </w:p>
        </w:tc>
        <w:tc>
          <w:tcPr>
            <w:tcW w:w="695" w:type="dxa"/>
            <w:noWrap/>
            <w:vAlign w:val="center"/>
            <w:hideMark/>
          </w:tcPr>
          <w:p w14:paraId="7165C294"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5.8</w:t>
            </w:r>
          </w:p>
        </w:tc>
        <w:tc>
          <w:tcPr>
            <w:tcW w:w="815" w:type="dxa"/>
            <w:noWrap/>
            <w:vAlign w:val="center"/>
            <w:hideMark/>
          </w:tcPr>
          <w:p w14:paraId="67E68EDE"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-1.5</w:t>
            </w:r>
          </w:p>
        </w:tc>
        <w:tc>
          <w:tcPr>
            <w:tcW w:w="575" w:type="dxa"/>
            <w:noWrap/>
            <w:vAlign w:val="center"/>
            <w:hideMark/>
          </w:tcPr>
          <w:p w14:paraId="1303C92C"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4.7</w:t>
            </w:r>
          </w:p>
        </w:tc>
        <w:tc>
          <w:tcPr>
            <w:tcW w:w="695" w:type="dxa"/>
            <w:noWrap/>
            <w:vAlign w:val="center"/>
            <w:hideMark/>
          </w:tcPr>
          <w:p w14:paraId="13494D64"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4.6</w:t>
            </w:r>
          </w:p>
        </w:tc>
        <w:tc>
          <w:tcPr>
            <w:tcW w:w="800" w:type="dxa"/>
            <w:noWrap/>
            <w:vAlign w:val="center"/>
            <w:hideMark/>
          </w:tcPr>
          <w:p w14:paraId="7E2AB5D7"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0.1</w:t>
            </w:r>
          </w:p>
        </w:tc>
      </w:tr>
      <w:tr w:rsidR="00081704" w:rsidRPr="00213A47" w14:paraId="57299FA0" w14:textId="77777777" w:rsidTr="00213A47">
        <w:trPr>
          <w:trHeight w:val="300"/>
          <w:jc w:val="center"/>
        </w:trPr>
        <w:tc>
          <w:tcPr>
            <w:tcW w:w="1631" w:type="dxa"/>
            <w:noWrap/>
            <w:vAlign w:val="center"/>
            <w:hideMark/>
          </w:tcPr>
          <w:p w14:paraId="4F812597" w14:textId="39891A88" w:rsidR="00081704" w:rsidRPr="00213A47" w:rsidRDefault="00081704" w:rsidP="00213A47">
            <w:pPr>
              <w:keepLines/>
              <w:spacing w:before="40" w:afterLines="40" w:after="96" w:line="192" w:lineRule="auto"/>
              <w:ind w:left="113"/>
              <w:jc w:val="left"/>
              <w:rPr>
                <w:rFonts w:asciiTheme="minorHAnsi" w:eastAsia="Times New Roman" w:hAnsiTheme="minorHAnsi" w:cstheme="minorHAnsi"/>
                <w:w w:val="90"/>
                <w:sz w:val="20"/>
                <w:szCs w:val="20"/>
              </w:rPr>
            </w:pPr>
            <w:r w:rsidRPr="00213A47">
              <w:rPr>
                <w:rFonts w:asciiTheme="minorHAnsi" w:eastAsia="Times New Roman" w:hAnsiTheme="minorHAnsi" w:cstheme="minorHAnsi"/>
                <w:w w:val="90"/>
                <w:sz w:val="20"/>
                <w:szCs w:val="20"/>
              </w:rPr>
              <w:t>Внос на стоки и услуги</w:t>
            </w:r>
          </w:p>
        </w:tc>
        <w:tc>
          <w:tcPr>
            <w:tcW w:w="695" w:type="dxa"/>
            <w:noWrap/>
            <w:vAlign w:val="center"/>
            <w:hideMark/>
          </w:tcPr>
          <w:p w14:paraId="288BFAE8"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10.5</w:t>
            </w:r>
          </w:p>
        </w:tc>
        <w:tc>
          <w:tcPr>
            <w:tcW w:w="695" w:type="dxa"/>
            <w:noWrap/>
            <w:vAlign w:val="center"/>
            <w:hideMark/>
          </w:tcPr>
          <w:p w14:paraId="1D256316"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5.4</w:t>
            </w:r>
          </w:p>
        </w:tc>
        <w:tc>
          <w:tcPr>
            <w:tcW w:w="846" w:type="dxa"/>
            <w:noWrap/>
            <w:vAlign w:val="center"/>
            <w:hideMark/>
          </w:tcPr>
          <w:p w14:paraId="3E56FD70"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5.1</w:t>
            </w:r>
          </w:p>
        </w:tc>
        <w:tc>
          <w:tcPr>
            <w:tcW w:w="544" w:type="dxa"/>
            <w:noWrap/>
            <w:vAlign w:val="center"/>
            <w:hideMark/>
          </w:tcPr>
          <w:p w14:paraId="2A457F3D"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3.9</w:t>
            </w:r>
          </w:p>
        </w:tc>
        <w:tc>
          <w:tcPr>
            <w:tcW w:w="695" w:type="dxa"/>
            <w:noWrap/>
            <w:vAlign w:val="center"/>
            <w:hideMark/>
          </w:tcPr>
          <w:p w14:paraId="472F20ED"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6.1</w:t>
            </w:r>
          </w:p>
        </w:tc>
        <w:tc>
          <w:tcPr>
            <w:tcW w:w="831" w:type="dxa"/>
            <w:noWrap/>
            <w:vAlign w:val="center"/>
            <w:hideMark/>
          </w:tcPr>
          <w:p w14:paraId="760EEECC"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-2.2</w:t>
            </w:r>
          </w:p>
        </w:tc>
        <w:tc>
          <w:tcPr>
            <w:tcW w:w="560" w:type="dxa"/>
            <w:noWrap/>
            <w:vAlign w:val="center"/>
            <w:hideMark/>
          </w:tcPr>
          <w:p w14:paraId="35EC0BFC"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6.4</w:t>
            </w:r>
          </w:p>
        </w:tc>
        <w:tc>
          <w:tcPr>
            <w:tcW w:w="695" w:type="dxa"/>
            <w:noWrap/>
            <w:vAlign w:val="center"/>
            <w:hideMark/>
          </w:tcPr>
          <w:p w14:paraId="3B949066"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6.5</w:t>
            </w:r>
          </w:p>
        </w:tc>
        <w:tc>
          <w:tcPr>
            <w:tcW w:w="815" w:type="dxa"/>
            <w:noWrap/>
            <w:vAlign w:val="center"/>
            <w:hideMark/>
          </w:tcPr>
          <w:p w14:paraId="4D746854"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-0.1</w:t>
            </w:r>
          </w:p>
        </w:tc>
        <w:tc>
          <w:tcPr>
            <w:tcW w:w="575" w:type="dxa"/>
            <w:noWrap/>
            <w:vAlign w:val="center"/>
            <w:hideMark/>
          </w:tcPr>
          <w:p w14:paraId="05D33F1A"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5.4</w:t>
            </w:r>
          </w:p>
        </w:tc>
        <w:tc>
          <w:tcPr>
            <w:tcW w:w="695" w:type="dxa"/>
            <w:noWrap/>
            <w:vAlign w:val="center"/>
            <w:hideMark/>
          </w:tcPr>
          <w:p w14:paraId="14288118"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6.8</w:t>
            </w:r>
          </w:p>
        </w:tc>
        <w:tc>
          <w:tcPr>
            <w:tcW w:w="800" w:type="dxa"/>
            <w:noWrap/>
            <w:vAlign w:val="center"/>
            <w:hideMark/>
          </w:tcPr>
          <w:p w14:paraId="70ED357B"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-1.5</w:t>
            </w:r>
          </w:p>
        </w:tc>
      </w:tr>
      <w:tr w:rsidR="00081704" w:rsidRPr="00213A47" w14:paraId="5873CA85" w14:textId="77777777" w:rsidTr="00213A47">
        <w:trPr>
          <w:trHeight w:val="300"/>
          <w:jc w:val="center"/>
        </w:trPr>
        <w:tc>
          <w:tcPr>
            <w:tcW w:w="1631" w:type="dxa"/>
            <w:noWrap/>
            <w:vAlign w:val="center"/>
            <w:hideMark/>
          </w:tcPr>
          <w:p w14:paraId="72DDA559" w14:textId="77777777" w:rsidR="00081704" w:rsidRPr="00213A47" w:rsidRDefault="00081704" w:rsidP="00213A47">
            <w:pPr>
              <w:keepLines/>
              <w:spacing w:before="40" w:afterLines="40" w:after="96" w:line="192" w:lineRule="auto"/>
              <w:jc w:val="left"/>
              <w:rPr>
                <w:rFonts w:asciiTheme="minorHAnsi" w:eastAsia="Times New Roman" w:hAnsiTheme="minorHAnsi" w:cstheme="minorHAnsi"/>
                <w:w w:val="90"/>
                <w:sz w:val="20"/>
                <w:szCs w:val="20"/>
              </w:rPr>
            </w:pPr>
            <w:r w:rsidRPr="00213A47">
              <w:rPr>
                <w:rFonts w:asciiTheme="minorHAnsi" w:eastAsia="Times New Roman" w:hAnsiTheme="minorHAnsi" w:cstheme="minorHAnsi"/>
                <w:w w:val="90"/>
                <w:sz w:val="20"/>
                <w:szCs w:val="20"/>
              </w:rPr>
              <w:t xml:space="preserve">Средногодишна </w:t>
            </w:r>
            <w:r w:rsidRPr="00213A47">
              <w:rPr>
                <w:rFonts w:asciiTheme="minorHAnsi" w:eastAsia="Times New Roman" w:hAnsiTheme="minorHAnsi" w:cstheme="minorHAnsi"/>
                <w:w w:val="90"/>
                <w:sz w:val="20"/>
                <w:szCs w:val="20"/>
              </w:rPr>
              <w:br/>
              <w:t>инфлация (ХИПЦ)</w:t>
            </w:r>
          </w:p>
        </w:tc>
        <w:tc>
          <w:tcPr>
            <w:tcW w:w="695" w:type="dxa"/>
            <w:noWrap/>
            <w:vAlign w:val="center"/>
            <w:hideMark/>
          </w:tcPr>
          <w:p w14:paraId="3C1D3A93"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13.0</w:t>
            </w:r>
          </w:p>
        </w:tc>
        <w:tc>
          <w:tcPr>
            <w:tcW w:w="695" w:type="dxa"/>
            <w:noWrap/>
            <w:vAlign w:val="center"/>
            <w:hideMark/>
          </w:tcPr>
          <w:p w14:paraId="485CDAF7"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10.4</w:t>
            </w:r>
          </w:p>
        </w:tc>
        <w:tc>
          <w:tcPr>
            <w:tcW w:w="846" w:type="dxa"/>
            <w:noWrap/>
            <w:vAlign w:val="center"/>
            <w:hideMark/>
          </w:tcPr>
          <w:p w14:paraId="2D490D19"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2.7</w:t>
            </w:r>
          </w:p>
        </w:tc>
        <w:tc>
          <w:tcPr>
            <w:tcW w:w="544" w:type="dxa"/>
            <w:noWrap/>
            <w:vAlign w:val="center"/>
            <w:hideMark/>
          </w:tcPr>
          <w:p w14:paraId="668849FA"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8.7</w:t>
            </w:r>
          </w:p>
        </w:tc>
        <w:tc>
          <w:tcPr>
            <w:tcW w:w="695" w:type="dxa"/>
            <w:noWrap/>
            <w:vAlign w:val="center"/>
            <w:hideMark/>
          </w:tcPr>
          <w:p w14:paraId="158AEA1E"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5.1</w:t>
            </w:r>
          </w:p>
        </w:tc>
        <w:tc>
          <w:tcPr>
            <w:tcW w:w="831" w:type="dxa"/>
            <w:noWrap/>
            <w:vAlign w:val="center"/>
            <w:hideMark/>
          </w:tcPr>
          <w:p w14:paraId="0D4442C4"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3.5</w:t>
            </w:r>
          </w:p>
        </w:tc>
        <w:tc>
          <w:tcPr>
            <w:tcW w:w="560" w:type="dxa"/>
            <w:noWrap/>
            <w:vAlign w:val="center"/>
            <w:hideMark/>
          </w:tcPr>
          <w:p w14:paraId="0EC1FFB8"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3.8</w:t>
            </w:r>
          </w:p>
        </w:tc>
        <w:tc>
          <w:tcPr>
            <w:tcW w:w="695" w:type="dxa"/>
            <w:noWrap/>
            <w:vAlign w:val="center"/>
            <w:hideMark/>
          </w:tcPr>
          <w:p w14:paraId="437BF742"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2.7</w:t>
            </w:r>
          </w:p>
        </w:tc>
        <w:tc>
          <w:tcPr>
            <w:tcW w:w="815" w:type="dxa"/>
            <w:noWrap/>
            <w:vAlign w:val="center"/>
            <w:hideMark/>
          </w:tcPr>
          <w:p w14:paraId="05C96869"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1.1</w:t>
            </w:r>
          </w:p>
        </w:tc>
        <w:tc>
          <w:tcPr>
            <w:tcW w:w="575" w:type="dxa"/>
            <w:noWrap/>
            <w:vAlign w:val="center"/>
            <w:hideMark/>
          </w:tcPr>
          <w:p w14:paraId="1AB737EC"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2.8</w:t>
            </w:r>
          </w:p>
        </w:tc>
        <w:tc>
          <w:tcPr>
            <w:tcW w:w="695" w:type="dxa"/>
            <w:noWrap/>
            <w:vAlign w:val="center"/>
            <w:hideMark/>
          </w:tcPr>
          <w:p w14:paraId="01E91FEC"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2.3</w:t>
            </w:r>
          </w:p>
        </w:tc>
        <w:tc>
          <w:tcPr>
            <w:tcW w:w="800" w:type="dxa"/>
            <w:noWrap/>
            <w:vAlign w:val="center"/>
            <w:hideMark/>
          </w:tcPr>
          <w:p w14:paraId="677A4346"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0.5</w:t>
            </w:r>
          </w:p>
        </w:tc>
      </w:tr>
      <w:tr w:rsidR="00081704" w:rsidRPr="00213A47" w14:paraId="13CFD5C9" w14:textId="77777777" w:rsidTr="00213A47">
        <w:trPr>
          <w:trHeight w:val="315"/>
          <w:jc w:val="center"/>
        </w:trPr>
        <w:tc>
          <w:tcPr>
            <w:tcW w:w="1631" w:type="dxa"/>
            <w:noWrap/>
            <w:vAlign w:val="center"/>
            <w:hideMark/>
          </w:tcPr>
          <w:p w14:paraId="6D2D24FC" w14:textId="77777777" w:rsidR="00081704" w:rsidRPr="00213A47" w:rsidRDefault="00081704" w:rsidP="00213A47">
            <w:pPr>
              <w:keepLines/>
              <w:spacing w:before="40" w:afterLines="40" w:after="96" w:line="192" w:lineRule="auto"/>
              <w:jc w:val="left"/>
              <w:rPr>
                <w:rFonts w:asciiTheme="minorHAnsi" w:eastAsia="Times New Roman" w:hAnsiTheme="minorHAnsi" w:cstheme="minorHAnsi"/>
                <w:w w:val="90"/>
                <w:sz w:val="20"/>
                <w:szCs w:val="20"/>
              </w:rPr>
            </w:pPr>
            <w:r w:rsidRPr="00213A47">
              <w:rPr>
                <w:rFonts w:asciiTheme="minorHAnsi" w:eastAsia="Times New Roman" w:hAnsiTheme="minorHAnsi" w:cstheme="minorHAnsi"/>
                <w:w w:val="90"/>
                <w:sz w:val="20"/>
                <w:szCs w:val="20"/>
              </w:rPr>
              <w:t>Заети</w:t>
            </w:r>
          </w:p>
        </w:tc>
        <w:tc>
          <w:tcPr>
            <w:tcW w:w="695" w:type="dxa"/>
            <w:noWrap/>
            <w:vAlign w:val="center"/>
            <w:hideMark/>
          </w:tcPr>
          <w:p w14:paraId="77F0BB20"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1.3</w:t>
            </w:r>
          </w:p>
        </w:tc>
        <w:tc>
          <w:tcPr>
            <w:tcW w:w="695" w:type="dxa"/>
            <w:noWrap/>
            <w:vAlign w:val="center"/>
            <w:hideMark/>
          </w:tcPr>
          <w:p w14:paraId="6947A3E6"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1.7</w:t>
            </w:r>
          </w:p>
        </w:tc>
        <w:tc>
          <w:tcPr>
            <w:tcW w:w="846" w:type="dxa"/>
            <w:noWrap/>
            <w:vAlign w:val="center"/>
            <w:hideMark/>
          </w:tcPr>
          <w:p w14:paraId="7C679055"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-0.4</w:t>
            </w:r>
          </w:p>
        </w:tc>
        <w:tc>
          <w:tcPr>
            <w:tcW w:w="544" w:type="dxa"/>
            <w:noWrap/>
            <w:vAlign w:val="center"/>
            <w:hideMark/>
          </w:tcPr>
          <w:p w14:paraId="2C190EA8"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0.4</w:t>
            </w:r>
          </w:p>
        </w:tc>
        <w:tc>
          <w:tcPr>
            <w:tcW w:w="695" w:type="dxa"/>
            <w:noWrap/>
            <w:vAlign w:val="center"/>
            <w:hideMark/>
          </w:tcPr>
          <w:p w14:paraId="58540D95"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0.8</w:t>
            </w:r>
          </w:p>
        </w:tc>
        <w:tc>
          <w:tcPr>
            <w:tcW w:w="831" w:type="dxa"/>
            <w:noWrap/>
            <w:vAlign w:val="center"/>
            <w:hideMark/>
          </w:tcPr>
          <w:p w14:paraId="2B9A0311"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-0.4</w:t>
            </w:r>
          </w:p>
        </w:tc>
        <w:tc>
          <w:tcPr>
            <w:tcW w:w="560" w:type="dxa"/>
            <w:noWrap/>
            <w:vAlign w:val="center"/>
            <w:hideMark/>
          </w:tcPr>
          <w:p w14:paraId="4E747945"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0.7</w:t>
            </w:r>
          </w:p>
        </w:tc>
        <w:tc>
          <w:tcPr>
            <w:tcW w:w="695" w:type="dxa"/>
            <w:noWrap/>
            <w:vAlign w:val="center"/>
            <w:hideMark/>
          </w:tcPr>
          <w:p w14:paraId="655D1A97"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1.0</w:t>
            </w:r>
          </w:p>
        </w:tc>
        <w:tc>
          <w:tcPr>
            <w:tcW w:w="815" w:type="dxa"/>
            <w:noWrap/>
            <w:vAlign w:val="center"/>
            <w:hideMark/>
          </w:tcPr>
          <w:p w14:paraId="3FD1FA7B"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-0.3</w:t>
            </w:r>
          </w:p>
        </w:tc>
        <w:tc>
          <w:tcPr>
            <w:tcW w:w="575" w:type="dxa"/>
            <w:noWrap/>
            <w:vAlign w:val="center"/>
            <w:hideMark/>
          </w:tcPr>
          <w:p w14:paraId="75832289"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0.5</w:t>
            </w:r>
          </w:p>
        </w:tc>
        <w:tc>
          <w:tcPr>
            <w:tcW w:w="695" w:type="dxa"/>
            <w:noWrap/>
            <w:vAlign w:val="center"/>
            <w:hideMark/>
          </w:tcPr>
          <w:p w14:paraId="42D0EA84"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0.6</w:t>
            </w:r>
          </w:p>
        </w:tc>
        <w:tc>
          <w:tcPr>
            <w:tcW w:w="800" w:type="dxa"/>
            <w:noWrap/>
            <w:vAlign w:val="center"/>
            <w:hideMark/>
          </w:tcPr>
          <w:p w14:paraId="63C19075"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-0.1</w:t>
            </w:r>
          </w:p>
        </w:tc>
      </w:tr>
      <w:tr w:rsidR="00081704" w:rsidRPr="00213A47" w14:paraId="76ACD837" w14:textId="77777777" w:rsidTr="00213A47">
        <w:trPr>
          <w:trHeight w:val="315"/>
          <w:jc w:val="center"/>
        </w:trPr>
        <w:tc>
          <w:tcPr>
            <w:tcW w:w="1631" w:type="dxa"/>
            <w:noWrap/>
            <w:vAlign w:val="center"/>
            <w:hideMark/>
          </w:tcPr>
          <w:p w14:paraId="27494E79" w14:textId="77777777" w:rsidR="00081704" w:rsidRPr="00213A47" w:rsidRDefault="00081704" w:rsidP="00213A47">
            <w:pPr>
              <w:keepLines/>
              <w:spacing w:before="40" w:afterLines="40" w:after="96" w:line="192" w:lineRule="auto"/>
              <w:jc w:val="left"/>
              <w:rPr>
                <w:rFonts w:asciiTheme="minorHAnsi" w:eastAsia="Times New Roman" w:hAnsiTheme="minorHAnsi" w:cstheme="minorHAnsi"/>
                <w:w w:val="90"/>
                <w:sz w:val="20"/>
                <w:szCs w:val="20"/>
              </w:rPr>
            </w:pPr>
            <w:r w:rsidRPr="00213A47">
              <w:rPr>
                <w:rFonts w:asciiTheme="minorHAnsi" w:eastAsia="Times New Roman" w:hAnsiTheme="minorHAnsi" w:cstheme="minorHAnsi"/>
                <w:w w:val="90"/>
                <w:sz w:val="20"/>
                <w:szCs w:val="20"/>
              </w:rPr>
              <w:t xml:space="preserve">Коефициент на </w:t>
            </w:r>
            <w:r w:rsidRPr="00213A47">
              <w:rPr>
                <w:rFonts w:asciiTheme="minorHAnsi" w:eastAsia="Times New Roman" w:hAnsiTheme="minorHAnsi" w:cstheme="minorHAnsi"/>
                <w:w w:val="90"/>
                <w:sz w:val="20"/>
                <w:szCs w:val="20"/>
              </w:rPr>
              <w:br/>
              <w:t>безработица</w:t>
            </w:r>
          </w:p>
        </w:tc>
        <w:tc>
          <w:tcPr>
            <w:tcW w:w="695" w:type="dxa"/>
            <w:noWrap/>
            <w:vAlign w:val="center"/>
            <w:hideMark/>
          </w:tcPr>
          <w:p w14:paraId="42543240"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4.3</w:t>
            </w:r>
          </w:p>
        </w:tc>
        <w:tc>
          <w:tcPr>
            <w:tcW w:w="695" w:type="dxa"/>
            <w:noWrap/>
            <w:vAlign w:val="center"/>
            <w:hideMark/>
          </w:tcPr>
          <w:p w14:paraId="3318A73B"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5.0</w:t>
            </w:r>
          </w:p>
        </w:tc>
        <w:tc>
          <w:tcPr>
            <w:tcW w:w="846" w:type="dxa"/>
            <w:noWrap/>
            <w:vAlign w:val="center"/>
            <w:hideMark/>
          </w:tcPr>
          <w:p w14:paraId="53D43E13"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-0.7</w:t>
            </w:r>
          </w:p>
        </w:tc>
        <w:tc>
          <w:tcPr>
            <w:tcW w:w="544" w:type="dxa"/>
            <w:noWrap/>
            <w:vAlign w:val="center"/>
            <w:hideMark/>
          </w:tcPr>
          <w:p w14:paraId="105E4F39"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4.1</w:t>
            </w:r>
          </w:p>
        </w:tc>
        <w:tc>
          <w:tcPr>
            <w:tcW w:w="695" w:type="dxa"/>
            <w:noWrap/>
            <w:vAlign w:val="center"/>
            <w:hideMark/>
          </w:tcPr>
          <w:p w14:paraId="0D11FBE7"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4.8</w:t>
            </w:r>
          </w:p>
        </w:tc>
        <w:tc>
          <w:tcPr>
            <w:tcW w:w="831" w:type="dxa"/>
            <w:noWrap/>
            <w:vAlign w:val="center"/>
            <w:hideMark/>
          </w:tcPr>
          <w:p w14:paraId="05F97742"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-0.7</w:t>
            </w:r>
          </w:p>
        </w:tc>
        <w:tc>
          <w:tcPr>
            <w:tcW w:w="560" w:type="dxa"/>
            <w:noWrap/>
            <w:vAlign w:val="center"/>
            <w:hideMark/>
          </w:tcPr>
          <w:p w14:paraId="4E60C424"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3.9</w:t>
            </w:r>
          </w:p>
        </w:tc>
        <w:tc>
          <w:tcPr>
            <w:tcW w:w="695" w:type="dxa"/>
            <w:noWrap/>
            <w:vAlign w:val="center"/>
            <w:hideMark/>
          </w:tcPr>
          <w:p w14:paraId="71517683"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4.4</w:t>
            </w:r>
          </w:p>
        </w:tc>
        <w:tc>
          <w:tcPr>
            <w:tcW w:w="815" w:type="dxa"/>
            <w:noWrap/>
            <w:vAlign w:val="center"/>
            <w:hideMark/>
          </w:tcPr>
          <w:p w14:paraId="5D3C6CD5"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-0.5</w:t>
            </w:r>
          </w:p>
        </w:tc>
        <w:tc>
          <w:tcPr>
            <w:tcW w:w="575" w:type="dxa"/>
            <w:noWrap/>
            <w:vAlign w:val="center"/>
            <w:hideMark/>
          </w:tcPr>
          <w:p w14:paraId="72282149"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3.8</w:t>
            </w:r>
          </w:p>
        </w:tc>
        <w:tc>
          <w:tcPr>
            <w:tcW w:w="695" w:type="dxa"/>
            <w:noWrap/>
            <w:vAlign w:val="center"/>
            <w:hideMark/>
          </w:tcPr>
          <w:p w14:paraId="0891DBAB"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4.2</w:t>
            </w:r>
          </w:p>
        </w:tc>
        <w:tc>
          <w:tcPr>
            <w:tcW w:w="800" w:type="dxa"/>
            <w:noWrap/>
            <w:vAlign w:val="center"/>
            <w:hideMark/>
          </w:tcPr>
          <w:p w14:paraId="5EA4E332" w14:textId="77777777" w:rsidR="00081704" w:rsidRPr="00213A47" w:rsidRDefault="00081704" w:rsidP="00213A47">
            <w:pPr>
              <w:spacing w:before="40" w:afterLines="40" w:after="96"/>
              <w:jc w:val="center"/>
              <w:rPr>
                <w:rFonts w:asciiTheme="minorHAnsi" w:hAnsiTheme="minorHAnsi" w:cstheme="minorHAnsi"/>
                <w:w w:val="90"/>
                <w:sz w:val="20"/>
                <w:szCs w:val="20"/>
              </w:rPr>
            </w:pPr>
            <w:r w:rsidRPr="00213A47">
              <w:rPr>
                <w:rFonts w:asciiTheme="minorHAnsi" w:hAnsiTheme="minorHAnsi" w:cstheme="minorHAnsi"/>
                <w:w w:val="90"/>
                <w:sz w:val="20"/>
                <w:szCs w:val="20"/>
              </w:rPr>
              <w:t>-0.3</w:t>
            </w:r>
          </w:p>
        </w:tc>
      </w:tr>
    </w:tbl>
    <w:p w14:paraId="5FEFBB20" w14:textId="77777777" w:rsidR="00081704" w:rsidRPr="003B1916" w:rsidRDefault="00081704" w:rsidP="00081704">
      <w:pPr>
        <w:jc w:val="right"/>
        <w:rPr>
          <w:rFonts w:asciiTheme="minorHAnsi" w:hAnsiTheme="minorHAnsi" w:cstheme="minorHAnsi"/>
          <w:sz w:val="18"/>
        </w:rPr>
      </w:pPr>
      <w:r w:rsidRPr="003B1916">
        <w:rPr>
          <w:sz w:val="18"/>
        </w:rPr>
        <w:t>Източник: МФ, НСИ</w:t>
      </w:r>
    </w:p>
    <w:p w14:paraId="68C6776E" w14:textId="391CD87D" w:rsidR="00081704" w:rsidRPr="00AB0978" w:rsidRDefault="00081704" w:rsidP="00EE53B2">
      <w:r>
        <w:t>Разликата с предходната актуализация на Конвергентната програма по отношение на инфлационните процеси в страната произлиза основно от развитието на войната</w:t>
      </w:r>
      <w:r w:rsidRPr="006766A4">
        <w:t xml:space="preserve"> в Украйна</w:t>
      </w:r>
      <w:r>
        <w:t xml:space="preserve">, което </w:t>
      </w:r>
      <w:r w:rsidRPr="006766A4">
        <w:t>промени съществено очакванията в средносрочен период за международ</w:t>
      </w:r>
      <w:r>
        <w:t xml:space="preserve">ните цени на основните суровини. Освен това </w:t>
      </w:r>
      <w:r w:rsidRPr="00543238">
        <w:rPr>
          <w:bCs/>
        </w:rPr>
        <w:t>еврото</w:t>
      </w:r>
      <w:r>
        <w:rPr>
          <w:bCs/>
        </w:rPr>
        <w:t xml:space="preserve"> </w:t>
      </w:r>
      <w:r w:rsidRPr="00543238">
        <w:rPr>
          <w:bCs/>
        </w:rPr>
        <w:t xml:space="preserve">се обезцени спрямо щатския долар средно с </w:t>
      </w:r>
      <w:r>
        <w:rPr>
          <w:bCs/>
        </w:rPr>
        <w:t>11% през 2022</w:t>
      </w:r>
      <w:r w:rsidR="00B552D5">
        <w:rPr>
          <w:bCs/>
        </w:rPr>
        <w:t> г.</w:t>
      </w:r>
      <w:r>
        <w:rPr>
          <w:bCs/>
        </w:rPr>
        <w:t>, при очаквано понижение от 6.8%, и</w:t>
      </w:r>
      <w:r w:rsidRPr="00543238">
        <w:rPr>
          <w:bCs/>
        </w:rPr>
        <w:t xml:space="preserve"> допълнително усили влиянието на ръста в международните цени на суровините, които се котират в щатски долари, върху производствените и потребителските цени в страната. </w:t>
      </w:r>
      <w:r>
        <w:t>Това</w:t>
      </w:r>
      <w:r w:rsidRPr="006766A4">
        <w:t xml:space="preserve"> </w:t>
      </w:r>
      <w:r>
        <w:t>доведе до ускорение на инфлацията над очакваното през 2022</w:t>
      </w:r>
      <w:r w:rsidR="00B552D5">
        <w:t> г.</w:t>
      </w:r>
      <w:r>
        <w:t xml:space="preserve"> и </w:t>
      </w:r>
      <w:r w:rsidRPr="006766A4">
        <w:t xml:space="preserve">ревизия във възходяща посока на прогнозата за </w:t>
      </w:r>
      <w:r>
        <w:t xml:space="preserve">нарастването на потребителските цени. Към момента очакванията са за по-голямо поскъпване при храните, както и при компонентите на базисната инфлация, които </w:t>
      </w:r>
      <w:r w:rsidRPr="00A64CC2">
        <w:rPr>
          <w:bCs/>
        </w:rPr>
        <w:t xml:space="preserve">ще </w:t>
      </w:r>
      <w:r>
        <w:rPr>
          <w:bCs/>
        </w:rPr>
        <w:t>имат</w:t>
      </w:r>
      <w:r w:rsidRPr="00A64CC2">
        <w:rPr>
          <w:bCs/>
        </w:rPr>
        <w:t xml:space="preserve"> </w:t>
      </w:r>
      <w:r>
        <w:rPr>
          <w:bCs/>
        </w:rPr>
        <w:t>по-</w:t>
      </w:r>
      <w:r w:rsidRPr="00A64CC2">
        <w:rPr>
          <w:bCs/>
        </w:rPr>
        <w:t xml:space="preserve">съществен принос към </w:t>
      </w:r>
      <w:r>
        <w:rPr>
          <w:bCs/>
        </w:rPr>
        <w:t>общия ХИПЦ</w:t>
      </w:r>
      <w:r w:rsidRPr="00A64CC2">
        <w:rPr>
          <w:bCs/>
        </w:rPr>
        <w:t xml:space="preserve"> </w:t>
      </w:r>
      <w:r>
        <w:rPr>
          <w:bCs/>
        </w:rPr>
        <w:t>най-вече през 2023</w:t>
      </w:r>
      <w:r w:rsidR="00B552D5">
        <w:rPr>
          <w:bCs/>
        </w:rPr>
        <w:t> г.</w:t>
      </w:r>
    </w:p>
    <w:p w14:paraId="4CCEC21A" w14:textId="5C65C120" w:rsidR="001C65FE" w:rsidRPr="005B2032" w:rsidRDefault="001C65FE" w:rsidP="00D661BA">
      <w:pPr>
        <w:rPr>
          <w:lang w:val="en-US"/>
        </w:rPr>
      </w:pPr>
    </w:p>
    <w:p w14:paraId="1F9C19DC" w14:textId="77777777" w:rsidR="00A444EF" w:rsidRPr="005B2032" w:rsidRDefault="00A444EF" w:rsidP="001C65FE">
      <w:pPr>
        <w:pStyle w:val="a"/>
        <w:jc w:val="both"/>
        <w:rPr>
          <w:rFonts w:asciiTheme="minorHAnsi" w:hAnsiTheme="minorHAnsi" w:cstheme="minorHAnsi"/>
          <w:sz w:val="24"/>
        </w:rPr>
      </w:pPr>
    </w:p>
    <w:p w14:paraId="6B53DB28" w14:textId="77777777" w:rsidR="00A444EF" w:rsidRPr="005B2032" w:rsidRDefault="00A444EF" w:rsidP="00857FD9">
      <w:pPr>
        <w:pStyle w:val="a"/>
        <w:rPr>
          <w:rFonts w:asciiTheme="minorHAnsi" w:hAnsiTheme="minorHAnsi" w:cstheme="minorHAnsi"/>
        </w:rPr>
      </w:pPr>
    </w:p>
    <w:p w14:paraId="43D82128" w14:textId="77777777" w:rsidR="00A444EF" w:rsidRPr="005B2032" w:rsidRDefault="00A444EF" w:rsidP="00857FD9">
      <w:pPr>
        <w:pStyle w:val="a"/>
        <w:rPr>
          <w:rFonts w:asciiTheme="minorHAnsi" w:hAnsiTheme="minorHAnsi" w:cstheme="minorHAnsi"/>
        </w:rPr>
      </w:pPr>
    </w:p>
    <w:p w14:paraId="4092898C" w14:textId="67923CDC" w:rsidR="00D359FF" w:rsidRPr="00D661BA" w:rsidRDefault="00D359FF" w:rsidP="00B552D5">
      <w:pPr>
        <w:pStyle w:val="Heading1"/>
      </w:pPr>
      <w:bookmarkStart w:id="106" w:name="_Toc133597280"/>
      <w:r w:rsidRPr="00D661BA">
        <w:lastRenderedPageBreak/>
        <w:t>У</w:t>
      </w:r>
      <w:r w:rsidR="00E704C2" w:rsidRPr="00D661BA">
        <w:t xml:space="preserve">стойчивост на </w:t>
      </w:r>
      <w:r w:rsidR="00D661BA">
        <w:br/>
      </w:r>
      <w:r w:rsidR="00E704C2" w:rsidRPr="00D661BA">
        <w:t xml:space="preserve">публичните </w:t>
      </w:r>
      <w:bookmarkStart w:id="107" w:name="_Toc285898262"/>
      <w:bookmarkEnd w:id="101"/>
      <w:r w:rsidR="00BA459A" w:rsidRPr="00D661BA">
        <w:t>финанси</w:t>
      </w:r>
      <w:bookmarkEnd w:id="102"/>
      <w:bookmarkEnd w:id="103"/>
      <w:bookmarkEnd w:id="106"/>
    </w:p>
    <w:p w14:paraId="50B3A131" w14:textId="77777777" w:rsidR="00D359FF" w:rsidRPr="00D661BA" w:rsidRDefault="00D359FF" w:rsidP="00EE53B2">
      <w:pPr>
        <w:pStyle w:val="Heading2"/>
      </w:pPr>
      <w:bookmarkStart w:id="108" w:name="_Toc352851607"/>
      <w:bookmarkStart w:id="109" w:name="_Toc448227297"/>
      <w:bookmarkStart w:id="110" w:name="_Toc479332446"/>
      <w:bookmarkStart w:id="111" w:name="_Toc133597281"/>
      <w:bookmarkStart w:id="112" w:name="_Toc290063475"/>
      <w:r w:rsidRPr="00D661BA">
        <w:t>Стратегия на политиката</w:t>
      </w:r>
      <w:bookmarkEnd w:id="108"/>
      <w:bookmarkEnd w:id="109"/>
      <w:bookmarkEnd w:id="110"/>
      <w:bookmarkEnd w:id="111"/>
    </w:p>
    <w:p w14:paraId="063EF0EA" w14:textId="77777777" w:rsidR="00BD75E1" w:rsidRPr="00767028" w:rsidRDefault="00BD75E1" w:rsidP="00BD75E1">
      <w:bookmarkStart w:id="113" w:name="_Toc352851608"/>
      <w:bookmarkStart w:id="114" w:name="_Toc448227298"/>
      <w:bookmarkStart w:id="115" w:name="_Toc479332447"/>
      <w:r w:rsidRPr="00767028">
        <w:t>В този раздел се разглежда устойчивостта на фискалната позиция, като се оценява текущото състояние на публичните финанси от гледна точка на бъдещото нарастване на публичните разходи, свързани със застаряването на населението. За тази цел се използват индикаторите за устойчивост S1 и S2, изчислени по методология, разработена от ЕК</w:t>
      </w:r>
      <w:r w:rsidRPr="00767028">
        <w:rPr>
          <w:vertAlign w:val="superscript"/>
        </w:rPr>
        <w:footnoteReference w:id="22"/>
      </w:r>
      <w:r w:rsidRPr="00767028">
        <w:t>.</w:t>
      </w:r>
    </w:p>
    <w:p w14:paraId="37ACF3A9" w14:textId="53096F4A" w:rsidR="00BD75E1" w:rsidRPr="00767028" w:rsidRDefault="00BD75E1" w:rsidP="00BD75E1">
      <w:r w:rsidRPr="00767028">
        <w:t>Индикаторът за фискална устойчивост в средносрочен план (S1) показва необходимата корекция в структурното първично бюджетно салдо в рамките на пет години от края на прогнозния период (2026</w:t>
      </w:r>
      <w:r w:rsidR="00B552D5">
        <w:t> г.</w:t>
      </w:r>
      <w:r w:rsidRPr="00767028">
        <w:t xml:space="preserve"> в случая на МФ), за да се гарантира, че държавният дълг в период t+15 (203</w:t>
      </w:r>
      <w:r w:rsidRPr="00767028">
        <w:rPr>
          <w:lang w:val="en-US"/>
        </w:rPr>
        <w:t>8</w:t>
      </w:r>
      <w:r w:rsidR="00B552D5">
        <w:t> г.</w:t>
      </w:r>
      <w:r w:rsidRPr="00767028">
        <w:t xml:space="preserve">) не надвишава референтната стойност от 60%. </w:t>
      </w:r>
    </w:p>
    <w:p w14:paraId="010C6C25" w14:textId="77777777" w:rsidR="00BD75E1" w:rsidRPr="00767028" w:rsidRDefault="00BD75E1" w:rsidP="00BD75E1">
      <w:r w:rsidRPr="00767028">
        <w:t>Индикаторът за фискална устойчивост в дългосрочен план (S2) показва необходимата корекция в първичния баланс, за да се спази времевото бюджетно ограничение (дисконтираната стойност на бъдещите структурни първични баланси да покрива равнището на дълга в настоящия момент) за безкрайно дълъг период от време с включени допълнителни разходи, произтичащи от застаряването на населението.</w:t>
      </w:r>
    </w:p>
    <w:p w14:paraId="549D816F" w14:textId="77777777" w:rsidR="00BD75E1" w:rsidRPr="00767028" w:rsidRDefault="00BD75E1" w:rsidP="00BD75E1">
      <w:r w:rsidRPr="00767028">
        <w:t>Положителна стойност на индикаторите означава необходимост от фискална консолидация или структурни реформи, които да намалят тежестта от застаряването на населението върху публичните финанси, докато отрицателната показва наличие на фискално пространство.</w:t>
      </w:r>
    </w:p>
    <w:p w14:paraId="397B6FCB" w14:textId="00C7BC2D" w:rsidR="00BD75E1" w:rsidRPr="00672C5C" w:rsidRDefault="00BD75E1" w:rsidP="00BD75E1">
      <w:pPr>
        <w:tabs>
          <w:tab w:val="left" w:pos="1134"/>
        </w:tabs>
        <w:spacing w:before="240" w:after="240"/>
        <w:ind w:left="1134" w:hanging="1134"/>
        <w:rPr>
          <w:b/>
          <w:bCs/>
          <w:color w:val="6768AB"/>
          <w:sz w:val="20"/>
          <w:szCs w:val="18"/>
        </w:rPr>
      </w:pPr>
      <w:r w:rsidRPr="00672C5C">
        <w:rPr>
          <w:b/>
          <w:bCs/>
          <w:color w:val="6768AB"/>
          <w:sz w:val="20"/>
          <w:szCs w:val="18"/>
        </w:rPr>
        <w:t xml:space="preserve">Табл. </w:t>
      </w:r>
      <w:r w:rsidRPr="00672C5C">
        <w:rPr>
          <w:b/>
          <w:bCs/>
          <w:color w:val="6768AB"/>
          <w:sz w:val="20"/>
          <w:szCs w:val="18"/>
        </w:rPr>
        <w:fldChar w:fldCharType="begin"/>
      </w:r>
      <w:r w:rsidRPr="00672C5C">
        <w:rPr>
          <w:b/>
          <w:bCs/>
          <w:color w:val="6768AB"/>
          <w:sz w:val="20"/>
          <w:szCs w:val="18"/>
        </w:rPr>
        <w:instrText xml:space="preserve"> STYLEREF 1 \s </w:instrText>
      </w:r>
      <w:r w:rsidRPr="00672C5C">
        <w:rPr>
          <w:b/>
          <w:bCs/>
          <w:color w:val="6768AB"/>
          <w:sz w:val="20"/>
          <w:szCs w:val="18"/>
        </w:rPr>
        <w:fldChar w:fldCharType="separate"/>
      </w:r>
      <w:r w:rsidR="00541E16">
        <w:rPr>
          <w:b/>
          <w:bCs/>
          <w:noProof/>
          <w:color w:val="6768AB"/>
          <w:sz w:val="20"/>
          <w:szCs w:val="18"/>
        </w:rPr>
        <w:t>5</w:t>
      </w:r>
      <w:r w:rsidRPr="00672C5C">
        <w:rPr>
          <w:b/>
          <w:bCs/>
          <w:noProof/>
          <w:color w:val="6768AB"/>
          <w:sz w:val="20"/>
          <w:szCs w:val="18"/>
        </w:rPr>
        <w:fldChar w:fldCharType="end"/>
      </w:r>
      <w:r w:rsidRPr="00672C5C">
        <w:rPr>
          <w:b/>
          <w:bCs/>
          <w:color w:val="6768AB"/>
          <w:sz w:val="20"/>
          <w:szCs w:val="18"/>
        </w:rPr>
        <w:noBreakHyphen/>
      </w:r>
      <w:r w:rsidRPr="00672C5C">
        <w:rPr>
          <w:b/>
          <w:bCs/>
          <w:color w:val="6768AB"/>
          <w:sz w:val="20"/>
          <w:szCs w:val="18"/>
        </w:rPr>
        <w:fldChar w:fldCharType="begin"/>
      </w:r>
      <w:r w:rsidRPr="00672C5C">
        <w:rPr>
          <w:b/>
          <w:bCs/>
          <w:color w:val="6768AB"/>
          <w:sz w:val="20"/>
          <w:szCs w:val="18"/>
        </w:rPr>
        <w:instrText xml:space="preserve"> SEQ Граф. \* ARABIC \s 1 </w:instrText>
      </w:r>
      <w:r w:rsidRPr="00672C5C">
        <w:rPr>
          <w:b/>
          <w:bCs/>
          <w:color w:val="6768AB"/>
          <w:sz w:val="20"/>
          <w:szCs w:val="18"/>
        </w:rPr>
        <w:fldChar w:fldCharType="separate"/>
      </w:r>
      <w:r w:rsidR="00541E16">
        <w:rPr>
          <w:b/>
          <w:bCs/>
          <w:noProof/>
          <w:color w:val="6768AB"/>
          <w:sz w:val="20"/>
          <w:szCs w:val="18"/>
        </w:rPr>
        <w:t>1</w:t>
      </w:r>
      <w:r w:rsidRPr="00672C5C">
        <w:rPr>
          <w:b/>
          <w:bCs/>
          <w:noProof/>
          <w:color w:val="6768AB"/>
          <w:sz w:val="20"/>
          <w:szCs w:val="18"/>
        </w:rPr>
        <w:fldChar w:fldCharType="end"/>
      </w:r>
      <w:r w:rsidRPr="00672C5C">
        <w:rPr>
          <w:b/>
          <w:bCs/>
          <w:color w:val="6768AB"/>
          <w:sz w:val="20"/>
          <w:szCs w:val="18"/>
        </w:rPr>
        <w:t>: Индикатори за устойчивост</w:t>
      </w:r>
    </w:p>
    <w:tbl>
      <w:tblPr>
        <w:tblStyle w:val="Style18"/>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CellMar>
          <w:left w:w="57" w:type="dxa"/>
          <w:right w:w="57" w:type="dxa"/>
        </w:tblCellMar>
        <w:tblLook w:val="0620" w:firstRow="1" w:lastRow="0" w:firstColumn="0" w:lastColumn="0" w:noHBand="1" w:noVBand="1"/>
      </w:tblPr>
      <w:tblGrid>
        <w:gridCol w:w="3819"/>
        <w:gridCol w:w="1311"/>
        <w:gridCol w:w="1314"/>
        <w:gridCol w:w="1311"/>
        <w:gridCol w:w="1309"/>
      </w:tblGrid>
      <w:tr w:rsidR="00BD75E1" w:rsidRPr="000A2DE6" w14:paraId="23820086" w14:textId="77777777" w:rsidTr="000644E0">
        <w:trPr>
          <w:trHeight w:val="397"/>
          <w:jc w:val="center"/>
        </w:trPr>
        <w:tc>
          <w:tcPr>
            <w:tcW w:w="2107" w:type="pct"/>
            <w:shd w:val="clear" w:color="auto" w:fill="D8EDFC"/>
            <w:hideMark/>
          </w:tcPr>
          <w:p w14:paraId="4F7C9656" w14:textId="77777777" w:rsidR="00BD75E1" w:rsidRPr="000A2DE6" w:rsidRDefault="00BD75E1" w:rsidP="003F0A85">
            <w:pPr>
              <w:spacing w:after="0"/>
              <w:rPr>
                <w:b/>
                <w:sz w:val="20"/>
                <w:szCs w:val="18"/>
              </w:rPr>
            </w:pPr>
            <w:r w:rsidRPr="000A2DE6">
              <w:rPr>
                <w:b/>
                <w:sz w:val="20"/>
                <w:szCs w:val="18"/>
              </w:rPr>
              <w:t> </w:t>
            </w:r>
          </w:p>
        </w:tc>
        <w:tc>
          <w:tcPr>
            <w:tcW w:w="1448" w:type="pct"/>
            <w:gridSpan w:val="2"/>
            <w:shd w:val="clear" w:color="auto" w:fill="D8EDFC"/>
            <w:vAlign w:val="center"/>
            <w:hideMark/>
          </w:tcPr>
          <w:p w14:paraId="79A0480A" w14:textId="77777777" w:rsidR="00BD75E1" w:rsidRPr="000A2DE6" w:rsidRDefault="00BD75E1" w:rsidP="003F0A85">
            <w:pPr>
              <w:spacing w:after="0"/>
              <w:jc w:val="center"/>
              <w:rPr>
                <w:b/>
                <w:sz w:val="20"/>
                <w:szCs w:val="18"/>
              </w:rPr>
            </w:pPr>
            <w:r w:rsidRPr="000A2DE6">
              <w:rPr>
                <w:b/>
                <w:sz w:val="20"/>
                <w:szCs w:val="18"/>
              </w:rPr>
              <w:t>МФ</w:t>
            </w:r>
          </w:p>
        </w:tc>
        <w:tc>
          <w:tcPr>
            <w:tcW w:w="1445" w:type="pct"/>
            <w:gridSpan w:val="2"/>
            <w:shd w:val="clear" w:color="auto" w:fill="D8EDFC"/>
            <w:vAlign w:val="center"/>
            <w:hideMark/>
          </w:tcPr>
          <w:p w14:paraId="14F8AFEE" w14:textId="77777777" w:rsidR="00BD75E1" w:rsidRPr="000A2DE6" w:rsidRDefault="00BD75E1" w:rsidP="003F0A85">
            <w:pPr>
              <w:spacing w:after="0"/>
              <w:jc w:val="center"/>
              <w:rPr>
                <w:b/>
                <w:sz w:val="20"/>
                <w:szCs w:val="18"/>
              </w:rPr>
            </w:pPr>
            <w:r w:rsidRPr="000A2DE6">
              <w:rPr>
                <w:b/>
                <w:sz w:val="20"/>
                <w:szCs w:val="18"/>
              </w:rPr>
              <w:t>ЕК</w:t>
            </w:r>
          </w:p>
        </w:tc>
      </w:tr>
      <w:tr w:rsidR="00BD75E1" w:rsidRPr="000A2DE6" w14:paraId="24D2AFD0" w14:textId="77777777" w:rsidTr="000644E0">
        <w:trPr>
          <w:trHeight w:val="397"/>
          <w:jc w:val="center"/>
        </w:trPr>
        <w:tc>
          <w:tcPr>
            <w:tcW w:w="2107" w:type="pct"/>
            <w:vAlign w:val="center"/>
          </w:tcPr>
          <w:p w14:paraId="4D5ADDF6" w14:textId="77777777" w:rsidR="00BD75E1" w:rsidRPr="000A2DE6" w:rsidRDefault="00BD75E1" w:rsidP="003F0A85">
            <w:pPr>
              <w:spacing w:after="0"/>
              <w:rPr>
                <w:b/>
                <w:sz w:val="20"/>
                <w:szCs w:val="18"/>
              </w:rPr>
            </w:pPr>
          </w:p>
        </w:tc>
        <w:tc>
          <w:tcPr>
            <w:tcW w:w="723" w:type="pct"/>
            <w:vAlign w:val="center"/>
            <w:hideMark/>
          </w:tcPr>
          <w:p w14:paraId="3201F292" w14:textId="77777777" w:rsidR="00BD75E1" w:rsidRPr="000A2DE6" w:rsidRDefault="00BD75E1" w:rsidP="003F0A85">
            <w:pPr>
              <w:spacing w:after="0"/>
              <w:jc w:val="center"/>
              <w:rPr>
                <w:b/>
                <w:sz w:val="20"/>
                <w:szCs w:val="18"/>
              </w:rPr>
            </w:pPr>
            <w:r w:rsidRPr="000A2DE6">
              <w:rPr>
                <w:b/>
                <w:sz w:val="20"/>
                <w:szCs w:val="18"/>
              </w:rPr>
              <w:t>S1</w:t>
            </w:r>
          </w:p>
        </w:tc>
        <w:tc>
          <w:tcPr>
            <w:tcW w:w="724" w:type="pct"/>
            <w:vAlign w:val="center"/>
            <w:hideMark/>
          </w:tcPr>
          <w:p w14:paraId="0FC39A77" w14:textId="77777777" w:rsidR="00BD75E1" w:rsidRPr="000A2DE6" w:rsidRDefault="00BD75E1" w:rsidP="003F0A85">
            <w:pPr>
              <w:spacing w:after="0"/>
              <w:jc w:val="center"/>
              <w:rPr>
                <w:b/>
                <w:sz w:val="20"/>
                <w:szCs w:val="18"/>
              </w:rPr>
            </w:pPr>
            <w:r w:rsidRPr="000A2DE6">
              <w:rPr>
                <w:b/>
                <w:sz w:val="20"/>
                <w:szCs w:val="18"/>
              </w:rPr>
              <w:t>S2</w:t>
            </w:r>
          </w:p>
        </w:tc>
        <w:tc>
          <w:tcPr>
            <w:tcW w:w="723" w:type="pct"/>
            <w:tcBorders>
              <w:bottom w:val="single" w:sz="4" w:space="0" w:color="auto"/>
            </w:tcBorders>
            <w:vAlign w:val="center"/>
            <w:hideMark/>
          </w:tcPr>
          <w:p w14:paraId="5E098F63" w14:textId="77777777" w:rsidR="00BD75E1" w:rsidRPr="000A2DE6" w:rsidRDefault="00BD75E1" w:rsidP="003F0A85">
            <w:pPr>
              <w:spacing w:after="0"/>
              <w:jc w:val="center"/>
              <w:rPr>
                <w:b/>
                <w:sz w:val="20"/>
                <w:szCs w:val="18"/>
              </w:rPr>
            </w:pPr>
            <w:r w:rsidRPr="000A2DE6">
              <w:rPr>
                <w:b/>
                <w:sz w:val="20"/>
                <w:szCs w:val="18"/>
              </w:rPr>
              <w:t>S1</w:t>
            </w:r>
          </w:p>
        </w:tc>
        <w:tc>
          <w:tcPr>
            <w:tcW w:w="722" w:type="pct"/>
            <w:tcBorders>
              <w:bottom w:val="single" w:sz="4" w:space="0" w:color="auto"/>
            </w:tcBorders>
            <w:vAlign w:val="center"/>
            <w:hideMark/>
          </w:tcPr>
          <w:p w14:paraId="2FCE9FBC" w14:textId="77777777" w:rsidR="00BD75E1" w:rsidRPr="000A2DE6" w:rsidRDefault="00BD75E1" w:rsidP="003F0A85">
            <w:pPr>
              <w:spacing w:after="0"/>
              <w:jc w:val="center"/>
              <w:rPr>
                <w:b/>
                <w:sz w:val="20"/>
                <w:szCs w:val="18"/>
              </w:rPr>
            </w:pPr>
            <w:r w:rsidRPr="000A2DE6">
              <w:rPr>
                <w:b/>
                <w:sz w:val="20"/>
                <w:szCs w:val="18"/>
              </w:rPr>
              <w:t>S2</w:t>
            </w:r>
          </w:p>
        </w:tc>
      </w:tr>
      <w:tr w:rsidR="00F64279" w:rsidRPr="000A2DE6" w14:paraId="699E6874" w14:textId="77777777" w:rsidTr="000644E0">
        <w:trPr>
          <w:trHeight w:val="397"/>
          <w:jc w:val="center"/>
        </w:trPr>
        <w:tc>
          <w:tcPr>
            <w:tcW w:w="2107" w:type="pct"/>
            <w:vAlign w:val="center"/>
            <w:hideMark/>
          </w:tcPr>
          <w:p w14:paraId="41AF8119" w14:textId="77777777" w:rsidR="00F64279" w:rsidRPr="000A2DE6" w:rsidRDefault="00F64279" w:rsidP="00F64279">
            <w:pPr>
              <w:spacing w:after="0"/>
              <w:rPr>
                <w:sz w:val="20"/>
                <w:szCs w:val="18"/>
              </w:rPr>
            </w:pPr>
            <w:r w:rsidRPr="000A2DE6">
              <w:rPr>
                <w:sz w:val="20"/>
                <w:szCs w:val="18"/>
              </w:rPr>
              <w:t>Стойност, от която:</w:t>
            </w:r>
          </w:p>
        </w:tc>
        <w:tc>
          <w:tcPr>
            <w:tcW w:w="723" w:type="pct"/>
            <w:vAlign w:val="center"/>
            <w:hideMark/>
          </w:tcPr>
          <w:p w14:paraId="04F88150" w14:textId="1D12C5BC" w:rsidR="00F64279" w:rsidRPr="000A2DE6" w:rsidRDefault="00F64279" w:rsidP="00F64279">
            <w:pPr>
              <w:spacing w:after="0"/>
              <w:jc w:val="center"/>
              <w:rPr>
                <w:sz w:val="20"/>
                <w:szCs w:val="18"/>
                <w:lang w:val="en-US"/>
              </w:rPr>
            </w:pPr>
            <w:r w:rsidRPr="000A2DE6">
              <w:rPr>
                <w:sz w:val="20"/>
                <w:szCs w:val="18"/>
                <w:lang w:val="en-US"/>
              </w:rPr>
              <w:t>0.1</w:t>
            </w:r>
          </w:p>
        </w:tc>
        <w:tc>
          <w:tcPr>
            <w:tcW w:w="724" w:type="pct"/>
            <w:vAlign w:val="center"/>
            <w:hideMark/>
          </w:tcPr>
          <w:p w14:paraId="4C859CC0" w14:textId="35DABBA0" w:rsidR="00F64279" w:rsidRPr="000A2DE6" w:rsidRDefault="00F64279" w:rsidP="00F64279">
            <w:pPr>
              <w:spacing w:after="0"/>
              <w:jc w:val="center"/>
              <w:rPr>
                <w:sz w:val="20"/>
                <w:szCs w:val="18"/>
                <w:lang w:val="en-US"/>
              </w:rPr>
            </w:pPr>
            <w:r w:rsidRPr="000A2DE6">
              <w:rPr>
                <w:sz w:val="20"/>
                <w:szCs w:val="18"/>
                <w:lang w:val="en-US"/>
              </w:rPr>
              <w:t>2.9</w:t>
            </w:r>
          </w:p>
        </w:tc>
        <w:tc>
          <w:tcPr>
            <w:tcW w:w="723" w:type="pct"/>
            <w:tcBorders>
              <w:top w:val="single" w:sz="4" w:space="0" w:color="auto"/>
              <w:left w:val="nil"/>
              <w:bottom w:val="single" w:sz="4" w:space="0" w:color="auto"/>
              <w:right w:val="single" w:sz="4" w:space="0" w:color="auto"/>
            </w:tcBorders>
            <w:hideMark/>
          </w:tcPr>
          <w:p w14:paraId="3CDB3E8D" w14:textId="39068B86" w:rsidR="00F64279" w:rsidRPr="000A2DE6" w:rsidRDefault="00F64279" w:rsidP="00F64279">
            <w:pPr>
              <w:spacing w:before="40" w:after="40"/>
              <w:jc w:val="center"/>
              <w:rPr>
                <w:rFonts w:eastAsia="Times New Roman"/>
                <w:bCs/>
                <w:sz w:val="20"/>
                <w:szCs w:val="18"/>
              </w:rPr>
            </w:pPr>
            <w:r w:rsidRPr="000A2DE6">
              <w:rPr>
                <w:rFonts w:eastAsia="Times New Roman"/>
                <w:bCs/>
                <w:sz w:val="20"/>
                <w:szCs w:val="18"/>
              </w:rPr>
              <w:t>-1.4</w:t>
            </w:r>
          </w:p>
        </w:tc>
        <w:tc>
          <w:tcPr>
            <w:tcW w:w="722" w:type="pct"/>
            <w:tcBorders>
              <w:top w:val="single" w:sz="4" w:space="0" w:color="auto"/>
              <w:left w:val="single" w:sz="4" w:space="0" w:color="auto"/>
              <w:bottom w:val="single" w:sz="4" w:space="0" w:color="auto"/>
              <w:right w:val="single" w:sz="4" w:space="0" w:color="auto"/>
            </w:tcBorders>
            <w:hideMark/>
          </w:tcPr>
          <w:p w14:paraId="41FB8808" w14:textId="27D46882" w:rsidR="00F64279" w:rsidRPr="000A2DE6" w:rsidRDefault="00F64279" w:rsidP="00F64279">
            <w:pPr>
              <w:spacing w:before="40" w:after="40"/>
              <w:jc w:val="center"/>
              <w:rPr>
                <w:rFonts w:eastAsia="Times New Roman"/>
                <w:bCs/>
                <w:sz w:val="20"/>
                <w:szCs w:val="18"/>
              </w:rPr>
            </w:pPr>
            <w:r w:rsidRPr="000A2DE6">
              <w:rPr>
                <w:rFonts w:eastAsia="Times New Roman"/>
                <w:bCs/>
                <w:sz w:val="20"/>
                <w:szCs w:val="18"/>
              </w:rPr>
              <w:t>3.4</w:t>
            </w:r>
          </w:p>
        </w:tc>
      </w:tr>
      <w:tr w:rsidR="00F64279" w:rsidRPr="000A2DE6" w14:paraId="2EAA3FA9" w14:textId="77777777" w:rsidTr="000644E0">
        <w:trPr>
          <w:trHeight w:val="397"/>
          <w:jc w:val="center"/>
        </w:trPr>
        <w:tc>
          <w:tcPr>
            <w:tcW w:w="2107" w:type="pct"/>
            <w:vAlign w:val="center"/>
            <w:hideMark/>
          </w:tcPr>
          <w:p w14:paraId="7D1A2A44" w14:textId="77777777" w:rsidR="00F64279" w:rsidRPr="000A2DE6" w:rsidRDefault="00F64279" w:rsidP="00F64279">
            <w:pPr>
              <w:spacing w:after="0"/>
              <w:ind w:left="170"/>
              <w:rPr>
                <w:sz w:val="20"/>
                <w:szCs w:val="18"/>
              </w:rPr>
            </w:pPr>
            <w:r w:rsidRPr="000A2DE6">
              <w:rPr>
                <w:sz w:val="20"/>
                <w:szCs w:val="18"/>
              </w:rPr>
              <w:t>Начална бюджетна позиция</w:t>
            </w:r>
          </w:p>
        </w:tc>
        <w:tc>
          <w:tcPr>
            <w:tcW w:w="723" w:type="pct"/>
            <w:vAlign w:val="center"/>
            <w:hideMark/>
          </w:tcPr>
          <w:p w14:paraId="6FD463C4" w14:textId="7047AEDD" w:rsidR="00F64279" w:rsidRPr="000A2DE6" w:rsidRDefault="00F64279" w:rsidP="00F64279">
            <w:pPr>
              <w:spacing w:after="0"/>
              <w:jc w:val="center"/>
              <w:rPr>
                <w:sz w:val="20"/>
                <w:szCs w:val="18"/>
                <w:lang w:val="en-US"/>
              </w:rPr>
            </w:pPr>
            <w:r w:rsidRPr="000A2DE6">
              <w:rPr>
                <w:sz w:val="20"/>
                <w:szCs w:val="18"/>
                <w:lang w:val="en-US"/>
              </w:rPr>
              <w:t>3.1</w:t>
            </w:r>
          </w:p>
        </w:tc>
        <w:tc>
          <w:tcPr>
            <w:tcW w:w="724" w:type="pct"/>
            <w:vAlign w:val="center"/>
            <w:hideMark/>
          </w:tcPr>
          <w:p w14:paraId="42045A27" w14:textId="370CA870" w:rsidR="00F64279" w:rsidRPr="000A2DE6" w:rsidRDefault="00F64279" w:rsidP="00F64279">
            <w:pPr>
              <w:spacing w:after="0"/>
              <w:jc w:val="center"/>
              <w:rPr>
                <w:sz w:val="20"/>
                <w:szCs w:val="18"/>
                <w:lang w:val="en-US"/>
              </w:rPr>
            </w:pPr>
            <w:r w:rsidRPr="000A2DE6">
              <w:rPr>
                <w:sz w:val="20"/>
                <w:szCs w:val="18"/>
                <w:lang w:val="en-US"/>
              </w:rPr>
              <w:t>3.8</w:t>
            </w:r>
          </w:p>
        </w:tc>
        <w:tc>
          <w:tcPr>
            <w:tcW w:w="723" w:type="pct"/>
            <w:tcBorders>
              <w:top w:val="single" w:sz="4" w:space="0" w:color="auto"/>
              <w:left w:val="nil"/>
              <w:bottom w:val="single" w:sz="4" w:space="0" w:color="auto"/>
              <w:right w:val="single" w:sz="4" w:space="0" w:color="auto"/>
            </w:tcBorders>
            <w:hideMark/>
          </w:tcPr>
          <w:p w14:paraId="3C035F10" w14:textId="41118F6F" w:rsidR="00F64279" w:rsidRPr="000A2DE6" w:rsidRDefault="00F64279" w:rsidP="00F64279">
            <w:pPr>
              <w:spacing w:before="40" w:after="40"/>
              <w:jc w:val="center"/>
              <w:rPr>
                <w:rFonts w:eastAsia="Times New Roman"/>
                <w:bCs/>
                <w:sz w:val="20"/>
                <w:szCs w:val="18"/>
              </w:rPr>
            </w:pPr>
            <w:r w:rsidRPr="000A2DE6">
              <w:rPr>
                <w:rFonts w:eastAsia="Times New Roman"/>
                <w:bCs/>
                <w:sz w:val="20"/>
                <w:szCs w:val="18"/>
              </w:rPr>
              <w:t>1.1</w:t>
            </w:r>
          </w:p>
        </w:tc>
        <w:tc>
          <w:tcPr>
            <w:tcW w:w="722" w:type="pct"/>
            <w:tcBorders>
              <w:top w:val="single" w:sz="4" w:space="0" w:color="auto"/>
              <w:left w:val="single" w:sz="4" w:space="0" w:color="auto"/>
              <w:bottom w:val="single" w:sz="4" w:space="0" w:color="auto"/>
              <w:right w:val="single" w:sz="4" w:space="0" w:color="auto"/>
            </w:tcBorders>
            <w:hideMark/>
          </w:tcPr>
          <w:p w14:paraId="6862BAEF" w14:textId="1484A4D0" w:rsidR="00F64279" w:rsidRPr="000A2DE6" w:rsidRDefault="00F64279" w:rsidP="00F64279">
            <w:pPr>
              <w:spacing w:before="40" w:after="40"/>
              <w:jc w:val="center"/>
              <w:rPr>
                <w:rFonts w:eastAsia="Times New Roman"/>
                <w:bCs/>
                <w:sz w:val="20"/>
                <w:szCs w:val="18"/>
              </w:rPr>
            </w:pPr>
            <w:r w:rsidRPr="000A2DE6">
              <w:rPr>
                <w:rFonts w:eastAsia="Times New Roman"/>
                <w:bCs/>
                <w:sz w:val="20"/>
                <w:szCs w:val="18"/>
              </w:rPr>
              <w:t>2.1</w:t>
            </w:r>
          </w:p>
        </w:tc>
      </w:tr>
      <w:tr w:rsidR="00F64279" w:rsidRPr="000A2DE6" w14:paraId="434D1B07" w14:textId="77777777" w:rsidTr="000644E0">
        <w:trPr>
          <w:trHeight w:val="397"/>
          <w:jc w:val="center"/>
        </w:trPr>
        <w:tc>
          <w:tcPr>
            <w:tcW w:w="2107" w:type="pct"/>
            <w:vAlign w:val="center"/>
            <w:hideMark/>
          </w:tcPr>
          <w:p w14:paraId="54591241" w14:textId="77777777" w:rsidR="00F64279" w:rsidRPr="000A2DE6" w:rsidRDefault="00F64279" w:rsidP="00F64279">
            <w:pPr>
              <w:spacing w:after="0"/>
              <w:ind w:left="170"/>
              <w:rPr>
                <w:sz w:val="20"/>
                <w:szCs w:val="18"/>
              </w:rPr>
            </w:pPr>
            <w:r w:rsidRPr="000A2DE6">
              <w:rPr>
                <w:sz w:val="20"/>
                <w:szCs w:val="18"/>
              </w:rPr>
              <w:t xml:space="preserve">Дългово ограничение </w:t>
            </w:r>
          </w:p>
        </w:tc>
        <w:tc>
          <w:tcPr>
            <w:tcW w:w="723" w:type="pct"/>
            <w:vAlign w:val="center"/>
            <w:hideMark/>
          </w:tcPr>
          <w:p w14:paraId="781E3BF9" w14:textId="60E128DB" w:rsidR="00F64279" w:rsidRPr="000A2DE6" w:rsidRDefault="00F64279" w:rsidP="00F64279">
            <w:pPr>
              <w:spacing w:after="0"/>
              <w:jc w:val="center"/>
              <w:rPr>
                <w:sz w:val="20"/>
                <w:szCs w:val="18"/>
                <w:lang w:val="en-US"/>
              </w:rPr>
            </w:pPr>
            <w:r w:rsidRPr="000A2DE6">
              <w:rPr>
                <w:sz w:val="20"/>
                <w:szCs w:val="18"/>
              </w:rPr>
              <w:t>-2.</w:t>
            </w:r>
            <w:r w:rsidRPr="000A2DE6">
              <w:rPr>
                <w:sz w:val="20"/>
                <w:szCs w:val="18"/>
                <w:lang w:val="en-US"/>
              </w:rPr>
              <w:t>0</w:t>
            </w:r>
          </w:p>
        </w:tc>
        <w:tc>
          <w:tcPr>
            <w:tcW w:w="724" w:type="pct"/>
            <w:vAlign w:val="center"/>
          </w:tcPr>
          <w:p w14:paraId="3AEFC308" w14:textId="77777777" w:rsidR="00F64279" w:rsidRPr="000A2DE6" w:rsidRDefault="00F64279" w:rsidP="00F64279">
            <w:pPr>
              <w:spacing w:after="0"/>
              <w:jc w:val="center"/>
              <w:rPr>
                <w:sz w:val="20"/>
                <w:szCs w:val="18"/>
              </w:rPr>
            </w:pPr>
          </w:p>
        </w:tc>
        <w:tc>
          <w:tcPr>
            <w:tcW w:w="723" w:type="pct"/>
            <w:tcBorders>
              <w:top w:val="single" w:sz="4" w:space="0" w:color="auto"/>
              <w:left w:val="nil"/>
              <w:bottom w:val="single" w:sz="4" w:space="0" w:color="auto"/>
              <w:right w:val="single" w:sz="4" w:space="0" w:color="auto"/>
            </w:tcBorders>
            <w:hideMark/>
          </w:tcPr>
          <w:p w14:paraId="1B19E240" w14:textId="69A430D7" w:rsidR="00F64279" w:rsidRPr="000A2DE6" w:rsidRDefault="00F64279" w:rsidP="00F64279">
            <w:pPr>
              <w:spacing w:before="40" w:after="40"/>
              <w:jc w:val="center"/>
              <w:rPr>
                <w:rFonts w:eastAsia="Times New Roman"/>
                <w:bCs/>
                <w:sz w:val="20"/>
                <w:szCs w:val="18"/>
              </w:rPr>
            </w:pPr>
            <w:r w:rsidRPr="000A2DE6">
              <w:rPr>
                <w:rFonts w:eastAsia="Times New Roman"/>
                <w:bCs/>
                <w:sz w:val="20"/>
                <w:szCs w:val="18"/>
              </w:rPr>
              <w:t>-2.5</w:t>
            </w:r>
          </w:p>
        </w:tc>
        <w:tc>
          <w:tcPr>
            <w:tcW w:w="722" w:type="pct"/>
            <w:tcBorders>
              <w:top w:val="single" w:sz="4" w:space="0" w:color="auto"/>
              <w:left w:val="single" w:sz="4" w:space="0" w:color="auto"/>
              <w:bottom w:val="single" w:sz="4" w:space="0" w:color="auto"/>
              <w:right w:val="single" w:sz="4" w:space="0" w:color="auto"/>
            </w:tcBorders>
          </w:tcPr>
          <w:p w14:paraId="4B096AA5" w14:textId="77777777" w:rsidR="00F64279" w:rsidRPr="000A2DE6" w:rsidRDefault="00F64279" w:rsidP="00F64279">
            <w:pPr>
              <w:spacing w:before="40" w:after="40"/>
              <w:jc w:val="center"/>
              <w:rPr>
                <w:rFonts w:eastAsia="Times New Roman"/>
                <w:bCs/>
                <w:sz w:val="20"/>
                <w:szCs w:val="18"/>
              </w:rPr>
            </w:pPr>
          </w:p>
        </w:tc>
      </w:tr>
      <w:tr w:rsidR="00F64279" w:rsidRPr="000A2DE6" w14:paraId="1EB07BB1" w14:textId="77777777" w:rsidTr="000644E0">
        <w:trPr>
          <w:trHeight w:val="397"/>
          <w:jc w:val="center"/>
        </w:trPr>
        <w:tc>
          <w:tcPr>
            <w:tcW w:w="2107" w:type="pct"/>
            <w:vAlign w:val="center"/>
            <w:hideMark/>
          </w:tcPr>
          <w:p w14:paraId="0012A248" w14:textId="77777777" w:rsidR="00F64279" w:rsidRPr="000A2DE6" w:rsidRDefault="00F64279" w:rsidP="00F64279">
            <w:pPr>
              <w:spacing w:after="0"/>
              <w:ind w:left="170"/>
              <w:rPr>
                <w:sz w:val="20"/>
                <w:szCs w:val="18"/>
              </w:rPr>
            </w:pPr>
            <w:r w:rsidRPr="000A2DE6">
              <w:rPr>
                <w:sz w:val="20"/>
                <w:szCs w:val="18"/>
              </w:rPr>
              <w:t>Бъдещи промени в бюджетната позиция</w:t>
            </w:r>
          </w:p>
        </w:tc>
        <w:tc>
          <w:tcPr>
            <w:tcW w:w="723" w:type="pct"/>
            <w:vAlign w:val="center"/>
            <w:hideMark/>
          </w:tcPr>
          <w:p w14:paraId="65E84340" w14:textId="26A3593D" w:rsidR="00F64279" w:rsidRPr="000A2DE6" w:rsidRDefault="00F64279" w:rsidP="00F64279">
            <w:pPr>
              <w:spacing w:after="0"/>
              <w:jc w:val="center"/>
              <w:rPr>
                <w:sz w:val="20"/>
                <w:szCs w:val="18"/>
                <w:lang w:val="en-US"/>
              </w:rPr>
            </w:pPr>
            <w:r w:rsidRPr="000A2DE6">
              <w:rPr>
                <w:sz w:val="20"/>
                <w:szCs w:val="18"/>
                <w:lang w:val="en-US"/>
              </w:rPr>
              <w:t>-1.0</w:t>
            </w:r>
          </w:p>
        </w:tc>
        <w:tc>
          <w:tcPr>
            <w:tcW w:w="724" w:type="pct"/>
            <w:vAlign w:val="center"/>
            <w:hideMark/>
          </w:tcPr>
          <w:p w14:paraId="1A68D6B4" w14:textId="0B523D13" w:rsidR="00F64279" w:rsidRPr="000A2DE6" w:rsidRDefault="00F64279" w:rsidP="00F64279">
            <w:pPr>
              <w:spacing w:after="0"/>
              <w:jc w:val="center"/>
              <w:rPr>
                <w:sz w:val="20"/>
                <w:szCs w:val="18"/>
                <w:lang w:val="en-US"/>
              </w:rPr>
            </w:pPr>
            <w:r w:rsidRPr="000A2DE6">
              <w:rPr>
                <w:sz w:val="20"/>
                <w:szCs w:val="18"/>
                <w:lang w:val="en-US"/>
              </w:rPr>
              <w:t>-0.9</w:t>
            </w:r>
          </w:p>
        </w:tc>
        <w:tc>
          <w:tcPr>
            <w:tcW w:w="723" w:type="pct"/>
            <w:tcBorders>
              <w:top w:val="single" w:sz="4" w:space="0" w:color="auto"/>
              <w:left w:val="nil"/>
              <w:bottom w:val="single" w:sz="4" w:space="0" w:color="auto"/>
              <w:right w:val="single" w:sz="4" w:space="0" w:color="auto"/>
            </w:tcBorders>
            <w:hideMark/>
          </w:tcPr>
          <w:p w14:paraId="43018072" w14:textId="5A1333B4" w:rsidR="00F64279" w:rsidRPr="000A2DE6" w:rsidRDefault="00F64279" w:rsidP="00F64279">
            <w:pPr>
              <w:spacing w:before="40" w:after="40"/>
              <w:jc w:val="center"/>
              <w:rPr>
                <w:rFonts w:eastAsia="Times New Roman"/>
                <w:bCs/>
                <w:sz w:val="20"/>
                <w:szCs w:val="18"/>
              </w:rPr>
            </w:pPr>
            <w:r w:rsidRPr="000A2DE6">
              <w:rPr>
                <w:rFonts w:eastAsia="Times New Roman"/>
                <w:bCs/>
                <w:sz w:val="20"/>
                <w:szCs w:val="18"/>
              </w:rPr>
              <w:t>0</w:t>
            </w:r>
          </w:p>
        </w:tc>
        <w:tc>
          <w:tcPr>
            <w:tcW w:w="722" w:type="pct"/>
            <w:tcBorders>
              <w:top w:val="single" w:sz="4" w:space="0" w:color="auto"/>
              <w:left w:val="single" w:sz="4" w:space="0" w:color="auto"/>
              <w:bottom w:val="single" w:sz="4" w:space="0" w:color="auto"/>
              <w:right w:val="single" w:sz="4" w:space="0" w:color="auto"/>
            </w:tcBorders>
            <w:hideMark/>
          </w:tcPr>
          <w:p w14:paraId="2BA97313" w14:textId="58F4A8ED" w:rsidR="00F64279" w:rsidRPr="000A2DE6" w:rsidRDefault="00F64279" w:rsidP="00F64279">
            <w:pPr>
              <w:spacing w:before="40" w:after="40"/>
              <w:jc w:val="center"/>
              <w:rPr>
                <w:rFonts w:eastAsia="Times New Roman"/>
                <w:bCs/>
                <w:sz w:val="20"/>
                <w:szCs w:val="18"/>
              </w:rPr>
            </w:pPr>
            <w:r w:rsidRPr="000A2DE6">
              <w:rPr>
                <w:rFonts w:eastAsia="Times New Roman"/>
                <w:bCs/>
                <w:sz w:val="20"/>
                <w:szCs w:val="18"/>
              </w:rPr>
              <w:t>1.3</w:t>
            </w:r>
          </w:p>
        </w:tc>
      </w:tr>
    </w:tbl>
    <w:p w14:paraId="7385FC54" w14:textId="77777777" w:rsidR="00BD75E1" w:rsidRDefault="00BD75E1" w:rsidP="00BD75E1">
      <w:pPr>
        <w:spacing w:before="60" w:after="240"/>
        <w:jc w:val="right"/>
        <w:rPr>
          <w:rFonts w:eastAsia="Calibri"/>
          <w:sz w:val="18"/>
          <w:szCs w:val="24"/>
        </w:rPr>
      </w:pPr>
      <w:r w:rsidRPr="00672C5C">
        <w:rPr>
          <w:rFonts w:eastAsia="Calibri"/>
          <w:sz w:val="18"/>
          <w:szCs w:val="24"/>
        </w:rPr>
        <w:t xml:space="preserve">Източник: МФ, </w:t>
      </w:r>
      <w:r w:rsidRPr="00767028">
        <w:rPr>
          <w:rFonts w:eastAsia="Calibri"/>
          <w:sz w:val="18"/>
          <w:szCs w:val="24"/>
          <w:lang w:val="en-US"/>
        </w:rPr>
        <w:t>Fiscal Sustainability Report 20</w:t>
      </w:r>
      <w:r w:rsidRPr="00767028">
        <w:rPr>
          <w:rFonts w:eastAsia="Calibri"/>
          <w:sz w:val="18"/>
          <w:szCs w:val="24"/>
        </w:rPr>
        <w:t>21</w:t>
      </w:r>
    </w:p>
    <w:p w14:paraId="762E2A35" w14:textId="185FD7BD" w:rsidR="00BD75E1" w:rsidRPr="00F64279" w:rsidRDefault="00BD75E1" w:rsidP="00F64279">
      <w:pPr>
        <w:rPr>
          <w:rFonts w:eastAsia="Calibri"/>
          <w:sz w:val="18"/>
          <w:szCs w:val="24"/>
          <w:lang w:val="en-US"/>
        </w:rPr>
      </w:pPr>
      <w:r w:rsidRPr="00F16971">
        <w:t xml:space="preserve">В таблицата са представени оценките на МФ за индикаторите за устойчивост и тези на ЕК от </w:t>
      </w:r>
      <w:r w:rsidRPr="00F16971">
        <w:rPr>
          <w:bCs/>
        </w:rPr>
        <w:t>Доклада за устойчивост на публичните финанси на ЕК</w:t>
      </w:r>
      <w:r w:rsidRPr="00F16971">
        <w:rPr>
          <w:bCs/>
          <w:vertAlign w:val="superscript"/>
        </w:rPr>
        <w:footnoteReference w:id="23"/>
      </w:r>
      <w:r w:rsidRPr="00F16971">
        <w:rPr>
          <w:bCs/>
        </w:rPr>
        <w:t>, публикуван през април 2022</w:t>
      </w:r>
      <w:r w:rsidR="00B552D5">
        <w:rPr>
          <w:bCs/>
        </w:rPr>
        <w:t> г.</w:t>
      </w:r>
      <w:r w:rsidRPr="00F16971">
        <w:rPr>
          <w:bCs/>
        </w:rPr>
        <w:t xml:space="preserve"> </w:t>
      </w:r>
      <w:r w:rsidRPr="00F16971">
        <w:t xml:space="preserve">Наличието на разлики в стойностите на индикаторите S1 и S2 между двете институции в голяма степен се дължи на различни очаквания за икономическия растеж, дълга и бюджетния баланс в средносрочен план, като оценките на Комисията се базират </w:t>
      </w:r>
      <w:r w:rsidRPr="00F16971">
        <w:lastRenderedPageBreak/>
        <w:t>на прогнози от есента на 2021</w:t>
      </w:r>
      <w:r w:rsidR="00B552D5">
        <w:t> г.</w:t>
      </w:r>
      <w:r w:rsidRPr="00F16971">
        <w:t xml:space="preserve"> Освен това оценката за устойчивостта на фискалната политика е силно зависима от перспективите за </w:t>
      </w:r>
      <w:r w:rsidRPr="00830E1D">
        <w:t>дългосрочно развитие на икономиката. Наличието на разлики в стойностите на индикаторите S1 и S2 между двете институции се дължи и на разлики в очакванията за бъдещи промени в бюджетната позиция, които са свързани с разходите за пенсии, здравеопазване и образование. При изготвянето на своята дългосрочна макроикономическа прогноза и съответните оценки за разходи, свързани със застаряването на населението, МФ използва допускания, залегнали в Доклада по застаряване на населението от 2021</w:t>
      </w:r>
      <w:r w:rsidR="00B552D5">
        <w:t> г.</w:t>
      </w:r>
      <w:r w:rsidRPr="00830E1D">
        <w:t xml:space="preserve">, прогноза за разходите за пенсии, подадена от Националния осигурителен институт и прогнози за разходите за здравеопазване и образование, получени от дългосрочния модел на МФ. </w:t>
      </w:r>
    </w:p>
    <w:p w14:paraId="2E51D683" w14:textId="6005B44C" w:rsidR="00F64279" w:rsidRPr="00F847BB" w:rsidRDefault="00F64279" w:rsidP="00F64279">
      <w:pPr>
        <w:rPr>
          <w:rFonts w:eastAsia="Calibri"/>
          <w:bCs/>
          <w:szCs w:val="24"/>
        </w:rPr>
      </w:pPr>
      <w:r w:rsidRPr="005369DF">
        <w:rPr>
          <w:rFonts w:eastAsia="Calibri"/>
          <w:bCs/>
          <w:szCs w:val="24"/>
        </w:rPr>
        <w:t xml:space="preserve">Оценките показват, че </w:t>
      </w:r>
      <w:r>
        <w:rPr>
          <w:rFonts w:eastAsia="Calibri"/>
          <w:bCs/>
          <w:szCs w:val="24"/>
        </w:rPr>
        <w:t>увеличението</w:t>
      </w:r>
      <w:r w:rsidRPr="005369DF">
        <w:rPr>
          <w:rFonts w:eastAsia="Calibri"/>
          <w:bCs/>
          <w:szCs w:val="24"/>
        </w:rPr>
        <w:t xml:space="preserve"> на дълга в рамките на прогнозния период до 202</w:t>
      </w:r>
      <w:r>
        <w:rPr>
          <w:rFonts w:eastAsia="Calibri"/>
          <w:bCs/>
          <w:szCs w:val="24"/>
        </w:rPr>
        <w:t>6</w:t>
      </w:r>
      <w:r w:rsidR="00B552D5">
        <w:rPr>
          <w:rFonts w:eastAsia="Calibri"/>
          <w:bCs/>
          <w:szCs w:val="24"/>
        </w:rPr>
        <w:t> г.</w:t>
      </w:r>
      <w:r w:rsidRPr="005369DF">
        <w:rPr>
          <w:rFonts w:eastAsia="Calibri"/>
          <w:bCs/>
          <w:szCs w:val="24"/>
        </w:rPr>
        <w:t xml:space="preserve"> може да представлява риск за фискалната устойчивост на страната. Индикаторът S1 е положителен, което според референтните стойности на ЕК</w:t>
      </w:r>
      <w:r>
        <w:rPr>
          <w:rStyle w:val="FootnoteReference"/>
          <w:bCs/>
        </w:rPr>
        <w:footnoteReference w:id="24"/>
      </w:r>
      <w:r w:rsidRPr="005369DF">
        <w:rPr>
          <w:rFonts w:eastAsia="Calibri"/>
          <w:bCs/>
          <w:szCs w:val="24"/>
        </w:rPr>
        <w:t xml:space="preserve"> означава умерен риск в средносрочен план и предполага действия за подобрение със съответната стойност на първичния структурен баланс, за да се осигури поддържане на нивото на дълга под 60% от БВП в средносрочен хоризонт. Стойността на индикатора S2 също показва умерен риск пред фискалната устойчивост в дългосрочен план.</w:t>
      </w:r>
    </w:p>
    <w:p w14:paraId="427BE45B" w14:textId="77777777" w:rsidR="00BD75E1" w:rsidRPr="004020E2" w:rsidRDefault="00BD75E1" w:rsidP="00BD75E1">
      <w:pPr>
        <w:spacing w:before="120" w:after="0"/>
      </w:pPr>
      <w:r w:rsidRPr="004020E2">
        <w:t>Направена е оценка и за чувствителността на дълга, която представя набор от възможни сценарии за развитието на консолидирания дълг на сектор „Държавно управление“ (наричан накратко в настоящия анализ държавен дълг) като процент от БВП. На база на чувствителността се прави оценка и на устойчивостта на дълга по критерии разработени от ЕК</w:t>
      </w:r>
      <w:r w:rsidRPr="004020E2">
        <w:rPr>
          <w:vertAlign w:val="superscript"/>
        </w:rPr>
        <w:footnoteReference w:id="25"/>
      </w:r>
      <w:r w:rsidRPr="004020E2">
        <w:t>.</w:t>
      </w:r>
    </w:p>
    <w:p w14:paraId="25F4473C" w14:textId="7333009E" w:rsidR="00BD75E1" w:rsidRPr="004020E2" w:rsidRDefault="00BD75E1" w:rsidP="00BD75E1">
      <w:pPr>
        <w:spacing w:before="120" w:after="0"/>
      </w:pPr>
      <w:r w:rsidRPr="004020E2">
        <w:t>Разгледани са четири алтернативни сценария, които представят възможните ефекти върху съотношението държавен дълг към БВП за период от 10 години след текущата</w:t>
      </w:r>
      <w:r>
        <w:rPr>
          <w:lang w:val="en-US"/>
        </w:rPr>
        <w:t xml:space="preserve"> (2023</w:t>
      </w:r>
      <w:r w:rsidR="00B552D5">
        <w:rPr>
          <w:lang w:val="en-US"/>
        </w:rPr>
        <w:t> г.</w:t>
      </w:r>
      <w:r>
        <w:rPr>
          <w:lang w:val="en-US"/>
        </w:rPr>
        <w:t>)</w:t>
      </w:r>
      <w:r w:rsidRPr="004020E2">
        <w:t>, при следните допускания:</w:t>
      </w:r>
    </w:p>
    <w:p w14:paraId="275D89E9" w14:textId="022D0A56" w:rsidR="00BD75E1" w:rsidRPr="004020E2" w:rsidRDefault="00BD75E1" w:rsidP="00493D7E">
      <w:pPr>
        <w:pStyle w:val="ListParagraph"/>
        <w:numPr>
          <w:ilvl w:val="0"/>
          <w:numId w:val="33"/>
        </w:numPr>
        <w:spacing w:before="120" w:after="0"/>
      </w:pPr>
      <w:r w:rsidRPr="004020E2">
        <w:t>Исторически структурен първичен баланс – допуска</w:t>
      </w:r>
      <w:r w:rsidRPr="00335631">
        <w:rPr>
          <w:lang w:val="en-US"/>
        </w:rPr>
        <w:t xml:space="preserve"> </w:t>
      </w:r>
      <w:r>
        <w:t>се</w:t>
      </w:r>
      <w:r w:rsidRPr="004020E2">
        <w:t xml:space="preserve">, че след </w:t>
      </w:r>
      <w:r>
        <w:t xml:space="preserve">последната година на средносрочната бюджетна прогноза </w:t>
      </w:r>
      <w:r w:rsidRPr="004020E2">
        <w:t>(2026</w:t>
      </w:r>
      <w:r w:rsidR="00B552D5">
        <w:t> г.</w:t>
      </w:r>
      <w:r w:rsidRPr="004020E2">
        <w:t>) структурният първич</w:t>
      </w:r>
      <w:r>
        <w:t>ен</w:t>
      </w:r>
      <w:r w:rsidRPr="004020E2">
        <w:t xml:space="preserve"> баланс конвергира за четири години до средния отчетен през последните 15 години. Целта е да </w:t>
      </w:r>
      <w:r>
        <w:t xml:space="preserve">се </w:t>
      </w:r>
      <w:r w:rsidRPr="004020E2">
        <w:t xml:space="preserve">оцени дали базовият </w:t>
      </w:r>
      <w:r>
        <w:t xml:space="preserve">сценарий </w:t>
      </w:r>
      <w:r w:rsidRPr="004020E2">
        <w:t>е реалистичен като се вземат под внимание миналите фискални резултати;</w:t>
      </w:r>
    </w:p>
    <w:p w14:paraId="4A808390" w14:textId="77777777" w:rsidR="00BD75E1" w:rsidRPr="004020E2" w:rsidRDefault="00BD75E1" w:rsidP="00493D7E">
      <w:pPr>
        <w:pStyle w:val="ListParagraph"/>
        <w:numPr>
          <w:ilvl w:val="0"/>
          <w:numId w:val="33"/>
        </w:numPr>
        <w:spacing w:before="120" w:after="0"/>
      </w:pPr>
      <w:r w:rsidRPr="004020E2">
        <w:t xml:space="preserve">Шок върху лихвения процент и растежа на БВП – </w:t>
      </w:r>
      <w:r>
        <w:t xml:space="preserve">разглежда се </w:t>
      </w:r>
      <w:r w:rsidRPr="004020E2">
        <w:t>перманентно увеличение на имплицитния</w:t>
      </w:r>
      <w:r w:rsidRPr="004020E2">
        <w:rPr>
          <w:vertAlign w:val="superscript"/>
        </w:rPr>
        <w:footnoteReference w:id="26"/>
      </w:r>
      <w:r w:rsidRPr="004020E2">
        <w:t xml:space="preserve"> лихвен процент с 0.5 пр.п. и намаление на номиналния растеж на БВП с 0.5 пр.п. По-ниският номинален растеж на БВП би могъл да се случи както по линия на по-нисък реален растеж, така и по-линия на по-нисък дефлатор, т.е. по-ниска инфлация.;</w:t>
      </w:r>
    </w:p>
    <w:p w14:paraId="3F4415F0" w14:textId="77777777" w:rsidR="00BD75E1" w:rsidRPr="004020E2" w:rsidRDefault="00BD75E1" w:rsidP="00493D7E">
      <w:pPr>
        <w:pStyle w:val="ListParagraph"/>
        <w:numPr>
          <w:ilvl w:val="0"/>
          <w:numId w:val="33"/>
        </w:numPr>
        <w:spacing w:before="120" w:after="0"/>
      </w:pPr>
      <w:r w:rsidRPr="004020E2">
        <w:t xml:space="preserve">Финансов стрес – </w:t>
      </w:r>
      <w:r>
        <w:t xml:space="preserve">сценарият включва </w:t>
      </w:r>
      <w:r w:rsidRPr="004020E2">
        <w:t>временно увеличение на имплицитния лихвен процент с 1 пр.п. през първата прогнозна година;</w:t>
      </w:r>
    </w:p>
    <w:p w14:paraId="320A5DDF" w14:textId="77777777" w:rsidR="00BD75E1" w:rsidRPr="004020E2" w:rsidRDefault="00BD75E1" w:rsidP="00493D7E">
      <w:pPr>
        <w:pStyle w:val="ListParagraph"/>
        <w:numPr>
          <w:ilvl w:val="0"/>
          <w:numId w:val="33"/>
        </w:numPr>
        <w:spacing w:before="120" w:after="0"/>
      </w:pPr>
      <w:r>
        <w:t>Влошаване на</w:t>
      </w:r>
      <w:r w:rsidRPr="004020E2">
        <w:t xml:space="preserve"> първичния </w:t>
      </w:r>
      <w:r>
        <w:t xml:space="preserve">бюджетен </w:t>
      </w:r>
      <w:r w:rsidRPr="004020E2">
        <w:t xml:space="preserve">баланс – </w:t>
      </w:r>
      <w:r>
        <w:t xml:space="preserve">сценарият разглежда </w:t>
      </w:r>
      <w:r w:rsidRPr="004020E2">
        <w:t xml:space="preserve">по-висок дефицит (респ. по-нисък излишък) по първичния </w:t>
      </w:r>
      <w:r>
        <w:t xml:space="preserve">бюджетен </w:t>
      </w:r>
      <w:r w:rsidRPr="004020E2">
        <w:t xml:space="preserve">баланс с 0.5 пр.п. от БВП </w:t>
      </w:r>
      <w:r>
        <w:t>през</w:t>
      </w:r>
      <w:r w:rsidRPr="004020E2">
        <w:t xml:space="preserve"> първите две години от прогнозата</w:t>
      </w:r>
      <w:r>
        <w:t>,</w:t>
      </w:r>
      <w:r w:rsidRPr="004020E2">
        <w:t xml:space="preserve"> след което полученият баланс се запазва.</w:t>
      </w:r>
    </w:p>
    <w:p w14:paraId="52C00B01" w14:textId="77777777" w:rsidR="00BD75E1" w:rsidRDefault="00BD75E1" w:rsidP="00BD75E1">
      <w:pPr>
        <w:spacing w:before="120" w:after="0"/>
      </w:pPr>
      <w:r>
        <w:lastRenderedPageBreak/>
        <w:t>Представени са</w:t>
      </w:r>
      <w:r w:rsidRPr="004020E2">
        <w:t xml:space="preserve"> и ветрилообразни графики, от които може да се получи информация за несигурността около базовия сценарий. За конструирането на графиките се използват историческите данни за растежа на БВП, лихвения процент и първичния </w:t>
      </w:r>
      <w:r>
        <w:t xml:space="preserve">бюджетен </w:t>
      </w:r>
      <w:r w:rsidRPr="004020E2">
        <w:t>баланс. Изчисляват се средни стойности и матрицата на вариация-ковариация, които описват съвместното нормално разпределение за тези променливи. За всяка от променливите се генерират шокове на база  съвместното разпределение, които се добавят към базовите прогнози и се използват за изчисление на разпределението на прогнозната динамика на дълга.</w:t>
      </w:r>
      <w:r>
        <w:t xml:space="preserve"> По дизайн съвместното нормално </w:t>
      </w:r>
      <w:r w:rsidRPr="004020E2">
        <w:t xml:space="preserve">разпределение на шоковете генерира симетрична ветрилообразна графика, като рисковете в положителна посока съвпадат с тези в отрицателна. Допълнително е направена корекция чрез рестрикция върху позитивните шокове, за да се конструира асиметрична ветрилообразна графика и да се проследи динамиката на дълга към БВП при по-голяма </w:t>
      </w:r>
      <w:r>
        <w:t>вероятност за негативни шокове.</w:t>
      </w:r>
    </w:p>
    <w:p w14:paraId="520BA731" w14:textId="302685F3" w:rsidR="00BD75E1" w:rsidRPr="00C21BED" w:rsidRDefault="00BD75E1" w:rsidP="00EE53B2">
      <w:pPr>
        <w:pStyle w:val="Caption"/>
        <w:rPr>
          <w:lang w:val="en-US"/>
        </w:rPr>
      </w:pPr>
      <w:r w:rsidRPr="00672C5C">
        <w:t xml:space="preserve">Граф. 5-1: </w:t>
      </w:r>
      <w:r w:rsidR="00EE53B2">
        <w:tab/>
      </w:r>
      <w:r w:rsidRPr="00672C5C">
        <w:t>Държавен дълг % от БВП</w:t>
      </w:r>
      <w:r>
        <w:t xml:space="preserve"> </w:t>
      </w:r>
      <w:r>
        <w:rPr>
          <w:lang w:val="en-US"/>
        </w:rPr>
        <w:t>(</w:t>
      </w:r>
      <w:r>
        <w:t>четири алтернативни сценария</w:t>
      </w:r>
      <w:r>
        <w:rPr>
          <w:lang w:val="en-US"/>
        </w:rPr>
        <w:t>)</w:t>
      </w:r>
    </w:p>
    <w:p w14:paraId="2419E928" w14:textId="1878AA3D" w:rsidR="00BD75E1" w:rsidRPr="00672C5C" w:rsidRDefault="00F25E9B" w:rsidP="00E47400">
      <w:pPr>
        <w:spacing w:after="0"/>
      </w:pPr>
      <w:r>
        <w:rPr>
          <w:noProof/>
        </w:rPr>
        <w:drawing>
          <wp:inline distT="0" distB="0" distL="0" distR="0" wp14:anchorId="6827A3C0" wp14:editId="0870C96C">
            <wp:extent cx="5760000" cy="2448000"/>
            <wp:effectExtent l="0" t="0" r="0" b="0"/>
            <wp:docPr id="20" name="Chart 20">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1125BA8" w14:textId="77777777" w:rsidR="00BD75E1" w:rsidRDefault="00BD75E1" w:rsidP="00BD75E1">
      <w:pPr>
        <w:tabs>
          <w:tab w:val="left" w:pos="1134"/>
        </w:tabs>
        <w:spacing w:after="240"/>
        <w:jc w:val="right"/>
        <w:rPr>
          <w:b/>
          <w:bCs/>
          <w:color w:val="6768AB"/>
          <w:sz w:val="20"/>
          <w:szCs w:val="18"/>
        </w:rPr>
      </w:pPr>
      <w:r w:rsidRPr="00672C5C">
        <w:rPr>
          <w:rFonts w:eastAsia="Calibri"/>
          <w:sz w:val="18"/>
          <w:szCs w:val="24"/>
        </w:rPr>
        <w:t>Източник: МФ</w:t>
      </w:r>
    </w:p>
    <w:p w14:paraId="0852F162" w14:textId="1DF539B6" w:rsidR="00BD75E1" w:rsidRPr="00672C5C" w:rsidRDefault="00BD75E1" w:rsidP="00EE53B2">
      <w:pPr>
        <w:pStyle w:val="Caption"/>
      </w:pPr>
      <w:r w:rsidRPr="00672C5C">
        <w:t xml:space="preserve">Граф. 5-2: </w:t>
      </w:r>
      <w:r w:rsidR="00EE53B2">
        <w:tab/>
      </w:r>
      <w:r w:rsidRPr="00672C5C">
        <w:t>Ветрилообразна графика за очаквания Държавен дълг % от БВП</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411"/>
        <w:gridCol w:w="4659"/>
      </w:tblGrid>
      <w:tr w:rsidR="00F25E9B" w:rsidRPr="00672C5C" w14:paraId="320DDCE6" w14:textId="77777777" w:rsidTr="001B3937">
        <w:trPr>
          <w:trHeight w:val="3128"/>
        </w:trPr>
        <w:tc>
          <w:tcPr>
            <w:tcW w:w="4496" w:type="dxa"/>
            <w:hideMark/>
          </w:tcPr>
          <w:p w14:paraId="6DF9BD5E" w14:textId="77777777" w:rsidR="00F25E9B" w:rsidRPr="00672C5C" w:rsidRDefault="00F25E9B" w:rsidP="001B3937">
            <w:pPr>
              <w:rPr>
                <w:lang w:val="en-US"/>
              </w:rPr>
            </w:pPr>
            <w:r>
              <w:rPr>
                <w:noProof/>
              </w:rPr>
              <w:drawing>
                <wp:inline distT="0" distB="0" distL="0" distR="0" wp14:anchorId="29646E1F" wp14:editId="72AE1C7A">
                  <wp:extent cx="2736273" cy="2520000"/>
                  <wp:effectExtent l="0" t="0" r="0" b="0"/>
                  <wp:docPr id="21" name="Chart 21">
                    <a:extLst xmlns:a="http://schemas.openxmlformats.org/drawingml/2006/main">
                      <a:ext uri="{FF2B5EF4-FFF2-40B4-BE49-F238E27FC236}">
                        <a16:creationId xmlns:a16="http://schemas.microsoft.com/office/drawing/2014/main" id="{00000000-0008-0000-0D00-00002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4576" w:type="dxa"/>
            <w:hideMark/>
          </w:tcPr>
          <w:p w14:paraId="20E2A62D" w14:textId="77777777" w:rsidR="00F25E9B" w:rsidRPr="00672C5C" w:rsidRDefault="00F25E9B" w:rsidP="001B3937">
            <w:pPr>
              <w:rPr>
                <w:lang w:val="en-US"/>
              </w:rPr>
            </w:pPr>
            <w:r>
              <w:rPr>
                <w:noProof/>
              </w:rPr>
              <w:drawing>
                <wp:inline distT="0" distB="0" distL="0" distR="0" wp14:anchorId="3D623A21" wp14:editId="54408A67">
                  <wp:extent cx="2895600" cy="2520000"/>
                  <wp:effectExtent l="0" t="0" r="0" b="13970"/>
                  <wp:docPr id="25" name="Chart 25">
                    <a:extLst xmlns:a="http://schemas.openxmlformats.org/drawingml/2006/main">
                      <a:ext uri="{FF2B5EF4-FFF2-40B4-BE49-F238E27FC236}">
                        <a16:creationId xmlns:a16="http://schemas.microsoft.com/office/drawing/2014/main" id="{00000000-0008-0000-0D00-00002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bl>
    <w:p w14:paraId="58E02125" w14:textId="77777777" w:rsidR="00F25E9B" w:rsidRDefault="00F25E9B" w:rsidP="00F25E9B">
      <w:pPr>
        <w:jc w:val="right"/>
        <w:rPr>
          <w:color w:val="FF0000"/>
        </w:rPr>
      </w:pPr>
      <w:r w:rsidRPr="00672C5C">
        <w:rPr>
          <w:rFonts w:eastAsia="Calibri"/>
          <w:sz w:val="18"/>
          <w:szCs w:val="24"/>
        </w:rPr>
        <w:t>Източник: МФ</w:t>
      </w:r>
    </w:p>
    <w:p w14:paraId="035A1FBB" w14:textId="5D7BCB19" w:rsidR="00F25E9B" w:rsidRPr="00B34690" w:rsidRDefault="00F25E9B" w:rsidP="00F25E9B">
      <w:pPr>
        <w:rPr>
          <w:color w:val="FF0000"/>
          <w:spacing w:val="-2"/>
        </w:rPr>
      </w:pPr>
      <w:r w:rsidRPr="00B34690">
        <w:rPr>
          <w:spacing w:val="-2"/>
        </w:rPr>
        <w:lastRenderedPageBreak/>
        <w:t>При базовия сценарий без промяна на политиките</w:t>
      </w:r>
      <w:r w:rsidRPr="00B34690">
        <w:rPr>
          <w:spacing w:val="-2"/>
          <w:vertAlign w:val="superscript"/>
        </w:rPr>
        <w:footnoteReference w:id="27"/>
      </w:r>
      <w:r w:rsidRPr="00B34690">
        <w:rPr>
          <w:spacing w:val="-2"/>
        </w:rPr>
        <w:t xml:space="preserve"> съотношението на дълг към БВП продължава да нараства до 2033</w:t>
      </w:r>
      <w:r w:rsidR="00B552D5" w:rsidRPr="00B34690">
        <w:rPr>
          <w:spacing w:val="-2"/>
        </w:rPr>
        <w:t> г.</w:t>
      </w:r>
      <w:r w:rsidRPr="00B34690">
        <w:rPr>
          <w:spacing w:val="-2"/>
        </w:rPr>
        <w:t xml:space="preserve">, но остава под границата от 60%, освен това исторически в </w:t>
      </w:r>
      <w:r w:rsidRPr="00B34690">
        <w:rPr>
          <w:spacing w:val="-2"/>
          <w:lang w:val="en-US"/>
        </w:rPr>
        <w:t>94.7</w:t>
      </w:r>
      <w:r w:rsidRPr="00B34690">
        <w:rPr>
          <w:spacing w:val="-2"/>
        </w:rPr>
        <w:t>% от случаите структурният първичен баланс е бил по-висок от очаквания средно за периода 2027</w:t>
      </w:r>
      <w:r w:rsidR="00D54590" w:rsidRPr="00B34690">
        <w:rPr>
          <w:spacing w:val="-2"/>
        </w:rPr>
        <w:t>–</w:t>
      </w:r>
      <w:r w:rsidRPr="00B34690">
        <w:rPr>
          <w:spacing w:val="-2"/>
        </w:rPr>
        <w:t>2033</w:t>
      </w:r>
      <w:r w:rsidR="00B552D5" w:rsidRPr="00B34690">
        <w:rPr>
          <w:spacing w:val="-2"/>
        </w:rPr>
        <w:t> г.</w:t>
      </w:r>
      <w:r w:rsidRPr="00B34690">
        <w:rPr>
          <w:spacing w:val="-2"/>
        </w:rPr>
        <w:t>, което означава, че страната би трябвало да може да подобри фискалната си позиция. Ако фискалната политика се върне към наблюдаваната в исторически план, съотношението на дълг към БВП ще се стабилизира през разглеждания период и през 2033</w:t>
      </w:r>
      <w:r w:rsidR="00B552D5" w:rsidRPr="00B34690">
        <w:rPr>
          <w:spacing w:val="-2"/>
        </w:rPr>
        <w:t> г.</w:t>
      </w:r>
      <w:r w:rsidRPr="00B34690">
        <w:rPr>
          <w:spacing w:val="-2"/>
        </w:rPr>
        <w:t xml:space="preserve"> ще бъде с </w:t>
      </w:r>
      <w:r w:rsidRPr="00B34690">
        <w:rPr>
          <w:spacing w:val="-2"/>
          <w:lang w:val="en-US"/>
        </w:rPr>
        <w:t>23.7</w:t>
      </w:r>
      <w:r w:rsidRPr="00B34690">
        <w:rPr>
          <w:spacing w:val="-2"/>
        </w:rPr>
        <w:t xml:space="preserve"> пр.п. под базовия сценарий. При шок върху лихвения процент и номиналния БВП съотношението в края на периода ще бъде с 4.9 пр.п. над базовия сценарий. Временно повишение на лихвения процент за една година се отразява минимално на дълга към БВП в края на периода, а именно с 0.2 пр.п. В същото време шок върху първичния баланс би се отразил най-неблагоприятно и ще повиши съотношението на дълг към БВП през 2033</w:t>
      </w:r>
      <w:r w:rsidR="00B552D5" w:rsidRPr="00B34690">
        <w:rPr>
          <w:spacing w:val="-2"/>
        </w:rPr>
        <w:t> г.</w:t>
      </w:r>
      <w:r w:rsidRPr="00B34690">
        <w:rPr>
          <w:spacing w:val="-2"/>
        </w:rPr>
        <w:t xml:space="preserve"> със 9</w:t>
      </w:r>
      <w:r w:rsidRPr="00B34690">
        <w:rPr>
          <w:spacing w:val="-2"/>
          <w:lang w:val="en-US"/>
        </w:rPr>
        <w:t>.2</w:t>
      </w:r>
      <w:r w:rsidRPr="00B34690">
        <w:rPr>
          <w:spacing w:val="-2"/>
        </w:rPr>
        <w:t xml:space="preserve"> пр.п. </w:t>
      </w:r>
    </w:p>
    <w:p w14:paraId="07D02A90" w14:textId="4FC1618B" w:rsidR="00B34690" w:rsidRPr="00B34690" w:rsidRDefault="00B34690" w:rsidP="00B34690">
      <w:r w:rsidRPr="00B34690">
        <w:t>Симетричната ветрилообразна графика показва, че има 10% вероятност съотношението на държавния дълг към БВП към 2027 г. да бъде под 29%, 60% вероятност да бъде под 42% и 90% вероятност да бъде под 51%. При коригиране чрез рестрикции върху положителните шокове, вероятността държавният дълг в края на прогнозния период да падне под 3</w:t>
      </w:r>
      <w:r w:rsidRPr="00B34690">
        <w:rPr>
          <w:lang w:val="en-US"/>
        </w:rPr>
        <w:t>9</w:t>
      </w:r>
      <w:r w:rsidRPr="00B34690">
        <w:t>% от БВП е 10%, а с 90% вероятност ще бъде под 54%. Като цяло с 95% сигурност дългът към 2027 г. ще бъде по-висок от то</w:t>
      </w:r>
      <w:r w:rsidR="00A7232E">
        <w:t>зи към 2022 г</w:t>
      </w:r>
      <w:r w:rsidRPr="00B34690">
        <w:t>.</w:t>
      </w:r>
    </w:p>
    <w:p w14:paraId="5324F6E9" w14:textId="77777777" w:rsidR="005C4ADE" w:rsidRPr="00E360FF" w:rsidRDefault="00D359FF" w:rsidP="00EE53B2">
      <w:pPr>
        <w:pStyle w:val="Heading2"/>
      </w:pPr>
      <w:bookmarkStart w:id="116" w:name="_Toc133597282"/>
      <w:r w:rsidRPr="00E360FF">
        <w:t>Дългосрочни бюджетни перспективи</w:t>
      </w:r>
      <w:bookmarkEnd w:id="107"/>
      <w:bookmarkEnd w:id="112"/>
      <w:r w:rsidRPr="00E360FF">
        <w:t xml:space="preserve">, вкл. въздействието от </w:t>
      </w:r>
      <w:r w:rsidR="00DB0956" w:rsidRPr="00E360FF">
        <w:br/>
      </w:r>
      <w:r w:rsidRPr="00E360FF">
        <w:t>застаряването на нас</w:t>
      </w:r>
      <w:r w:rsidR="000D3870" w:rsidRPr="00E360FF">
        <w:t>елението</w:t>
      </w:r>
      <w:bookmarkStart w:id="117" w:name="_Toc352851610"/>
      <w:bookmarkStart w:id="118" w:name="_Toc448227299"/>
      <w:bookmarkStart w:id="119" w:name="_Toc479332451"/>
      <w:bookmarkEnd w:id="113"/>
      <w:bookmarkEnd w:id="114"/>
      <w:bookmarkEnd w:id="115"/>
      <w:bookmarkEnd w:id="116"/>
    </w:p>
    <w:p w14:paraId="4C212315" w14:textId="77777777" w:rsidR="005C4ADE" w:rsidRPr="00E360FF" w:rsidRDefault="005C4ADE" w:rsidP="00B552D5">
      <w:pPr>
        <w:pStyle w:val="Heading3"/>
      </w:pPr>
      <w:r w:rsidRPr="00E360FF">
        <w:t>Социално осигуряване</w:t>
      </w:r>
    </w:p>
    <w:p w14:paraId="25BEA410" w14:textId="6D8681B6" w:rsidR="006D0CAB" w:rsidRDefault="006D0CAB" w:rsidP="00E0689E">
      <w:pPr>
        <w:spacing w:after="0"/>
        <w:rPr>
          <w:szCs w:val="24"/>
        </w:rPr>
      </w:pPr>
      <w:r>
        <w:rPr>
          <w:szCs w:val="24"/>
        </w:rPr>
        <w:t>Дългосрочната бюджетна прогноза за развитието на държавната пенсионна система е разработена при параметрите на действащото към 1 април 2023</w:t>
      </w:r>
      <w:r w:rsidR="00B552D5">
        <w:rPr>
          <w:szCs w:val="24"/>
        </w:rPr>
        <w:t> г.</w:t>
      </w:r>
      <w:r>
        <w:rPr>
          <w:szCs w:val="24"/>
        </w:rPr>
        <w:t xml:space="preserve"> законодателство в областта на пенсиите и разпоредбите на Кодекса за социално осигуряване, в съответствие с допусканията от пролетната макроикономическа прогноза на Министерството на финансите от 2</w:t>
      </w:r>
      <w:r>
        <w:rPr>
          <w:szCs w:val="24"/>
          <w:lang w:val="en-US"/>
        </w:rPr>
        <w:t>4</w:t>
      </w:r>
      <w:r>
        <w:rPr>
          <w:szCs w:val="24"/>
        </w:rPr>
        <w:t xml:space="preserve"> март 2023</w:t>
      </w:r>
      <w:r w:rsidR="00B552D5">
        <w:rPr>
          <w:szCs w:val="24"/>
        </w:rPr>
        <w:t> г.</w:t>
      </w:r>
    </w:p>
    <w:p w14:paraId="1DA8CD83" w14:textId="0AC9D9C8" w:rsidR="006D0CAB" w:rsidRDefault="006D0CAB" w:rsidP="00E0689E">
      <w:pPr>
        <w:spacing w:before="120" w:after="0"/>
        <w:rPr>
          <w:rFonts w:eastAsiaTheme="minorHAnsi"/>
          <w:szCs w:val="24"/>
        </w:rPr>
      </w:pPr>
      <w:r>
        <w:rPr>
          <w:rFonts w:eastAsiaTheme="minorHAnsi"/>
          <w:szCs w:val="24"/>
        </w:rPr>
        <w:t>Прогнозата отразява промените в пенсионната сфера, приети със Закон за изменение на Закона за бюджета на държавното обществено осигуряване за 2022</w:t>
      </w:r>
      <w:r w:rsidR="00B552D5">
        <w:rPr>
          <w:rFonts w:eastAsiaTheme="minorHAnsi"/>
          <w:szCs w:val="24"/>
        </w:rPr>
        <w:t> г.</w:t>
      </w:r>
      <w:r>
        <w:rPr>
          <w:rFonts w:eastAsiaTheme="minorHAnsi"/>
          <w:szCs w:val="24"/>
        </w:rPr>
        <w:t xml:space="preserve"> (обн. ДВ, бр. 51 от</w:t>
      </w:r>
      <w:r w:rsidR="0005652B">
        <w:rPr>
          <w:rFonts w:eastAsiaTheme="minorHAnsi"/>
          <w:szCs w:val="24"/>
        </w:rPr>
        <w:t xml:space="preserve">   </w:t>
      </w:r>
      <w:r>
        <w:rPr>
          <w:rFonts w:eastAsiaTheme="minorHAnsi"/>
          <w:szCs w:val="24"/>
        </w:rPr>
        <w:t>2022</w:t>
      </w:r>
      <w:r w:rsidR="00B552D5">
        <w:rPr>
          <w:rFonts w:eastAsiaTheme="minorHAnsi"/>
          <w:szCs w:val="24"/>
        </w:rPr>
        <w:t> г.</w:t>
      </w:r>
      <w:r>
        <w:rPr>
          <w:rFonts w:eastAsiaTheme="minorHAnsi"/>
          <w:szCs w:val="24"/>
        </w:rPr>
        <w:t>), които оказват съществено влияние върху размерите на пенсиите както през 2022</w:t>
      </w:r>
      <w:r w:rsidR="00B552D5">
        <w:rPr>
          <w:rFonts w:eastAsiaTheme="minorHAnsi"/>
          <w:szCs w:val="24"/>
        </w:rPr>
        <w:t> г.</w:t>
      </w:r>
      <w:r>
        <w:rPr>
          <w:rFonts w:eastAsiaTheme="minorHAnsi"/>
          <w:szCs w:val="24"/>
        </w:rPr>
        <w:t>, така и в дългосрочен план, в т.ч.:</w:t>
      </w:r>
    </w:p>
    <w:p w14:paraId="6FE0C9F1" w14:textId="1687D933" w:rsidR="006D0CAB" w:rsidRPr="00B5035B" w:rsidRDefault="006D0CAB" w:rsidP="00493D7E">
      <w:pPr>
        <w:pStyle w:val="ListParagraph"/>
        <w:numPr>
          <w:ilvl w:val="0"/>
          <w:numId w:val="33"/>
        </w:numPr>
        <w:spacing w:before="120" w:after="0"/>
      </w:pPr>
      <w:r w:rsidRPr="00B5035B">
        <w:t>През първото полугодие на 2022</w:t>
      </w:r>
      <w:r w:rsidR="00B552D5" w:rsidRPr="00B5035B">
        <w:t> г.</w:t>
      </w:r>
      <w:r w:rsidRPr="00B5035B">
        <w:t xml:space="preserve"> продължи изплащането на допълнителни суми към пенсиите в размер на 60 лв. месечно. В периода януари-юни 2022</w:t>
      </w:r>
      <w:r w:rsidR="00B552D5" w:rsidRPr="00B5035B">
        <w:t> г.</w:t>
      </w:r>
      <w:r w:rsidRPr="00B5035B">
        <w:t xml:space="preserve"> пенсионерите, за които доходът от пенсия през януари 2022</w:t>
      </w:r>
      <w:r w:rsidR="00B552D5" w:rsidRPr="00B5035B">
        <w:t> г.</w:t>
      </w:r>
      <w:r w:rsidRPr="00B5035B">
        <w:t xml:space="preserve"> (с включена „ковид добавка“ от 60 лв.) е бил по-малък от този през декември 2021</w:t>
      </w:r>
      <w:r w:rsidR="00B552D5" w:rsidRPr="00B5035B">
        <w:t> г.</w:t>
      </w:r>
      <w:r w:rsidRPr="00B5035B">
        <w:t>(с включена „ковид добавка“ от 120 лв.), бяха компенсирани, като им беше изплатена сума, представляваща разликата между дохода им през декември 2021</w:t>
      </w:r>
      <w:r w:rsidR="00B552D5" w:rsidRPr="00B5035B">
        <w:t> г.</w:t>
      </w:r>
      <w:r w:rsidRPr="00B5035B">
        <w:t xml:space="preserve"> и дохода им през януари 2022</w:t>
      </w:r>
      <w:r w:rsidR="00B552D5" w:rsidRPr="00B5035B">
        <w:t> г.</w:t>
      </w:r>
    </w:p>
    <w:p w14:paraId="5284D361" w14:textId="5CA3CB66" w:rsidR="00F936D4" w:rsidRPr="00B5035B" w:rsidRDefault="00F936D4" w:rsidP="00493D7E">
      <w:pPr>
        <w:pStyle w:val="ListParagraph"/>
        <w:numPr>
          <w:ilvl w:val="0"/>
          <w:numId w:val="33"/>
        </w:numPr>
        <w:spacing w:before="120" w:after="0"/>
      </w:pPr>
      <w:r w:rsidRPr="00B5035B">
        <w:t>От 01.04.2022</w:t>
      </w:r>
      <w:r w:rsidR="00B552D5" w:rsidRPr="00B5035B">
        <w:t> г.</w:t>
      </w:r>
      <w:r w:rsidRPr="00B5035B">
        <w:t xml:space="preserve"> съгласно промяна в чл. 90а, ал. 2 от КСО размерът на социалната пенсия за инвалидност се определя в следните проценти от социалната пенсия за старост:</w:t>
      </w:r>
    </w:p>
    <w:p w14:paraId="4CAE0DD3" w14:textId="16A5D52B" w:rsidR="00F936D4" w:rsidRPr="009D48E5" w:rsidRDefault="00F936D4" w:rsidP="00493D7E">
      <w:pPr>
        <w:pStyle w:val="ListParagraph"/>
        <w:numPr>
          <w:ilvl w:val="0"/>
          <w:numId w:val="34"/>
        </w:numPr>
        <w:spacing w:after="0"/>
        <w:rPr>
          <w:rFonts w:eastAsia="Times New Roman"/>
          <w:szCs w:val="24"/>
        </w:rPr>
      </w:pPr>
      <w:r w:rsidRPr="009D48E5">
        <w:rPr>
          <w:rFonts w:eastAsia="Times New Roman"/>
          <w:szCs w:val="24"/>
        </w:rPr>
        <w:t>за лицата с трайно намалена работоспособност/вид и степен на увреждане 100 на сто с определена чужда помощ – 160 на сто;</w:t>
      </w:r>
    </w:p>
    <w:p w14:paraId="4C552C79" w14:textId="2C14E0CE" w:rsidR="00F936D4" w:rsidRPr="009D48E5" w:rsidRDefault="00F936D4" w:rsidP="00493D7E">
      <w:pPr>
        <w:pStyle w:val="ListParagraph"/>
        <w:numPr>
          <w:ilvl w:val="0"/>
          <w:numId w:val="34"/>
        </w:numPr>
        <w:spacing w:after="0"/>
        <w:rPr>
          <w:rFonts w:eastAsia="Times New Roman"/>
          <w:szCs w:val="24"/>
        </w:rPr>
      </w:pPr>
      <w:r w:rsidRPr="009D48E5">
        <w:rPr>
          <w:rFonts w:eastAsia="Times New Roman"/>
          <w:szCs w:val="24"/>
        </w:rPr>
        <w:t>за лицата с трайно намалена работоспособност/вид и степен на увреждане от 91 на сто до 100 на сто – 140 на сто;</w:t>
      </w:r>
    </w:p>
    <w:p w14:paraId="7A97E91B" w14:textId="6F22B698" w:rsidR="00F936D4" w:rsidRPr="009D48E5" w:rsidRDefault="00F936D4" w:rsidP="00493D7E">
      <w:pPr>
        <w:pStyle w:val="ListParagraph"/>
        <w:numPr>
          <w:ilvl w:val="0"/>
          <w:numId w:val="34"/>
        </w:numPr>
        <w:spacing w:after="0"/>
        <w:rPr>
          <w:rFonts w:eastAsia="Times New Roman"/>
          <w:szCs w:val="24"/>
        </w:rPr>
      </w:pPr>
      <w:r w:rsidRPr="009D48E5">
        <w:rPr>
          <w:rFonts w:eastAsia="Times New Roman"/>
          <w:szCs w:val="24"/>
        </w:rPr>
        <w:lastRenderedPageBreak/>
        <w:t>за лицата с трайно намалена работоспособност/вид и степен на увреждане от 71 на сто до 90 на сто – 130 на сто.</w:t>
      </w:r>
    </w:p>
    <w:p w14:paraId="1DB01AF7" w14:textId="13B5016F" w:rsidR="006D0CAB" w:rsidRPr="00B5035B" w:rsidRDefault="006D0CAB" w:rsidP="00493D7E">
      <w:pPr>
        <w:pStyle w:val="ListParagraph"/>
        <w:numPr>
          <w:ilvl w:val="0"/>
          <w:numId w:val="33"/>
        </w:numPr>
        <w:spacing w:before="120" w:after="0"/>
      </w:pPr>
      <w:r w:rsidRPr="00B5035B">
        <w:t>От 1 юли 2022</w:t>
      </w:r>
      <w:r w:rsidR="00B552D5" w:rsidRPr="00B5035B">
        <w:t> г.</w:t>
      </w:r>
      <w:r w:rsidRPr="00B5035B">
        <w:t xml:space="preserve"> всички пенсии за трудова дейност, отпуснати до 31 декември 2021</w:t>
      </w:r>
      <w:r w:rsidR="00B552D5" w:rsidRPr="00B5035B">
        <w:t> г.</w:t>
      </w:r>
      <w:r w:rsidRPr="00B5035B">
        <w:t>, бяха осъвременени с 10 на сто вместо с 6</w:t>
      </w:r>
      <w:r w:rsidR="00EF74B2" w:rsidRPr="00B5035B">
        <w:t>.</w:t>
      </w:r>
      <w:r w:rsidRPr="00B5035B">
        <w:t>1 на сто (процентът, определен по правилото на чл. 100 от КСО). Изплащаните към 30 юни допълнителни суми от 60 лв. (т.нар. „ковид добавки“) и индивидуални компенсаторни суми, представляващи разликата между дохода им от пенсия през декември 2021</w:t>
      </w:r>
      <w:r w:rsidR="00B552D5" w:rsidRPr="00B5035B">
        <w:t> г.</w:t>
      </w:r>
      <w:r w:rsidRPr="00B5035B">
        <w:t xml:space="preserve"> и дохода им от пенсия от януари 2022</w:t>
      </w:r>
      <w:r w:rsidR="00B552D5" w:rsidRPr="00B5035B">
        <w:t> г.</w:t>
      </w:r>
      <w:r w:rsidRPr="00B5035B">
        <w:t xml:space="preserve">, бяха включени в основния размер на получаваната пенсия за трудова дейност след прилагане на осъвременяването с 10 на сто. </w:t>
      </w:r>
    </w:p>
    <w:p w14:paraId="08072550" w14:textId="2C26534C" w:rsidR="006D0CAB" w:rsidRDefault="006D0CAB" w:rsidP="00493D7E">
      <w:pPr>
        <w:pStyle w:val="ListParagraph"/>
        <w:numPr>
          <w:ilvl w:val="0"/>
          <w:numId w:val="33"/>
        </w:numPr>
        <w:spacing w:before="120" w:after="0"/>
      </w:pPr>
      <w:r>
        <w:t>Минималният размер на пенсията за осигурителен стаж и възраст се увеличи от 370</w:t>
      </w:r>
      <w:r w:rsidR="00E0689E">
        <w:t>.</w:t>
      </w:r>
      <w:r>
        <w:t>00 лв. на 467</w:t>
      </w:r>
      <w:r w:rsidR="00E0689E">
        <w:t>.</w:t>
      </w:r>
      <w:r>
        <w:t>00 лв. от 1 юли</w:t>
      </w:r>
      <w:r w:rsidR="0005652B">
        <w:t xml:space="preserve"> </w:t>
      </w:r>
      <w:r>
        <w:t>2022</w:t>
      </w:r>
      <w:r w:rsidR="00B552D5">
        <w:t> г.</w:t>
      </w:r>
      <w:r>
        <w:t xml:space="preserve"> (с 26</w:t>
      </w:r>
      <w:r w:rsidR="00E0689E">
        <w:t>.</w:t>
      </w:r>
      <w:r>
        <w:t>2 на сто).</w:t>
      </w:r>
    </w:p>
    <w:p w14:paraId="152F2EA7" w14:textId="6CA3751B" w:rsidR="006D0CAB" w:rsidRDefault="006D0CAB" w:rsidP="00493D7E">
      <w:pPr>
        <w:pStyle w:val="ListParagraph"/>
        <w:numPr>
          <w:ilvl w:val="0"/>
          <w:numId w:val="33"/>
        </w:numPr>
        <w:spacing w:before="120" w:after="0"/>
      </w:pPr>
      <w:r>
        <w:t>Размерът на социалната пенсия за старост се увеличи от 170</w:t>
      </w:r>
      <w:r w:rsidR="00E0689E">
        <w:t>.</w:t>
      </w:r>
      <w:r>
        <w:t>00 лв. на 247</w:t>
      </w:r>
      <w:r w:rsidR="00E0689E">
        <w:t>.</w:t>
      </w:r>
      <w:r>
        <w:t>00 лв. от 1 юли</w:t>
      </w:r>
      <w:r w:rsidR="0005652B">
        <w:t xml:space="preserve"> </w:t>
      </w:r>
      <w:r>
        <w:t>2022</w:t>
      </w:r>
      <w:r w:rsidR="00B552D5">
        <w:t> г.</w:t>
      </w:r>
      <w:r>
        <w:t xml:space="preserve"> (с 45</w:t>
      </w:r>
      <w:r w:rsidR="00E0689E">
        <w:t>.</w:t>
      </w:r>
      <w:r>
        <w:t>3 на сто).</w:t>
      </w:r>
    </w:p>
    <w:p w14:paraId="4E1D862C" w14:textId="38D06B1A" w:rsidR="006D0CAB" w:rsidRDefault="006D0CAB" w:rsidP="00493D7E">
      <w:pPr>
        <w:pStyle w:val="ListParagraph"/>
        <w:numPr>
          <w:ilvl w:val="0"/>
          <w:numId w:val="33"/>
        </w:numPr>
        <w:spacing w:before="120" w:after="0"/>
      </w:pPr>
      <w:r>
        <w:t>Максималният размер на получаваните една или повече пенсии, без добавките към тях, се увеличи от 1</w:t>
      </w:r>
      <w:r w:rsidR="00E0689E">
        <w:t> </w:t>
      </w:r>
      <w:r>
        <w:t>500</w:t>
      </w:r>
      <w:r w:rsidR="00E0689E">
        <w:t>.</w:t>
      </w:r>
      <w:r>
        <w:t>00 лв. на 2</w:t>
      </w:r>
      <w:r w:rsidR="00E0689E">
        <w:t> </w:t>
      </w:r>
      <w:r>
        <w:t>000</w:t>
      </w:r>
      <w:r w:rsidR="00E0689E">
        <w:t>.</w:t>
      </w:r>
      <w:r>
        <w:t>00 лв. (с 33</w:t>
      </w:r>
      <w:r w:rsidR="00E0689E">
        <w:t>.</w:t>
      </w:r>
      <w:r>
        <w:t>0 на сто) от 01.07.2022</w:t>
      </w:r>
      <w:r w:rsidR="00B552D5">
        <w:t> г.</w:t>
      </w:r>
      <w:r>
        <w:t>, а от 1 октомври на 3</w:t>
      </w:r>
      <w:r w:rsidR="00E0689E">
        <w:t> </w:t>
      </w:r>
      <w:r>
        <w:t>400</w:t>
      </w:r>
      <w:r w:rsidR="00E0689E">
        <w:t>.</w:t>
      </w:r>
      <w:r>
        <w:t>00 лв. (със 70</w:t>
      </w:r>
      <w:r w:rsidR="00E0689E">
        <w:t>.</w:t>
      </w:r>
      <w:r>
        <w:t>0 на сто).</w:t>
      </w:r>
    </w:p>
    <w:p w14:paraId="5DB12717" w14:textId="17B8E098" w:rsidR="006D0CAB" w:rsidRPr="00B5035B" w:rsidRDefault="006D0CAB" w:rsidP="00493D7E">
      <w:pPr>
        <w:pStyle w:val="ListParagraph"/>
        <w:numPr>
          <w:ilvl w:val="0"/>
          <w:numId w:val="33"/>
        </w:numPr>
        <w:spacing w:before="120" w:after="0"/>
      </w:pPr>
      <w:r w:rsidRPr="00B5035B">
        <w:t>От 1 октомври 2022</w:t>
      </w:r>
      <w:r w:rsidR="00B552D5" w:rsidRPr="00B5035B">
        <w:t> г.</w:t>
      </w:r>
      <w:r w:rsidRPr="00B5035B">
        <w:t>, пенсиите за трудова дейност, отпуснати с начална дата до 31 декември 2021</w:t>
      </w:r>
      <w:r w:rsidR="00B552D5" w:rsidRPr="00B5035B">
        <w:t> г.</w:t>
      </w:r>
      <w:r w:rsidRPr="00B5035B">
        <w:t xml:space="preserve"> вкл., бяха преизчислени на базата на средномесечния осигурителен доход за страната, от който е отпусната пенсията и стойността на процента за година стаж, определена в законодателството, действащо към датата на отпускане на пенсията. За периода от отпускането до момента на преизчислението, беше приложено ново правило за годишно осъвременяване от 1 юли – вместо сборът от 50% от нарастването на осигурителния доход и 50% от индекса на потребителските цени през предходната година, беше приложен по-високия от двата процента. Когато преизчисленият размер се оказа различен от размера към 30 септември 2022</w:t>
      </w:r>
      <w:r w:rsidR="00B552D5" w:rsidRPr="00B5035B">
        <w:t> г.</w:t>
      </w:r>
      <w:r w:rsidRPr="00B5035B">
        <w:t>, пенсията се определи в по-високия размер.</w:t>
      </w:r>
    </w:p>
    <w:p w14:paraId="703586C7" w14:textId="77777777" w:rsidR="006D0CAB" w:rsidRPr="00CA6CE6" w:rsidRDefault="006D0CAB" w:rsidP="006D0CAB">
      <w:pPr>
        <w:spacing w:after="0"/>
        <w:rPr>
          <w:rFonts w:eastAsiaTheme="minorHAnsi"/>
          <w:bCs/>
          <w:szCs w:val="24"/>
        </w:rPr>
      </w:pPr>
    </w:p>
    <w:p w14:paraId="50806FEF" w14:textId="77777777" w:rsidR="006D0CAB" w:rsidRPr="00CA6CE6" w:rsidRDefault="006D0CAB" w:rsidP="00E0689E">
      <w:pPr>
        <w:spacing w:after="0"/>
        <w:rPr>
          <w:rFonts w:eastAsia="Calibri"/>
          <w:bCs/>
          <w:iCs/>
          <w:szCs w:val="24"/>
        </w:rPr>
      </w:pPr>
      <w:r w:rsidRPr="00CA6CE6">
        <w:rPr>
          <w:bCs/>
          <w:iCs/>
          <w:szCs w:val="24"/>
        </w:rPr>
        <w:t>В дългосрочен план, най-силно влияние върху финансовото състояние на държавната пенсионна система в България ще оказват следните фактори:</w:t>
      </w:r>
    </w:p>
    <w:p w14:paraId="6A53168A" w14:textId="77777777" w:rsidR="006D0CAB" w:rsidRPr="00B5035B" w:rsidRDefault="006D0CAB" w:rsidP="00493D7E">
      <w:pPr>
        <w:pStyle w:val="ListParagraph"/>
        <w:numPr>
          <w:ilvl w:val="0"/>
          <w:numId w:val="33"/>
        </w:numPr>
        <w:spacing w:before="120" w:after="0"/>
      </w:pPr>
      <w:r w:rsidRPr="00B5035B">
        <w:t>Демографските промени, представени чрез коефициента на възрастова зависимост;</w:t>
      </w:r>
    </w:p>
    <w:p w14:paraId="1094897F" w14:textId="02D104D7" w:rsidR="006D0CAB" w:rsidRPr="00B5035B" w:rsidRDefault="006D0CAB" w:rsidP="00493D7E">
      <w:pPr>
        <w:pStyle w:val="ListParagraph"/>
        <w:numPr>
          <w:ilvl w:val="0"/>
          <w:numId w:val="33"/>
        </w:numPr>
        <w:spacing w:before="120" w:after="0"/>
      </w:pPr>
      <w:r w:rsidRPr="00B5035B">
        <w:t>Условията за пенсиониране, представени чрез вътрешносистемния коефициент на зависимост;</w:t>
      </w:r>
    </w:p>
    <w:p w14:paraId="120F033E" w14:textId="245861E4" w:rsidR="006D0CAB" w:rsidRPr="00B5035B" w:rsidRDefault="006D0CAB" w:rsidP="00493D7E">
      <w:pPr>
        <w:pStyle w:val="ListParagraph"/>
        <w:numPr>
          <w:ilvl w:val="0"/>
          <w:numId w:val="33"/>
        </w:numPr>
        <w:spacing w:before="120" w:after="240"/>
        <w:ind w:left="357" w:hanging="357"/>
      </w:pPr>
      <w:r w:rsidRPr="00B5035B">
        <w:t>„Щедростта“ на публичната пенсионна схема, представена чрез коефициента на заместване на дохода.</w:t>
      </w:r>
    </w:p>
    <w:p w14:paraId="64FC1AFE" w14:textId="626ADB32" w:rsidR="006D0CAB" w:rsidRDefault="006D0CAB" w:rsidP="00EF74B2">
      <w:pPr>
        <w:rPr>
          <w:szCs w:val="24"/>
        </w:rPr>
      </w:pPr>
      <w:r w:rsidRPr="00CA6CE6">
        <w:rPr>
          <w:bCs/>
          <w:iCs/>
          <w:szCs w:val="24"/>
        </w:rPr>
        <w:t>В демографски план</w:t>
      </w:r>
      <w:r>
        <w:rPr>
          <w:bCs/>
          <w:iCs/>
          <w:szCs w:val="24"/>
        </w:rPr>
        <w:t>, българската пенсионна система е изправена пред сериозни предизвикателства</w:t>
      </w:r>
      <w:r>
        <w:rPr>
          <w:szCs w:val="24"/>
        </w:rPr>
        <w:t>. Прогнозите на НСИ и на Евростат показват, че населението на страната ще продължава да намалява</w:t>
      </w:r>
      <w:r>
        <w:rPr>
          <w:bCs/>
          <w:iCs/>
          <w:szCs w:val="24"/>
        </w:rPr>
        <w:t>, като едновременно с това неговата възрастова структура ще се влошава. Това ще доведе до чувствително нарастване на коефициента на възрастова зависимост. Ако през 2021</w:t>
      </w:r>
      <w:r w:rsidR="00B552D5">
        <w:rPr>
          <w:bCs/>
          <w:iCs/>
          <w:szCs w:val="24"/>
        </w:rPr>
        <w:t> г.</w:t>
      </w:r>
      <w:r>
        <w:rPr>
          <w:bCs/>
          <w:iCs/>
          <w:szCs w:val="24"/>
        </w:rPr>
        <w:t xml:space="preserve"> на 100 лица между 15 и 64</w:t>
      </w:r>
      <w:r w:rsidR="00B552D5">
        <w:rPr>
          <w:bCs/>
          <w:iCs/>
          <w:szCs w:val="24"/>
        </w:rPr>
        <w:t> г.</w:t>
      </w:r>
      <w:r>
        <w:rPr>
          <w:bCs/>
          <w:iCs/>
          <w:szCs w:val="24"/>
        </w:rPr>
        <w:t xml:space="preserve"> са</w:t>
      </w:r>
      <w:r w:rsidR="0005652B">
        <w:rPr>
          <w:bCs/>
          <w:iCs/>
          <w:szCs w:val="24"/>
        </w:rPr>
        <w:t xml:space="preserve"> </w:t>
      </w:r>
      <w:r>
        <w:rPr>
          <w:bCs/>
          <w:iCs/>
          <w:szCs w:val="24"/>
        </w:rPr>
        <w:t>съответствали 34 лица на възраст над 65</w:t>
      </w:r>
      <w:r w:rsidR="00B552D5">
        <w:rPr>
          <w:bCs/>
          <w:iCs/>
          <w:szCs w:val="24"/>
        </w:rPr>
        <w:t> г.</w:t>
      </w:r>
      <w:r>
        <w:rPr>
          <w:bCs/>
          <w:iCs/>
          <w:szCs w:val="24"/>
        </w:rPr>
        <w:t>, то през 2070</w:t>
      </w:r>
      <w:r w:rsidR="00B552D5">
        <w:rPr>
          <w:bCs/>
          <w:iCs/>
          <w:szCs w:val="24"/>
        </w:rPr>
        <w:t> г.</w:t>
      </w:r>
      <w:r>
        <w:rPr>
          <w:bCs/>
          <w:iCs/>
          <w:szCs w:val="24"/>
        </w:rPr>
        <w:t xml:space="preserve"> броят им ще нарасне до 54 на 100 лица. Населението в трудоспособна възраст ще намалява и делът му от общата численост на населението в България ще се свие от около 64% до около 57%. От своя страна, делът на възрастното население (65+) ще нарасне от около 22% през 2021</w:t>
      </w:r>
      <w:r w:rsidR="00B552D5">
        <w:rPr>
          <w:bCs/>
          <w:iCs/>
          <w:szCs w:val="24"/>
        </w:rPr>
        <w:t> г.</w:t>
      </w:r>
      <w:r>
        <w:rPr>
          <w:bCs/>
          <w:iCs/>
          <w:szCs w:val="24"/>
        </w:rPr>
        <w:t xml:space="preserve"> до 30% през 2070 година.</w:t>
      </w:r>
    </w:p>
    <w:p w14:paraId="165AB4D3" w14:textId="5788F85A" w:rsidR="006D0CAB" w:rsidRDefault="006D0CAB" w:rsidP="00EF74B2">
      <w:pPr>
        <w:rPr>
          <w:bCs/>
          <w:szCs w:val="24"/>
        </w:rPr>
      </w:pPr>
      <w:r w:rsidRPr="00E0689E">
        <w:rPr>
          <w:szCs w:val="24"/>
        </w:rPr>
        <w:t>В дългосрочен план съотношението между броя на пенсионерите и броя на осигурените лица</w:t>
      </w:r>
      <w:r w:rsidRPr="00E0689E">
        <w:rPr>
          <w:bCs/>
          <w:szCs w:val="24"/>
        </w:rPr>
        <w:t xml:space="preserve"> ще нараства.</w:t>
      </w:r>
      <w:r w:rsidR="00EF74B2">
        <w:rPr>
          <w:bCs/>
          <w:szCs w:val="24"/>
          <w:lang w:val="en-US"/>
        </w:rPr>
        <w:t xml:space="preserve"> </w:t>
      </w:r>
      <w:r>
        <w:rPr>
          <w:bCs/>
          <w:szCs w:val="24"/>
        </w:rPr>
        <w:t xml:space="preserve">Съотношението между броя на пенсионерите и броя на осигурените </w:t>
      </w:r>
      <w:r>
        <w:rPr>
          <w:bCs/>
          <w:szCs w:val="24"/>
        </w:rPr>
        <w:lastRenderedPageBreak/>
        <w:t>лица, наричано още (системен) коефициент на зависимост, е ключов индикатор за финансовото състояние на пенсионните схеми от разходопокривен тип. Застаряването на населението и нарастването на средната продължителност на живота от една страна, и намаляването на населението в трудоспособна възраст от друга, оказват съществено влияние върху държавната осигурителна система в дългосрочен план.</w:t>
      </w:r>
    </w:p>
    <w:p w14:paraId="30D7C138" w14:textId="50EBC9EB" w:rsidR="006D0CAB" w:rsidRDefault="006D0CAB" w:rsidP="00EF74B2">
      <w:pPr>
        <w:rPr>
          <w:bCs/>
          <w:szCs w:val="24"/>
        </w:rPr>
      </w:pPr>
      <w:r>
        <w:rPr>
          <w:bCs/>
          <w:szCs w:val="24"/>
        </w:rPr>
        <w:t>В дългосрочен план броят на осигурените лица следва тенденцията в броя на заетите, като до 202</w:t>
      </w:r>
      <w:r>
        <w:rPr>
          <w:bCs/>
          <w:szCs w:val="24"/>
          <w:lang w:val="en-US"/>
        </w:rPr>
        <w:t>7</w:t>
      </w:r>
      <w:r w:rsidR="00B552D5">
        <w:rPr>
          <w:bCs/>
          <w:szCs w:val="24"/>
        </w:rPr>
        <w:t> г.</w:t>
      </w:r>
      <w:r>
        <w:rPr>
          <w:bCs/>
          <w:szCs w:val="24"/>
        </w:rPr>
        <w:t xml:space="preserve"> се очаква увеличение, а след това до 2070</w:t>
      </w:r>
      <w:r w:rsidR="00B552D5">
        <w:rPr>
          <w:bCs/>
          <w:szCs w:val="24"/>
        </w:rPr>
        <w:t> г.</w:t>
      </w:r>
      <w:r>
        <w:rPr>
          <w:bCs/>
          <w:szCs w:val="24"/>
        </w:rPr>
        <w:t xml:space="preserve"> тенденцията е намаляваща, което е резултат от намалението на населението в трудоспособна възраст, водещо от своя страна до свиване на работната сила. </w:t>
      </w:r>
    </w:p>
    <w:p w14:paraId="601C4E85" w14:textId="50105832" w:rsidR="006D0CAB" w:rsidRDefault="006D0CAB" w:rsidP="00EF74B2">
      <w:pPr>
        <w:rPr>
          <w:bCs/>
          <w:szCs w:val="24"/>
        </w:rPr>
      </w:pPr>
      <w:r>
        <w:rPr>
          <w:bCs/>
          <w:szCs w:val="24"/>
        </w:rPr>
        <w:t xml:space="preserve">Общият брой на пенсионерите с пенсии за трудова дейност, изплащани от ДОО в дългосрочен план ще намалява в резултат от повишаването на законовите изисквания за достъп до пенсия, както и поради негативните демографски тенденции в страната. Вследствие на отрицателния естествен прираст на населението в страната обаче, относителният дял на пенсионерите от общото население на страната ще се увеличи от около </w:t>
      </w:r>
      <w:r>
        <w:rPr>
          <w:bCs/>
          <w:szCs w:val="24"/>
          <w:lang w:val="en-US"/>
        </w:rPr>
        <w:t>29</w:t>
      </w:r>
      <w:r>
        <w:rPr>
          <w:bCs/>
          <w:szCs w:val="24"/>
        </w:rPr>
        <w:t>% през 20</w:t>
      </w:r>
      <w:r>
        <w:rPr>
          <w:bCs/>
          <w:szCs w:val="24"/>
          <w:lang w:val="en-US"/>
        </w:rPr>
        <w:t>2</w:t>
      </w:r>
      <w:r>
        <w:rPr>
          <w:bCs/>
          <w:szCs w:val="24"/>
        </w:rPr>
        <w:t>1</w:t>
      </w:r>
      <w:r w:rsidR="00B552D5">
        <w:rPr>
          <w:bCs/>
          <w:szCs w:val="24"/>
        </w:rPr>
        <w:t> г.</w:t>
      </w:r>
      <w:r>
        <w:rPr>
          <w:bCs/>
          <w:szCs w:val="24"/>
        </w:rPr>
        <w:t xml:space="preserve"> до 3</w:t>
      </w:r>
      <w:r>
        <w:rPr>
          <w:bCs/>
          <w:szCs w:val="24"/>
          <w:lang w:val="en-US"/>
        </w:rPr>
        <w:t>5</w:t>
      </w:r>
      <w:r>
        <w:rPr>
          <w:bCs/>
          <w:szCs w:val="24"/>
        </w:rPr>
        <w:t>% през 2070 година.</w:t>
      </w:r>
    </w:p>
    <w:p w14:paraId="38FD219A" w14:textId="603F4A9F" w:rsidR="006D0CAB" w:rsidRDefault="006D0CAB" w:rsidP="00EF74B2">
      <w:pPr>
        <w:rPr>
          <w:bCs/>
          <w:szCs w:val="24"/>
        </w:rPr>
      </w:pPr>
      <w:r>
        <w:rPr>
          <w:bCs/>
          <w:szCs w:val="24"/>
        </w:rPr>
        <w:t>В края на 202</w:t>
      </w:r>
      <w:r>
        <w:rPr>
          <w:bCs/>
          <w:szCs w:val="24"/>
          <w:lang w:val="en-US"/>
        </w:rPr>
        <w:t>2</w:t>
      </w:r>
      <w:r w:rsidR="00B552D5">
        <w:rPr>
          <w:bCs/>
          <w:szCs w:val="24"/>
        </w:rPr>
        <w:t> г.</w:t>
      </w:r>
      <w:r>
        <w:rPr>
          <w:bCs/>
          <w:szCs w:val="24"/>
        </w:rPr>
        <w:t xml:space="preserve"> броят на пенсионерите </w:t>
      </w:r>
      <w:r>
        <w:rPr>
          <w:iCs/>
          <w:szCs w:val="24"/>
        </w:rPr>
        <w:t xml:space="preserve">с пенсия за трудова дейност е бил </w:t>
      </w:r>
      <w:r>
        <w:rPr>
          <w:bCs/>
          <w:szCs w:val="24"/>
          <w:lang w:val="en-US"/>
        </w:rPr>
        <w:t>1</w:t>
      </w:r>
      <w:r w:rsidR="00EF74B2">
        <w:rPr>
          <w:bCs/>
          <w:szCs w:val="24"/>
          <w:lang w:val="en-US"/>
        </w:rPr>
        <w:t> </w:t>
      </w:r>
      <w:r>
        <w:rPr>
          <w:bCs/>
          <w:szCs w:val="24"/>
          <w:lang w:val="en-US"/>
        </w:rPr>
        <w:t>977</w:t>
      </w:r>
      <w:r w:rsidR="00EF74B2">
        <w:rPr>
          <w:bCs/>
          <w:szCs w:val="24"/>
          <w:lang w:val="en-US"/>
        </w:rPr>
        <w:t>.</w:t>
      </w:r>
      <w:r>
        <w:rPr>
          <w:bCs/>
          <w:szCs w:val="24"/>
          <w:lang w:val="en-US"/>
        </w:rPr>
        <w:t>4</w:t>
      </w:r>
      <w:r>
        <w:rPr>
          <w:bCs/>
          <w:szCs w:val="24"/>
        </w:rPr>
        <w:t xml:space="preserve"> хил. лица. До 2070</w:t>
      </w:r>
      <w:r w:rsidR="00B552D5">
        <w:rPr>
          <w:bCs/>
          <w:szCs w:val="24"/>
        </w:rPr>
        <w:t> г.</w:t>
      </w:r>
      <w:r>
        <w:rPr>
          <w:bCs/>
          <w:szCs w:val="24"/>
        </w:rPr>
        <w:t xml:space="preserve"> се очаква той да намалее до около </w:t>
      </w:r>
      <w:r>
        <w:rPr>
          <w:bCs/>
          <w:szCs w:val="24"/>
          <w:lang w:val="en-US"/>
        </w:rPr>
        <w:t>1</w:t>
      </w:r>
      <w:r w:rsidR="00EF74B2">
        <w:rPr>
          <w:bCs/>
          <w:szCs w:val="24"/>
          <w:lang w:val="en-US"/>
        </w:rPr>
        <w:t> </w:t>
      </w:r>
      <w:r>
        <w:rPr>
          <w:bCs/>
          <w:szCs w:val="24"/>
          <w:lang w:val="en-US"/>
        </w:rPr>
        <w:t>748</w:t>
      </w:r>
      <w:r w:rsidR="00EF74B2">
        <w:rPr>
          <w:bCs/>
          <w:szCs w:val="24"/>
          <w:lang w:val="en-US"/>
        </w:rPr>
        <w:t>.</w:t>
      </w:r>
      <w:r>
        <w:rPr>
          <w:bCs/>
          <w:szCs w:val="24"/>
          <w:lang w:val="en-US"/>
        </w:rPr>
        <w:t>0</w:t>
      </w:r>
      <w:r>
        <w:rPr>
          <w:bCs/>
          <w:szCs w:val="24"/>
        </w:rPr>
        <w:t xml:space="preserve"> хил. лица.</w:t>
      </w:r>
    </w:p>
    <w:p w14:paraId="61FEF041" w14:textId="1339B83F" w:rsidR="006D0CAB" w:rsidRDefault="006D0CAB" w:rsidP="00EF74B2">
      <w:pPr>
        <w:rPr>
          <w:bCs/>
          <w:szCs w:val="24"/>
        </w:rPr>
      </w:pPr>
      <w:r>
        <w:rPr>
          <w:iCs/>
          <w:szCs w:val="24"/>
        </w:rPr>
        <w:t>Докато при лицата с пенсия за инвалидност се очаква намалението да продължи през целия разглеждан период, при пенсионерите с пенсия за осигурителен стаж и възраст намалението ще продължи до 2040</w:t>
      </w:r>
      <w:r w:rsidR="00B552D5">
        <w:rPr>
          <w:iCs/>
          <w:szCs w:val="24"/>
        </w:rPr>
        <w:t> г.</w:t>
      </w:r>
      <w:r>
        <w:rPr>
          <w:iCs/>
          <w:szCs w:val="24"/>
        </w:rPr>
        <w:t>, след което броят им ще започне плавно да се увеличава и ще засили демографския натиск върху държавната пенсионна система</w:t>
      </w:r>
      <w:r>
        <w:rPr>
          <w:bCs/>
          <w:szCs w:val="24"/>
        </w:rPr>
        <w:t>. Увеличението е в резултат на вливането в съвкупността на пенсионерите на генерациите, родени през 70</w:t>
      </w:r>
      <w:r>
        <w:rPr>
          <w:bCs/>
          <w:szCs w:val="24"/>
          <w:vertAlign w:val="superscript"/>
        </w:rPr>
        <w:t>-те</w:t>
      </w:r>
      <w:r>
        <w:rPr>
          <w:bCs/>
          <w:szCs w:val="24"/>
        </w:rPr>
        <w:t xml:space="preserve"> и</w:t>
      </w:r>
      <w:r w:rsidR="00EF74B2">
        <w:rPr>
          <w:bCs/>
          <w:szCs w:val="24"/>
        </w:rPr>
        <w:t xml:space="preserve"> </w:t>
      </w:r>
      <w:r>
        <w:rPr>
          <w:bCs/>
          <w:szCs w:val="24"/>
        </w:rPr>
        <w:t>80</w:t>
      </w:r>
      <w:r>
        <w:rPr>
          <w:bCs/>
          <w:szCs w:val="24"/>
          <w:vertAlign w:val="superscript"/>
        </w:rPr>
        <w:t>-те</w:t>
      </w:r>
      <w:r>
        <w:rPr>
          <w:bCs/>
          <w:szCs w:val="24"/>
        </w:rPr>
        <w:t xml:space="preserve"> години на миналия век. Демографският натиск след 2040</w:t>
      </w:r>
      <w:r w:rsidR="00B552D5">
        <w:rPr>
          <w:bCs/>
          <w:szCs w:val="24"/>
        </w:rPr>
        <w:t> г.</w:t>
      </w:r>
      <w:r>
        <w:rPr>
          <w:bCs/>
          <w:szCs w:val="24"/>
        </w:rPr>
        <w:t xml:space="preserve"> ще се усили и поради две допълнителни обстоятелства:</w:t>
      </w:r>
    </w:p>
    <w:p w14:paraId="0C53C941" w14:textId="02216523" w:rsidR="006D0CAB" w:rsidRPr="00B5035B" w:rsidRDefault="006D0CAB" w:rsidP="00493D7E">
      <w:pPr>
        <w:pStyle w:val="ListParagraph"/>
        <w:numPr>
          <w:ilvl w:val="0"/>
          <w:numId w:val="33"/>
        </w:numPr>
        <w:spacing w:before="120" w:after="0"/>
      </w:pPr>
      <w:r w:rsidRPr="00B5035B">
        <w:t>На първо място, през 2027</w:t>
      </w:r>
      <w:r w:rsidR="00B552D5" w:rsidRPr="00B5035B">
        <w:t> г.</w:t>
      </w:r>
      <w:r w:rsidRPr="00B5035B">
        <w:t xml:space="preserve"> престава да нараства изискуемият осигурителен стаж за придобиване право на пенсия за осигурителен стаж и възраст. Тогава той ще достигне 37</w:t>
      </w:r>
      <w:r w:rsidR="00B552D5" w:rsidRPr="00B5035B">
        <w:t> г.</w:t>
      </w:r>
      <w:r w:rsidRPr="00B5035B">
        <w:t xml:space="preserve"> за жените и 40</w:t>
      </w:r>
      <w:r w:rsidR="00B552D5" w:rsidRPr="00B5035B">
        <w:t> г.</w:t>
      </w:r>
      <w:r w:rsidRPr="00B5035B">
        <w:t xml:space="preserve"> за мъжете. </w:t>
      </w:r>
    </w:p>
    <w:p w14:paraId="055C7BB6" w14:textId="24FA9BC9" w:rsidR="006D0CAB" w:rsidRPr="00B5035B" w:rsidRDefault="006D0CAB" w:rsidP="00493D7E">
      <w:pPr>
        <w:pStyle w:val="ListParagraph"/>
        <w:numPr>
          <w:ilvl w:val="0"/>
          <w:numId w:val="33"/>
        </w:numPr>
        <w:spacing w:before="120"/>
      </w:pPr>
      <w:r w:rsidRPr="00B5035B">
        <w:t>На второ място, през 2029</w:t>
      </w:r>
      <w:r w:rsidR="00B552D5" w:rsidRPr="00B5035B">
        <w:t> г.</w:t>
      </w:r>
      <w:r w:rsidRPr="00B5035B">
        <w:t xml:space="preserve"> изискуемата възраст за придобиване право на пенсия за осигурителен стаж и възраст достига 6</w:t>
      </w:r>
      <w:r w:rsidR="00B34F3C">
        <w:t>5 години за мъжете.</w:t>
      </w:r>
      <w:r w:rsidRPr="00B5035B">
        <w:t xml:space="preserve"> </w:t>
      </w:r>
      <w:r w:rsidR="003966E8" w:rsidRPr="00B5035B">
        <w:t>Възрастта продължава да нараства само за жените (до 2037</w:t>
      </w:r>
      <w:r w:rsidR="00B552D5" w:rsidRPr="00B5035B">
        <w:t> г.</w:t>
      </w:r>
      <w:r w:rsidR="003966E8" w:rsidRPr="00B5035B">
        <w:t>),</w:t>
      </w:r>
      <w:r w:rsidR="00B90FE3">
        <w:rPr>
          <w:lang w:val="en-US"/>
        </w:rPr>
        <w:t xml:space="preserve"> </w:t>
      </w:r>
      <w:r w:rsidRPr="00B5035B">
        <w:t>когато и мъжете и жените ще се пенсионират на 65 години. На този етап няма нормативно определен механизъм относно прилагането на</w:t>
      </w:r>
      <w:r w:rsidR="0005652B" w:rsidRPr="00B5035B">
        <w:t xml:space="preserve"> </w:t>
      </w:r>
      <w:r w:rsidRPr="00B5035B">
        <w:t>предвиденото в законодателството (чл. 68, ал. 5 от КСО) обвързване на пенсионната възраст с промените в средната продължителност на живота след 2037</w:t>
      </w:r>
      <w:r w:rsidR="00B552D5" w:rsidRPr="00B5035B">
        <w:t> г.</w:t>
      </w:r>
      <w:r w:rsidRPr="00B5035B">
        <w:t>, поради което прогнозата е разработена при допускането, че след 2037</w:t>
      </w:r>
      <w:r w:rsidR="00B552D5" w:rsidRPr="00B5035B">
        <w:t> г.</w:t>
      </w:r>
      <w:r w:rsidRPr="00B5035B">
        <w:t xml:space="preserve"> пенсионната възраст остава 65 години и за двата пола.</w:t>
      </w:r>
    </w:p>
    <w:p w14:paraId="4802B854" w14:textId="2C30EECB" w:rsidR="006D0CAB" w:rsidRDefault="006D0CAB" w:rsidP="00EF74B2">
      <w:pPr>
        <w:rPr>
          <w:bCs/>
          <w:szCs w:val="24"/>
        </w:rPr>
      </w:pPr>
      <w:r>
        <w:rPr>
          <w:bCs/>
          <w:szCs w:val="24"/>
        </w:rPr>
        <w:t xml:space="preserve">Тези обстоятелства ще доведат до влошаване на съотношението между броя на пенсионерите и броя на осигурените лица в дългосрочен план. </w:t>
      </w:r>
    </w:p>
    <w:p w14:paraId="79609AFD" w14:textId="6D68E492" w:rsidR="00B90FE3" w:rsidRDefault="00B90FE3" w:rsidP="00B90FE3">
      <w:pPr>
        <w:pStyle w:val="Caption"/>
      </w:pPr>
      <w:bookmarkStart w:id="120" w:name="_Hlk115183345"/>
      <w:r w:rsidRPr="00E0689E">
        <w:t>Граф. 5</w:t>
      </w:r>
      <w:r>
        <w:rPr>
          <w:lang w:val="en-US"/>
        </w:rPr>
        <w:t>-</w:t>
      </w:r>
      <w:r>
        <w:t xml:space="preserve">3: </w:t>
      </w:r>
      <w:r>
        <w:tab/>
      </w:r>
      <w:r w:rsidRPr="00E0689E">
        <w:t>Пенсионери с пенсии за трудова дейност към осигурени лица (202</w:t>
      </w:r>
      <w:r w:rsidRPr="00E0689E">
        <w:rPr>
          <w:lang w:val="en-US"/>
        </w:rPr>
        <w:t>2</w:t>
      </w:r>
      <w:r w:rsidRPr="00E0689E">
        <w:t>-2070</w:t>
      </w:r>
      <w:r>
        <w:t> г.</w:t>
      </w:r>
      <w:r w:rsidRPr="00E0689E">
        <w:t>)</w:t>
      </w:r>
      <w:bookmarkEnd w:id="120"/>
    </w:p>
    <w:p w14:paraId="182D6107" w14:textId="730BFAE9" w:rsidR="001D190B" w:rsidRPr="001D190B" w:rsidRDefault="001D190B" w:rsidP="001D190B">
      <w:r>
        <w:rPr>
          <w:noProof/>
        </w:rPr>
        <w:lastRenderedPageBreak/>
        <w:drawing>
          <wp:inline distT="0" distB="0" distL="0" distR="0" wp14:anchorId="2DA59EE1" wp14:editId="566E2E7F">
            <wp:extent cx="5759450" cy="2520000"/>
            <wp:effectExtent l="0" t="0" r="0" b="0"/>
            <wp:docPr id="29" name="Chart 29">
              <a:extLst xmlns:a="http://schemas.openxmlformats.org/drawingml/2006/main">
                <a:ext uri="{FF2B5EF4-FFF2-40B4-BE49-F238E27FC236}">
                  <a16:creationId xmlns:a16="http://schemas.microsoft.com/office/drawing/2014/main" id="{76FD10BD-4D66-4104-9103-1BFC370EA1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B6645BC" w14:textId="353C7DA1" w:rsidR="006D0CAB" w:rsidRDefault="006D0CAB" w:rsidP="00EF74B2">
      <w:pPr>
        <w:rPr>
          <w:bCs/>
          <w:szCs w:val="24"/>
        </w:rPr>
      </w:pPr>
      <w:r>
        <w:rPr>
          <w:szCs w:val="24"/>
        </w:rPr>
        <w:t>През 202</w:t>
      </w:r>
      <w:r>
        <w:rPr>
          <w:szCs w:val="24"/>
          <w:lang w:val="en-US"/>
        </w:rPr>
        <w:t>2</w:t>
      </w:r>
      <w:r w:rsidR="00B552D5">
        <w:rPr>
          <w:szCs w:val="24"/>
        </w:rPr>
        <w:t> г.</w:t>
      </w:r>
      <w:r>
        <w:rPr>
          <w:szCs w:val="24"/>
        </w:rPr>
        <w:t xml:space="preserve"> на 100 осигурени лица са съответствали 7</w:t>
      </w:r>
      <w:r>
        <w:rPr>
          <w:szCs w:val="24"/>
          <w:lang w:val="en-US"/>
        </w:rPr>
        <w:t>1</w:t>
      </w:r>
      <w:r>
        <w:rPr>
          <w:szCs w:val="24"/>
        </w:rPr>
        <w:t xml:space="preserve"> пенсионери с пенсии за трудова дейност. </w:t>
      </w:r>
      <w:r>
        <w:rPr>
          <w:bCs/>
          <w:szCs w:val="24"/>
        </w:rPr>
        <w:t xml:space="preserve">На </w:t>
      </w:r>
      <w:r w:rsidR="00B90FE3">
        <w:rPr>
          <w:bCs/>
          <w:szCs w:val="24"/>
        </w:rPr>
        <w:t>граф.</w:t>
      </w:r>
      <w:r w:rsidR="00CA6CE6">
        <w:rPr>
          <w:bCs/>
          <w:szCs w:val="24"/>
        </w:rPr>
        <w:t xml:space="preserve"> 5-3</w:t>
      </w:r>
      <w:r>
        <w:rPr>
          <w:bCs/>
          <w:szCs w:val="24"/>
        </w:rPr>
        <w:t xml:space="preserve"> се вижда, че т</w:t>
      </w:r>
      <w:r>
        <w:rPr>
          <w:bCs/>
          <w:szCs w:val="24"/>
          <w:lang w:val="en-US"/>
        </w:rPr>
        <w:t xml:space="preserve">. </w:t>
      </w:r>
      <w:r>
        <w:rPr>
          <w:bCs/>
          <w:szCs w:val="24"/>
        </w:rPr>
        <w:t>нар</w:t>
      </w:r>
      <w:r>
        <w:rPr>
          <w:bCs/>
          <w:szCs w:val="24"/>
          <w:lang w:val="en-US"/>
        </w:rPr>
        <w:t>.</w:t>
      </w:r>
      <w:bookmarkStart w:id="121" w:name="_Hlk131596571"/>
      <w:r>
        <w:rPr>
          <w:bCs/>
          <w:szCs w:val="24"/>
        </w:rPr>
        <w:t xml:space="preserve"> „</w:t>
      </w:r>
      <w:bookmarkEnd w:id="121"/>
      <w:r>
        <w:rPr>
          <w:bCs/>
          <w:szCs w:val="24"/>
        </w:rPr>
        <w:t>вътрешносистемен коефициент на зависимост“</w:t>
      </w:r>
      <w:r>
        <w:rPr>
          <w:rStyle w:val="FootnoteReference"/>
          <w:bCs/>
          <w:szCs w:val="24"/>
        </w:rPr>
        <w:footnoteReference w:id="28"/>
      </w:r>
      <w:r>
        <w:rPr>
          <w:bCs/>
          <w:szCs w:val="24"/>
        </w:rPr>
        <w:t xml:space="preserve"> ще намалява, </w:t>
      </w:r>
      <w:r>
        <w:rPr>
          <w:szCs w:val="24"/>
        </w:rPr>
        <w:t>като в периода между 2027</w:t>
      </w:r>
      <w:r w:rsidR="00B552D5">
        <w:rPr>
          <w:szCs w:val="24"/>
        </w:rPr>
        <w:t> г.</w:t>
      </w:r>
      <w:r>
        <w:rPr>
          <w:szCs w:val="24"/>
        </w:rPr>
        <w:t xml:space="preserve"> и 2037</w:t>
      </w:r>
      <w:r w:rsidR="00B552D5">
        <w:rPr>
          <w:szCs w:val="24"/>
        </w:rPr>
        <w:t> г.</w:t>
      </w:r>
      <w:r>
        <w:rPr>
          <w:szCs w:val="24"/>
        </w:rPr>
        <w:t>, когато пенсионната възраст за жените и мъжете ще се изравни на 65 години, съотношението между броя на пенсионерите и броя на осигурените лица ще бъде около 6</w:t>
      </w:r>
      <w:r>
        <w:rPr>
          <w:szCs w:val="24"/>
          <w:lang w:val="en-US"/>
        </w:rPr>
        <w:t>6</w:t>
      </w:r>
      <w:r>
        <w:rPr>
          <w:szCs w:val="24"/>
        </w:rPr>
        <w:t>-6</w:t>
      </w:r>
      <w:r>
        <w:rPr>
          <w:szCs w:val="24"/>
          <w:lang w:val="en-US"/>
        </w:rPr>
        <w:t>7</w:t>
      </w:r>
      <w:r>
        <w:rPr>
          <w:szCs w:val="24"/>
        </w:rPr>
        <w:t>%. Това намаление е резултат от прогнозирания по-малък брой новоотпуснати пенсии през тези години, вследствие на увеличаването на пенсионната възраст,</w:t>
      </w:r>
      <w:r w:rsidR="0005652B">
        <w:rPr>
          <w:szCs w:val="24"/>
        </w:rPr>
        <w:t xml:space="preserve"> </w:t>
      </w:r>
      <w:r>
        <w:rPr>
          <w:szCs w:val="24"/>
        </w:rPr>
        <w:t xml:space="preserve">ограничаването на ранното пенсиониране, както и поради наличието на стимули за по-дълго оставане на пазара на труда на възрастните работници. </w:t>
      </w:r>
      <w:r>
        <w:rPr>
          <w:bCs/>
          <w:szCs w:val="24"/>
        </w:rPr>
        <w:t>След 2040</w:t>
      </w:r>
      <w:r w:rsidR="00B552D5">
        <w:rPr>
          <w:bCs/>
          <w:szCs w:val="24"/>
        </w:rPr>
        <w:t> г.</w:t>
      </w:r>
      <w:r>
        <w:rPr>
          <w:bCs/>
          <w:szCs w:val="24"/>
        </w:rPr>
        <w:t xml:space="preserve"> </w:t>
      </w:r>
      <w:r>
        <w:rPr>
          <w:szCs w:val="24"/>
        </w:rPr>
        <w:t>под въздействието на фактори като застаряване на населението, увеличаваща се средна продължителност на живота и намаляващ брой на заетите лица,</w:t>
      </w:r>
      <w:r>
        <w:rPr>
          <w:bCs/>
          <w:szCs w:val="24"/>
        </w:rPr>
        <w:t xml:space="preserve"> съотношението между броя на пенсионерите и броя на осигурените лица ще започне да нараства, достигайки </w:t>
      </w:r>
      <w:r>
        <w:rPr>
          <w:bCs/>
          <w:szCs w:val="24"/>
          <w:lang w:val="en-US"/>
        </w:rPr>
        <w:t xml:space="preserve">78,1% </w:t>
      </w:r>
      <w:r>
        <w:rPr>
          <w:bCs/>
          <w:szCs w:val="24"/>
        </w:rPr>
        <w:t>през 2070 година.</w:t>
      </w:r>
    </w:p>
    <w:p w14:paraId="77038D8F" w14:textId="08B1DFD5" w:rsidR="006D0CAB" w:rsidRPr="00CA6CE6" w:rsidRDefault="006D0CAB" w:rsidP="009D48E5">
      <w:pPr>
        <w:rPr>
          <w:iCs/>
          <w:szCs w:val="24"/>
        </w:rPr>
      </w:pPr>
      <w:r w:rsidRPr="00CA6CE6">
        <w:rPr>
          <w:iCs/>
          <w:szCs w:val="24"/>
        </w:rPr>
        <w:t>Провежданите в последните години пенсионни политики съдействаха за повишаване на адекватността на пенсиите.</w:t>
      </w:r>
      <w:r w:rsidR="0005652B" w:rsidRPr="00CA6CE6">
        <w:rPr>
          <w:iCs/>
          <w:szCs w:val="24"/>
        </w:rPr>
        <w:t xml:space="preserve"> </w:t>
      </w:r>
    </w:p>
    <w:p w14:paraId="5E5AA2BB" w14:textId="7505C394" w:rsidR="006D0CAB" w:rsidRDefault="006D0CAB" w:rsidP="009D48E5">
      <w:pPr>
        <w:rPr>
          <w:bCs/>
          <w:szCs w:val="24"/>
        </w:rPr>
      </w:pPr>
      <w:r>
        <w:rPr>
          <w:bCs/>
          <w:szCs w:val="24"/>
        </w:rPr>
        <w:t>В периода 2022</w:t>
      </w:r>
      <w:r w:rsidR="008762C5">
        <w:rPr>
          <w:bCs/>
          <w:szCs w:val="24"/>
          <w:lang w:val="en-US"/>
        </w:rPr>
        <w:t>–</w:t>
      </w:r>
      <w:r>
        <w:rPr>
          <w:bCs/>
          <w:szCs w:val="24"/>
        </w:rPr>
        <w:t>202</w:t>
      </w:r>
      <w:r>
        <w:rPr>
          <w:bCs/>
          <w:szCs w:val="24"/>
          <w:lang w:val="en-US"/>
        </w:rPr>
        <w:t>6</w:t>
      </w:r>
      <w:r w:rsidR="00B552D5">
        <w:rPr>
          <w:bCs/>
          <w:szCs w:val="24"/>
        </w:rPr>
        <w:t> г.</w:t>
      </w:r>
      <w:r>
        <w:rPr>
          <w:bCs/>
          <w:szCs w:val="24"/>
        </w:rPr>
        <w:t>, размерите на пенсиите ще нараснат значително.</w:t>
      </w:r>
      <w:r w:rsidR="0005652B">
        <w:rPr>
          <w:bCs/>
          <w:szCs w:val="24"/>
        </w:rPr>
        <w:t xml:space="preserve"> </w:t>
      </w:r>
      <w:r>
        <w:rPr>
          <w:bCs/>
          <w:szCs w:val="24"/>
        </w:rPr>
        <w:t>През 2022</w:t>
      </w:r>
      <w:r w:rsidR="00B552D5">
        <w:rPr>
          <w:bCs/>
          <w:szCs w:val="24"/>
        </w:rPr>
        <w:t> г.</w:t>
      </w:r>
      <w:r>
        <w:rPr>
          <w:bCs/>
          <w:szCs w:val="24"/>
        </w:rPr>
        <w:t xml:space="preserve"> брутният коефициент на заместване на дохода</w:t>
      </w:r>
      <w:r>
        <w:rPr>
          <w:rStyle w:val="FootnoteReference"/>
          <w:bCs/>
          <w:szCs w:val="24"/>
        </w:rPr>
        <w:footnoteReference w:id="29"/>
      </w:r>
      <w:r>
        <w:rPr>
          <w:bCs/>
          <w:szCs w:val="24"/>
        </w:rPr>
        <w:t xml:space="preserve"> достигна 51</w:t>
      </w:r>
      <w:r w:rsidR="00EF74B2">
        <w:rPr>
          <w:bCs/>
          <w:szCs w:val="24"/>
          <w:lang w:val="en-US"/>
        </w:rPr>
        <w:t>.</w:t>
      </w:r>
      <w:r>
        <w:rPr>
          <w:bCs/>
          <w:szCs w:val="24"/>
        </w:rPr>
        <w:t>9%.</w:t>
      </w:r>
      <w:r w:rsidR="0005652B">
        <w:rPr>
          <w:bCs/>
          <w:szCs w:val="24"/>
        </w:rPr>
        <w:t xml:space="preserve"> </w:t>
      </w:r>
      <w:r>
        <w:rPr>
          <w:bCs/>
          <w:szCs w:val="24"/>
        </w:rPr>
        <w:t>В резултат на проведените през 2022</w:t>
      </w:r>
      <w:r w:rsidR="00B552D5">
        <w:rPr>
          <w:bCs/>
          <w:szCs w:val="24"/>
        </w:rPr>
        <w:t> г.</w:t>
      </w:r>
      <w:r>
        <w:rPr>
          <w:bCs/>
          <w:szCs w:val="24"/>
        </w:rPr>
        <w:t xml:space="preserve"> политики по отношение на размерите на пенсиите, през следващите няколко години брутният коефициент на заместване на дохода се очаква да достигне</w:t>
      </w:r>
      <w:r>
        <w:rPr>
          <w:bCs/>
          <w:szCs w:val="24"/>
          <w:lang w:val="en-US"/>
        </w:rPr>
        <w:t xml:space="preserve"> </w:t>
      </w:r>
      <w:r>
        <w:rPr>
          <w:bCs/>
          <w:szCs w:val="24"/>
        </w:rPr>
        <w:t xml:space="preserve">до около 56-57%, като това са и най-високите му стойности за целия разглеждан период. </w:t>
      </w:r>
    </w:p>
    <w:p w14:paraId="5621BC78" w14:textId="394C708C" w:rsidR="006D0CAB" w:rsidRDefault="006D0CAB" w:rsidP="00EF74B2">
      <w:pPr>
        <w:rPr>
          <w:bCs/>
          <w:szCs w:val="24"/>
        </w:rPr>
      </w:pPr>
      <w:r>
        <w:rPr>
          <w:bCs/>
          <w:szCs w:val="24"/>
        </w:rPr>
        <w:t>В дългосрочен план средната стойност на коефициента на заместване на дохода ще намалее до около 3</w:t>
      </w:r>
      <w:r w:rsidR="009D48E5">
        <w:rPr>
          <w:bCs/>
          <w:szCs w:val="24"/>
        </w:rPr>
        <w:t>7.</w:t>
      </w:r>
      <w:r>
        <w:rPr>
          <w:bCs/>
          <w:szCs w:val="24"/>
        </w:rPr>
        <w:t>0%. Върху този процес най-съществено влияние оказва законодателното изискване за редукция на индивидуалния коефициент на пенсионерите, на които ще бъде отпусната пенсия и от ДОО, и от универсален пенсионен фонд</w:t>
      </w:r>
      <w:r>
        <w:rPr>
          <w:bCs/>
          <w:szCs w:val="24"/>
          <w:lang w:val="en-US"/>
        </w:rPr>
        <w:t xml:space="preserve"> (</w:t>
      </w:r>
      <w:r>
        <w:rPr>
          <w:bCs/>
          <w:szCs w:val="24"/>
        </w:rPr>
        <w:t>втори стълб</w:t>
      </w:r>
      <w:r>
        <w:rPr>
          <w:bCs/>
          <w:szCs w:val="24"/>
          <w:lang w:val="en-US"/>
        </w:rPr>
        <w:t>)</w:t>
      </w:r>
      <w:r>
        <w:rPr>
          <w:rStyle w:val="FootnoteReference"/>
          <w:bCs/>
          <w:szCs w:val="24"/>
          <w:lang w:val="en-US"/>
        </w:rPr>
        <w:footnoteReference w:id="30"/>
      </w:r>
      <w:r>
        <w:rPr>
          <w:bCs/>
          <w:szCs w:val="24"/>
        </w:rPr>
        <w:t>. Коефициентът на заместване от ДОО ще бъде по-нисък за пенсионерите, които се осигуряват и в двата стълба. Техните пенсии ще бъдат редуцирани, според процента на осигурителната вноска, която е била прехвърляна към втория стълб, при отчитане на броя на месеците, през които лицето е било осигурявано в универсален пенсионен фонд спрямо общата продължителност на осигурителния му стаж.</w:t>
      </w:r>
      <w:r w:rsidR="0005652B">
        <w:rPr>
          <w:bCs/>
          <w:szCs w:val="24"/>
        </w:rPr>
        <w:t xml:space="preserve"> </w:t>
      </w:r>
      <w:r>
        <w:rPr>
          <w:bCs/>
          <w:szCs w:val="24"/>
        </w:rPr>
        <w:t>Тези лица ще получат допълни</w:t>
      </w:r>
      <w:r>
        <w:rPr>
          <w:bCs/>
          <w:szCs w:val="24"/>
        </w:rPr>
        <w:lastRenderedPageBreak/>
        <w:t>телна пенсия за старост от универсален пенсионен фонд. Намалението в размера на пенсиите от първия стълб, отпуснати на жените, родени в началото на 1960</w:t>
      </w:r>
      <w:r w:rsidR="00B552D5">
        <w:rPr>
          <w:bCs/>
          <w:szCs w:val="24"/>
        </w:rPr>
        <w:t> г.</w:t>
      </w:r>
      <w:r>
        <w:rPr>
          <w:bCs/>
          <w:szCs w:val="24"/>
        </w:rPr>
        <w:t>, които придобиват право на пенсия за осигурителен стаж и възраст през 2023</w:t>
      </w:r>
      <w:r w:rsidR="00B552D5">
        <w:rPr>
          <w:bCs/>
          <w:szCs w:val="24"/>
        </w:rPr>
        <w:t> г.</w:t>
      </w:r>
      <w:r>
        <w:rPr>
          <w:bCs/>
          <w:szCs w:val="24"/>
        </w:rPr>
        <w:t>, е около 10</w:t>
      </w:r>
      <w:r w:rsidR="00EF74B2">
        <w:rPr>
          <w:bCs/>
          <w:szCs w:val="24"/>
          <w:lang w:val="en-US"/>
        </w:rPr>
        <w:t>.</w:t>
      </w:r>
      <w:r>
        <w:rPr>
          <w:bCs/>
          <w:szCs w:val="24"/>
        </w:rPr>
        <w:t>0 на сто. Този процент ще нараства, достигайки до около 25 на сто за пенсиите, отпуснати след 2050</w:t>
      </w:r>
      <w:r w:rsidR="00B552D5">
        <w:rPr>
          <w:bCs/>
          <w:szCs w:val="24"/>
        </w:rPr>
        <w:t> г.</w:t>
      </w:r>
      <w:r>
        <w:rPr>
          <w:bCs/>
          <w:szCs w:val="24"/>
          <w:lang w:val="en-US"/>
        </w:rPr>
        <w:t>,</w:t>
      </w:r>
      <w:r>
        <w:rPr>
          <w:bCs/>
          <w:szCs w:val="24"/>
        </w:rPr>
        <w:t xml:space="preserve"> тъй като целият осигурителен стаж на лицата, които ще се пенсионират тогава, ще обхваща периоди след 2001</w:t>
      </w:r>
      <w:r w:rsidR="00B552D5">
        <w:rPr>
          <w:bCs/>
          <w:szCs w:val="24"/>
        </w:rPr>
        <w:t> г.</w:t>
      </w:r>
      <w:r>
        <w:rPr>
          <w:bCs/>
          <w:szCs w:val="24"/>
        </w:rPr>
        <w:t xml:space="preserve"> с осигуряване в универсален пенсионен фонд. Важно е да се отбележи, че стойността на намалението е различна за всеки отделен пенсионер и зависи от конкретния период, който обхваща осигурителния му стаж. </w:t>
      </w:r>
    </w:p>
    <w:p w14:paraId="67482DF2" w14:textId="77777777" w:rsidR="006D0CAB" w:rsidRDefault="006D0CAB" w:rsidP="00EF74B2">
      <w:pPr>
        <w:rPr>
          <w:bCs/>
          <w:szCs w:val="24"/>
          <w:lang w:val="en-US"/>
        </w:rPr>
      </w:pPr>
      <w:r>
        <w:rPr>
          <w:bCs/>
          <w:szCs w:val="24"/>
        </w:rPr>
        <w:t>Правилото за осъвременяване на пенсиите по чл. 100 от КСО, според което осъвременяването се извършва с процент, равен на сбора от 50% от нарастването на осигурителния доход и 50% от хармонизирания индекс на потребителските цени през предходната календарна година, също допринася за намалението на коефициента на заместване на дохода.</w:t>
      </w:r>
      <w:r>
        <w:rPr>
          <w:bCs/>
          <w:szCs w:val="24"/>
          <w:lang w:val="en-US"/>
        </w:rPr>
        <w:t xml:space="preserve"> </w:t>
      </w:r>
    </w:p>
    <w:p w14:paraId="3AE5D3C4" w14:textId="77777777" w:rsidR="006D0CAB" w:rsidRDefault="006D0CAB" w:rsidP="00EF74B2">
      <w:pPr>
        <w:rPr>
          <w:iCs/>
          <w:szCs w:val="24"/>
        </w:rPr>
      </w:pPr>
      <w:r w:rsidRPr="00EF74B2">
        <w:rPr>
          <w:iCs/>
          <w:szCs w:val="24"/>
        </w:rPr>
        <w:t>Динамиката в разходите за пенсии</w:t>
      </w:r>
      <w:r>
        <w:rPr>
          <w:iCs/>
          <w:szCs w:val="24"/>
        </w:rPr>
        <w:t xml:space="preserve"> е в пряка зависимост от динамиката в системния коефициент на зависимост и коефициента на заместване на дохода.</w:t>
      </w:r>
    </w:p>
    <w:p w14:paraId="1DF9ECA2" w14:textId="17B95DB6" w:rsidR="006D0CAB" w:rsidRDefault="006D0CAB" w:rsidP="00EF74B2">
      <w:pPr>
        <w:rPr>
          <w:iCs/>
          <w:szCs w:val="24"/>
        </w:rPr>
      </w:pPr>
      <w:r>
        <w:rPr>
          <w:iCs/>
          <w:szCs w:val="24"/>
        </w:rPr>
        <w:t>През 2022</w:t>
      </w:r>
      <w:r w:rsidR="00B552D5">
        <w:rPr>
          <w:iCs/>
          <w:szCs w:val="24"/>
        </w:rPr>
        <w:t> г.</w:t>
      </w:r>
      <w:r>
        <w:rPr>
          <w:iCs/>
          <w:szCs w:val="24"/>
        </w:rPr>
        <w:t xml:space="preserve"> разходите за пенсии достигнаха 9</w:t>
      </w:r>
      <w:r w:rsidR="00EF74B2">
        <w:rPr>
          <w:iCs/>
          <w:szCs w:val="24"/>
          <w:lang w:val="en-US"/>
        </w:rPr>
        <w:t>.</w:t>
      </w:r>
      <w:r>
        <w:rPr>
          <w:iCs/>
          <w:szCs w:val="24"/>
        </w:rPr>
        <w:t>5% от БВП без допълнителните суми към пенсиите и</w:t>
      </w:r>
      <w:r w:rsidR="0005652B">
        <w:rPr>
          <w:iCs/>
          <w:szCs w:val="24"/>
        </w:rPr>
        <w:t xml:space="preserve"> </w:t>
      </w:r>
      <w:r>
        <w:rPr>
          <w:iCs/>
          <w:szCs w:val="24"/>
        </w:rPr>
        <w:t>10</w:t>
      </w:r>
      <w:r w:rsidR="00EF74B2">
        <w:rPr>
          <w:iCs/>
          <w:szCs w:val="24"/>
          <w:lang w:val="en-US"/>
        </w:rPr>
        <w:t>.</w:t>
      </w:r>
      <w:r>
        <w:rPr>
          <w:iCs/>
          <w:szCs w:val="24"/>
          <w:lang w:val="en-US"/>
        </w:rPr>
        <w:t>0</w:t>
      </w:r>
      <w:r>
        <w:rPr>
          <w:iCs/>
          <w:szCs w:val="24"/>
        </w:rPr>
        <w:t>% от БВП с включени допълнителни суми</w:t>
      </w:r>
      <w:r>
        <w:rPr>
          <w:rStyle w:val="FootnoteReference"/>
          <w:iCs/>
          <w:szCs w:val="24"/>
        </w:rPr>
        <w:footnoteReference w:id="31"/>
      </w:r>
      <w:r>
        <w:rPr>
          <w:iCs/>
          <w:szCs w:val="24"/>
        </w:rPr>
        <w:t>, които не бяха предвидени в Закона за бюджета на ДОО за 2022</w:t>
      </w:r>
      <w:r w:rsidR="00B552D5">
        <w:rPr>
          <w:iCs/>
          <w:szCs w:val="24"/>
        </w:rPr>
        <w:t> г.</w:t>
      </w:r>
      <w:r>
        <w:rPr>
          <w:iCs/>
          <w:szCs w:val="24"/>
        </w:rPr>
        <w:t xml:space="preserve"> През 2023</w:t>
      </w:r>
      <w:r w:rsidR="00B552D5">
        <w:rPr>
          <w:iCs/>
          <w:szCs w:val="24"/>
        </w:rPr>
        <w:t> г.</w:t>
      </w:r>
      <w:r>
        <w:rPr>
          <w:iCs/>
          <w:szCs w:val="24"/>
        </w:rPr>
        <w:t xml:space="preserve"> и 2024</w:t>
      </w:r>
      <w:r w:rsidR="00B552D5">
        <w:rPr>
          <w:iCs/>
          <w:szCs w:val="24"/>
        </w:rPr>
        <w:t> г.</w:t>
      </w:r>
      <w:r>
        <w:rPr>
          <w:iCs/>
          <w:szCs w:val="24"/>
        </w:rPr>
        <w:t xml:space="preserve"> разходите за пенсии ще надхвърлят 10</w:t>
      </w:r>
      <w:r w:rsidR="00EF74B2">
        <w:rPr>
          <w:iCs/>
          <w:szCs w:val="24"/>
          <w:lang w:val="en-US"/>
        </w:rPr>
        <w:t>.</w:t>
      </w:r>
      <w:r>
        <w:rPr>
          <w:iCs/>
          <w:szCs w:val="24"/>
        </w:rPr>
        <w:t>0% от БВП, като през 202</w:t>
      </w:r>
      <w:r>
        <w:rPr>
          <w:iCs/>
          <w:szCs w:val="24"/>
          <w:lang w:val="en-US"/>
        </w:rPr>
        <w:t>5</w:t>
      </w:r>
      <w:r w:rsidR="00B552D5">
        <w:rPr>
          <w:iCs/>
          <w:szCs w:val="24"/>
        </w:rPr>
        <w:t> г.</w:t>
      </w:r>
      <w:r>
        <w:rPr>
          <w:iCs/>
          <w:szCs w:val="24"/>
        </w:rPr>
        <w:t xml:space="preserve"> и 202</w:t>
      </w:r>
      <w:r>
        <w:rPr>
          <w:iCs/>
          <w:szCs w:val="24"/>
          <w:lang w:val="en-US"/>
        </w:rPr>
        <w:t>6</w:t>
      </w:r>
      <w:r w:rsidR="00B552D5">
        <w:rPr>
          <w:iCs/>
          <w:szCs w:val="24"/>
        </w:rPr>
        <w:t> г.</w:t>
      </w:r>
      <w:r>
        <w:rPr>
          <w:iCs/>
          <w:szCs w:val="24"/>
        </w:rPr>
        <w:t xml:space="preserve"> ще достигнат най-високата си стойност за целия прогнозен период от 11</w:t>
      </w:r>
      <w:r w:rsidR="00EF74B2">
        <w:rPr>
          <w:iCs/>
          <w:szCs w:val="24"/>
          <w:lang w:val="en-US"/>
        </w:rPr>
        <w:t>.</w:t>
      </w:r>
      <w:r>
        <w:rPr>
          <w:iCs/>
          <w:szCs w:val="24"/>
          <w:lang w:val="en-US"/>
        </w:rPr>
        <w:t>0</w:t>
      </w:r>
      <w:r>
        <w:rPr>
          <w:iCs/>
          <w:szCs w:val="24"/>
        </w:rPr>
        <w:t>%. След 202</w:t>
      </w:r>
      <w:r>
        <w:rPr>
          <w:iCs/>
          <w:szCs w:val="24"/>
          <w:lang w:val="en-US"/>
        </w:rPr>
        <w:t>6</w:t>
      </w:r>
      <w:r w:rsidR="00B552D5">
        <w:rPr>
          <w:iCs/>
          <w:szCs w:val="24"/>
        </w:rPr>
        <w:t> г.</w:t>
      </w:r>
      <w:r>
        <w:rPr>
          <w:iCs/>
          <w:szCs w:val="24"/>
        </w:rPr>
        <w:t xml:space="preserve"> делът на разходите за пенсии от БВП ще започне постепенно да намалява, достигайки най-ниската си стойност от 9</w:t>
      </w:r>
      <w:r w:rsidR="00EF74B2">
        <w:rPr>
          <w:iCs/>
          <w:szCs w:val="24"/>
          <w:lang w:val="en-US"/>
        </w:rPr>
        <w:t>.</w:t>
      </w:r>
      <w:r>
        <w:rPr>
          <w:iCs/>
          <w:szCs w:val="24"/>
          <w:lang w:val="en-US"/>
        </w:rPr>
        <w:t>1</w:t>
      </w:r>
      <w:r>
        <w:rPr>
          <w:iCs/>
          <w:szCs w:val="24"/>
        </w:rPr>
        <w:t>% в периода 2042</w:t>
      </w:r>
      <w:r w:rsidR="00493D7E">
        <w:rPr>
          <w:iCs/>
          <w:szCs w:val="24"/>
          <w:lang w:val="en-US"/>
        </w:rPr>
        <w:t>–</w:t>
      </w:r>
      <w:r>
        <w:rPr>
          <w:iCs/>
          <w:szCs w:val="24"/>
        </w:rPr>
        <w:t>20</w:t>
      </w:r>
      <w:r>
        <w:rPr>
          <w:iCs/>
          <w:szCs w:val="24"/>
          <w:lang w:val="en-US"/>
        </w:rPr>
        <w:t>50</w:t>
      </w:r>
      <w:r w:rsidR="00B552D5">
        <w:rPr>
          <w:iCs/>
          <w:szCs w:val="24"/>
          <w:lang w:val="en-US"/>
        </w:rPr>
        <w:t> г.</w:t>
      </w:r>
      <w:r>
        <w:rPr>
          <w:iCs/>
          <w:szCs w:val="24"/>
        </w:rPr>
        <w:t xml:space="preserve">, след което се очаква ръст до </w:t>
      </w:r>
      <w:r>
        <w:rPr>
          <w:iCs/>
          <w:szCs w:val="24"/>
          <w:lang w:val="en-US"/>
        </w:rPr>
        <w:t>9</w:t>
      </w:r>
      <w:r w:rsidR="00EF74B2">
        <w:rPr>
          <w:iCs/>
          <w:szCs w:val="24"/>
          <w:lang w:val="en-US"/>
        </w:rPr>
        <w:t>.</w:t>
      </w:r>
      <w:r>
        <w:rPr>
          <w:iCs/>
          <w:szCs w:val="24"/>
          <w:lang w:val="en-US"/>
        </w:rPr>
        <w:t xml:space="preserve">5% </w:t>
      </w:r>
      <w:r>
        <w:rPr>
          <w:iCs/>
          <w:szCs w:val="24"/>
        </w:rPr>
        <w:t>в края на прогнозния период. Причините за намалението на разходите за пенсии като процент от БВП в периода 202</w:t>
      </w:r>
      <w:r>
        <w:rPr>
          <w:iCs/>
          <w:szCs w:val="24"/>
          <w:lang w:val="en-US"/>
        </w:rPr>
        <w:t>7</w:t>
      </w:r>
      <w:r>
        <w:rPr>
          <w:iCs/>
          <w:szCs w:val="24"/>
        </w:rPr>
        <w:t>-20</w:t>
      </w:r>
      <w:r>
        <w:rPr>
          <w:iCs/>
          <w:szCs w:val="24"/>
          <w:lang w:val="en-US"/>
        </w:rPr>
        <w:t>50</w:t>
      </w:r>
      <w:r w:rsidR="00B552D5">
        <w:rPr>
          <w:iCs/>
          <w:szCs w:val="24"/>
          <w:lang w:val="en-US"/>
        </w:rPr>
        <w:t> г.</w:t>
      </w:r>
      <w:r>
        <w:rPr>
          <w:iCs/>
          <w:szCs w:val="24"/>
        </w:rPr>
        <w:t xml:space="preserve"> са комплексни и могат да бъдат обобщени в две групи: 1) намаляване броя на пенсионерите и задържане на съотношението между броя на пенсионерите и осигурените лица на относително ниски нива – основно поради демографски причини и по-строгите условия за придобиване право на пенсия; 2) изпреварващ ръст на средния осигурителен доход спрямо средната пенсия, поради прилагания механизъм за осъвременяване на пенсиите и намаляването на пенсията на лицата, които са били осигурени и в двата стълба към момента на пенсионирането си. </w:t>
      </w:r>
    </w:p>
    <w:p w14:paraId="17F7C1F2" w14:textId="7854F9DB" w:rsidR="006D0CAB" w:rsidRDefault="006D0CAB" w:rsidP="00EF74B2">
      <w:pPr>
        <w:rPr>
          <w:bCs/>
          <w:szCs w:val="24"/>
          <w:lang w:val="en-US"/>
        </w:rPr>
      </w:pPr>
      <w:r>
        <w:rPr>
          <w:iCs/>
          <w:szCs w:val="24"/>
        </w:rPr>
        <w:t>Влияние върху разходите за пенсии в дългосрочен план ще оказва и</w:t>
      </w:r>
      <w:r w:rsidR="0005652B">
        <w:rPr>
          <w:iCs/>
          <w:szCs w:val="24"/>
        </w:rPr>
        <w:t xml:space="preserve"> </w:t>
      </w:r>
      <w:r>
        <w:rPr>
          <w:iCs/>
          <w:szCs w:val="24"/>
        </w:rPr>
        <w:t>предоставената възможност</w:t>
      </w:r>
      <w:r w:rsidR="0005652B">
        <w:rPr>
          <w:iCs/>
          <w:szCs w:val="24"/>
        </w:rPr>
        <w:t xml:space="preserve"> </w:t>
      </w:r>
      <w:r>
        <w:rPr>
          <w:iCs/>
          <w:szCs w:val="24"/>
        </w:rPr>
        <w:t>на осигурените лица, родени след 1959</w:t>
      </w:r>
      <w:r w:rsidR="00B552D5">
        <w:rPr>
          <w:iCs/>
          <w:szCs w:val="24"/>
        </w:rPr>
        <w:t> г.</w:t>
      </w:r>
      <w:r>
        <w:rPr>
          <w:iCs/>
          <w:szCs w:val="24"/>
        </w:rPr>
        <w:t>, които до август 2015</w:t>
      </w:r>
      <w:r w:rsidR="00B552D5">
        <w:rPr>
          <w:iCs/>
          <w:szCs w:val="24"/>
        </w:rPr>
        <w:t> г.</w:t>
      </w:r>
      <w:r>
        <w:rPr>
          <w:iCs/>
          <w:szCs w:val="24"/>
        </w:rPr>
        <w:t xml:space="preserve"> се осигуряваха задължително в държавното обществено осигуряване (І стълб) и в универсален пенсионен фонд (ІІ стълб),</w:t>
      </w:r>
      <w:r w:rsidR="0005652B">
        <w:rPr>
          <w:iCs/>
          <w:szCs w:val="24"/>
        </w:rPr>
        <w:t xml:space="preserve"> </w:t>
      </w:r>
      <w:r>
        <w:rPr>
          <w:iCs/>
          <w:szCs w:val="24"/>
        </w:rPr>
        <w:t>да променят осигуряването си и да преминат към осигуряване само в първия стълб с увеличена осигурителна вноска</w:t>
      </w:r>
      <w:r>
        <w:rPr>
          <w:iCs/>
          <w:szCs w:val="24"/>
          <w:lang w:val="en-US"/>
        </w:rPr>
        <w:t>.</w:t>
      </w:r>
      <w:r>
        <w:rPr>
          <w:bCs/>
          <w:szCs w:val="24"/>
          <w:lang w:val="en-US"/>
        </w:rPr>
        <w:t xml:space="preserve"> </w:t>
      </w:r>
      <w:r>
        <w:rPr>
          <w:bCs/>
          <w:szCs w:val="24"/>
        </w:rPr>
        <w:t>В края на 2022</w:t>
      </w:r>
      <w:r w:rsidR="00B552D5">
        <w:rPr>
          <w:bCs/>
          <w:szCs w:val="24"/>
        </w:rPr>
        <w:t> г.</w:t>
      </w:r>
      <w:r>
        <w:rPr>
          <w:bCs/>
          <w:szCs w:val="24"/>
        </w:rPr>
        <w:t xml:space="preserve"> с прехвърлено осигуряване изцяло към първия стълб са били общо 93 543 лица, от които </w:t>
      </w:r>
      <w:r>
        <w:rPr>
          <w:bCs/>
          <w:szCs w:val="24"/>
          <w:lang w:val="en-US"/>
        </w:rPr>
        <w:t>36 721</w:t>
      </w:r>
      <w:r>
        <w:rPr>
          <w:bCs/>
          <w:szCs w:val="24"/>
        </w:rPr>
        <w:t xml:space="preserve"> вече имат отпусната пенсия от ДОО в пълен размер </w:t>
      </w:r>
      <w:bookmarkStart w:id="122" w:name="_Hlk131677203"/>
      <w:r>
        <w:rPr>
          <w:bCs/>
          <w:szCs w:val="24"/>
          <w:lang w:val="en-US"/>
        </w:rPr>
        <w:t>(</w:t>
      </w:r>
      <w:r>
        <w:rPr>
          <w:bCs/>
          <w:szCs w:val="24"/>
        </w:rPr>
        <w:t>1</w:t>
      </w:r>
      <w:r w:rsidR="00EF74B2">
        <w:rPr>
          <w:bCs/>
          <w:szCs w:val="24"/>
          <w:lang w:val="en-US"/>
        </w:rPr>
        <w:t>.</w:t>
      </w:r>
      <w:r>
        <w:rPr>
          <w:bCs/>
          <w:szCs w:val="24"/>
        </w:rPr>
        <w:t>8</w:t>
      </w:r>
      <w:r w:rsidR="008B5514">
        <w:rPr>
          <w:bCs/>
          <w:szCs w:val="24"/>
        </w:rPr>
        <w:t>%</w:t>
      </w:r>
      <w:r>
        <w:rPr>
          <w:bCs/>
          <w:szCs w:val="24"/>
        </w:rPr>
        <w:t xml:space="preserve"> от всички пенсионери с отпуснати пенсии към края на 2022</w:t>
      </w:r>
      <w:r w:rsidR="00B552D5">
        <w:rPr>
          <w:bCs/>
          <w:szCs w:val="24"/>
        </w:rPr>
        <w:t> г.</w:t>
      </w:r>
      <w:r>
        <w:rPr>
          <w:bCs/>
          <w:szCs w:val="24"/>
          <w:lang w:val="en-US"/>
        </w:rPr>
        <w:t>)</w:t>
      </w:r>
      <w:bookmarkEnd w:id="122"/>
      <w:r>
        <w:rPr>
          <w:bCs/>
          <w:szCs w:val="24"/>
        </w:rPr>
        <w:t xml:space="preserve">, а останалите 56 822 лица </w:t>
      </w:r>
      <w:r>
        <w:rPr>
          <w:bCs/>
          <w:szCs w:val="24"/>
          <w:lang w:val="en-US"/>
        </w:rPr>
        <w:t>(</w:t>
      </w:r>
      <w:r>
        <w:rPr>
          <w:bCs/>
          <w:szCs w:val="24"/>
        </w:rPr>
        <w:t>2</w:t>
      </w:r>
      <w:r w:rsidR="00EF74B2">
        <w:rPr>
          <w:bCs/>
          <w:szCs w:val="24"/>
          <w:lang w:val="en-US"/>
        </w:rPr>
        <w:t>.</w:t>
      </w:r>
      <w:r>
        <w:rPr>
          <w:bCs/>
          <w:szCs w:val="24"/>
        </w:rPr>
        <w:t>2</w:t>
      </w:r>
      <w:r w:rsidR="008B5514">
        <w:rPr>
          <w:bCs/>
          <w:szCs w:val="24"/>
        </w:rPr>
        <w:t>%</w:t>
      </w:r>
      <w:r>
        <w:rPr>
          <w:bCs/>
          <w:szCs w:val="24"/>
        </w:rPr>
        <w:t xml:space="preserve"> от всички осигурени към края на 2022</w:t>
      </w:r>
      <w:r w:rsidR="00B552D5">
        <w:rPr>
          <w:bCs/>
          <w:szCs w:val="24"/>
        </w:rPr>
        <w:t> г.</w:t>
      </w:r>
      <w:r>
        <w:rPr>
          <w:bCs/>
          <w:szCs w:val="24"/>
        </w:rPr>
        <w:t xml:space="preserve"> лица</w:t>
      </w:r>
      <w:r>
        <w:rPr>
          <w:bCs/>
          <w:szCs w:val="24"/>
          <w:lang w:val="en-US"/>
        </w:rPr>
        <w:t>)</w:t>
      </w:r>
      <w:r>
        <w:rPr>
          <w:bCs/>
          <w:szCs w:val="24"/>
        </w:rPr>
        <w:t xml:space="preserve"> продължават да се осигуряват и да трупат пенсионни права.</w:t>
      </w:r>
    </w:p>
    <w:p w14:paraId="7A3CD5E0" w14:textId="77777777" w:rsidR="006D0CAB" w:rsidRPr="00AE61B1" w:rsidRDefault="006D0CAB" w:rsidP="00EF74B2">
      <w:pPr>
        <w:rPr>
          <w:bCs/>
          <w:spacing w:val="-4"/>
          <w:szCs w:val="24"/>
          <w:lang w:val="en-US"/>
        </w:rPr>
      </w:pPr>
      <w:r w:rsidRPr="00AE61B1">
        <w:rPr>
          <w:bCs/>
          <w:spacing w:val="-4"/>
          <w:szCs w:val="24"/>
        </w:rPr>
        <w:t>На следващата графика са показани резултатите от дългосрочната прогноза за разходите за пенсии, изплащани от държавното обществено осигуряване за периода 202</w:t>
      </w:r>
      <w:r w:rsidRPr="00AE61B1">
        <w:rPr>
          <w:bCs/>
          <w:spacing w:val="-4"/>
          <w:szCs w:val="24"/>
          <w:lang w:val="en-US"/>
        </w:rPr>
        <w:t>2</w:t>
      </w:r>
      <w:r w:rsidRPr="00AE61B1">
        <w:rPr>
          <w:bCs/>
          <w:spacing w:val="-4"/>
          <w:szCs w:val="24"/>
        </w:rPr>
        <w:t>-2070 година</w:t>
      </w:r>
      <w:r w:rsidRPr="00AE61B1">
        <w:rPr>
          <w:bCs/>
          <w:spacing w:val="-4"/>
          <w:szCs w:val="24"/>
          <w:lang w:val="en-US"/>
        </w:rPr>
        <w:t>.</w:t>
      </w:r>
    </w:p>
    <w:p w14:paraId="33CE5B8C" w14:textId="2E423779" w:rsidR="006D0CAB" w:rsidRDefault="00CA6CE6" w:rsidP="00B90FE3">
      <w:pPr>
        <w:pStyle w:val="Caption"/>
      </w:pPr>
      <w:r w:rsidRPr="00CA6CE6">
        <w:lastRenderedPageBreak/>
        <w:t>Граф. 5-4</w:t>
      </w:r>
      <w:r w:rsidR="006D0CAB" w:rsidRPr="00CA6CE6">
        <w:t xml:space="preserve">: </w:t>
      </w:r>
      <w:r w:rsidR="00B90FE3">
        <w:tab/>
      </w:r>
      <w:r w:rsidR="006D0CAB" w:rsidRPr="00CA6CE6">
        <w:t>Разходи за пенсии в % от БВП (202</w:t>
      </w:r>
      <w:r w:rsidR="006D0CAB" w:rsidRPr="00CA6CE6">
        <w:rPr>
          <w:lang w:val="en-US"/>
        </w:rPr>
        <w:t>2</w:t>
      </w:r>
      <w:r w:rsidR="006D0CAB" w:rsidRPr="00CA6CE6">
        <w:t>-2070</w:t>
      </w:r>
      <w:r w:rsidR="00B552D5">
        <w:t> г.</w:t>
      </w:r>
      <w:r w:rsidR="006D0CAB" w:rsidRPr="00CA6CE6">
        <w:t>)</w:t>
      </w:r>
    </w:p>
    <w:p w14:paraId="3D56E87D" w14:textId="212973B4" w:rsidR="00545859" w:rsidRPr="00545859" w:rsidRDefault="00545859" w:rsidP="00545859">
      <w:r>
        <w:rPr>
          <w:noProof/>
        </w:rPr>
        <w:drawing>
          <wp:inline distT="0" distB="0" distL="0" distR="0" wp14:anchorId="4E487C1C" wp14:editId="3515BF0B">
            <wp:extent cx="5759450" cy="2520000"/>
            <wp:effectExtent l="0" t="0" r="0" b="0"/>
            <wp:docPr id="30" name="Chart 30">
              <a:extLst xmlns:a="http://schemas.openxmlformats.org/drawingml/2006/main">
                <a:ext uri="{FF2B5EF4-FFF2-40B4-BE49-F238E27FC236}">
                  <a16:creationId xmlns:a16="http://schemas.microsoft.com/office/drawing/2014/main" id="{17FDC1AF-CCDB-484E-8307-8539933C97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E9AD325" w14:textId="6D59DE29" w:rsidR="006D0CAB" w:rsidRDefault="006D0CAB" w:rsidP="006D0CAB">
      <w:pPr>
        <w:spacing w:after="0"/>
        <w:rPr>
          <w:b/>
          <w:szCs w:val="24"/>
        </w:rPr>
      </w:pPr>
    </w:p>
    <w:p w14:paraId="56501194" w14:textId="5D468326" w:rsidR="006D0CAB" w:rsidRDefault="00F65131" w:rsidP="00F65131">
      <w:pPr>
        <w:spacing w:after="0"/>
        <w:rPr>
          <w:iCs/>
          <w:szCs w:val="24"/>
        </w:rPr>
      </w:pPr>
      <w:r>
        <w:rPr>
          <w:iCs/>
          <w:szCs w:val="24"/>
        </w:rPr>
        <w:t>Ф</w:t>
      </w:r>
      <w:r w:rsidR="006D0CAB">
        <w:rPr>
          <w:iCs/>
          <w:szCs w:val="24"/>
        </w:rPr>
        <w:t>искалният натиск върху държавната пенсионна система е най-силен в началото на периода в резултат на промените в размерите на пенсиите, приети със Закон за изменение на Закона за бюджета на ДОО за 2022</w:t>
      </w:r>
      <w:r w:rsidR="00B552D5">
        <w:rPr>
          <w:iCs/>
          <w:szCs w:val="24"/>
        </w:rPr>
        <w:t> г.</w:t>
      </w:r>
      <w:r w:rsidR="006D0CAB">
        <w:rPr>
          <w:iCs/>
          <w:szCs w:val="24"/>
        </w:rPr>
        <w:t>, които водят до значително подобрение на тяхната адекватност. В дългосрочен план, ефектът от застаряването на населението и очакваната по-висока продължителност на живота, до голяма степен ще се компенсира от по-ниските коефициенти на заместване на дохода от първия стълб за лицата, които са се осигурявали и в двата стълба. Тъй като тези лица ще получават и</w:t>
      </w:r>
      <w:r w:rsidR="0005652B">
        <w:rPr>
          <w:iCs/>
          <w:szCs w:val="24"/>
        </w:rPr>
        <w:t xml:space="preserve"> </w:t>
      </w:r>
      <w:r w:rsidR="006D0CAB">
        <w:rPr>
          <w:iCs/>
          <w:szCs w:val="24"/>
        </w:rPr>
        <w:t>втора пенсия от универсалния пенсионен фонд, бъдещата адекватност на пенсиите ще зависи до голяма степен от коефициента на заместване, който ще бъде постигнат от втория стълб.</w:t>
      </w:r>
    </w:p>
    <w:p w14:paraId="1A97F675" w14:textId="77777777" w:rsidR="00354366" w:rsidRPr="00E360FF" w:rsidRDefault="00354366" w:rsidP="00B552D5">
      <w:pPr>
        <w:pStyle w:val="Heading3"/>
      </w:pPr>
      <w:r w:rsidRPr="00E360FF">
        <w:t>Здравеопазване</w:t>
      </w:r>
    </w:p>
    <w:p w14:paraId="0517C83F" w14:textId="208C5269" w:rsidR="0005652B" w:rsidRPr="008A5C3A" w:rsidRDefault="0005652B" w:rsidP="0005652B">
      <w:r w:rsidRPr="008A5C3A">
        <w:t>В дългосрочен план се очаква делът на общите разходи за здравеопазване да достигне 5.1% от БВП през 2050</w:t>
      </w:r>
      <w:r w:rsidR="00B552D5">
        <w:t> г.</w:t>
      </w:r>
      <w:r w:rsidRPr="008A5C3A">
        <w:t xml:space="preserve"> и след това леко да намалее до 5% през 2070</w:t>
      </w:r>
      <w:r w:rsidR="00B552D5">
        <w:t> г.</w:t>
      </w:r>
      <w:r w:rsidRPr="008A5C3A">
        <w:t xml:space="preserve"> Подобна динамика се очаква и в Доклада по застаряване на населението 2021</w:t>
      </w:r>
      <w:r w:rsidR="00B552D5">
        <w:t> г.</w:t>
      </w:r>
      <w:r w:rsidRPr="008A5C3A">
        <w:t xml:space="preserve"> Прогнозата за дългосрочните разходи за здравеопазване е базирана единствено на прогнозата на населението. Подобен сценарий е силно ограничителен. Той не предполага промяна в политиката на публичните разходи за здравеопазване в контекста на разширяване на финансираните от бюджета здравни услуги. Също така, според доста иконометрични изследвания, техническият прогрес и други недемографски фактори са сред основните причини за нарастване на разходите за здравеопазване в развитите страни. Поради тази причина в Доклада по застаряване на населението освен базовия са разгледани още 11 сценария за развитие на разходите за здравеопазване, свързани с различна демографска и икономическа динамика. При тях разходите на България в периода 2019–2070</w:t>
      </w:r>
      <w:r w:rsidR="00B552D5">
        <w:t> г.</w:t>
      </w:r>
      <w:r w:rsidRPr="008A5C3A">
        <w:t xml:space="preserve"> се увеличават с от 0.2 пр.п. до 2.2 пр.п., като най-голямо увеличение има при сценарий с включени фактори различни от демографските като иновации в медицинските технологии.</w:t>
      </w:r>
    </w:p>
    <w:p w14:paraId="7C69C085" w14:textId="6EE6A6EF" w:rsidR="0005652B" w:rsidRPr="000504C0" w:rsidRDefault="0005652B" w:rsidP="00007B25">
      <w:pPr>
        <w:pStyle w:val="Caption"/>
      </w:pPr>
      <w:r w:rsidRPr="000504C0">
        <w:t xml:space="preserve">Табл. </w:t>
      </w:r>
      <w:r w:rsidR="00031455">
        <w:fldChar w:fldCharType="begin"/>
      </w:r>
      <w:r w:rsidR="00031455">
        <w:instrText xml:space="preserve"> STYLEREF 1 \s </w:instrText>
      </w:r>
      <w:r w:rsidR="00031455">
        <w:fldChar w:fldCharType="separate"/>
      </w:r>
      <w:r w:rsidR="00541E16">
        <w:rPr>
          <w:noProof/>
        </w:rPr>
        <w:t>5</w:t>
      </w:r>
      <w:r w:rsidR="00031455">
        <w:rPr>
          <w:noProof/>
        </w:rPr>
        <w:fldChar w:fldCharType="end"/>
      </w:r>
      <w:r w:rsidRPr="000504C0">
        <w:noBreakHyphen/>
      </w:r>
      <w:r>
        <w:t>3</w:t>
      </w:r>
      <w:r w:rsidRPr="000504C0">
        <w:t xml:space="preserve">: </w:t>
      </w:r>
      <w:r w:rsidRPr="000504C0">
        <w:tab/>
        <w:t>Разходи за здравеопазване</w:t>
      </w:r>
      <w:r w:rsidRPr="000504C0">
        <w:rPr>
          <w:vertAlign w:val="superscript"/>
        </w:rPr>
        <w:footnoteReference w:id="32"/>
      </w:r>
      <w:r w:rsidRPr="000504C0">
        <w:t xml:space="preserve"> % от БВП</w:t>
      </w:r>
    </w:p>
    <w:tbl>
      <w:tblPr>
        <w:tblStyle w:val="Style19"/>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620" w:firstRow="1" w:lastRow="0" w:firstColumn="0" w:lastColumn="0" w:noHBand="1" w:noVBand="1"/>
      </w:tblPr>
      <w:tblGrid>
        <w:gridCol w:w="2431"/>
        <w:gridCol w:w="1135"/>
        <w:gridCol w:w="1128"/>
        <w:gridCol w:w="1133"/>
        <w:gridCol w:w="975"/>
        <w:gridCol w:w="1133"/>
        <w:gridCol w:w="1129"/>
      </w:tblGrid>
      <w:tr w:rsidR="0005652B" w:rsidRPr="000504C0" w14:paraId="6D5B0C03" w14:textId="77777777" w:rsidTr="00D428DF">
        <w:trPr>
          <w:trHeight w:val="397"/>
          <w:jc w:val="center"/>
        </w:trPr>
        <w:tc>
          <w:tcPr>
            <w:tcW w:w="1341" w:type="pct"/>
            <w:shd w:val="clear" w:color="auto" w:fill="D8EDFC"/>
            <w:vAlign w:val="center"/>
          </w:tcPr>
          <w:p w14:paraId="000BB1E5" w14:textId="77777777" w:rsidR="0005652B" w:rsidRPr="000504C0" w:rsidRDefault="0005652B" w:rsidP="003F0A85">
            <w:pPr>
              <w:spacing w:after="0"/>
              <w:rPr>
                <w:rFonts w:ascii="Calibri" w:hAnsi="Calibri"/>
                <w:b/>
                <w:sz w:val="20"/>
                <w:szCs w:val="20"/>
              </w:rPr>
            </w:pPr>
          </w:p>
        </w:tc>
        <w:tc>
          <w:tcPr>
            <w:tcW w:w="626" w:type="pct"/>
            <w:shd w:val="clear" w:color="auto" w:fill="D8EDFC"/>
            <w:vAlign w:val="center"/>
            <w:hideMark/>
          </w:tcPr>
          <w:p w14:paraId="5BB4502B" w14:textId="77777777" w:rsidR="0005652B" w:rsidRPr="000504C0" w:rsidRDefault="0005652B" w:rsidP="003F0A85">
            <w:pPr>
              <w:spacing w:after="0"/>
              <w:jc w:val="center"/>
              <w:rPr>
                <w:b/>
                <w:sz w:val="20"/>
                <w:szCs w:val="20"/>
              </w:rPr>
            </w:pPr>
            <w:r w:rsidRPr="000504C0">
              <w:rPr>
                <w:b/>
                <w:sz w:val="20"/>
                <w:szCs w:val="20"/>
              </w:rPr>
              <w:t>2019</w:t>
            </w:r>
          </w:p>
        </w:tc>
        <w:tc>
          <w:tcPr>
            <w:tcW w:w="622" w:type="pct"/>
            <w:shd w:val="clear" w:color="auto" w:fill="D8EDFC"/>
            <w:vAlign w:val="center"/>
            <w:hideMark/>
          </w:tcPr>
          <w:p w14:paraId="2F746162" w14:textId="77777777" w:rsidR="0005652B" w:rsidRPr="000504C0" w:rsidRDefault="0005652B" w:rsidP="003F0A85">
            <w:pPr>
              <w:spacing w:after="0"/>
              <w:jc w:val="center"/>
              <w:rPr>
                <w:b/>
                <w:sz w:val="20"/>
                <w:szCs w:val="20"/>
              </w:rPr>
            </w:pPr>
            <w:r w:rsidRPr="000504C0">
              <w:rPr>
                <w:b/>
                <w:sz w:val="20"/>
                <w:szCs w:val="20"/>
              </w:rPr>
              <w:t>2030</w:t>
            </w:r>
          </w:p>
        </w:tc>
        <w:tc>
          <w:tcPr>
            <w:tcW w:w="625" w:type="pct"/>
            <w:shd w:val="clear" w:color="auto" w:fill="D8EDFC"/>
            <w:vAlign w:val="center"/>
            <w:hideMark/>
          </w:tcPr>
          <w:p w14:paraId="1EC8B2F6" w14:textId="77777777" w:rsidR="0005652B" w:rsidRPr="000504C0" w:rsidRDefault="0005652B" w:rsidP="003F0A85">
            <w:pPr>
              <w:spacing w:after="0"/>
              <w:jc w:val="center"/>
              <w:rPr>
                <w:b/>
                <w:sz w:val="20"/>
                <w:szCs w:val="20"/>
              </w:rPr>
            </w:pPr>
            <w:r w:rsidRPr="000504C0">
              <w:rPr>
                <w:b/>
                <w:sz w:val="20"/>
                <w:szCs w:val="20"/>
              </w:rPr>
              <w:t>2040</w:t>
            </w:r>
          </w:p>
        </w:tc>
        <w:tc>
          <w:tcPr>
            <w:tcW w:w="538" w:type="pct"/>
            <w:shd w:val="clear" w:color="auto" w:fill="D8EDFC"/>
            <w:vAlign w:val="center"/>
            <w:hideMark/>
          </w:tcPr>
          <w:p w14:paraId="1486505A" w14:textId="77777777" w:rsidR="0005652B" w:rsidRPr="000504C0" w:rsidRDefault="0005652B" w:rsidP="003F0A85">
            <w:pPr>
              <w:spacing w:after="0"/>
              <w:jc w:val="center"/>
              <w:rPr>
                <w:b/>
                <w:sz w:val="20"/>
                <w:szCs w:val="20"/>
              </w:rPr>
            </w:pPr>
            <w:r w:rsidRPr="000504C0">
              <w:rPr>
                <w:b/>
                <w:sz w:val="20"/>
                <w:szCs w:val="20"/>
              </w:rPr>
              <w:t>2050</w:t>
            </w:r>
          </w:p>
        </w:tc>
        <w:tc>
          <w:tcPr>
            <w:tcW w:w="625" w:type="pct"/>
            <w:shd w:val="clear" w:color="auto" w:fill="D8EDFC"/>
            <w:vAlign w:val="center"/>
            <w:hideMark/>
          </w:tcPr>
          <w:p w14:paraId="7FC53D05" w14:textId="77777777" w:rsidR="0005652B" w:rsidRPr="000504C0" w:rsidRDefault="0005652B" w:rsidP="003F0A85">
            <w:pPr>
              <w:spacing w:after="0"/>
              <w:jc w:val="center"/>
              <w:rPr>
                <w:b/>
                <w:sz w:val="20"/>
                <w:szCs w:val="20"/>
              </w:rPr>
            </w:pPr>
            <w:r w:rsidRPr="000504C0">
              <w:rPr>
                <w:b/>
                <w:sz w:val="20"/>
                <w:szCs w:val="20"/>
              </w:rPr>
              <w:t>2060</w:t>
            </w:r>
          </w:p>
        </w:tc>
        <w:tc>
          <w:tcPr>
            <w:tcW w:w="623" w:type="pct"/>
            <w:shd w:val="clear" w:color="auto" w:fill="D8EDFC"/>
            <w:vAlign w:val="center"/>
            <w:hideMark/>
          </w:tcPr>
          <w:p w14:paraId="4CC2EF16" w14:textId="77777777" w:rsidR="0005652B" w:rsidRPr="000504C0" w:rsidRDefault="0005652B" w:rsidP="003F0A85">
            <w:pPr>
              <w:spacing w:after="0"/>
              <w:jc w:val="center"/>
              <w:rPr>
                <w:b/>
                <w:sz w:val="20"/>
                <w:szCs w:val="20"/>
              </w:rPr>
            </w:pPr>
            <w:r w:rsidRPr="000504C0">
              <w:rPr>
                <w:b/>
                <w:sz w:val="20"/>
                <w:szCs w:val="20"/>
              </w:rPr>
              <w:t>2070</w:t>
            </w:r>
          </w:p>
        </w:tc>
      </w:tr>
      <w:tr w:rsidR="0005652B" w:rsidRPr="000504C0" w14:paraId="1525AFC5" w14:textId="77777777" w:rsidTr="00D428DF">
        <w:trPr>
          <w:trHeight w:val="397"/>
          <w:jc w:val="center"/>
        </w:trPr>
        <w:tc>
          <w:tcPr>
            <w:tcW w:w="1341" w:type="pct"/>
            <w:vAlign w:val="center"/>
            <w:hideMark/>
          </w:tcPr>
          <w:p w14:paraId="58E8B3F1" w14:textId="77777777" w:rsidR="0005652B" w:rsidRPr="000504C0" w:rsidRDefault="0005652B" w:rsidP="003F0A85">
            <w:pPr>
              <w:spacing w:after="0"/>
              <w:rPr>
                <w:b/>
                <w:sz w:val="20"/>
                <w:szCs w:val="20"/>
              </w:rPr>
            </w:pPr>
            <w:r w:rsidRPr="000504C0">
              <w:rPr>
                <w:b/>
                <w:sz w:val="20"/>
                <w:szCs w:val="20"/>
              </w:rPr>
              <w:t>МФ</w:t>
            </w:r>
          </w:p>
        </w:tc>
        <w:tc>
          <w:tcPr>
            <w:tcW w:w="626" w:type="pct"/>
            <w:vAlign w:val="center"/>
            <w:hideMark/>
          </w:tcPr>
          <w:p w14:paraId="724C1145" w14:textId="77777777" w:rsidR="0005652B" w:rsidRPr="000504C0" w:rsidRDefault="0005652B" w:rsidP="00B90FE3">
            <w:pPr>
              <w:spacing w:after="0"/>
              <w:jc w:val="center"/>
              <w:rPr>
                <w:sz w:val="20"/>
                <w:szCs w:val="20"/>
              </w:rPr>
            </w:pPr>
            <w:r w:rsidRPr="000504C0">
              <w:rPr>
                <w:sz w:val="20"/>
              </w:rPr>
              <w:t>4.6</w:t>
            </w:r>
          </w:p>
        </w:tc>
        <w:tc>
          <w:tcPr>
            <w:tcW w:w="622" w:type="pct"/>
            <w:vAlign w:val="center"/>
            <w:hideMark/>
          </w:tcPr>
          <w:p w14:paraId="6B3F7368" w14:textId="77777777" w:rsidR="0005652B" w:rsidRPr="000504C0" w:rsidRDefault="0005652B" w:rsidP="00B90FE3">
            <w:pPr>
              <w:spacing w:after="0"/>
              <w:jc w:val="center"/>
              <w:rPr>
                <w:sz w:val="20"/>
                <w:szCs w:val="20"/>
              </w:rPr>
            </w:pPr>
            <w:r w:rsidRPr="000504C0">
              <w:rPr>
                <w:sz w:val="20"/>
              </w:rPr>
              <w:t>4.8</w:t>
            </w:r>
          </w:p>
        </w:tc>
        <w:tc>
          <w:tcPr>
            <w:tcW w:w="625" w:type="pct"/>
            <w:vAlign w:val="center"/>
            <w:hideMark/>
          </w:tcPr>
          <w:p w14:paraId="7C3B59FC" w14:textId="77777777" w:rsidR="0005652B" w:rsidRPr="000504C0" w:rsidRDefault="0005652B" w:rsidP="00B90FE3">
            <w:pPr>
              <w:spacing w:after="0"/>
              <w:jc w:val="center"/>
              <w:rPr>
                <w:sz w:val="20"/>
                <w:szCs w:val="20"/>
              </w:rPr>
            </w:pPr>
            <w:r w:rsidRPr="000504C0">
              <w:rPr>
                <w:sz w:val="20"/>
              </w:rPr>
              <w:t>5.0</w:t>
            </w:r>
          </w:p>
        </w:tc>
        <w:tc>
          <w:tcPr>
            <w:tcW w:w="538" w:type="pct"/>
            <w:vAlign w:val="center"/>
            <w:hideMark/>
          </w:tcPr>
          <w:p w14:paraId="0BF80678" w14:textId="77777777" w:rsidR="0005652B" w:rsidRPr="000504C0" w:rsidRDefault="0005652B" w:rsidP="00B90FE3">
            <w:pPr>
              <w:spacing w:after="0"/>
              <w:jc w:val="center"/>
              <w:rPr>
                <w:sz w:val="20"/>
                <w:szCs w:val="20"/>
              </w:rPr>
            </w:pPr>
            <w:r w:rsidRPr="000504C0">
              <w:rPr>
                <w:sz w:val="20"/>
              </w:rPr>
              <w:t>5.1</w:t>
            </w:r>
          </w:p>
        </w:tc>
        <w:tc>
          <w:tcPr>
            <w:tcW w:w="625" w:type="pct"/>
            <w:vAlign w:val="center"/>
            <w:hideMark/>
          </w:tcPr>
          <w:p w14:paraId="451CEF0D" w14:textId="77777777" w:rsidR="0005652B" w:rsidRPr="000504C0" w:rsidRDefault="0005652B" w:rsidP="00B90FE3">
            <w:pPr>
              <w:spacing w:after="0"/>
              <w:jc w:val="center"/>
              <w:rPr>
                <w:sz w:val="20"/>
                <w:szCs w:val="20"/>
              </w:rPr>
            </w:pPr>
            <w:r w:rsidRPr="000504C0">
              <w:rPr>
                <w:sz w:val="20"/>
              </w:rPr>
              <w:t>5.0</w:t>
            </w:r>
          </w:p>
        </w:tc>
        <w:tc>
          <w:tcPr>
            <w:tcW w:w="623" w:type="pct"/>
            <w:vAlign w:val="center"/>
            <w:hideMark/>
          </w:tcPr>
          <w:p w14:paraId="020BAE2D" w14:textId="77777777" w:rsidR="0005652B" w:rsidRPr="000504C0" w:rsidRDefault="0005652B" w:rsidP="00B90FE3">
            <w:pPr>
              <w:spacing w:after="0"/>
              <w:jc w:val="center"/>
              <w:rPr>
                <w:sz w:val="20"/>
                <w:szCs w:val="20"/>
              </w:rPr>
            </w:pPr>
            <w:r>
              <w:rPr>
                <w:sz w:val="20"/>
              </w:rPr>
              <w:t>5.0</w:t>
            </w:r>
          </w:p>
        </w:tc>
      </w:tr>
      <w:tr w:rsidR="0005652B" w:rsidRPr="000504C0" w14:paraId="1607EE1D" w14:textId="77777777" w:rsidTr="00D428DF">
        <w:trPr>
          <w:trHeight w:val="397"/>
          <w:jc w:val="center"/>
        </w:trPr>
        <w:tc>
          <w:tcPr>
            <w:tcW w:w="1341" w:type="pct"/>
            <w:vAlign w:val="center"/>
            <w:hideMark/>
          </w:tcPr>
          <w:p w14:paraId="61D4CD9E" w14:textId="77777777" w:rsidR="0005652B" w:rsidRPr="000504C0" w:rsidRDefault="0005652B" w:rsidP="003F0A85">
            <w:pPr>
              <w:spacing w:after="0"/>
              <w:rPr>
                <w:b/>
                <w:sz w:val="20"/>
                <w:szCs w:val="20"/>
              </w:rPr>
            </w:pPr>
            <w:r w:rsidRPr="000504C0">
              <w:rPr>
                <w:b/>
                <w:sz w:val="20"/>
                <w:szCs w:val="20"/>
              </w:rPr>
              <w:t>Доклад 2021</w:t>
            </w:r>
          </w:p>
        </w:tc>
        <w:tc>
          <w:tcPr>
            <w:tcW w:w="626" w:type="pct"/>
            <w:vAlign w:val="center"/>
            <w:hideMark/>
          </w:tcPr>
          <w:p w14:paraId="3BE107F5" w14:textId="77777777" w:rsidR="0005652B" w:rsidRPr="000504C0" w:rsidRDefault="0005652B" w:rsidP="00B90FE3">
            <w:pPr>
              <w:spacing w:after="0"/>
              <w:jc w:val="center"/>
              <w:rPr>
                <w:sz w:val="20"/>
                <w:szCs w:val="20"/>
              </w:rPr>
            </w:pPr>
            <w:r w:rsidRPr="000504C0">
              <w:rPr>
                <w:sz w:val="20"/>
                <w:szCs w:val="20"/>
              </w:rPr>
              <w:t>4.9</w:t>
            </w:r>
          </w:p>
        </w:tc>
        <w:tc>
          <w:tcPr>
            <w:tcW w:w="622" w:type="pct"/>
            <w:vAlign w:val="center"/>
            <w:hideMark/>
          </w:tcPr>
          <w:p w14:paraId="42FB0883" w14:textId="77777777" w:rsidR="0005652B" w:rsidRPr="000504C0" w:rsidRDefault="0005652B" w:rsidP="00B90FE3">
            <w:pPr>
              <w:spacing w:after="0"/>
              <w:jc w:val="center"/>
              <w:rPr>
                <w:sz w:val="20"/>
                <w:szCs w:val="20"/>
              </w:rPr>
            </w:pPr>
            <w:r w:rsidRPr="000504C0">
              <w:rPr>
                <w:sz w:val="20"/>
                <w:szCs w:val="20"/>
              </w:rPr>
              <w:t>5.1</w:t>
            </w:r>
          </w:p>
        </w:tc>
        <w:tc>
          <w:tcPr>
            <w:tcW w:w="625" w:type="pct"/>
            <w:vAlign w:val="center"/>
            <w:hideMark/>
          </w:tcPr>
          <w:p w14:paraId="33826082" w14:textId="77777777" w:rsidR="0005652B" w:rsidRPr="000504C0" w:rsidRDefault="0005652B" w:rsidP="00B90FE3">
            <w:pPr>
              <w:spacing w:after="0"/>
              <w:jc w:val="center"/>
              <w:rPr>
                <w:sz w:val="20"/>
                <w:szCs w:val="20"/>
              </w:rPr>
            </w:pPr>
            <w:r w:rsidRPr="000504C0">
              <w:rPr>
                <w:sz w:val="20"/>
                <w:szCs w:val="20"/>
              </w:rPr>
              <w:t>5.3</w:t>
            </w:r>
          </w:p>
        </w:tc>
        <w:tc>
          <w:tcPr>
            <w:tcW w:w="538" w:type="pct"/>
            <w:vAlign w:val="center"/>
            <w:hideMark/>
          </w:tcPr>
          <w:p w14:paraId="2BBD29AE" w14:textId="77777777" w:rsidR="0005652B" w:rsidRPr="000504C0" w:rsidRDefault="0005652B" w:rsidP="00B90FE3">
            <w:pPr>
              <w:spacing w:after="0"/>
              <w:jc w:val="center"/>
              <w:rPr>
                <w:sz w:val="20"/>
                <w:szCs w:val="20"/>
              </w:rPr>
            </w:pPr>
            <w:r w:rsidRPr="000504C0">
              <w:rPr>
                <w:sz w:val="20"/>
                <w:szCs w:val="20"/>
              </w:rPr>
              <w:t>5.5</w:t>
            </w:r>
          </w:p>
        </w:tc>
        <w:tc>
          <w:tcPr>
            <w:tcW w:w="625" w:type="pct"/>
            <w:vAlign w:val="center"/>
            <w:hideMark/>
          </w:tcPr>
          <w:p w14:paraId="12F4B282" w14:textId="77777777" w:rsidR="0005652B" w:rsidRPr="000504C0" w:rsidRDefault="0005652B" w:rsidP="00B90FE3">
            <w:pPr>
              <w:spacing w:after="0"/>
              <w:jc w:val="center"/>
              <w:rPr>
                <w:sz w:val="20"/>
                <w:szCs w:val="20"/>
              </w:rPr>
            </w:pPr>
            <w:r w:rsidRPr="000504C0">
              <w:rPr>
                <w:sz w:val="20"/>
                <w:szCs w:val="20"/>
              </w:rPr>
              <w:t>5.4</w:t>
            </w:r>
          </w:p>
        </w:tc>
        <w:tc>
          <w:tcPr>
            <w:tcW w:w="623" w:type="pct"/>
            <w:vAlign w:val="center"/>
            <w:hideMark/>
          </w:tcPr>
          <w:p w14:paraId="5070E4D7" w14:textId="77777777" w:rsidR="0005652B" w:rsidRPr="000504C0" w:rsidRDefault="0005652B" w:rsidP="00B90FE3">
            <w:pPr>
              <w:spacing w:after="0"/>
              <w:jc w:val="center"/>
              <w:rPr>
                <w:sz w:val="20"/>
                <w:szCs w:val="20"/>
              </w:rPr>
            </w:pPr>
            <w:r w:rsidRPr="000504C0">
              <w:rPr>
                <w:sz w:val="20"/>
                <w:szCs w:val="20"/>
              </w:rPr>
              <w:t>5.4</w:t>
            </w:r>
          </w:p>
        </w:tc>
      </w:tr>
    </w:tbl>
    <w:p w14:paraId="026ED92E" w14:textId="77777777" w:rsidR="00D428DF" w:rsidRDefault="0005652B" w:rsidP="0005652B">
      <w:pPr>
        <w:spacing w:before="60" w:after="240"/>
        <w:jc w:val="right"/>
        <w:rPr>
          <w:rFonts w:eastAsia="Calibri"/>
          <w:sz w:val="18"/>
          <w:szCs w:val="24"/>
          <w:lang w:val="en-US"/>
        </w:rPr>
      </w:pPr>
      <w:r w:rsidRPr="000504C0">
        <w:rPr>
          <w:rFonts w:eastAsia="Calibri"/>
          <w:sz w:val="18"/>
          <w:szCs w:val="24"/>
        </w:rPr>
        <w:t>Източник: МФ</w:t>
      </w:r>
      <w:r w:rsidRPr="000504C0">
        <w:rPr>
          <w:rFonts w:eastAsia="Calibri"/>
          <w:sz w:val="18"/>
          <w:szCs w:val="24"/>
          <w:lang w:val="en-US"/>
        </w:rPr>
        <w:t>, Ageing report 2021</w:t>
      </w:r>
    </w:p>
    <w:p w14:paraId="4946987D" w14:textId="78843193" w:rsidR="0005652B" w:rsidRPr="000504C0" w:rsidRDefault="0005652B" w:rsidP="0005652B">
      <w:pPr>
        <w:spacing w:before="60" w:after="240"/>
        <w:jc w:val="right"/>
        <w:rPr>
          <w:rFonts w:eastAsia="Calibri"/>
          <w:sz w:val="18"/>
          <w:szCs w:val="24"/>
        </w:rPr>
      </w:pPr>
      <w:r w:rsidRPr="000504C0">
        <w:rPr>
          <w:rFonts w:eastAsia="Calibri"/>
          <w:sz w:val="18"/>
          <w:szCs w:val="24"/>
          <w:lang w:val="en-US"/>
        </w:rPr>
        <w:t xml:space="preserve"> </w:t>
      </w:r>
    </w:p>
    <w:p w14:paraId="50584D47" w14:textId="120A1053" w:rsidR="00354366" w:rsidRPr="00E360FF" w:rsidRDefault="00354366" w:rsidP="00B552D5">
      <w:pPr>
        <w:pStyle w:val="Heading3"/>
      </w:pPr>
      <w:r w:rsidRPr="00E360FF">
        <w:t>Образование</w:t>
      </w:r>
    </w:p>
    <w:p w14:paraId="4BDB739E" w14:textId="6BFB34D0" w:rsidR="0005652B" w:rsidRPr="000504C0" w:rsidRDefault="0005652B" w:rsidP="00007B25">
      <w:pPr>
        <w:pStyle w:val="Caption"/>
      </w:pPr>
      <w:r w:rsidRPr="000504C0">
        <w:t xml:space="preserve">Табл. </w:t>
      </w:r>
      <w:r w:rsidR="00031455">
        <w:fldChar w:fldCharType="begin"/>
      </w:r>
      <w:r w:rsidR="00031455">
        <w:instrText xml:space="preserve"> STYLEREF 1 \s </w:instrText>
      </w:r>
      <w:r w:rsidR="00031455">
        <w:fldChar w:fldCharType="separate"/>
      </w:r>
      <w:r w:rsidR="00541E16">
        <w:rPr>
          <w:noProof/>
        </w:rPr>
        <w:t>5</w:t>
      </w:r>
      <w:r w:rsidR="00031455">
        <w:rPr>
          <w:noProof/>
        </w:rPr>
        <w:fldChar w:fldCharType="end"/>
      </w:r>
      <w:r w:rsidRPr="000504C0">
        <w:noBreakHyphen/>
      </w:r>
      <w:r>
        <w:t>4</w:t>
      </w:r>
      <w:r w:rsidRPr="000504C0">
        <w:t xml:space="preserve">: </w:t>
      </w:r>
      <w:r w:rsidRPr="000504C0">
        <w:tab/>
        <w:t>Разходи за образование % от БВП</w:t>
      </w:r>
    </w:p>
    <w:tbl>
      <w:tblPr>
        <w:tblStyle w:val="Style19"/>
        <w:tblW w:w="5000" w:type="pct"/>
        <w:jc w:val="center"/>
        <w:tblBorders>
          <w:top w:val="single" w:sz="2" w:space="0" w:color="808080"/>
          <w:left w:val="single" w:sz="2" w:space="0" w:color="808080"/>
          <w:bottom w:val="single" w:sz="2" w:space="0" w:color="808080"/>
          <w:right w:val="single" w:sz="2" w:space="0" w:color="808080"/>
          <w:insideH w:val="single" w:sz="2" w:space="0" w:color="808080"/>
          <w:insideV w:val="single" w:sz="2" w:space="0" w:color="808080"/>
        </w:tblBorders>
        <w:tblLook w:val="0620" w:firstRow="1" w:lastRow="0" w:firstColumn="0" w:lastColumn="0" w:noHBand="1" w:noVBand="1"/>
      </w:tblPr>
      <w:tblGrid>
        <w:gridCol w:w="2550"/>
        <w:gridCol w:w="1122"/>
        <w:gridCol w:w="1118"/>
        <w:gridCol w:w="1118"/>
        <w:gridCol w:w="917"/>
        <w:gridCol w:w="1222"/>
        <w:gridCol w:w="1017"/>
      </w:tblGrid>
      <w:tr w:rsidR="0005652B" w:rsidRPr="000504C0" w14:paraId="40ACA217" w14:textId="77777777" w:rsidTr="00D428DF">
        <w:trPr>
          <w:trHeight w:val="397"/>
          <w:jc w:val="center"/>
        </w:trPr>
        <w:tc>
          <w:tcPr>
            <w:tcW w:w="1406" w:type="pct"/>
            <w:shd w:val="clear" w:color="auto" w:fill="D8EDFC"/>
            <w:vAlign w:val="center"/>
          </w:tcPr>
          <w:p w14:paraId="3CEF4EB0" w14:textId="77777777" w:rsidR="0005652B" w:rsidRPr="000504C0" w:rsidRDefault="0005652B" w:rsidP="003F0A85">
            <w:pPr>
              <w:spacing w:before="20" w:after="20"/>
              <w:rPr>
                <w:rFonts w:ascii="Calibri" w:hAnsi="Calibri"/>
                <w:b/>
                <w:sz w:val="20"/>
                <w:szCs w:val="20"/>
              </w:rPr>
            </w:pPr>
          </w:p>
        </w:tc>
        <w:tc>
          <w:tcPr>
            <w:tcW w:w="619" w:type="pct"/>
            <w:shd w:val="clear" w:color="auto" w:fill="D8EDFC"/>
            <w:vAlign w:val="center"/>
            <w:hideMark/>
          </w:tcPr>
          <w:p w14:paraId="43AA8B0E" w14:textId="77777777" w:rsidR="0005652B" w:rsidRPr="000504C0" w:rsidRDefault="0005652B" w:rsidP="003F0A85">
            <w:pPr>
              <w:spacing w:after="0"/>
              <w:jc w:val="center"/>
              <w:rPr>
                <w:b/>
                <w:sz w:val="20"/>
                <w:szCs w:val="20"/>
              </w:rPr>
            </w:pPr>
            <w:r w:rsidRPr="000504C0">
              <w:rPr>
                <w:b/>
                <w:sz w:val="20"/>
                <w:szCs w:val="20"/>
              </w:rPr>
              <w:t>2019</w:t>
            </w:r>
          </w:p>
        </w:tc>
        <w:tc>
          <w:tcPr>
            <w:tcW w:w="617" w:type="pct"/>
            <w:shd w:val="clear" w:color="auto" w:fill="D8EDFC"/>
            <w:vAlign w:val="center"/>
            <w:hideMark/>
          </w:tcPr>
          <w:p w14:paraId="00A57F1E" w14:textId="77777777" w:rsidR="0005652B" w:rsidRPr="000504C0" w:rsidRDefault="0005652B" w:rsidP="003F0A85">
            <w:pPr>
              <w:spacing w:after="0"/>
              <w:jc w:val="center"/>
              <w:rPr>
                <w:b/>
                <w:sz w:val="20"/>
                <w:szCs w:val="20"/>
              </w:rPr>
            </w:pPr>
            <w:r w:rsidRPr="000504C0">
              <w:rPr>
                <w:b/>
                <w:sz w:val="20"/>
                <w:szCs w:val="20"/>
              </w:rPr>
              <w:t>2030</w:t>
            </w:r>
          </w:p>
        </w:tc>
        <w:tc>
          <w:tcPr>
            <w:tcW w:w="617" w:type="pct"/>
            <w:shd w:val="clear" w:color="auto" w:fill="D8EDFC"/>
            <w:vAlign w:val="center"/>
            <w:hideMark/>
          </w:tcPr>
          <w:p w14:paraId="680A4C02" w14:textId="77777777" w:rsidR="0005652B" w:rsidRPr="000504C0" w:rsidRDefault="0005652B" w:rsidP="003F0A85">
            <w:pPr>
              <w:spacing w:after="0"/>
              <w:jc w:val="center"/>
              <w:rPr>
                <w:b/>
                <w:sz w:val="20"/>
                <w:szCs w:val="20"/>
              </w:rPr>
            </w:pPr>
            <w:r w:rsidRPr="000504C0">
              <w:rPr>
                <w:b/>
                <w:sz w:val="20"/>
                <w:szCs w:val="20"/>
              </w:rPr>
              <w:t>2040</w:t>
            </w:r>
          </w:p>
        </w:tc>
        <w:tc>
          <w:tcPr>
            <w:tcW w:w="506" w:type="pct"/>
            <w:shd w:val="clear" w:color="auto" w:fill="D8EDFC"/>
            <w:vAlign w:val="center"/>
            <w:hideMark/>
          </w:tcPr>
          <w:p w14:paraId="6E12C5B6" w14:textId="77777777" w:rsidR="0005652B" w:rsidRPr="000504C0" w:rsidRDefault="0005652B" w:rsidP="003F0A85">
            <w:pPr>
              <w:spacing w:after="0"/>
              <w:jc w:val="center"/>
              <w:rPr>
                <w:b/>
                <w:sz w:val="20"/>
                <w:szCs w:val="20"/>
              </w:rPr>
            </w:pPr>
            <w:r w:rsidRPr="000504C0">
              <w:rPr>
                <w:b/>
                <w:sz w:val="20"/>
                <w:szCs w:val="20"/>
              </w:rPr>
              <w:t>2050</w:t>
            </w:r>
          </w:p>
        </w:tc>
        <w:tc>
          <w:tcPr>
            <w:tcW w:w="674" w:type="pct"/>
            <w:shd w:val="clear" w:color="auto" w:fill="D8EDFC"/>
            <w:vAlign w:val="center"/>
            <w:hideMark/>
          </w:tcPr>
          <w:p w14:paraId="6137CC61" w14:textId="77777777" w:rsidR="0005652B" w:rsidRPr="000504C0" w:rsidRDefault="0005652B" w:rsidP="003F0A85">
            <w:pPr>
              <w:spacing w:after="0"/>
              <w:jc w:val="center"/>
              <w:rPr>
                <w:b/>
                <w:sz w:val="20"/>
                <w:szCs w:val="20"/>
              </w:rPr>
            </w:pPr>
            <w:r w:rsidRPr="000504C0">
              <w:rPr>
                <w:b/>
                <w:sz w:val="20"/>
                <w:szCs w:val="20"/>
              </w:rPr>
              <w:t>2060</w:t>
            </w:r>
          </w:p>
        </w:tc>
        <w:tc>
          <w:tcPr>
            <w:tcW w:w="561" w:type="pct"/>
            <w:shd w:val="clear" w:color="auto" w:fill="D8EDFC"/>
            <w:vAlign w:val="center"/>
            <w:hideMark/>
          </w:tcPr>
          <w:p w14:paraId="34A8896B" w14:textId="77777777" w:rsidR="0005652B" w:rsidRPr="000504C0" w:rsidRDefault="0005652B" w:rsidP="003F0A85">
            <w:pPr>
              <w:spacing w:after="0"/>
              <w:jc w:val="center"/>
              <w:rPr>
                <w:b/>
                <w:sz w:val="20"/>
                <w:szCs w:val="20"/>
              </w:rPr>
            </w:pPr>
            <w:r w:rsidRPr="000504C0">
              <w:rPr>
                <w:b/>
                <w:sz w:val="20"/>
                <w:szCs w:val="20"/>
              </w:rPr>
              <w:t>2070</w:t>
            </w:r>
          </w:p>
        </w:tc>
      </w:tr>
      <w:tr w:rsidR="0005652B" w:rsidRPr="000504C0" w14:paraId="03D1526C" w14:textId="77777777" w:rsidTr="00D428DF">
        <w:trPr>
          <w:trHeight w:val="397"/>
          <w:jc w:val="center"/>
        </w:trPr>
        <w:tc>
          <w:tcPr>
            <w:tcW w:w="1406" w:type="pct"/>
            <w:vAlign w:val="center"/>
            <w:hideMark/>
          </w:tcPr>
          <w:p w14:paraId="39D32C7D" w14:textId="77777777" w:rsidR="0005652B" w:rsidRPr="000504C0" w:rsidRDefault="0005652B" w:rsidP="003F0A85">
            <w:pPr>
              <w:spacing w:after="0"/>
              <w:rPr>
                <w:b/>
                <w:sz w:val="20"/>
                <w:szCs w:val="20"/>
              </w:rPr>
            </w:pPr>
            <w:r w:rsidRPr="000504C0">
              <w:rPr>
                <w:b/>
                <w:sz w:val="20"/>
                <w:szCs w:val="20"/>
              </w:rPr>
              <w:t>МФ</w:t>
            </w:r>
            <w:r w:rsidRPr="000504C0">
              <w:rPr>
                <w:b/>
                <w:sz w:val="20"/>
                <w:szCs w:val="20"/>
                <w:vertAlign w:val="superscript"/>
              </w:rPr>
              <w:footnoteReference w:id="33"/>
            </w:r>
          </w:p>
        </w:tc>
        <w:tc>
          <w:tcPr>
            <w:tcW w:w="619" w:type="pct"/>
            <w:vAlign w:val="center"/>
            <w:hideMark/>
          </w:tcPr>
          <w:p w14:paraId="755E92F8" w14:textId="77777777" w:rsidR="0005652B" w:rsidRPr="000504C0" w:rsidRDefault="0005652B" w:rsidP="00B90FE3">
            <w:pPr>
              <w:spacing w:after="0"/>
              <w:jc w:val="center"/>
              <w:rPr>
                <w:sz w:val="20"/>
                <w:szCs w:val="20"/>
              </w:rPr>
            </w:pPr>
            <w:r w:rsidRPr="000504C0">
              <w:rPr>
                <w:sz w:val="20"/>
              </w:rPr>
              <w:t>3.8</w:t>
            </w:r>
          </w:p>
        </w:tc>
        <w:tc>
          <w:tcPr>
            <w:tcW w:w="617" w:type="pct"/>
            <w:vAlign w:val="center"/>
            <w:hideMark/>
          </w:tcPr>
          <w:p w14:paraId="483932F2" w14:textId="77777777" w:rsidR="0005652B" w:rsidRPr="000504C0" w:rsidRDefault="0005652B" w:rsidP="00B90FE3">
            <w:pPr>
              <w:spacing w:after="0"/>
              <w:jc w:val="center"/>
              <w:rPr>
                <w:sz w:val="20"/>
                <w:szCs w:val="20"/>
              </w:rPr>
            </w:pPr>
            <w:r w:rsidRPr="00E903C1">
              <w:t>4.1</w:t>
            </w:r>
          </w:p>
        </w:tc>
        <w:tc>
          <w:tcPr>
            <w:tcW w:w="617" w:type="pct"/>
            <w:vAlign w:val="center"/>
            <w:hideMark/>
          </w:tcPr>
          <w:p w14:paraId="55645BAF" w14:textId="77777777" w:rsidR="0005652B" w:rsidRPr="000504C0" w:rsidRDefault="0005652B" w:rsidP="00B90FE3">
            <w:pPr>
              <w:spacing w:after="0"/>
              <w:jc w:val="center"/>
              <w:rPr>
                <w:sz w:val="20"/>
                <w:szCs w:val="20"/>
              </w:rPr>
            </w:pPr>
            <w:r w:rsidRPr="00E903C1">
              <w:t>4.0</w:t>
            </w:r>
          </w:p>
        </w:tc>
        <w:tc>
          <w:tcPr>
            <w:tcW w:w="506" w:type="pct"/>
            <w:vAlign w:val="center"/>
            <w:hideMark/>
          </w:tcPr>
          <w:p w14:paraId="061E2663" w14:textId="77777777" w:rsidR="0005652B" w:rsidRPr="000504C0" w:rsidRDefault="0005652B" w:rsidP="00B90FE3">
            <w:pPr>
              <w:spacing w:after="0"/>
              <w:jc w:val="center"/>
              <w:rPr>
                <w:sz w:val="20"/>
                <w:szCs w:val="20"/>
              </w:rPr>
            </w:pPr>
            <w:r w:rsidRPr="00E903C1">
              <w:t>4.2</w:t>
            </w:r>
          </w:p>
        </w:tc>
        <w:tc>
          <w:tcPr>
            <w:tcW w:w="674" w:type="pct"/>
            <w:vAlign w:val="center"/>
            <w:hideMark/>
          </w:tcPr>
          <w:p w14:paraId="4DB36753" w14:textId="77777777" w:rsidR="0005652B" w:rsidRPr="000504C0" w:rsidRDefault="0005652B" w:rsidP="00B90FE3">
            <w:pPr>
              <w:spacing w:after="0"/>
              <w:jc w:val="center"/>
              <w:rPr>
                <w:sz w:val="20"/>
                <w:szCs w:val="20"/>
              </w:rPr>
            </w:pPr>
            <w:r w:rsidRPr="00E903C1">
              <w:t>4.4</w:t>
            </w:r>
          </w:p>
        </w:tc>
        <w:tc>
          <w:tcPr>
            <w:tcW w:w="561" w:type="pct"/>
            <w:vAlign w:val="center"/>
            <w:hideMark/>
          </w:tcPr>
          <w:p w14:paraId="768FC04D" w14:textId="77777777" w:rsidR="0005652B" w:rsidRPr="000504C0" w:rsidRDefault="0005652B" w:rsidP="00B90FE3">
            <w:pPr>
              <w:spacing w:after="0"/>
              <w:jc w:val="center"/>
              <w:rPr>
                <w:sz w:val="20"/>
                <w:szCs w:val="20"/>
              </w:rPr>
            </w:pPr>
            <w:r w:rsidRPr="00E903C1">
              <w:t>4.2</w:t>
            </w:r>
          </w:p>
        </w:tc>
      </w:tr>
      <w:tr w:rsidR="0005652B" w:rsidRPr="000504C0" w14:paraId="7180A4C7" w14:textId="77777777" w:rsidTr="00D428DF">
        <w:trPr>
          <w:trHeight w:val="397"/>
          <w:jc w:val="center"/>
        </w:trPr>
        <w:tc>
          <w:tcPr>
            <w:tcW w:w="1406" w:type="pct"/>
            <w:vAlign w:val="center"/>
            <w:hideMark/>
          </w:tcPr>
          <w:p w14:paraId="1053A3DF" w14:textId="77777777" w:rsidR="0005652B" w:rsidRPr="000504C0" w:rsidRDefault="0005652B" w:rsidP="003F0A85">
            <w:pPr>
              <w:spacing w:after="0"/>
              <w:rPr>
                <w:b/>
                <w:sz w:val="20"/>
                <w:szCs w:val="20"/>
              </w:rPr>
            </w:pPr>
            <w:r w:rsidRPr="000504C0">
              <w:rPr>
                <w:b/>
                <w:sz w:val="20"/>
                <w:szCs w:val="20"/>
              </w:rPr>
              <w:t>Доклад 2021</w:t>
            </w:r>
          </w:p>
        </w:tc>
        <w:tc>
          <w:tcPr>
            <w:tcW w:w="619" w:type="pct"/>
            <w:vAlign w:val="center"/>
            <w:hideMark/>
          </w:tcPr>
          <w:p w14:paraId="73C2630C" w14:textId="77777777" w:rsidR="0005652B" w:rsidRPr="000504C0" w:rsidRDefault="0005652B" w:rsidP="00B90FE3">
            <w:pPr>
              <w:spacing w:after="0"/>
              <w:jc w:val="center"/>
              <w:rPr>
                <w:sz w:val="20"/>
                <w:szCs w:val="20"/>
              </w:rPr>
            </w:pPr>
            <w:r w:rsidRPr="000504C0">
              <w:rPr>
                <w:sz w:val="20"/>
                <w:szCs w:val="20"/>
              </w:rPr>
              <w:t>2.9</w:t>
            </w:r>
          </w:p>
        </w:tc>
        <w:tc>
          <w:tcPr>
            <w:tcW w:w="617" w:type="pct"/>
            <w:vAlign w:val="center"/>
            <w:hideMark/>
          </w:tcPr>
          <w:p w14:paraId="035EB6AE" w14:textId="77777777" w:rsidR="0005652B" w:rsidRPr="000504C0" w:rsidRDefault="0005652B" w:rsidP="00B90FE3">
            <w:pPr>
              <w:spacing w:after="0"/>
              <w:jc w:val="center"/>
              <w:rPr>
                <w:sz w:val="20"/>
                <w:szCs w:val="20"/>
              </w:rPr>
            </w:pPr>
            <w:r w:rsidRPr="000504C0">
              <w:rPr>
                <w:sz w:val="20"/>
                <w:szCs w:val="20"/>
              </w:rPr>
              <w:t>3.1</w:t>
            </w:r>
          </w:p>
        </w:tc>
        <w:tc>
          <w:tcPr>
            <w:tcW w:w="617" w:type="pct"/>
            <w:vAlign w:val="center"/>
            <w:hideMark/>
          </w:tcPr>
          <w:p w14:paraId="6392D34D" w14:textId="77777777" w:rsidR="0005652B" w:rsidRPr="000504C0" w:rsidRDefault="0005652B" w:rsidP="00B90FE3">
            <w:pPr>
              <w:spacing w:after="0"/>
              <w:jc w:val="center"/>
              <w:rPr>
                <w:sz w:val="20"/>
                <w:szCs w:val="20"/>
              </w:rPr>
            </w:pPr>
            <w:r w:rsidRPr="000504C0">
              <w:rPr>
                <w:sz w:val="20"/>
                <w:szCs w:val="20"/>
              </w:rPr>
              <w:t>3.0</w:t>
            </w:r>
          </w:p>
        </w:tc>
        <w:tc>
          <w:tcPr>
            <w:tcW w:w="506" w:type="pct"/>
            <w:vAlign w:val="center"/>
            <w:hideMark/>
          </w:tcPr>
          <w:p w14:paraId="12C1239E" w14:textId="77777777" w:rsidR="0005652B" w:rsidRPr="000504C0" w:rsidRDefault="0005652B" w:rsidP="00B90FE3">
            <w:pPr>
              <w:spacing w:after="0"/>
              <w:jc w:val="center"/>
              <w:rPr>
                <w:sz w:val="20"/>
                <w:szCs w:val="20"/>
              </w:rPr>
            </w:pPr>
            <w:r w:rsidRPr="000504C0">
              <w:rPr>
                <w:sz w:val="20"/>
                <w:szCs w:val="20"/>
              </w:rPr>
              <w:t>3.2</w:t>
            </w:r>
          </w:p>
        </w:tc>
        <w:tc>
          <w:tcPr>
            <w:tcW w:w="674" w:type="pct"/>
            <w:vAlign w:val="center"/>
            <w:hideMark/>
          </w:tcPr>
          <w:p w14:paraId="1680146E" w14:textId="77777777" w:rsidR="0005652B" w:rsidRPr="000504C0" w:rsidRDefault="0005652B" w:rsidP="00B90FE3">
            <w:pPr>
              <w:spacing w:after="0"/>
              <w:jc w:val="center"/>
              <w:rPr>
                <w:sz w:val="20"/>
                <w:szCs w:val="20"/>
              </w:rPr>
            </w:pPr>
            <w:r w:rsidRPr="000504C0">
              <w:rPr>
                <w:sz w:val="20"/>
                <w:szCs w:val="20"/>
              </w:rPr>
              <w:t>3.4</w:t>
            </w:r>
          </w:p>
        </w:tc>
        <w:tc>
          <w:tcPr>
            <w:tcW w:w="561" w:type="pct"/>
            <w:vAlign w:val="center"/>
            <w:hideMark/>
          </w:tcPr>
          <w:p w14:paraId="4A9C83FF" w14:textId="77777777" w:rsidR="0005652B" w:rsidRPr="000504C0" w:rsidRDefault="0005652B" w:rsidP="00B90FE3">
            <w:pPr>
              <w:spacing w:after="0"/>
              <w:jc w:val="center"/>
              <w:rPr>
                <w:sz w:val="20"/>
                <w:szCs w:val="20"/>
              </w:rPr>
            </w:pPr>
            <w:r w:rsidRPr="000504C0">
              <w:rPr>
                <w:sz w:val="20"/>
                <w:szCs w:val="20"/>
              </w:rPr>
              <w:t>3.3</w:t>
            </w:r>
          </w:p>
        </w:tc>
      </w:tr>
    </w:tbl>
    <w:p w14:paraId="6F3E49A5" w14:textId="77777777" w:rsidR="0005652B" w:rsidRPr="000504C0" w:rsidRDefault="0005652B" w:rsidP="0005652B">
      <w:pPr>
        <w:spacing w:before="60" w:after="240"/>
        <w:jc w:val="right"/>
        <w:rPr>
          <w:rFonts w:eastAsia="Calibri"/>
          <w:sz w:val="18"/>
          <w:szCs w:val="24"/>
        </w:rPr>
      </w:pPr>
      <w:r w:rsidRPr="000504C0">
        <w:rPr>
          <w:rFonts w:eastAsia="Calibri"/>
          <w:sz w:val="18"/>
          <w:szCs w:val="24"/>
        </w:rPr>
        <w:t xml:space="preserve">Източник: МФ, Ageing report 2021 </w:t>
      </w:r>
    </w:p>
    <w:p w14:paraId="76C42843" w14:textId="052FF1D4" w:rsidR="00F61E7F" w:rsidRPr="00F65131" w:rsidRDefault="0005652B" w:rsidP="00E360FF">
      <w:r w:rsidRPr="0034655F">
        <w:t>Прогнозата на МФ за публичните разходи за образование е базирана на дългосрочната демографска прогноза и на предположението, че разходите ще се индексират с нарастването на номиналната производителност на труда. В периода след 2040</w:t>
      </w:r>
      <w:r w:rsidR="00B552D5">
        <w:t> г.</w:t>
      </w:r>
      <w:r w:rsidRPr="0034655F">
        <w:t xml:space="preserve"> стабилизирането на демографската динамика на населението до 18 години се очаква да доведе до плавно нарастване на общите разходи за образование.</w:t>
      </w:r>
    </w:p>
    <w:p w14:paraId="5E4994DD" w14:textId="77777777" w:rsidR="00F61E7F" w:rsidRPr="005B2032" w:rsidRDefault="00F61E7F" w:rsidP="00F61E7F">
      <w:pPr>
        <w:spacing w:after="0"/>
        <w:jc w:val="left"/>
        <w:rPr>
          <w:rFonts w:asciiTheme="minorHAnsi" w:hAnsiTheme="minorHAnsi"/>
        </w:rPr>
        <w:sectPr w:rsidR="00F61E7F" w:rsidRPr="005B2032" w:rsidSect="00F61E7F">
          <w:type w:val="continuous"/>
          <w:pgSz w:w="11906" w:h="16838"/>
          <w:pgMar w:top="1418" w:right="1418" w:bottom="851" w:left="1418" w:header="680" w:footer="680" w:gutter="0"/>
          <w:cols w:space="708"/>
        </w:sectPr>
      </w:pPr>
    </w:p>
    <w:p w14:paraId="39DB14DE" w14:textId="6677E438" w:rsidR="005702A5" w:rsidRPr="00E360FF" w:rsidRDefault="00D359FF" w:rsidP="00EE53B2">
      <w:pPr>
        <w:pStyle w:val="Heading2"/>
      </w:pPr>
      <w:bookmarkStart w:id="123" w:name="_Toc133597283"/>
      <w:r w:rsidRPr="00E360FF">
        <w:lastRenderedPageBreak/>
        <w:t>Условни задължения</w:t>
      </w:r>
      <w:bookmarkEnd w:id="117"/>
      <w:bookmarkEnd w:id="118"/>
      <w:bookmarkEnd w:id="119"/>
      <w:bookmarkEnd w:id="123"/>
    </w:p>
    <w:p w14:paraId="14455B9C" w14:textId="1E817FC7" w:rsidR="00855AD7" w:rsidRPr="00694E9E" w:rsidRDefault="00855AD7" w:rsidP="00855AD7">
      <w:pPr>
        <w:outlineLvl w:val="2"/>
        <w:rPr>
          <w:rFonts w:eastAsia="Times New Roman"/>
        </w:rPr>
      </w:pPr>
      <w:r w:rsidRPr="00694E9E">
        <w:rPr>
          <w:rFonts w:eastAsia="Times New Roman"/>
        </w:rPr>
        <w:t>Гарантираният дълг на сектор „Държавно управление“ към края на 2022</w:t>
      </w:r>
      <w:r w:rsidR="00B552D5">
        <w:rPr>
          <w:rFonts w:eastAsia="Times New Roman"/>
        </w:rPr>
        <w:t> г.</w:t>
      </w:r>
      <w:r w:rsidRPr="00694E9E">
        <w:rPr>
          <w:rFonts w:eastAsia="Times New Roman"/>
        </w:rPr>
        <w:t xml:space="preserve"> възлиза на 590</w:t>
      </w:r>
      <w:r w:rsidR="00EF74B2">
        <w:rPr>
          <w:rFonts w:eastAsia="Times New Roman"/>
          <w:lang w:val="en-US"/>
        </w:rPr>
        <w:t>.</w:t>
      </w:r>
      <w:r w:rsidRPr="00694E9E">
        <w:rPr>
          <w:rFonts w:eastAsia="Times New Roman"/>
        </w:rPr>
        <w:t>2 млн. лв. или 0</w:t>
      </w:r>
      <w:r w:rsidR="00EF74B2">
        <w:rPr>
          <w:rFonts w:eastAsia="Times New Roman"/>
          <w:lang w:val="en-US"/>
        </w:rPr>
        <w:t>.</w:t>
      </w:r>
      <w:r w:rsidRPr="00694E9E">
        <w:rPr>
          <w:rFonts w:eastAsia="Times New Roman"/>
        </w:rPr>
        <w:t>4% от БВП, като отбелязва ръст в номинално изражение спрямо нивото отчетено в края на 2021</w:t>
      </w:r>
      <w:r w:rsidR="00B552D5">
        <w:rPr>
          <w:rFonts w:eastAsia="Times New Roman"/>
        </w:rPr>
        <w:t> г.</w:t>
      </w:r>
      <w:r w:rsidRPr="00694E9E">
        <w:rPr>
          <w:rFonts w:eastAsia="Times New Roman"/>
        </w:rPr>
        <w:t xml:space="preserve"> (556</w:t>
      </w:r>
      <w:r w:rsidR="00EF74B2">
        <w:rPr>
          <w:rFonts w:eastAsia="Times New Roman"/>
          <w:lang w:val="en-US"/>
        </w:rPr>
        <w:t>.</w:t>
      </w:r>
      <w:r w:rsidRPr="00694E9E">
        <w:rPr>
          <w:rFonts w:eastAsia="Times New Roman"/>
        </w:rPr>
        <w:t>1 млн. лв. или 0</w:t>
      </w:r>
      <w:r w:rsidR="00EF74B2">
        <w:rPr>
          <w:rFonts w:eastAsia="Times New Roman"/>
          <w:lang w:val="en-US"/>
        </w:rPr>
        <w:t>.</w:t>
      </w:r>
      <w:r w:rsidRPr="00694E9E">
        <w:rPr>
          <w:rFonts w:eastAsia="Times New Roman"/>
        </w:rPr>
        <w:t xml:space="preserve">4% от БВП). Увеличението е следствие от извършваните регулярни операции по гарантираните заеми. </w:t>
      </w:r>
    </w:p>
    <w:p w14:paraId="43D83415" w14:textId="6A3D1A74" w:rsidR="00855AD7" w:rsidRPr="00694E9E" w:rsidRDefault="00855AD7" w:rsidP="00855AD7">
      <w:pPr>
        <w:rPr>
          <w:rFonts w:eastAsia="Calibri"/>
          <w:szCs w:val="24"/>
        </w:rPr>
      </w:pPr>
      <w:r w:rsidRPr="00694E9E">
        <w:rPr>
          <w:rFonts w:eastAsia="Calibri"/>
          <w:szCs w:val="24"/>
        </w:rPr>
        <w:t>Гарантираният дълг на сектор „Държавно управление“ се формира основно от издадените гаранции от подсектор „Централно управление“ с дял от 99</w:t>
      </w:r>
      <w:r w:rsidR="00EF74B2">
        <w:rPr>
          <w:rFonts w:eastAsia="Calibri"/>
          <w:szCs w:val="24"/>
          <w:lang w:val="en-US"/>
        </w:rPr>
        <w:t>.</w:t>
      </w:r>
      <w:r w:rsidRPr="00694E9E">
        <w:rPr>
          <w:rFonts w:eastAsia="Calibri"/>
          <w:szCs w:val="24"/>
        </w:rPr>
        <w:t>9%. Подсектор „Местно управление“ заема около 0</w:t>
      </w:r>
      <w:r w:rsidR="00EF74B2">
        <w:rPr>
          <w:rFonts w:eastAsia="Calibri"/>
          <w:szCs w:val="24"/>
          <w:lang w:val="en-US"/>
        </w:rPr>
        <w:t>.</w:t>
      </w:r>
      <w:r w:rsidRPr="00694E9E">
        <w:rPr>
          <w:rFonts w:eastAsia="Calibri"/>
          <w:szCs w:val="24"/>
        </w:rPr>
        <w:t xml:space="preserve">1%, а единиците от подсектор „Социалноосигурителни фондове“ не може да издават гаранции. </w:t>
      </w:r>
    </w:p>
    <w:p w14:paraId="5852DD3F" w14:textId="1AD8F205" w:rsidR="00855AD7" w:rsidRPr="00694E9E" w:rsidRDefault="00855AD7" w:rsidP="00855AD7">
      <w:pPr>
        <w:outlineLvl w:val="2"/>
        <w:rPr>
          <w:rFonts w:eastAsia="Calibri"/>
          <w:szCs w:val="24"/>
        </w:rPr>
      </w:pPr>
      <w:r w:rsidRPr="00694E9E">
        <w:rPr>
          <w:rFonts w:eastAsia="Calibri"/>
          <w:szCs w:val="24"/>
        </w:rPr>
        <w:t>През 2023</w:t>
      </w:r>
      <w:r w:rsidR="00B552D5">
        <w:rPr>
          <w:rFonts w:eastAsia="Calibri"/>
          <w:szCs w:val="24"/>
        </w:rPr>
        <w:t> г.</w:t>
      </w:r>
      <w:r w:rsidRPr="00694E9E">
        <w:rPr>
          <w:rFonts w:eastAsia="Calibri"/>
          <w:szCs w:val="24"/>
        </w:rPr>
        <w:t xml:space="preserve"> до приемането на Закон за държавния бюджет на Република България за 2023</w:t>
      </w:r>
      <w:r w:rsidR="00B552D5">
        <w:rPr>
          <w:rFonts w:eastAsia="Calibri"/>
          <w:szCs w:val="24"/>
        </w:rPr>
        <w:t> г.</w:t>
      </w:r>
      <w:r w:rsidRPr="00694E9E">
        <w:rPr>
          <w:rFonts w:eastAsia="Calibri"/>
          <w:szCs w:val="24"/>
        </w:rPr>
        <w:t xml:space="preserve"> от Народното събрание и при допускане за издаване на новите държавни гаранции,</w:t>
      </w:r>
      <w:r w:rsidRPr="00694E9E">
        <w:rPr>
          <w:rFonts w:eastAsia="Times New Roman"/>
        </w:rPr>
        <w:t xml:space="preserve"> </w:t>
      </w:r>
      <w:r w:rsidRPr="00694E9E">
        <w:rPr>
          <w:rFonts w:eastAsia="Calibri"/>
          <w:szCs w:val="24"/>
        </w:rPr>
        <w:t>предвидени в Закона за прилагане на разпоредбите на Закона за държавния бюджет на Република България за 2022</w:t>
      </w:r>
      <w:r w:rsidR="00B552D5">
        <w:rPr>
          <w:rFonts w:eastAsia="Calibri"/>
          <w:szCs w:val="24"/>
        </w:rPr>
        <w:t> г.</w:t>
      </w:r>
      <w:r w:rsidRPr="00694E9E">
        <w:rPr>
          <w:rFonts w:eastAsia="Calibri"/>
          <w:szCs w:val="24"/>
        </w:rPr>
        <w:t>, Закона за бюджета на държавното обществено осигуряване за 2022</w:t>
      </w:r>
      <w:r w:rsidR="00B552D5">
        <w:rPr>
          <w:rFonts w:eastAsia="Calibri"/>
          <w:szCs w:val="24"/>
        </w:rPr>
        <w:t> г.</w:t>
      </w:r>
      <w:r w:rsidRPr="00694E9E">
        <w:rPr>
          <w:rFonts w:eastAsia="Calibri"/>
          <w:szCs w:val="24"/>
        </w:rPr>
        <w:t xml:space="preserve"> и Закона за бюджета на Националната здравноосигурителна каса за 2022 г</w:t>
      </w:r>
      <w:r w:rsidRPr="00694E9E">
        <w:rPr>
          <w:rFonts w:ascii="Calibri" w:eastAsia="Calibri" w:hAnsi="Calibri"/>
          <w:szCs w:val="24"/>
          <w:vertAlign w:val="superscript"/>
        </w:rPr>
        <w:footnoteReference w:id="34"/>
      </w:r>
      <w:r w:rsidRPr="00694E9E">
        <w:rPr>
          <w:rFonts w:eastAsia="Calibri"/>
          <w:szCs w:val="24"/>
        </w:rPr>
        <w:t xml:space="preserve">., предназначени </w:t>
      </w:r>
      <w:r w:rsidRPr="00694E9E">
        <w:rPr>
          <w:rFonts w:eastAsia="Times New Roman"/>
        </w:rPr>
        <w:t>за подкрепа на стратегически проекти в енергийния сектор, за</w:t>
      </w:r>
      <w:r w:rsidRPr="00694E9E">
        <w:rPr>
          <w:rFonts w:eastAsia="Times New Roman"/>
          <w:szCs w:val="24"/>
        </w:rPr>
        <w:t xml:space="preserve"> енергийна ефективност и зеления преход на </w:t>
      </w:r>
      <w:r w:rsidR="00E8285A">
        <w:rPr>
          <w:rFonts w:eastAsia="Times New Roman"/>
          <w:szCs w:val="24"/>
        </w:rPr>
        <w:t>малките и средни предприятия</w:t>
      </w:r>
      <w:r w:rsidR="00E8285A" w:rsidRPr="00694E9E">
        <w:rPr>
          <w:rFonts w:eastAsia="Times New Roman"/>
          <w:szCs w:val="24"/>
        </w:rPr>
        <w:t xml:space="preserve"> </w:t>
      </w:r>
      <w:r w:rsidRPr="00694E9E">
        <w:rPr>
          <w:rFonts w:eastAsia="Times New Roman"/>
          <w:szCs w:val="24"/>
        </w:rPr>
        <w:t>и по линия на инструменти на ЕС, както</w:t>
      </w:r>
      <w:r w:rsidRPr="00694E9E">
        <w:rPr>
          <w:rFonts w:eastAsia="Calibri"/>
          <w:szCs w:val="24"/>
        </w:rPr>
        <w:t xml:space="preserve"> и усвояване на средствата от заемите в пълен размер през 2023</w:t>
      </w:r>
      <w:r w:rsidR="00B552D5">
        <w:rPr>
          <w:rFonts w:eastAsia="Calibri"/>
          <w:szCs w:val="24"/>
        </w:rPr>
        <w:t> г.</w:t>
      </w:r>
      <w:r w:rsidRPr="00694E9E">
        <w:rPr>
          <w:rFonts w:eastAsia="Calibri"/>
          <w:szCs w:val="24"/>
        </w:rPr>
        <w:t>, се очаква номиналният размер на гарантирания дълг на сектор „Държавно управление“ да се увеличи, достигайки в номинално изражение до 2</w:t>
      </w:r>
      <w:r w:rsidR="00EF74B2">
        <w:rPr>
          <w:rFonts w:eastAsia="Calibri"/>
          <w:szCs w:val="24"/>
          <w:lang w:val="en-US"/>
        </w:rPr>
        <w:t>.</w:t>
      </w:r>
      <w:r w:rsidRPr="00694E9E">
        <w:rPr>
          <w:rFonts w:eastAsia="Calibri"/>
          <w:szCs w:val="24"/>
        </w:rPr>
        <w:t>4 млрд. лв., а като съотношение спрямо прогнозния БВП да възлезе на около 1</w:t>
      </w:r>
      <w:r w:rsidR="00EF74B2">
        <w:rPr>
          <w:rFonts w:eastAsia="Calibri"/>
          <w:szCs w:val="24"/>
          <w:lang w:val="en-US"/>
        </w:rPr>
        <w:t>.</w:t>
      </w:r>
      <w:r w:rsidRPr="00694E9E">
        <w:rPr>
          <w:rFonts w:eastAsia="Calibri"/>
          <w:szCs w:val="24"/>
        </w:rPr>
        <w:t xml:space="preserve">3%. </w:t>
      </w:r>
    </w:p>
    <w:p w14:paraId="7DFEAEFF" w14:textId="19E2BAC2" w:rsidR="00855AD7" w:rsidRPr="00B90FE3" w:rsidRDefault="00855AD7" w:rsidP="00855AD7">
      <w:pPr>
        <w:rPr>
          <w:rFonts w:ascii="Calibri" w:eastAsia="Calibri" w:hAnsi="Calibri"/>
          <w:spacing w:val="-4"/>
        </w:rPr>
      </w:pPr>
      <w:r w:rsidRPr="00B90FE3">
        <w:rPr>
          <w:rFonts w:eastAsia="Times New Roman"/>
          <w:spacing w:val="-4"/>
        </w:rPr>
        <w:lastRenderedPageBreak/>
        <w:t>В края на 2023</w:t>
      </w:r>
      <w:r w:rsidR="00B552D5" w:rsidRPr="00B90FE3">
        <w:rPr>
          <w:rFonts w:eastAsia="Times New Roman"/>
          <w:spacing w:val="-4"/>
        </w:rPr>
        <w:t> г.</w:t>
      </w:r>
      <w:r w:rsidRPr="00B90FE3">
        <w:rPr>
          <w:rFonts w:eastAsia="Times New Roman"/>
          <w:spacing w:val="-4"/>
        </w:rPr>
        <w:t xml:space="preserve"> доминиращ дял с 53% в отрасловата структура на гарантирания дълг се очаква да заемат гаранциите на сектор „Енергетика“, следвани от </w:t>
      </w:r>
      <w:r w:rsidRPr="00B90FE3">
        <w:rPr>
          <w:rFonts w:eastAsia="Times New Roman"/>
          <w:bCs/>
          <w:spacing w:val="-4"/>
          <w:szCs w:val="24"/>
        </w:rPr>
        <w:t>гаранциите по нови заем</w:t>
      </w:r>
      <w:r w:rsidR="00BD61C2">
        <w:rPr>
          <w:rFonts w:eastAsia="Times New Roman"/>
          <w:bCs/>
          <w:spacing w:val="-4"/>
          <w:szCs w:val="24"/>
        </w:rPr>
        <w:t>н</w:t>
      </w:r>
      <w:r w:rsidRPr="00B90FE3">
        <w:rPr>
          <w:rFonts w:eastAsia="Times New Roman"/>
          <w:bCs/>
          <w:spacing w:val="-4"/>
          <w:szCs w:val="24"/>
        </w:rPr>
        <w:t xml:space="preserve">и споразумения на Българската банка за развитие ЕАД в размер </w:t>
      </w:r>
      <w:r w:rsidRPr="00B90FE3">
        <w:rPr>
          <w:rFonts w:eastAsia="Times New Roman"/>
          <w:spacing w:val="-4"/>
          <w:szCs w:val="24"/>
        </w:rPr>
        <w:t>до 700</w:t>
      </w:r>
      <w:r w:rsidR="00EF74B2" w:rsidRPr="00B90FE3">
        <w:rPr>
          <w:rFonts w:eastAsia="Times New Roman"/>
          <w:spacing w:val="-4"/>
          <w:szCs w:val="24"/>
          <w:lang w:val="en-US"/>
        </w:rPr>
        <w:t>.</w:t>
      </w:r>
      <w:r w:rsidRPr="00B90FE3">
        <w:rPr>
          <w:rFonts w:eastAsia="Times New Roman"/>
          <w:spacing w:val="-4"/>
          <w:szCs w:val="24"/>
        </w:rPr>
        <w:t xml:space="preserve">0 млн. лв. с дял от 30%. Издадените гаранции по инструментите на ЕС, </w:t>
      </w:r>
      <w:r w:rsidRPr="00B90FE3">
        <w:rPr>
          <w:rFonts w:eastAsia="Times New Roman"/>
          <w:spacing w:val="-4"/>
        </w:rPr>
        <w:t>създадени в следствие на избухването на COVID-19</w:t>
      </w:r>
      <w:r w:rsidR="00B552D5" w:rsidRPr="00B90FE3">
        <w:rPr>
          <w:rFonts w:eastAsia="Times New Roman"/>
          <w:spacing w:val="-4"/>
        </w:rPr>
        <w:t xml:space="preserve"> – </w:t>
      </w:r>
      <w:r w:rsidRPr="00B90FE3">
        <w:rPr>
          <w:rFonts w:eastAsia="Times New Roman"/>
          <w:spacing w:val="-4"/>
        </w:rPr>
        <w:t>SURE и Паневропейския гаранционен фонд, както и във връзка с предложението на Европейската комисия относно предоставянето на макрофинансова помощ на ЕС за Украйна под формата на помощи и заеми, заемат дял от 14%. Останалите 3% заемат предоставените гаранции по реда на Закона за кредитиране на студенти и докторанти, по изпълнявани други международни споразумения и издадените общински гаранции.</w:t>
      </w:r>
    </w:p>
    <w:p w14:paraId="2E8C692B" w14:textId="6169C2BA" w:rsidR="00855AD7" w:rsidRPr="00694E9E" w:rsidRDefault="00855AD7" w:rsidP="00855AD7">
      <w:pPr>
        <w:outlineLvl w:val="2"/>
        <w:rPr>
          <w:rFonts w:eastAsia="Calibri"/>
          <w:szCs w:val="24"/>
        </w:rPr>
      </w:pPr>
      <w:r w:rsidRPr="00694E9E">
        <w:rPr>
          <w:rFonts w:eastAsia="Calibri"/>
          <w:szCs w:val="24"/>
        </w:rPr>
        <w:t>През следващите години от прогнозния период се допуска плавното им намаляване до 1</w:t>
      </w:r>
      <w:r w:rsidR="00EF74B2">
        <w:rPr>
          <w:rFonts w:eastAsia="Calibri"/>
          <w:szCs w:val="24"/>
          <w:lang w:val="en-US"/>
        </w:rPr>
        <w:t>.</w:t>
      </w:r>
      <w:r w:rsidRPr="00694E9E">
        <w:rPr>
          <w:rFonts w:eastAsia="Calibri"/>
          <w:szCs w:val="24"/>
        </w:rPr>
        <w:t>1% от БВП към края на 2026</w:t>
      </w:r>
      <w:r w:rsidR="00B552D5">
        <w:rPr>
          <w:rFonts w:eastAsia="Calibri"/>
          <w:szCs w:val="24"/>
        </w:rPr>
        <w:t> г.</w:t>
      </w:r>
      <w:r w:rsidR="00DA2F80">
        <w:rPr>
          <w:rFonts w:eastAsia="Calibri"/>
          <w:szCs w:val="24"/>
        </w:rPr>
        <w:t>,</w:t>
      </w:r>
      <w:r w:rsidRPr="00694E9E">
        <w:rPr>
          <w:rFonts w:eastAsia="Calibri"/>
          <w:szCs w:val="24"/>
        </w:rPr>
        <w:t xml:space="preserve"> в следствие очакваното подобрение през </w:t>
      </w:r>
      <w:r w:rsidR="00B552D5">
        <w:rPr>
          <w:rFonts w:eastAsia="Calibri"/>
          <w:szCs w:val="24"/>
        </w:rPr>
        <w:t>2025–2026 г.</w:t>
      </w:r>
      <w:r w:rsidRPr="00694E9E">
        <w:rPr>
          <w:rFonts w:eastAsia="Calibri"/>
          <w:szCs w:val="24"/>
        </w:rPr>
        <w:t xml:space="preserve"> на икономическата активност, както в България, така и в ЕС, допусканията за растеж на БВП в номинално изражение, както и планираното обслужване на гарантираните заеми, в съответствие с договорените погасителни панове.</w:t>
      </w:r>
    </w:p>
    <w:p w14:paraId="5382F310" w14:textId="76FBEBD8" w:rsidR="000F06F7" w:rsidRDefault="000F06F7" w:rsidP="000F06F7">
      <w:pPr>
        <w:rPr>
          <w:noProof/>
        </w:rPr>
      </w:pPr>
      <w:r>
        <w:rPr>
          <w:noProof/>
        </w:rPr>
        <w:t>В съответствие с т. 1.7 от Решение № 70 на МС от 27 януари 2023</w:t>
      </w:r>
      <w:r w:rsidR="00B552D5">
        <w:rPr>
          <w:noProof/>
        </w:rPr>
        <w:t> г.</w:t>
      </w:r>
      <w:r>
        <w:rPr>
          <w:noProof/>
        </w:rPr>
        <w:t xml:space="preserve"> за бюджетната процедура за 2024</w:t>
      </w:r>
      <w:r w:rsidR="00B552D5">
        <w:rPr>
          <w:noProof/>
        </w:rPr>
        <w:t> г.</w:t>
      </w:r>
      <w:r>
        <w:rPr>
          <w:noProof/>
        </w:rPr>
        <w:t xml:space="preserve"> и във връзка с чл. 73, т. 8 от Закона за публичните финанси, обект на наблюдение са всички държавни и общински предприятия с общ размер на задълженията към 31.12.2021</w:t>
      </w:r>
      <w:r w:rsidR="00B552D5">
        <w:rPr>
          <w:noProof/>
        </w:rPr>
        <w:t> г.</w:t>
      </w:r>
      <w:r>
        <w:rPr>
          <w:noProof/>
        </w:rPr>
        <w:t xml:space="preserve"> над 0</w:t>
      </w:r>
      <w:r w:rsidR="005C6F2E">
        <w:rPr>
          <w:noProof/>
          <w:lang w:val="en-US"/>
        </w:rPr>
        <w:t>.</w:t>
      </w:r>
      <w:r>
        <w:rPr>
          <w:noProof/>
        </w:rPr>
        <w:t xml:space="preserve">1% от </w:t>
      </w:r>
      <w:r w:rsidR="00DA2F80">
        <w:rPr>
          <w:noProof/>
        </w:rPr>
        <w:t>б</w:t>
      </w:r>
      <w:r>
        <w:rPr>
          <w:noProof/>
        </w:rPr>
        <w:t>рутния вътрешен продукт на страната, които не са част от консолидираната фискална програма и не попадат в обхвата на сектор „Държавно управление“. Същите следва да представят информация и оценка на прогнозите за приходите и разходите и за активите и пасивите с отчетни данни за 2021 и 2022</w:t>
      </w:r>
      <w:r w:rsidR="00B552D5">
        <w:rPr>
          <w:noProof/>
        </w:rPr>
        <w:t> г.</w:t>
      </w:r>
      <w:r>
        <w:rPr>
          <w:noProof/>
        </w:rPr>
        <w:t>, разчет за 2023</w:t>
      </w:r>
      <w:r w:rsidR="00B552D5">
        <w:rPr>
          <w:noProof/>
        </w:rPr>
        <w:t> г.</w:t>
      </w:r>
      <w:r>
        <w:rPr>
          <w:noProof/>
        </w:rPr>
        <w:t xml:space="preserve"> и прогноза за периода </w:t>
      </w:r>
      <w:r w:rsidR="001364E0">
        <w:rPr>
          <w:noProof/>
        </w:rPr>
        <w:t>2024–2026</w:t>
      </w:r>
      <w:r w:rsidR="00B552D5">
        <w:rPr>
          <w:noProof/>
        </w:rPr>
        <w:t> г.</w:t>
      </w:r>
    </w:p>
    <w:p w14:paraId="3E0274B2" w14:textId="4327B4E9" w:rsidR="000F06F7" w:rsidRDefault="000F06F7" w:rsidP="000F06F7">
      <w:pPr>
        <w:rPr>
          <w:noProof/>
        </w:rPr>
      </w:pPr>
      <w:r>
        <w:rPr>
          <w:noProof/>
        </w:rPr>
        <w:t>На база на получената информация, за четиригодишния период 2023 – 2026</w:t>
      </w:r>
      <w:r w:rsidR="00B552D5">
        <w:rPr>
          <w:noProof/>
        </w:rPr>
        <w:t> г.</w:t>
      </w:r>
      <w:r>
        <w:rPr>
          <w:noProof/>
        </w:rPr>
        <w:t xml:space="preserve"> се прогнозира намаление на задълженията на държавните дружества от нефинансовия сектор, обект на наблюдение, с 21</w:t>
      </w:r>
      <w:r w:rsidR="005C6F2E">
        <w:rPr>
          <w:noProof/>
          <w:lang w:val="en-US"/>
        </w:rPr>
        <w:t>.</w:t>
      </w:r>
      <w:r>
        <w:rPr>
          <w:noProof/>
        </w:rPr>
        <w:t>84%. Отчетеният към 31.12.2022</w:t>
      </w:r>
      <w:r w:rsidR="00B552D5">
        <w:rPr>
          <w:noProof/>
        </w:rPr>
        <w:t> г.</w:t>
      </w:r>
      <w:r>
        <w:rPr>
          <w:noProof/>
        </w:rPr>
        <w:t xml:space="preserve"> размер на дългосрочните и краткосрочните задължения на тези дружества е общо 11</w:t>
      </w:r>
      <w:r w:rsidR="005C6F2E">
        <w:rPr>
          <w:noProof/>
          <w:lang w:val="en-US"/>
        </w:rPr>
        <w:t>.</w:t>
      </w:r>
      <w:r>
        <w:rPr>
          <w:noProof/>
        </w:rPr>
        <w:t>4 млрд. лв., като към 31.12.2026</w:t>
      </w:r>
      <w:r w:rsidR="00B552D5">
        <w:rPr>
          <w:noProof/>
        </w:rPr>
        <w:t> г.</w:t>
      </w:r>
      <w:r>
        <w:rPr>
          <w:noProof/>
        </w:rPr>
        <w:t xml:space="preserve"> прогнозите за същите са в размер на 8.9 млрд. лв.</w:t>
      </w:r>
    </w:p>
    <w:p w14:paraId="36C52438" w14:textId="0DD51081" w:rsidR="006109E4" w:rsidRPr="005B2032" w:rsidRDefault="000F06F7" w:rsidP="00E360FF">
      <w:pPr>
        <w:rPr>
          <w:rFonts w:asciiTheme="minorHAnsi" w:eastAsia="Times New Roman" w:hAnsiTheme="minorHAnsi" w:cstheme="minorHAnsi"/>
          <w:bCs/>
          <w:highlight w:val="yellow"/>
        </w:rPr>
      </w:pPr>
      <w:r>
        <w:rPr>
          <w:noProof/>
        </w:rPr>
        <w:t>Сумарният коефициент на задлъжнялост се понижава от 0</w:t>
      </w:r>
      <w:r w:rsidR="005C6F2E">
        <w:rPr>
          <w:noProof/>
          <w:lang w:val="en-US"/>
        </w:rPr>
        <w:t>.</w:t>
      </w:r>
      <w:r>
        <w:rPr>
          <w:noProof/>
        </w:rPr>
        <w:t>75 към 31.12.2022</w:t>
      </w:r>
      <w:r w:rsidR="00B552D5">
        <w:rPr>
          <w:noProof/>
        </w:rPr>
        <w:t> г.</w:t>
      </w:r>
      <w:r>
        <w:rPr>
          <w:noProof/>
        </w:rPr>
        <w:t xml:space="preserve"> до 0</w:t>
      </w:r>
      <w:r w:rsidR="005C6F2E">
        <w:rPr>
          <w:noProof/>
          <w:lang w:val="en-US"/>
        </w:rPr>
        <w:t>.</w:t>
      </w:r>
      <w:r>
        <w:rPr>
          <w:noProof/>
        </w:rPr>
        <w:t>48 в края на периода. Сумарното съотношение на дълга на тези дружества спрямо активите им намалява с 0</w:t>
      </w:r>
      <w:r w:rsidR="005C6F2E">
        <w:rPr>
          <w:noProof/>
          <w:lang w:val="en-US"/>
        </w:rPr>
        <w:t>.</w:t>
      </w:r>
      <w:r>
        <w:rPr>
          <w:noProof/>
        </w:rPr>
        <w:t>10 през прогнозния период до 0</w:t>
      </w:r>
      <w:r w:rsidR="005C6F2E">
        <w:rPr>
          <w:noProof/>
          <w:lang w:val="en-US"/>
        </w:rPr>
        <w:t>.</w:t>
      </w:r>
      <w:r>
        <w:rPr>
          <w:noProof/>
        </w:rPr>
        <w:t>32. Коефициентът на ликвидност остава стабилен на ниво от над 1</w:t>
      </w:r>
      <w:r w:rsidR="005C6F2E">
        <w:rPr>
          <w:noProof/>
          <w:lang w:val="en-US"/>
        </w:rPr>
        <w:t>.</w:t>
      </w:r>
      <w:r>
        <w:rPr>
          <w:noProof/>
        </w:rPr>
        <w:t>7 през целия период 2021</w:t>
      </w:r>
      <w:r w:rsidR="00007B25">
        <w:rPr>
          <w:noProof/>
        </w:rPr>
        <w:t>–</w:t>
      </w:r>
      <w:r>
        <w:rPr>
          <w:noProof/>
        </w:rPr>
        <w:t>2026</w:t>
      </w:r>
      <w:r w:rsidR="00B552D5">
        <w:rPr>
          <w:noProof/>
        </w:rPr>
        <w:t> г.</w:t>
      </w:r>
    </w:p>
    <w:p w14:paraId="440B382F" w14:textId="77777777" w:rsidR="006109E4" w:rsidRPr="005B2032" w:rsidRDefault="006109E4" w:rsidP="000E4274">
      <w:pPr>
        <w:rPr>
          <w:rFonts w:asciiTheme="minorHAnsi" w:hAnsiTheme="minorHAnsi" w:cstheme="minorHAnsi"/>
        </w:rPr>
        <w:sectPr w:rsidR="006109E4" w:rsidRPr="005B2032" w:rsidSect="00202EFA">
          <w:headerReference w:type="default" r:id="rId62"/>
          <w:type w:val="continuous"/>
          <w:pgSz w:w="11906" w:h="16838" w:code="9"/>
          <w:pgMar w:top="1418" w:right="1418" w:bottom="851" w:left="1418" w:header="680" w:footer="680" w:gutter="0"/>
          <w:cols w:space="708"/>
          <w:docGrid w:linePitch="360"/>
        </w:sectPr>
      </w:pPr>
    </w:p>
    <w:p w14:paraId="7D77339E" w14:textId="77777777" w:rsidR="00D359FF" w:rsidRPr="00E360FF" w:rsidRDefault="00D359FF" w:rsidP="00B552D5">
      <w:pPr>
        <w:pStyle w:val="Heading1"/>
      </w:pPr>
      <w:bookmarkStart w:id="124" w:name="_Toc352851611"/>
      <w:bookmarkStart w:id="125" w:name="_Toc448227300"/>
      <w:bookmarkStart w:id="126" w:name="_Toc479332452"/>
      <w:bookmarkStart w:id="127" w:name="_Toc133597284"/>
      <w:r w:rsidRPr="00E360FF">
        <w:lastRenderedPageBreak/>
        <w:t xml:space="preserve">Качество на публичните </w:t>
      </w:r>
      <w:r w:rsidR="00894746" w:rsidRPr="00E360FF">
        <w:br/>
      </w:r>
      <w:r w:rsidRPr="00E360FF">
        <w:t>финанси</w:t>
      </w:r>
      <w:bookmarkEnd w:id="124"/>
      <w:bookmarkEnd w:id="125"/>
      <w:bookmarkEnd w:id="126"/>
      <w:bookmarkEnd w:id="127"/>
    </w:p>
    <w:p w14:paraId="61043EB7" w14:textId="77777777" w:rsidR="0021315B" w:rsidRPr="00E360FF" w:rsidRDefault="00D359FF" w:rsidP="00EE53B2">
      <w:pPr>
        <w:pStyle w:val="Heading2"/>
      </w:pPr>
      <w:bookmarkStart w:id="128" w:name="_Toc352851612"/>
      <w:bookmarkStart w:id="129" w:name="_Toc448227301"/>
      <w:bookmarkStart w:id="130" w:name="_Toc479332453"/>
      <w:bookmarkStart w:id="131" w:name="_Toc133597285"/>
      <w:r w:rsidRPr="00E360FF">
        <w:t>Стратегия на политиката</w:t>
      </w:r>
      <w:bookmarkEnd w:id="128"/>
      <w:bookmarkEnd w:id="129"/>
      <w:bookmarkEnd w:id="130"/>
      <w:bookmarkEnd w:id="131"/>
    </w:p>
    <w:p w14:paraId="1616B4B7" w14:textId="77777777" w:rsidR="00067B4C" w:rsidRPr="00CA5073" w:rsidRDefault="00067B4C" w:rsidP="00067B4C">
      <w:bookmarkStart w:id="132" w:name="_Toc352851613"/>
      <w:bookmarkStart w:id="133" w:name="_Toc448227302"/>
      <w:bookmarkStart w:id="134" w:name="_Toc479332454"/>
      <w:r w:rsidRPr="00CA5073">
        <w:t>Стратегията на политиката в областта на качеството на публичните финанси следва последователните действия за институционални, нормативни и методологически промени в посока на подобряване управлението на публичните финанси.</w:t>
      </w:r>
    </w:p>
    <w:p w14:paraId="001F85C2" w14:textId="77777777" w:rsidR="00067B4C" w:rsidRPr="00CA5073" w:rsidRDefault="00067B4C" w:rsidP="00067B4C">
      <w:r w:rsidRPr="00CA5073">
        <w:t>Постигането на устойчива средносрочна фискална рамка и нейното реализиране са свързани с реализирането на редица мерки за повишаване на качеството на публичните финанси, изразяващи се в подобряване на бюджетния процес, усъвършенстване на бюджетните документи, утвърждаване прилагането на добри бюджетни практики и проследяване на ефектите от провежданите секторни политики чрез мониторинг на ключовите индикатори за измерване на напредъка по отношение изпълнението на стратегическите цели на политиките и постигането на очакваните ползи/ефекти за обществото.</w:t>
      </w:r>
    </w:p>
    <w:p w14:paraId="545B1C92" w14:textId="77777777" w:rsidR="00067B4C" w:rsidRPr="00CA5073" w:rsidRDefault="00067B4C" w:rsidP="00067B4C">
      <w:r w:rsidRPr="00CA5073">
        <w:t xml:space="preserve">Въпреки предизвикателствата в глобален мащаб и липсата на редовно правителство към настоящия момент продължават усилията за постигане на по-добра обвързаност между финансирането на провежданите политики и постигнатите резултати от изпълнението им. </w:t>
      </w:r>
    </w:p>
    <w:p w14:paraId="4663F69D" w14:textId="031ACC39" w:rsidR="00067B4C" w:rsidRPr="00CA5073" w:rsidRDefault="00067B4C" w:rsidP="00067B4C">
      <w:r w:rsidRPr="00CA5073">
        <w:t xml:space="preserve">През последните години се утвърди практиката в средносрочната бюджетна прогноза и в нейната актуализация да се помества информация за ключови индикатори за измерване на степента на постигане на целите на политиките, провеждани от органите на изпълнителната власт. </w:t>
      </w:r>
    </w:p>
    <w:p w14:paraId="03F8CAA4" w14:textId="77777777" w:rsidR="00067B4C" w:rsidRPr="00CA5073" w:rsidRDefault="00067B4C" w:rsidP="00067B4C">
      <w:r w:rsidRPr="00CA5073">
        <w:t>В средносрочен план се очаква натрупването на информация по дефинираните ключови индикатори за изпълнение да допринесе за създаване на устойчива база за мониторинг и проследяване на тенденции, както и за оценка на връзката между стратегическите цели на бюджетните организации и изпълняваните от тях политики/бюджетни програми.</w:t>
      </w:r>
    </w:p>
    <w:p w14:paraId="7A82B4BD" w14:textId="392EABEC" w:rsidR="00067B4C" w:rsidRPr="00CA5073" w:rsidRDefault="00067B4C" w:rsidP="00067B4C">
      <w:r w:rsidRPr="00CA5073">
        <w:t>Независимо от установената трайна уредба на бюджетната рамка с приемането на Закона за публичните финанси през 2013</w:t>
      </w:r>
      <w:r w:rsidR="00B552D5">
        <w:t> г.</w:t>
      </w:r>
      <w:r w:rsidRPr="00CA5073">
        <w:t>, продължават усилията за усъвършенстване на нормативната база в областта на бюджета, които са съпроводени от наблюдение и анализ на прилагането на бюджетното законодателство и на бюджетните практики, както и на спазването на фискалните правила.</w:t>
      </w:r>
    </w:p>
    <w:p w14:paraId="035CBB96" w14:textId="77777777" w:rsidR="00067B4C" w:rsidRDefault="00067B4C" w:rsidP="00067B4C">
      <w:r>
        <w:t>Законовата рамка за програмното бюджетиране изисква правителството да поддържа актуална програмна класификация, утвърждавана от Министерския съвет, която да съответства на функциите на централната администрация и на портфейлите на органите</w:t>
      </w:r>
      <w:r w:rsidRPr="00F32E44">
        <w:t xml:space="preserve"> </w:t>
      </w:r>
      <w:r>
        <w:t>на изпълнителната власт, които провеждат политики</w:t>
      </w:r>
      <w:r>
        <w:rPr>
          <w:lang w:val="en-US"/>
        </w:rPr>
        <w:t xml:space="preserve">, </w:t>
      </w:r>
      <w:r>
        <w:t>поради което програмната класификация беше актуализирана съгласно действащата към момента нормативна уредба.</w:t>
      </w:r>
    </w:p>
    <w:p w14:paraId="179525F6" w14:textId="77777777" w:rsidR="00067B4C" w:rsidRPr="00CA5073" w:rsidRDefault="00067B4C" w:rsidP="00067B4C">
      <w:r w:rsidRPr="00CA5073">
        <w:t xml:space="preserve">Качеството на публичните финанси се гради на основата на разработваните макроикономически и бюджетни прогнози в подкрепа на провежданата от правителството благоразумна фискална политика, като за целта е необходим коректив – независим орган, който със своите функции да насърчава устойчивостта на бюджетната рамка, в т.ч. и като следи </w:t>
      </w:r>
      <w:r w:rsidRPr="00CA5073">
        <w:lastRenderedPageBreak/>
        <w:t>за спазването на фискалните правила, както за наличието на корективни механизми в случаи на отклонения от поставените цели.</w:t>
      </w:r>
    </w:p>
    <w:p w14:paraId="4FDE183F" w14:textId="664B0E20" w:rsidR="00067B4C" w:rsidRPr="00CA5073" w:rsidRDefault="00067B4C" w:rsidP="00067B4C">
      <w:r w:rsidRPr="00CA5073">
        <w:t>Засилената рамка за фискално управление в рамките на ЕС разшири ролята и официализира задачите на националните независими фискални институции, което намери място в националното законодателство. Ефективното взаимодействие на Министерството на финансите с Фискалния съвет при подготовката на основните бюджетни документи дава своя принос за повишаване качеството и надеждността на информацията и данните на базата на анализи, оценки и препорък</w:t>
      </w:r>
      <w:r w:rsidR="009D48E5">
        <w:t>и на Фискалния съвет. С</w:t>
      </w:r>
      <w:r w:rsidRPr="00CA5073">
        <w:t>ъвет</w:t>
      </w:r>
      <w:r w:rsidR="009D48E5">
        <w:t>ът</w:t>
      </w:r>
      <w:r w:rsidRPr="00CA5073">
        <w:t xml:space="preserve"> допринася и за повишаване на отчетността и подобряване на фискалната прозрачност посредством наблюдението за спазването на числовите фискални правила и за индикиране при наличие на потенциални рискове за бюджета.</w:t>
      </w:r>
    </w:p>
    <w:p w14:paraId="1655067A" w14:textId="1A652189" w:rsidR="00067B4C" w:rsidRDefault="00067B4C" w:rsidP="00067B4C">
      <w:r>
        <w:t xml:space="preserve">Присъединяването на Република България към </w:t>
      </w:r>
      <w:r w:rsidR="00E8285A">
        <w:t>Организацията за икономическо сътрудничество и развитие (</w:t>
      </w:r>
      <w:r>
        <w:t>ОИСР</w:t>
      </w:r>
      <w:r w:rsidR="00E8285A">
        <w:t>)</w:t>
      </w:r>
      <w:r>
        <w:t xml:space="preserve"> е кауза с високо значение за страната, тъй като дейността на тази организация обхваща почти всички аспекти на социално-икономическия живот. </w:t>
      </w:r>
    </w:p>
    <w:p w14:paraId="0AB4C532" w14:textId="142126A7" w:rsidR="00C70549" w:rsidRDefault="00C70549" w:rsidP="00C70549">
      <w:r w:rsidRPr="000A1637">
        <w:t>На 10 юни 2022</w:t>
      </w:r>
      <w:r w:rsidR="00B552D5">
        <w:t> г.</w:t>
      </w:r>
      <w:r w:rsidRPr="000A1637">
        <w:t xml:space="preserve"> ОИСР даде официално начало на разговорите за присъединяване на България, като одобри Пътна карта с параметрите, етапите и условията на присъедини-телния процес в рамките на годишната среща на Съвета на ОИСР на ниво министри. Предвид необходимостта страната ни да направи оценка на съответствието на законо-дателство, политики и практики с най-добрите стандарти на ОИСР и впоследствие да изработи начини за тяхното усъвършенстване в съответствие с дадените препоръки от отделните Комитети, беше идентифицирано участието на водещи и/или партниращи институции по правните инструменти на ОИСР. Изготвените самооценки бяха изпратени на Междуведомствения координационен механизъм за организация и координация на процеса на разговори и подготвителни дейности за присъединяването на Република България към ОИСР и бяха включени в Първоначалния меморандум. Също така беше направена и подготовка за участието на различните институции в комитети/работни органи на ОИСР във връзка с техническите прегледи в рамките на процеса на присъединяване.</w:t>
      </w:r>
    </w:p>
    <w:p w14:paraId="56E624C6" w14:textId="4627FFED" w:rsidR="00067B4C" w:rsidRPr="00CA5073" w:rsidRDefault="00067B4C" w:rsidP="00067B4C">
      <w:r w:rsidRPr="00CA5073">
        <w:t>През последните години България се присъедини към редица правни инструменти на ОИСР и активизира участието си във все по-голям брой комитети и работни групи на ОИСР, като усилията на страната ни са насочени към поддържането на активна позиция и внасянето на добавена стойност в тяхната работа. Към момента България участва със статут на „член“/„асоцииран член“ в дейността на 13 работни органа, в 6 други органа има статут на „участник“, а в други 19 е „гост“/„наблюдател“</w:t>
      </w:r>
      <w:r w:rsidR="00DA2F80">
        <w:t>.</w:t>
      </w:r>
      <w:r w:rsidRPr="00CA5073">
        <w:t xml:space="preserve"> Страната ни се е присъединила към 32 правни инструмента и е поискала присъединяване към още 6. </w:t>
      </w:r>
    </w:p>
    <w:p w14:paraId="65920A34" w14:textId="77777777" w:rsidR="00C70549" w:rsidRDefault="00C70549" w:rsidP="00C70549">
      <w:r>
        <w:t>По отношение на управлението на публичните финанси една от ключовите препоръки на Съвета на ОИСР е по отношение на принципите за бюджетно управление „OECD Council Recommendation on Budgetary Governance (2015)“, която е заложена и в съответния правен инструмент, към който България се е присъединила, изготвила е самооценка за съответствието на законодателството, политиките и практиките.</w:t>
      </w:r>
    </w:p>
    <w:p w14:paraId="08995154" w14:textId="4CF34036" w:rsidR="00C70549" w:rsidRDefault="00C70549" w:rsidP="00C70549">
      <w:r>
        <w:t>Следва да се отбележи, че бюджетният преглед на България от 2019</w:t>
      </w:r>
      <w:r w:rsidR="00B552D5">
        <w:t> г.</w:t>
      </w:r>
      <w:r>
        <w:t xml:space="preserve"> „Budgeting in Bulgaria“, който е публикуван на официалната интернет страница на ОИСР в брой 2 за 2021</w:t>
      </w:r>
      <w:r w:rsidR="00B552D5">
        <w:t> г.</w:t>
      </w:r>
      <w:r>
        <w:t xml:space="preserve"> на изданието OECD Journal on Budgeting, също се базираше на оценка на сте-пента на съответствие с насоките на Съвета на ОИСР за бюджетно управление, което представлява сравнение с утвърдени международни стандарти и най-добри практики в процеса на бюджетиране и фискално управление.</w:t>
      </w:r>
    </w:p>
    <w:p w14:paraId="30752486" w14:textId="59B53388" w:rsidR="00067B4C" w:rsidRPr="00CA5073" w:rsidRDefault="00067B4C" w:rsidP="00067B4C">
      <w:r w:rsidRPr="00CA5073">
        <w:t>България участва в проучването „Отворен бюджет“ (Open Budget Survey) на Международното бюджетно партньорство (International Budget Partnership) от 2006 г</w:t>
      </w:r>
      <w:r w:rsidR="00DA2F80">
        <w:t>.</w:t>
      </w:r>
      <w:r w:rsidRPr="00CA5073">
        <w:t xml:space="preserve">, когато постига 47 пункта, като с течение на времето страната ни отбелязва значително подобрение </w:t>
      </w:r>
      <w:r w:rsidRPr="00CA5073">
        <w:lastRenderedPageBreak/>
        <w:t>на оценката си до постигнатите 71 пункта през 2019</w:t>
      </w:r>
      <w:r w:rsidR="00B552D5">
        <w:t> г.</w:t>
      </w:r>
      <w:r w:rsidR="00C70549" w:rsidRPr="00C70549">
        <w:t xml:space="preserve"> </w:t>
      </w:r>
      <w:r w:rsidR="00C70549" w:rsidRPr="000A1637">
        <w:t>и 2021</w:t>
      </w:r>
      <w:r w:rsidR="00DA2F80">
        <w:t xml:space="preserve"> г.</w:t>
      </w:r>
      <w:r w:rsidRPr="00CA5073">
        <w:t>, което е средната стойност за страните-членки на ОИСР. По този начин страната остава във втората група държави в индекса с оценка между 60 и 80 (от максимални 100), като за тези страни се смята, че предоставят „значителна информация“ за бюджета.</w:t>
      </w:r>
    </w:p>
    <w:p w14:paraId="1906F423" w14:textId="77777777" w:rsidR="00067B4C" w:rsidRPr="00CA5073" w:rsidRDefault="00067B4C" w:rsidP="00067B4C">
      <w:r w:rsidRPr="00CA5073">
        <w:t>Индексът „Отворен бюджет“ е единственото международно независимо сравнително изследване на бюджетната прозрачност, което оценява степента, в която правителствата на 117 страни по света осигуряват на обществото навременна и подробна информация за бюджета. Индексът покрива процедурите по съставяне, приемане, изпълнение и отчитане на бюджета и отговорностите на други институции като Сметната палата и законодателната власт в бюджетния процес.</w:t>
      </w:r>
    </w:p>
    <w:p w14:paraId="6E9D4D4A" w14:textId="77777777" w:rsidR="00067B4C" w:rsidRPr="00CA5073" w:rsidRDefault="00067B4C" w:rsidP="00067B4C">
      <w:r w:rsidRPr="00CA5073">
        <w:t xml:space="preserve">Като цяло, правителството на България предоставя значителен обем информация чрез осемте вида ключови бюджетни документа, които са обект на оценката. Безспорно от съществено значение за отбелязания напредък през последните години е изготвянето и публикуването на „Бюджет за гражданите“ на различни етапи от бюджетния процес. </w:t>
      </w:r>
    </w:p>
    <w:p w14:paraId="23AB0945" w14:textId="77777777" w:rsidR="00067B4C" w:rsidRPr="00CA5073" w:rsidRDefault="00067B4C" w:rsidP="00067B4C">
      <w:r w:rsidRPr="00CA5073">
        <w:t>Оценката за бюджетен надзор е 61 пункта (от максимални 100), като показателят оценява функциите на законодателните и на върховните одитни институции за осигуряване на мониторинг по отношение на бюджета.</w:t>
      </w:r>
    </w:p>
    <w:p w14:paraId="388D0372" w14:textId="25ACDB99" w:rsidR="003E05B8" w:rsidRPr="00682446" w:rsidRDefault="00067B4C" w:rsidP="003E05B8">
      <w:pPr>
        <w:rPr>
          <w:rFonts w:eastAsia="Batang" w:cstheme="minorHAnsi"/>
        </w:rPr>
      </w:pPr>
      <w:r w:rsidRPr="00CA5073">
        <w:t>По отношение на участието на обществеността в бюджетния процес страната ни постигна оценка от 26 пункта (от максимални 100), като този показател оценява формалните възможности, предоставени на обществеността за участие в различни бюджетни инициативи.</w:t>
      </w:r>
    </w:p>
    <w:p w14:paraId="71E7B9CC" w14:textId="77777777" w:rsidR="00CC37E8" w:rsidRPr="00E360FF" w:rsidRDefault="00D359FF" w:rsidP="00EE53B2">
      <w:pPr>
        <w:pStyle w:val="Heading2"/>
      </w:pPr>
      <w:bookmarkStart w:id="135" w:name="_Toc133597286"/>
      <w:r w:rsidRPr="00E360FF">
        <w:t>Състав, ефекти</w:t>
      </w:r>
      <w:r w:rsidR="004F6EED" w:rsidRPr="00E360FF">
        <w:t>в</w:t>
      </w:r>
      <w:r w:rsidR="000B640B" w:rsidRPr="00E360FF">
        <w:t xml:space="preserve">ност и ефикасност на разходите </w:t>
      </w:r>
      <w:r w:rsidR="006C1A2A" w:rsidRPr="00E360FF">
        <w:t>–</w:t>
      </w:r>
      <w:r w:rsidR="00202EFA" w:rsidRPr="00E360FF">
        <w:t xml:space="preserve"> </w:t>
      </w:r>
      <w:r w:rsidR="004F6EED" w:rsidRPr="00E360FF">
        <w:t>COFOG</w:t>
      </w:r>
      <w:bookmarkEnd w:id="132"/>
      <w:bookmarkEnd w:id="133"/>
      <w:bookmarkEnd w:id="134"/>
      <w:bookmarkEnd w:id="135"/>
    </w:p>
    <w:p w14:paraId="133BBC6B" w14:textId="4080A79F" w:rsidR="00067B4C" w:rsidRPr="00F52387" w:rsidRDefault="00067B4C" w:rsidP="00067B4C">
      <w:pPr>
        <w:tabs>
          <w:tab w:val="left" w:pos="1134"/>
        </w:tabs>
        <w:spacing w:before="240" w:after="240" w:line="264" w:lineRule="auto"/>
        <w:ind w:left="1134" w:hanging="1134"/>
        <w:rPr>
          <w:rFonts w:asciiTheme="majorHAnsi" w:hAnsiTheme="majorHAnsi"/>
          <w:b/>
          <w:bCs/>
          <w:sz w:val="20"/>
          <w:szCs w:val="18"/>
        </w:rPr>
      </w:pPr>
      <w:r w:rsidRPr="00F52387">
        <w:rPr>
          <w:rFonts w:asciiTheme="majorHAnsi" w:hAnsiTheme="majorHAnsi"/>
          <w:b/>
          <w:bCs/>
          <w:color w:val="0D78CA" w:themeColor="background2" w:themeShade="80"/>
          <w:sz w:val="20"/>
          <w:szCs w:val="18"/>
        </w:rPr>
        <w:t xml:space="preserve">Табл. 6-1: </w:t>
      </w:r>
      <w:r w:rsidR="00007B25">
        <w:rPr>
          <w:rFonts w:asciiTheme="majorHAnsi" w:hAnsiTheme="majorHAnsi"/>
          <w:b/>
          <w:bCs/>
          <w:color w:val="0D78CA" w:themeColor="background2" w:themeShade="80"/>
          <w:sz w:val="20"/>
          <w:szCs w:val="18"/>
        </w:rPr>
        <w:tab/>
      </w:r>
      <w:r w:rsidRPr="00F52387">
        <w:rPr>
          <w:rFonts w:asciiTheme="majorHAnsi" w:hAnsiTheme="majorHAnsi"/>
          <w:b/>
          <w:bCs/>
          <w:color w:val="0D78CA" w:themeColor="background2" w:themeShade="80"/>
          <w:sz w:val="20"/>
          <w:szCs w:val="18"/>
        </w:rPr>
        <w:t>Бюджетни разходи по функции</w:t>
      </w:r>
      <w:r w:rsidRPr="00F52387">
        <w:rPr>
          <w:rFonts w:asciiTheme="majorHAnsi" w:hAnsiTheme="majorHAnsi"/>
          <w:b/>
          <w:bCs/>
          <w:sz w:val="20"/>
          <w:szCs w:val="18"/>
        </w:rPr>
        <w:t xml:space="preserve">  </w:t>
      </w:r>
    </w:p>
    <w:tbl>
      <w:tblPr>
        <w:tblStyle w:val="Style19"/>
        <w:tblW w:w="5000" w:type="pct"/>
        <w:jc w:val="center"/>
        <w:tblBorders>
          <w:left w:val="single" w:sz="2" w:space="0" w:color="7F7F7F"/>
          <w:right w:val="single" w:sz="2" w:space="0" w:color="7F7F7F"/>
        </w:tblBorders>
        <w:tblLook w:val="0620" w:firstRow="1" w:lastRow="0" w:firstColumn="0" w:lastColumn="0" w:noHBand="1" w:noVBand="1"/>
      </w:tblPr>
      <w:tblGrid>
        <w:gridCol w:w="3472"/>
        <w:gridCol w:w="1398"/>
        <w:gridCol w:w="1398"/>
        <w:gridCol w:w="1398"/>
        <w:gridCol w:w="1398"/>
      </w:tblGrid>
      <w:tr w:rsidR="00067B4C" w:rsidRPr="00F52387" w14:paraId="543F22D5" w14:textId="77777777" w:rsidTr="009F5EF2">
        <w:trPr>
          <w:trHeight w:val="278"/>
          <w:jc w:val="center"/>
        </w:trPr>
        <w:tc>
          <w:tcPr>
            <w:tcW w:w="1915" w:type="pct"/>
            <w:vMerge w:val="restart"/>
            <w:shd w:val="clear" w:color="auto" w:fill="D8EDFC"/>
            <w:vAlign w:val="center"/>
            <w:hideMark/>
          </w:tcPr>
          <w:p w14:paraId="75B81049" w14:textId="77777777" w:rsidR="00067B4C" w:rsidRPr="00F52387" w:rsidRDefault="00067B4C" w:rsidP="00D258DC">
            <w:pPr>
              <w:spacing w:before="20" w:after="20"/>
            </w:pPr>
            <w:bookmarkStart w:id="136" w:name="OLE_LINK2"/>
            <w:r w:rsidRPr="00F52387">
              <w:t> </w:t>
            </w:r>
          </w:p>
        </w:tc>
        <w:tc>
          <w:tcPr>
            <w:tcW w:w="1542" w:type="pct"/>
            <w:gridSpan w:val="2"/>
            <w:shd w:val="clear" w:color="auto" w:fill="D8EDFC"/>
            <w:vAlign w:val="center"/>
            <w:hideMark/>
          </w:tcPr>
          <w:p w14:paraId="3155C24C" w14:textId="77777777" w:rsidR="00067B4C" w:rsidRPr="00F52387" w:rsidRDefault="00067B4C" w:rsidP="00D258DC">
            <w:pPr>
              <w:spacing w:before="20" w:after="20"/>
              <w:jc w:val="center"/>
              <w:rPr>
                <w:b/>
              </w:rPr>
            </w:pPr>
            <w:r w:rsidRPr="00F52387">
              <w:rPr>
                <w:rFonts w:cs="Calibri"/>
                <w:b/>
              </w:rPr>
              <w:t>% от БВП</w:t>
            </w:r>
          </w:p>
        </w:tc>
        <w:tc>
          <w:tcPr>
            <w:tcW w:w="1542" w:type="pct"/>
            <w:gridSpan w:val="2"/>
            <w:shd w:val="clear" w:color="auto" w:fill="D8EDFC"/>
            <w:vAlign w:val="center"/>
            <w:hideMark/>
          </w:tcPr>
          <w:p w14:paraId="420BA82A" w14:textId="67B99183" w:rsidR="00067B4C" w:rsidRPr="00F52387" w:rsidRDefault="00067B4C" w:rsidP="00D258DC">
            <w:pPr>
              <w:spacing w:before="20" w:after="20"/>
              <w:jc w:val="center"/>
              <w:rPr>
                <w:b/>
              </w:rPr>
            </w:pPr>
            <w:r w:rsidRPr="00F52387">
              <w:rPr>
                <w:b/>
              </w:rPr>
              <w:t xml:space="preserve">% от общите бюджетни </w:t>
            </w:r>
            <w:r w:rsidR="009F5EF2">
              <w:rPr>
                <w:b/>
              </w:rPr>
              <w:br/>
            </w:r>
            <w:r w:rsidRPr="00F52387">
              <w:rPr>
                <w:b/>
              </w:rPr>
              <w:t>разходи</w:t>
            </w:r>
          </w:p>
        </w:tc>
      </w:tr>
      <w:tr w:rsidR="00067B4C" w:rsidRPr="00F52387" w14:paraId="3684EA87" w14:textId="77777777" w:rsidTr="009F5EF2">
        <w:trPr>
          <w:trHeight w:val="278"/>
          <w:jc w:val="center"/>
        </w:trPr>
        <w:tc>
          <w:tcPr>
            <w:tcW w:w="0" w:type="auto"/>
            <w:vMerge/>
            <w:shd w:val="clear" w:color="auto" w:fill="D8EDFC"/>
            <w:vAlign w:val="center"/>
            <w:hideMark/>
          </w:tcPr>
          <w:p w14:paraId="15281B79" w14:textId="77777777" w:rsidR="00067B4C" w:rsidRPr="00F52387" w:rsidRDefault="00067B4C" w:rsidP="00D258DC">
            <w:pPr>
              <w:spacing w:line="264" w:lineRule="auto"/>
            </w:pPr>
          </w:p>
        </w:tc>
        <w:tc>
          <w:tcPr>
            <w:tcW w:w="771" w:type="pct"/>
            <w:shd w:val="clear" w:color="auto" w:fill="D8EDFC"/>
            <w:vAlign w:val="center"/>
            <w:hideMark/>
          </w:tcPr>
          <w:p w14:paraId="3EB2BF7B" w14:textId="77777777" w:rsidR="00067B4C" w:rsidRPr="00F52387" w:rsidRDefault="00067B4C" w:rsidP="009F5EF2">
            <w:pPr>
              <w:spacing w:after="0" w:line="264" w:lineRule="auto"/>
              <w:jc w:val="center"/>
              <w:rPr>
                <w:b/>
                <w:lang w:val="en-US"/>
              </w:rPr>
            </w:pPr>
            <w:r w:rsidRPr="00F52387">
              <w:rPr>
                <w:b/>
              </w:rPr>
              <w:t>20</w:t>
            </w:r>
            <w:r w:rsidRPr="00F52387">
              <w:rPr>
                <w:b/>
                <w:lang w:val="en-US"/>
              </w:rPr>
              <w:t>21</w:t>
            </w:r>
          </w:p>
        </w:tc>
        <w:tc>
          <w:tcPr>
            <w:tcW w:w="771" w:type="pct"/>
            <w:shd w:val="clear" w:color="auto" w:fill="D8EDFC"/>
            <w:vAlign w:val="center"/>
            <w:hideMark/>
          </w:tcPr>
          <w:p w14:paraId="6A68B94F" w14:textId="77777777" w:rsidR="00067B4C" w:rsidRPr="00F52387" w:rsidRDefault="00067B4C" w:rsidP="009F5EF2">
            <w:pPr>
              <w:spacing w:after="0" w:line="264" w:lineRule="auto"/>
              <w:jc w:val="center"/>
              <w:rPr>
                <w:b/>
                <w:lang w:val="en-US"/>
              </w:rPr>
            </w:pPr>
            <w:r w:rsidRPr="00F52387">
              <w:rPr>
                <w:b/>
              </w:rPr>
              <w:t>202</w:t>
            </w:r>
            <w:r w:rsidRPr="00F52387">
              <w:rPr>
                <w:b/>
                <w:lang w:val="en-US"/>
              </w:rPr>
              <w:t>6</w:t>
            </w:r>
          </w:p>
        </w:tc>
        <w:tc>
          <w:tcPr>
            <w:tcW w:w="771" w:type="pct"/>
            <w:shd w:val="clear" w:color="auto" w:fill="D8EDFC"/>
            <w:vAlign w:val="center"/>
            <w:hideMark/>
          </w:tcPr>
          <w:p w14:paraId="4E99ED8E" w14:textId="77777777" w:rsidR="00067B4C" w:rsidRPr="00F52387" w:rsidRDefault="00067B4C" w:rsidP="009F5EF2">
            <w:pPr>
              <w:spacing w:after="0" w:line="264" w:lineRule="auto"/>
              <w:jc w:val="center"/>
              <w:rPr>
                <w:b/>
                <w:lang w:val="en-US"/>
              </w:rPr>
            </w:pPr>
            <w:r w:rsidRPr="00F52387">
              <w:rPr>
                <w:b/>
              </w:rPr>
              <w:t>20</w:t>
            </w:r>
            <w:r w:rsidRPr="00F52387">
              <w:rPr>
                <w:b/>
                <w:lang w:val="en-US"/>
              </w:rPr>
              <w:t>21</w:t>
            </w:r>
          </w:p>
        </w:tc>
        <w:tc>
          <w:tcPr>
            <w:tcW w:w="771" w:type="pct"/>
            <w:shd w:val="clear" w:color="auto" w:fill="D8EDFC"/>
            <w:vAlign w:val="center"/>
            <w:hideMark/>
          </w:tcPr>
          <w:p w14:paraId="023B42F9" w14:textId="77777777" w:rsidR="00067B4C" w:rsidRPr="00F52387" w:rsidRDefault="00067B4C" w:rsidP="009F5EF2">
            <w:pPr>
              <w:spacing w:after="0" w:line="264" w:lineRule="auto"/>
              <w:jc w:val="center"/>
              <w:rPr>
                <w:b/>
                <w:lang w:val="en-US"/>
              </w:rPr>
            </w:pPr>
            <w:r w:rsidRPr="00F52387">
              <w:rPr>
                <w:b/>
              </w:rPr>
              <w:t>202</w:t>
            </w:r>
            <w:r w:rsidRPr="00F52387">
              <w:rPr>
                <w:b/>
                <w:lang w:val="en-US"/>
              </w:rPr>
              <w:t>6</w:t>
            </w:r>
          </w:p>
        </w:tc>
      </w:tr>
      <w:tr w:rsidR="003D75C3" w:rsidRPr="00F52387" w14:paraId="5B33C2BB" w14:textId="77777777" w:rsidTr="009F5EF2">
        <w:trPr>
          <w:trHeight w:val="278"/>
          <w:jc w:val="center"/>
        </w:trPr>
        <w:tc>
          <w:tcPr>
            <w:tcW w:w="1915" w:type="pct"/>
            <w:vAlign w:val="center"/>
            <w:hideMark/>
          </w:tcPr>
          <w:p w14:paraId="24260CFF" w14:textId="77777777" w:rsidR="003D75C3" w:rsidRPr="00F52387" w:rsidRDefault="003D75C3" w:rsidP="003D75C3">
            <w:pPr>
              <w:spacing w:before="20" w:after="20"/>
            </w:pPr>
            <w:r w:rsidRPr="00F52387">
              <w:t>1. Общи държавни служби</w:t>
            </w:r>
          </w:p>
        </w:tc>
        <w:tc>
          <w:tcPr>
            <w:tcW w:w="771" w:type="pct"/>
            <w:vAlign w:val="center"/>
            <w:hideMark/>
          </w:tcPr>
          <w:p w14:paraId="62CD55D8" w14:textId="1C0D4482" w:rsidR="003D75C3" w:rsidRPr="00F52387" w:rsidRDefault="003D75C3" w:rsidP="009F5EF2">
            <w:pPr>
              <w:spacing w:after="0" w:line="264" w:lineRule="auto"/>
              <w:jc w:val="center"/>
            </w:pPr>
            <w:r>
              <w:rPr>
                <w:szCs w:val="18"/>
              </w:rPr>
              <w:t>3</w:t>
            </w:r>
            <w:r w:rsidR="009F5EF2">
              <w:rPr>
                <w:szCs w:val="18"/>
              </w:rPr>
              <w:t>.</w:t>
            </w:r>
            <w:r>
              <w:rPr>
                <w:szCs w:val="18"/>
              </w:rPr>
              <w:t>5</w:t>
            </w:r>
          </w:p>
        </w:tc>
        <w:tc>
          <w:tcPr>
            <w:tcW w:w="771" w:type="pct"/>
            <w:vAlign w:val="center"/>
            <w:hideMark/>
          </w:tcPr>
          <w:p w14:paraId="7A633D0C" w14:textId="056008BB" w:rsidR="003D75C3" w:rsidRPr="00F52387" w:rsidRDefault="003D75C3" w:rsidP="009F5EF2">
            <w:pPr>
              <w:spacing w:after="0" w:line="264" w:lineRule="auto"/>
              <w:jc w:val="center"/>
            </w:pPr>
            <w:r>
              <w:rPr>
                <w:szCs w:val="18"/>
              </w:rPr>
              <w:t>4</w:t>
            </w:r>
            <w:r w:rsidR="009F5EF2">
              <w:rPr>
                <w:szCs w:val="18"/>
              </w:rPr>
              <w:t>.</w:t>
            </w:r>
            <w:r>
              <w:rPr>
                <w:szCs w:val="18"/>
              </w:rPr>
              <w:t>2</w:t>
            </w:r>
          </w:p>
        </w:tc>
        <w:tc>
          <w:tcPr>
            <w:tcW w:w="771" w:type="pct"/>
            <w:vAlign w:val="center"/>
            <w:hideMark/>
          </w:tcPr>
          <w:p w14:paraId="4C29DFAF" w14:textId="3779AD9E" w:rsidR="003D75C3" w:rsidRPr="00F52387" w:rsidRDefault="003D75C3" w:rsidP="009F5EF2">
            <w:pPr>
              <w:spacing w:after="0" w:line="264" w:lineRule="auto"/>
              <w:jc w:val="center"/>
            </w:pPr>
            <w:r w:rsidRPr="00E6219A">
              <w:rPr>
                <w:bCs/>
                <w:szCs w:val="18"/>
              </w:rPr>
              <w:t>8</w:t>
            </w:r>
            <w:r w:rsidR="009F5EF2">
              <w:rPr>
                <w:bCs/>
                <w:szCs w:val="18"/>
              </w:rPr>
              <w:t>.</w:t>
            </w:r>
            <w:r w:rsidRPr="00E6219A">
              <w:rPr>
                <w:bCs/>
                <w:szCs w:val="18"/>
              </w:rPr>
              <w:t>6</w:t>
            </w:r>
          </w:p>
        </w:tc>
        <w:tc>
          <w:tcPr>
            <w:tcW w:w="771" w:type="pct"/>
            <w:vAlign w:val="center"/>
            <w:hideMark/>
          </w:tcPr>
          <w:p w14:paraId="7D770CD2" w14:textId="7762E608" w:rsidR="003D75C3" w:rsidRPr="00F52387" w:rsidRDefault="003D75C3" w:rsidP="009F5EF2">
            <w:pPr>
              <w:spacing w:after="0" w:line="264" w:lineRule="auto"/>
              <w:jc w:val="center"/>
            </w:pPr>
            <w:r>
              <w:rPr>
                <w:szCs w:val="18"/>
              </w:rPr>
              <w:t>10</w:t>
            </w:r>
            <w:r w:rsidR="009F5EF2">
              <w:rPr>
                <w:szCs w:val="18"/>
              </w:rPr>
              <w:t>.</w:t>
            </w:r>
            <w:r>
              <w:rPr>
                <w:szCs w:val="18"/>
              </w:rPr>
              <w:t>7</w:t>
            </w:r>
          </w:p>
        </w:tc>
      </w:tr>
      <w:tr w:rsidR="003D75C3" w:rsidRPr="00F52387" w14:paraId="233429FB" w14:textId="77777777" w:rsidTr="009F5EF2">
        <w:trPr>
          <w:trHeight w:val="278"/>
          <w:jc w:val="center"/>
        </w:trPr>
        <w:tc>
          <w:tcPr>
            <w:tcW w:w="1915" w:type="pct"/>
            <w:vAlign w:val="center"/>
            <w:hideMark/>
          </w:tcPr>
          <w:p w14:paraId="6BC2763E" w14:textId="77777777" w:rsidR="003D75C3" w:rsidRPr="00F52387" w:rsidRDefault="003D75C3" w:rsidP="003D75C3">
            <w:pPr>
              <w:spacing w:before="20" w:after="20"/>
            </w:pPr>
            <w:r w:rsidRPr="00F52387">
              <w:t>2. Отбрана</w:t>
            </w:r>
          </w:p>
        </w:tc>
        <w:tc>
          <w:tcPr>
            <w:tcW w:w="771" w:type="pct"/>
            <w:vAlign w:val="center"/>
            <w:hideMark/>
          </w:tcPr>
          <w:p w14:paraId="1E3F2176" w14:textId="6F60C020" w:rsidR="003D75C3" w:rsidRPr="00F52387" w:rsidRDefault="003D75C3" w:rsidP="009F5EF2">
            <w:pPr>
              <w:spacing w:after="0" w:line="264" w:lineRule="auto"/>
              <w:jc w:val="center"/>
            </w:pPr>
            <w:r>
              <w:rPr>
                <w:szCs w:val="18"/>
              </w:rPr>
              <w:t>1</w:t>
            </w:r>
            <w:r w:rsidR="009F5EF2">
              <w:rPr>
                <w:szCs w:val="18"/>
              </w:rPr>
              <w:t>.</w:t>
            </w:r>
            <w:r>
              <w:rPr>
                <w:szCs w:val="18"/>
              </w:rPr>
              <w:t>6</w:t>
            </w:r>
          </w:p>
        </w:tc>
        <w:tc>
          <w:tcPr>
            <w:tcW w:w="771" w:type="pct"/>
            <w:vAlign w:val="center"/>
            <w:hideMark/>
          </w:tcPr>
          <w:p w14:paraId="76F365EF" w14:textId="501E5AB3" w:rsidR="003D75C3" w:rsidRPr="00F52387" w:rsidRDefault="003D75C3" w:rsidP="009F5EF2">
            <w:pPr>
              <w:spacing w:after="0" w:line="264" w:lineRule="auto"/>
              <w:jc w:val="center"/>
            </w:pPr>
            <w:r>
              <w:rPr>
                <w:szCs w:val="18"/>
              </w:rPr>
              <w:t>1</w:t>
            </w:r>
            <w:r w:rsidR="009F5EF2">
              <w:rPr>
                <w:szCs w:val="18"/>
              </w:rPr>
              <w:t>.</w:t>
            </w:r>
            <w:r>
              <w:rPr>
                <w:szCs w:val="18"/>
              </w:rPr>
              <w:t>7</w:t>
            </w:r>
          </w:p>
        </w:tc>
        <w:tc>
          <w:tcPr>
            <w:tcW w:w="771" w:type="pct"/>
            <w:vAlign w:val="center"/>
            <w:hideMark/>
          </w:tcPr>
          <w:p w14:paraId="729A7942" w14:textId="470D2224" w:rsidR="003D75C3" w:rsidRPr="00F52387" w:rsidRDefault="003D75C3" w:rsidP="009F5EF2">
            <w:pPr>
              <w:spacing w:after="0" w:line="264" w:lineRule="auto"/>
              <w:jc w:val="center"/>
            </w:pPr>
            <w:r w:rsidRPr="00E6219A">
              <w:rPr>
                <w:bCs/>
                <w:szCs w:val="18"/>
              </w:rPr>
              <w:t>4</w:t>
            </w:r>
            <w:r w:rsidR="009F5EF2">
              <w:rPr>
                <w:bCs/>
                <w:szCs w:val="18"/>
              </w:rPr>
              <w:t>.</w:t>
            </w:r>
            <w:r w:rsidRPr="00E6219A">
              <w:rPr>
                <w:bCs/>
                <w:szCs w:val="18"/>
              </w:rPr>
              <w:t>0</w:t>
            </w:r>
          </w:p>
        </w:tc>
        <w:tc>
          <w:tcPr>
            <w:tcW w:w="771" w:type="pct"/>
            <w:vAlign w:val="center"/>
            <w:hideMark/>
          </w:tcPr>
          <w:p w14:paraId="2B2AC77F" w14:textId="4DBCE09D" w:rsidR="003D75C3" w:rsidRPr="00F52387" w:rsidRDefault="003D75C3" w:rsidP="009F5EF2">
            <w:pPr>
              <w:spacing w:after="0" w:line="264" w:lineRule="auto"/>
              <w:jc w:val="center"/>
            </w:pPr>
            <w:r>
              <w:rPr>
                <w:szCs w:val="18"/>
              </w:rPr>
              <w:t>4</w:t>
            </w:r>
            <w:r w:rsidR="009F5EF2">
              <w:rPr>
                <w:szCs w:val="18"/>
              </w:rPr>
              <w:t>.</w:t>
            </w:r>
            <w:r>
              <w:rPr>
                <w:szCs w:val="18"/>
              </w:rPr>
              <w:t>4</w:t>
            </w:r>
          </w:p>
        </w:tc>
      </w:tr>
      <w:tr w:rsidR="003D75C3" w:rsidRPr="00F52387" w14:paraId="5B1A867B" w14:textId="77777777" w:rsidTr="009F5EF2">
        <w:trPr>
          <w:trHeight w:val="278"/>
          <w:jc w:val="center"/>
        </w:trPr>
        <w:tc>
          <w:tcPr>
            <w:tcW w:w="1915" w:type="pct"/>
            <w:vAlign w:val="center"/>
            <w:hideMark/>
          </w:tcPr>
          <w:p w14:paraId="233B49AB" w14:textId="77777777" w:rsidR="003D75C3" w:rsidRPr="00F52387" w:rsidRDefault="003D75C3" w:rsidP="003D75C3">
            <w:pPr>
              <w:spacing w:before="20" w:after="20"/>
            </w:pPr>
            <w:r w:rsidRPr="00F52387">
              <w:t>3. Обществен ред и сигурност</w:t>
            </w:r>
          </w:p>
        </w:tc>
        <w:tc>
          <w:tcPr>
            <w:tcW w:w="771" w:type="pct"/>
            <w:vAlign w:val="center"/>
            <w:hideMark/>
          </w:tcPr>
          <w:p w14:paraId="3485E38A" w14:textId="13028673" w:rsidR="003D75C3" w:rsidRPr="00F52387" w:rsidRDefault="003D75C3" w:rsidP="009F5EF2">
            <w:pPr>
              <w:spacing w:after="0" w:line="264" w:lineRule="auto"/>
              <w:jc w:val="center"/>
            </w:pPr>
            <w:r>
              <w:rPr>
                <w:szCs w:val="18"/>
              </w:rPr>
              <w:t>2</w:t>
            </w:r>
            <w:r w:rsidR="009F5EF2">
              <w:rPr>
                <w:szCs w:val="18"/>
              </w:rPr>
              <w:t>.</w:t>
            </w:r>
            <w:r>
              <w:rPr>
                <w:szCs w:val="18"/>
              </w:rPr>
              <w:t>7</w:t>
            </w:r>
          </w:p>
        </w:tc>
        <w:tc>
          <w:tcPr>
            <w:tcW w:w="771" w:type="pct"/>
            <w:vAlign w:val="center"/>
            <w:hideMark/>
          </w:tcPr>
          <w:p w14:paraId="0F76E460" w14:textId="4CF65C88" w:rsidR="003D75C3" w:rsidRPr="00F52387" w:rsidRDefault="003D75C3" w:rsidP="009F5EF2">
            <w:pPr>
              <w:spacing w:after="0" w:line="264" w:lineRule="auto"/>
              <w:jc w:val="center"/>
            </w:pPr>
            <w:r>
              <w:rPr>
                <w:szCs w:val="18"/>
              </w:rPr>
              <w:t>2</w:t>
            </w:r>
            <w:r w:rsidR="009F5EF2">
              <w:rPr>
                <w:szCs w:val="18"/>
              </w:rPr>
              <w:t>.</w:t>
            </w:r>
            <w:r>
              <w:rPr>
                <w:szCs w:val="18"/>
              </w:rPr>
              <w:t>1</w:t>
            </w:r>
          </w:p>
        </w:tc>
        <w:tc>
          <w:tcPr>
            <w:tcW w:w="771" w:type="pct"/>
            <w:vAlign w:val="center"/>
            <w:hideMark/>
          </w:tcPr>
          <w:p w14:paraId="5F23F60A" w14:textId="22BAEA81" w:rsidR="003D75C3" w:rsidRPr="00F52387" w:rsidRDefault="003D75C3" w:rsidP="009F5EF2">
            <w:pPr>
              <w:spacing w:after="0" w:line="264" w:lineRule="auto"/>
              <w:jc w:val="center"/>
            </w:pPr>
            <w:r w:rsidRPr="00E6219A">
              <w:rPr>
                <w:bCs/>
                <w:szCs w:val="18"/>
              </w:rPr>
              <w:t>6</w:t>
            </w:r>
            <w:r w:rsidR="009F5EF2">
              <w:rPr>
                <w:bCs/>
                <w:szCs w:val="18"/>
              </w:rPr>
              <w:t>.</w:t>
            </w:r>
            <w:r w:rsidRPr="00E6219A">
              <w:rPr>
                <w:bCs/>
                <w:szCs w:val="18"/>
              </w:rPr>
              <w:t>6</w:t>
            </w:r>
          </w:p>
        </w:tc>
        <w:tc>
          <w:tcPr>
            <w:tcW w:w="771" w:type="pct"/>
            <w:vAlign w:val="center"/>
            <w:hideMark/>
          </w:tcPr>
          <w:p w14:paraId="01A2BC32" w14:textId="521BFD7D" w:rsidR="003D75C3" w:rsidRPr="00F52387" w:rsidRDefault="003D75C3" w:rsidP="009F5EF2">
            <w:pPr>
              <w:spacing w:after="0" w:line="264" w:lineRule="auto"/>
              <w:jc w:val="center"/>
            </w:pPr>
            <w:r>
              <w:rPr>
                <w:szCs w:val="18"/>
              </w:rPr>
              <w:t>5</w:t>
            </w:r>
            <w:r w:rsidR="009F5EF2">
              <w:rPr>
                <w:szCs w:val="18"/>
              </w:rPr>
              <w:t>.</w:t>
            </w:r>
            <w:r>
              <w:rPr>
                <w:szCs w:val="18"/>
              </w:rPr>
              <w:t>3</w:t>
            </w:r>
          </w:p>
        </w:tc>
      </w:tr>
      <w:tr w:rsidR="003D75C3" w:rsidRPr="00F52387" w14:paraId="3F63D6F2" w14:textId="77777777" w:rsidTr="009F5EF2">
        <w:trPr>
          <w:trHeight w:val="278"/>
          <w:jc w:val="center"/>
        </w:trPr>
        <w:tc>
          <w:tcPr>
            <w:tcW w:w="1915" w:type="pct"/>
            <w:vAlign w:val="center"/>
            <w:hideMark/>
          </w:tcPr>
          <w:p w14:paraId="23A5FEFE" w14:textId="77777777" w:rsidR="003D75C3" w:rsidRPr="00F52387" w:rsidRDefault="003D75C3" w:rsidP="003D75C3">
            <w:pPr>
              <w:spacing w:before="20" w:after="20"/>
            </w:pPr>
            <w:r w:rsidRPr="00F52387">
              <w:t>4. Икономически дейности</w:t>
            </w:r>
          </w:p>
        </w:tc>
        <w:tc>
          <w:tcPr>
            <w:tcW w:w="771" w:type="pct"/>
            <w:vAlign w:val="center"/>
            <w:hideMark/>
          </w:tcPr>
          <w:p w14:paraId="32342134" w14:textId="0FD37852" w:rsidR="003D75C3" w:rsidRPr="00F52387" w:rsidRDefault="003D75C3" w:rsidP="009F5EF2">
            <w:pPr>
              <w:spacing w:after="0" w:line="264" w:lineRule="auto"/>
              <w:jc w:val="center"/>
            </w:pPr>
            <w:r>
              <w:rPr>
                <w:szCs w:val="18"/>
              </w:rPr>
              <w:t>6</w:t>
            </w:r>
            <w:r w:rsidR="009F5EF2">
              <w:rPr>
                <w:szCs w:val="18"/>
              </w:rPr>
              <w:t>.</w:t>
            </w:r>
            <w:r>
              <w:rPr>
                <w:szCs w:val="18"/>
              </w:rPr>
              <w:t>7</w:t>
            </w:r>
          </w:p>
        </w:tc>
        <w:tc>
          <w:tcPr>
            <w:tcW w:w="771" w:type="pct"/>
            <w:vAlign w:val="center"/>
            <w:hideMark/>
          </w:tcPr>
          <w:p w14:paraId="14EA93F2" w14:textId="33B57821" w:rsidR="003D75C3" w:rsidRPr="00F52387" w:rsidRDefault="003D75C3" w:rsidP="009F5EF2">
            <w:pPr>
              <w:spacing w:after="0" w:line="264" w:lineRule="auto"/>
              <w:jc w:val="center"/>
            </w:pPr>
            <w:r>
              <w:rPr>
                <w:szCs w:val="18"/>
              </w:rPr>
              <w:t>5</w:t>
            </w:r>
            <w:r w:rsidR="009F5EF2">
              <w:rPr>
                <w:szCs w:val="18"/>
              </w:rPr>
              <w:t>.</w:t>
            </w:r>
            <w:r>
              <w:rPr>
                <w:szCs w:val="18"/>
              </w:rPr>
              <w:t>9</w:t>
            </w:r>
          </w:p>
        </w:tc>
        <w:tc>
          <w:tcPr>
            <w:tcW w:w="771" w:type="pct"/>
            <w:vAlign w:val="center"/>
            <w:hideMark/>
          </w:tcPr>
          <w:p w14:paraId="063A6C68" w14:textId="17CD912A" w:rsidR="003D75C3" w:rsidRPr="00F52387" w:rsidRDefault="003D75C3" w:rsidP="009F5EF2">
            <w:pPr>
              <w:spacing w:after="0" w:line="264" w:lineRule="auto"/>
              <w:jc w:val="center"/>
            </w:pPr>
            <w:r w:rsidRPr="00E6219A">
              <w:rPr>
                <w:bCs/>
                <w:szCs w:val="18"/>
              </w:rPr>
              <w:t>16</w:t>
            </w:r>
            <w:r w:rsidR="009F5EF2">
              <w:rPr>
                <w:bCs/>
                <w:szCs w:val="18"/>
              </w:rPr>
              <w:t>.</w:t>
            </w:r>
            <w:r w:rsidRPr="00E6219A">
              <w:rPr>
                <w:bCs/>
                <w:szCs w:val="18"/>
              </w:rPr>
              <w:t>5</w:t>
            </w:r>
          </w:p>
        </w:tc>
        <w:tc>
          <w:tcPr>
            <w:tcW w:w="771" w:type="pct"/>
            <w:vAlign w:val="center"/>
            <w:hideMark/>
          </w:tcPr>
          <w:p w14:paraId="0A5D7BD2" w14:textId="2964A76E" w:rsidR="003D75C3" w:rsidRPr="00F52387" w:rsidRDefault="003D75C3" w:rsidP="009F5EF2">
            <w:pPr>
              <w:spacing w:after="0" w:line="264" w:lineRule="auto"/>
              <w:jc w:val="center"/>
            </w:pPr>
            <w:r>
              <w:rPr>
                <w:szCs w:val="18"/>
              </w:rPr>
              <w:t>15</w:t>
            </w:r>
            <w:r w:rsidR="009F5EF2">
              <w:rPr>
                <w:szCs w:val="18"/>
              </w:rPr>
              <w:t>.</w:t>
            </w:r>
            <w:r>
              <w:rPr>
                <w:szCs w:val="18"/>
              </w:rPr>
              <w:t>0</w:t>
            </w:r>
          </w:p>
        </w:tc>
      </w:tr>
      <w:tr w:rsidR="003D75C3" w:rsidRPr="00F52387" w14:paraId="57A2BDA8" w14:textId="77777777" w:rsidTr="009F5EF2">
        <w:trPr>
          <w:trHeight w:val="278"/>
          <w:jc w:val="center"/>
        </w:trPr>
        <w:tc>
          <w:tcPr>
            <w:tcW w:w="1915" w:type="pct"/>
            <w:vAlign w:val="center"/>
            <w:hideMark/>
          </w:tcPr>
          <w:p w14:paraId="7439C978" w14:textId="77777777" w:rsidR="003D75C3" w:rsidRPr="00F52387" w:rsidRDefault="003D75C3" w:rsidP="003D75C3">
            <w:pPr>
              <w:spacing w:before="20" w:after="20"/>
            </w:pPr>
            <w:r w:rsidRPr="00F52387">
              <w:t>5. Опазване на околната среда</w:t>
            </w:r>
          </w:p>
        </w:tc>
        <w:tc>
          <w:tcPr>
            <w:tcW w:w="771" w:type="pct"/>
            <w:vAlign w:val="center"/>
            <w:hideMark/>
          </w:tcPr>
          <w:p w14:paraId="67F2EC57" w14:textId="16F6A582" w:rsidR="003D75C3" w:rsidRPr="00F52387" w:rsidRDefault="003D75C3" w:rsidP="009F5EF2">
            <w:pPr>
              <w:spacing w:after="0" w:line="264" w:lineRule="auto"/>
              <w:jc w:val="center"/>
            </w:pPr>
            <w:r>
              <w:rPr>
                <w:szCs w:val="18"/>
              </w:rPr>
              <w:t>0</w:t>
            </w:r>
            <w:r w:rsidR="009F5EF2">
              <w:rPr>
                <w:szCs w:val="18"/>
              </w:rPr>
              <w:t>.</w:t>
            </w:r>
            <w:r>
              <w:rPr>
                <w:szCs w:val="18"/>
              </w:rPr>
              <w:t>8</w:t>
            </w:r>
          </w:p>
        </w:tc>
        <w:tc>
          <w:tcPr>
            <w:tcW w:w="771" w:type="pct"/>
            <w:vAlign w:val="center"/>
            <w:hideMark/>
          </w:tcPr>
          <w:p w14:paraId="6D61A73C" w14:textId="44F7E96D" w:rsidR="003D75C3" w:rsidRPr="00F52387" w:rsidRDefault="003D75C3" w:rsidP="009F5EF2">
            <w:pPr>
              <w:spacing w:after="0" w:line="264" w:lineRule="auto"/>
              <w:jc w:val="center"/>
            </w:pPr>
            <w:r>
              <w:rPr>
                <w:szCs w:val="18"/>
              </w:rPr>
              <w:t>0</w:t>
            </w:r>
            <w:r w:rsidR="009F5EF2">
              <w:rPr>
                <w:szCs w:val="18"/>
              </w:rPr>
              <w:t>.</w:t>
            </w:r>
            <w:r>
              <w:rPr>
                <w:szCs w:val="18"/>
              </w:rPr>
              <w:t>5</w:t>
            </w:r>
          </w:p>
        </w:tc>
        <w:tc>
          <w:tcPr>
            <w:tcW w:w="771" w:type="pct"/>
            <w:vAlign w:val="center"/>
            <w:hideMark/>
          </w:tcPr>
          <w:p w14:paraId="56599CA3" w14:textId="4CF92E0C" w:rsidR="003D75C3" w:rsidRPr="00F52387" w:rsidRDefault="003D75C3" w:rsidP="009F5EF2">
            <w:pPr>
              <w:spacing w:after="0" w:line="264" w:lineRule="auto"/>
              <w:jc w:val="center"/>
            </w:pPr>
            <w:r w:rsidRPr="00E6219A">
              <w:rPr>
                <w:bCs/>
                <w:szCs w:val="18"/>
              </w:rPr>
              <w:t>1</w:t>
            </w:r>
            <w:r w:rsidR="009F5EF2">
              <w:rPr>
                <w:bCs/>
                <w:szCs w:val="18"/>
              </w:rPr>
              <w:t>.</w:t>
            </w:r>
            <w:r w:rsidRPr="00E6219A">
              <w:rPr>
                <w:bCs/>
                <w:szCs w:val="18"/>
              </w:rPr>
              <w:t>9</w:t>
            </w:r>
          </w:p>
        </w:tc>
        <w:tc>
          <w:tcPr>
            <w:tcW w:w="771" w:type="pct"/>
            <w:vAlign w:val="center"/>
            <w:hideMark/>
          </w:tcPr>
          <w:p w14:paraId="46DAEC29" w14:textId="6EF495B7" w:rsidR="003D75C3" w:rsidRPr="00F52387" w:rsidRDefault="003D75C3" w:rsidP="009F5EF2">
            <w:pPr>
              <w:spacing w:after="0" w:line="264" w:lineRule="auto"/>
              <w:jc w:val="center"/>
            </w:pPr>
            <w:r>
              <w:rPr>
                <w:szCs w:val="18"/>
              </w:rPr>
              <w:t>1</w:t>
            </w:r>
            <w:r w:rsidR="009F5EF2">
              <w:rPr>
                <w:szCs w:val="18"/>
              </w:rPr>
              <w:t>.</w:t>
            </w:r>
            <w:r>
              <w:rPr>
                <w:szCs w:val="18"/>
              </w:rPr>
              <w:t>2</w:t>
            </w:r>
          </w:p>
        </w:tc>
      </w:tr>
      <w:tr w:rsidR="003D75C3" w:rsidRPr="00F52387" w14:paraId="06454AB5" w14:textId="77777777" w:rsidTr="009F5EF2">
        <w:trPr>
          <w:trHeight w:val="278"/>
          <w:jc w:val="center"/>
        </w:trPr>
        <w:tc>
          <w:tcPr>
            <w:tcW w:w="1915" w:type="pct"/>
            <w:vAlign w:val="center"/>
            <w:hideMark/>
          </w:tcPr>
          <w:p w14:paraId="1952AAED" w14:textId="77777777" w:rsidR="003D75C3" w:rsidRPr="00F52387" w:rsidRDefault="003D75C3" w:rsidP="003D75C3">
            <w:pPr>
              <w:spacing w:before="20" w:after="20"/>
            </w:pPr>
            <w:r w:rsidRPr="00F52387">
              <w:t>6. Жилищно строителство, благоустройство и комунално стопанство</w:t>
            </w:r>
          </w:p>
        </w:tc>
        <w:tc>
          <w:tcPr>
            <w:tcW w:w="771" w:type="pct"/>
            <w:vAlign w:val="center"/>
            <w:hideMark/>
          </w:tcPr>
          <w:p w14:paraId="13741839" w14:textId="73E28203" w:rsidR="003D75C3" w:rsidRPr="00F52387" w:rsidRDefault="003D75C3" w:rsidP="009F5EF2">
            <w:pPr>
              <w:spacing w:after="0" w:line="264" w:lineRule="auto"/>
              <w:jc w:val="center"/>
            </w:pPr>
            <w:r>
              <w:rPr>
                <w:szCs w:val="18"/>
              </w:rPr>
              <w:t>1</w:t>
            </w:r>
            <w:r w:rsidR="009F5EF2">
              <w:rPr>
                <w:szCs w:val="18"/>
              </w:rPr>
              <w:t>.</w:t>
            </w:r>
            <w:r>
              <w:rPr>
                <w:szCs w:val="18"/>
              </w:rPr>
              <w:t>0</w:t>
            </w:r>
          </w:p>
        </w:tc>
        <w:tc>
          <w:tcPr>
            <w:tcW w:w="771" w:type="pct"/>
            <w:vAlign w:val="center"/>
            <w:hideMark/>
          </w:tcPr>
          <w:p w14:paraId="67D1F92E" w14:textId="61E20090" w:rsidR="003D75C3" w:rsidRPr="00F52387" w:rsidRDefault="003D75C3" w:rsidP="009F5EF2">
            <w:pPr>
              <w:spacing w:after="0" w:line="264" w:lineRule="auto"/>
              <w:jc w:val="center"/>
            </w:pPr>
            <w:r>
              <w:rPr>
                <w:szCs w:val="18"/>
              </w:rPr>
              <w:t>0</w:t>
            </w:r>
            <w:r w:rsidR="009F5EF2">
              <w:rPr>
                <w:szCs w:val="18"/>
              </w:rPr>
              <w:t>.</w:t>
            </w:r>
            <w:r>
              <w:rPr>
                <w:szCs w:val="18"/>
              </w:rPr>
              <w:t>7</w:t>
            </w:r>
          </w:p>
        </w:tc>
        <w:tc>
          <w:tcPr>
            <w:tcW w:w="771" w:type="pct"/>
            <w:vAlign w:val="center"/>
            <w:hideMark/>
          </w:tcPr>
          <w:p w14:paraId="7D513592" w14:textId="177B0949" w:rsidR="003D75C3" w:rsidRPr="00F52387" w:rsidRDefault="003D75C3" w:rsidP="009F5EF2">
            <w:pPr>
              <w:spacing w:after="0" w:line="264" w:lineRule="auto"/>
              <w:jc w:val="center"/>
            </w:pPr>
            <w:r w:rsidRPr="00E6219A">
              <w:rPr>
                <w:bCs/>
                <w:szCs w:val="18"/>
              </w:rPr>
              <w:t>2</w:t>
            </w:r>
            <w:r w:rsidR="009F5EF2">
              <w:rPr>
                <w:bCs/>
                <w:szCs w:val="18"/>
              </w:rPr>
              <w:t>.</w:t>
            </w:r>
            <w:r w:rsidRPr="00E6219A">
              <w:rPr>
                <w:bCs/>
                <w:szCs w:val="18"/>
              </w:rPr>
              <w:t>4</w:t>
            </w:r>
          </w:p>
        </w:tc>
        <w:tc>
          <w:tcPr>
            <w:tcW w:w="771" w:type="pct"/>
            <w:vAlign w:val="center"/>
            <w:hideMark/>
          </w:tcPr>
          <w:p w14:paraId="2F811667" w14:textId="6E7D5352" w:rsidR="003D75C3" w:rsidRPr="00F52387" w:rsidRDefault="003D75C3" w:rsidP="009F5EF2">
            <w:pPr>
              <w:spacing w:after="0" w:line="264" w:lineRule="auto"/>
              <w:jc w:val="center"/>
            </w:pPr>
            <w:r>
              <w:rPr>
                <w:szCs w:val="18"/>
              </w:rPr>
              <w:t>1</w:t>
            </w:r>
            <w:r w:rsidR="009F5EF2">
              <w:rPr>
                <w:szCs w:val="18"/>
              </w:rPr>
              <w:t>.</w:t>
            </w:r>
            <w:r>
              <w:rPr>
                <w:szCs w:val="18"/>
              </w:rPr>
              <w:t>9</w:t>
            </w:r>
          </w:p>
        </w:tc>
      </w:tr>
      <w:tr w:rsidR="003D75C3" w:rsidRPr="00F52387" w14:paraId="4D81332C" w14:textId="77777777" w:rsidTr="009F5EF2">
        <w:trPr>
          <w:trHeight w:val="278"/>
          <w:jc w:val="center"/>
        </w:trPr>
        <w:tc>
          <w:tcPr>
            <w:tcW w:w="1915" w:type="pct"/>
            <w:vAlign w:val="center"/>
            <w:hideMark/>
          </w:tcPr>
          <w:p w14:paraId="2B4FBAB3" w14:textId="77777777" w:rsidR="003D75C3" w:rsidRPr="00F52387" w:rsidRDefault="003D75C3" w:rsidP="003D75C3">
            <w:pPr>
              <w:spacing w:before="20" w:after="20"/>
            </w:pPr>
            <w:r w:rsidRPr="00F52387">
              <w:t>7. Здравеопазване</w:t>
            </w:r>
          </w:p>
        </w:tc>
        <w:tc>
          <w:tcPr>
            <w:tcW w:w="771" w:type="pct"/>
            <w:vAlign w:val="center"/>
            <w:hideMark/>
          </w:tcPr>
          <w:p w14:paraId="2CBA40AB" w14:textId="6C816B5D" w:rsidR="003D75C3" w:rsidRPr="00F52387" w:rsidRDefault="003D75C3" w:rsidP="009F5EF2">
            <w:pPr>
              <w:spacing w:after="0" w:line="264" w:lineRule="auto"/>
              <w:jc w:val="center"/>
            </w:pPr>
            <w:r>
              <w:rPr>
                <w:szCs w:val="18"/>
              </w:rPr>
              <w:t>5</w:t>
            </w:r>
            <w:r w:rsidR="009F5EF2">
              <w:rPr>
                <w:szCs w:val="18"/>
              </w:rPr>
              <w:t>.</w:t>
            </w:r>
            <w:r>
              <w:rPr>
                <w:szCs w:val="18"/>
              </w:rPr>
              <w:t>8</w:t>
            </w:r>
          </w:p>
        </w:tc>
        <w:tc>
          <w:tcPr>
            <w:tcW w:w="771" w:type="pct"/>
            <w:vAlign w:val="center"/>
            <w:hideMark/>
          </w:tcPr>
          <w:p w14:paraId="004F9938" w14:textId="3BB4ADEF" w:rsidR="003D75C3" w:rsidRPr="00F52387" w:rsidRDefault="003D75C3" w:rsidP="009F5EF2">
            <w:pPr>
              <w:spacing w:after="0" w:line="264" w:lineRule="auto"/>
              <w:jc w:val="center"/>
            </w:pPr>
            <w:r>
              <w:rPr>
                <w:szCs w:val="18"/>
              </w:rPr>
              <w:t>5</w:t>
            </w:r>
            <w:r w:rsidR="009F5EF2">
              <w:rPr>
                <w:szCs w:val="18"/>
              </w:rPr>
              <w:t>.</w:t>
            </w:r>
            <w:r>
              <w:rPr>
                <w:szCs w:val="18"/>
              </w:rPr>
              <w:t>4</w:t>
            </w:r>
          </w:p>
        </w:tc>
        <w:tc>
          <w:tcPr>
            <w:tcW w:w="771" w:type="pct"/>
            <w:vAlign w:val="center"/>
            <w:hideMark/>
          </w:tcPr>
          <w:p w14:paraId="08B5BC8F" w14:textId="71AB092A" w:rsidR="003D75C3" w:rsidRPr="00F52387" w:rsidRDefault="003D75C3" w:rsidP="009F5EF2">
            <w:pPr>
              <w:spacing w:after="0" w:line="264" w:lineRule="auto"/>
              <w:jc w:val="center"/>
            </w:pPr>
            <w:r w:rsidRPr="00E6219A">
              <w:rPr>
                <w:bCs/>
                <w:szCs w:val="18"/>
              </w:rPr>
              <w:t>14</w:t>
            </w:r>
            <w:r w:rsidR="009F5EF2">
              <w:rPr>
                <w:bCs/>
                <w:szCs w:val="18"/>
              </w:rPr>
              <w:t>.</w:t>
            </w:r>
            <w:r w:rsidRPr="00E6219A">
              <w:rPr>
                <w:bCs/>
                <w:szCs w:val="18"/>
              </w:rPr>
              <w:t>4</w:t>
            </w:r>
          </w:p>
        </w:tc>
        <w:tc>
          <w:tcPr>
            <w:tcW w:w="771" w:type="pct"/>
            <w:vAlign w:val="center"/>
            <w:hideMark/>
          </w:tcPr>
          <w:p w14:paraId="3F0F6ACE" w14:textId="5C5D7DC1" w:rsidR="003D75C3" w:rsidRPr="00F52387" w:rsidRDefault="003D75C3" w:rsidP="009F5EF2">
            <w:pPr>
              <w:spacing w:after="0" w:line="264" w:lineRule="auto"/>
              <w:jc w:val="center"/>
            </w:pPr>
            <w:r>
              <w:rPr>
                <w:szCs w:val="18"/>
              </w:rPr>
              <w:t>13</w:t>
            </w:r>
            <w:r w:rsidR="009F5EF2">
              <w:rPr>
                <w:szCs w:val="18"/>
              </w:rPr>
              <w:t>.</w:t>
            </w:r>
            <w:r>
              <w:rPr>
                <w:szCs w:val="18"/>
              </w:rPr>
              <w:t>7</w:t>
            </w:r>
          </w:p>
        </w:tc>
      </w:tr>
      <w:tr w:rsidR="003D75C3" w:rsidRPr="00F52387" w14:paraId="39A7A2CA" w14:textId="77777777" w:rsidTr="009F5EF2">
        <w:trPr>
          <w:trHeight w:val="278"/>
          <w:jc w:val="center"/>
        </w:trPr>
        <w:tc>
          <w:tcPr>
            <w:tcW w:w="1915" w:type="pct"/>
            <w:vAlign w:val="center"/>
            <w:hideMark/>
          </w:tcPr>
          <w:p w14:paraId="70950170" w14:textId="77777777" w:rsidR="003D75C3" w:rsidRPr="00F52387" w:rsidRDefault="003D75C3" w:rsidP="003D75C3">
            <w:pPr>
              <w:spacing w:before="20" w:after="20"/>
            </w:pPr>
            <w:r w:rsidRPr="00F52387">
              <w:t>8. Почивно дело, култура и религия</w:t>
            </w:r>
          </w:p>
        </w:tc>
        <w:tc>
          <w:tcPr>
            <w:tcW w:w="771" w:type="pct"/>
            <w:vAlign w:val="center"/>
            <w:hideMark/>
          </w:tcPr>
          <w:p w14:paraId="1F651974" w14:textId="7A9E0DE4" w:rsidR="003D75C3" w:rsidRPr="00F52387" w:rsidRDefault="003D75C3" w:rsidP="009F5EF2">
            <w:pPr>
              <w:spacing w:after="0" w:line="264" w:lineRule="auto"/>
              <w:jc w:val="center"/>
            </w:pPr>
            <w:r>
              <w:rPr>
                <w:szCs w:val="18"/>
              </w:rPr>
              <w:t>0</w:t>
            </w:r>
            <w:r w:rsidR="009F5EF2">
              <w:rPr>
                <w:szCs w:val="18"/>
              </w:rPr>
              <w:t>.</w:t>
            </w:r>
            <w:r>
              <w:rPr>
                <w:szCs w:val="18"/>
              </w:rPr>
              <w:t>9</w:t>
            </w:r>
          </w:p>
        </w:tc>
        <w:tc>
          <w:tcPr>
            <w:tcW w:w="771" w:type="pct"/>
            <w:vAlign w:val="center"/>
            <w:hideMark/>
          </w:tcPr>
          <w:p w14:paraId="048E430C" w14:textId="49BED0BC" w:rsidR="003D75C3" w:rsidRPr="00F52387" w:rsidRDefault="003D75C3" w:rsidP="009F5EF2">
            <w:pPr>
              <w:spacing w:after="0" w:line="264" w:lineRule="auto"/>
              <w:jc w:val="center"/>
            </w:pPr>
            <w:r>
              <w:rPr>
                <w:szCs w:val="18"/>
              </w:rPr>
              <w:t>0</w:t>
            </w:r>
            <w:r w:rsidR="009F5EF2">
              <w:rPr>
                <w:szCs w:val="18"/>
              </w:rPr>
              <w:t>.</w:t>
            </w:r>
            <w:r>
              <w:rPr>
                <w:szCs w:val="18"/>
              </w:rPr>
              <w:t>6</w:t>
            </w:r>
          </w:p>
        </w:tc>
        <w:tc>
          <w:tcPr>
            <w:tcW w:w="771" w:type="pct"/>
            <w:vAlign w:val="center"/>
            <w:hideMark/>
          </w:tcPr>
          <w:p w14:paraId="60AED6E9" w14:textId="7C58C1F8" w:rsidR="003D75C3" w:rsidRPr="00F52387" w:rsidRDefault="003D75C3" w:rsidP="009F5EF2">
            <w:pPr>
              <w:spacing w:after="0" w:line="264" w:lineRule="auto"/>
              <w:jc w:val="center"/>
            </w:pPr>
            <w:r w:rsidRPr="00E6219A">
              <w:rPr>
                <w:bCs/>
                <w:szCs w:val="18"/>
              </w:rPr>
              <w:t>2</w:t>
            </w:r>
            <w:r w:rsidR="009F5EF2">
              <w:rPr>
                <w:bCs/>
                <w:szCs w:val="18"/>
              </w:rPr>
              <w:t>.</w:t>
            </w:r>
            <w:r w:rsidRPr="00E6219A">
              <w:rPr>
                <w:bCs/>
                <w:szCs w:val="18"/>
              </w:rPr>
              <w:t>2</w:t>
            </w:r>
          </w:p>
        </w:tc>
        <w:tc>
          <w:tcPr>
            <w:tcW w:w="771" w:type="pct"/>
            <w:vAlign w:val="center"/>
            <w:hideMark/>
          </w:tcPr>
          <w:p w14:paraId="2E778149" w14:textId="437F0AF5" w:rsidR="003D75C3" w:rsidRPr="00F52387" w:rsidRDefault="003D75C3" w:rsidP="009F5EF2">
            <w:pPr>
              <w:spacing w:after="0" w:line="264" w:lineRule="auto"/>
              <w:jc w:val="center"/>
            </w:pPr>
            <w:r>
              <w:rPr>
                <w:szCs w:val="18"/>
              </w:rPr>
              <w:t>1</w:t>
            </w:r>
            <w:r w:rsidR="009F5EF2">
              <w:rPr>
                <w:szCs w:val="18"/>
              </w:rPr>
              <w:t>.</w:t>
            </w:r>
            <w:r>
              <w:rPr>
                <w:szCs w:val="18"/>
              </w:rPr>
              <w:t>4</w:t>
            </w:r>
          </w:p>
        </w:tc>
      </w:tr>
      <w:tr w:rsidR="003D75C3" w:rsidRPr="00F52387" w14:paraId="740756CE" w14:textId="77777777" w:rsidTr="009F5EF2">
        <w:trPr>
          <w:trHeight w:val="278"/>
          <w:jc w:val="center"/>
        </w:trPr>
        <w:tc>
          <w:tcPr>
            <w:tcW w:w="1915" w:type="pct"/>
            <w:vAlign w:val="center"/>
            <w:hideMark/>
          </w:tcPr>
          <w:p w14:paraId="6F1CEDFB" w14:textId="77777777" w:rsidR="003D75C3" w:rsidRPr="00F52387" w:rsidRDefault="003D75C3" w:rsidP="003D75C3">
            <w:pPr>
              <w:spacing w:before="20" w:after="20"/>
            </w:pPr>
            <w:r w:rsidRPr="00F52387">
              <w:t>9. Образование</w:t>
            </w:r>
          </w:p>
        </w:tc>
        <w:tc>
          <w:tcPr>
            <w:tcW w:w="771" w:type="pct"/>
            <w:vAlign w:val="center"/>
            <w:hideMark/>
          </w:tcPr>
          <w:p w14:paraId="43E2A4C7" w14:textId="448DE24E" w:rsidR="003D75C3" w:rsidRPr="00F52387" w:rsidRDefault="003D75C3" w:rsidP="009F5EF2">
            <w:pPr>
              <w:spacing w:after="0" w:line="264" w:lineRule="auto"/>
              <w:jc w:val="center"/>
            </w:pPr>
            <w:r>
              <w:rPr>
                <w:szCs w:val="18"/>
              </w:rPr>
              <w:t>4</w:t>
            </w:r>
            <w:r w:rsidR="009F5EF2">
              <w:rPr>
                <w:szCs w:val="18"/>
              </w:rPr>
              <w:t>.</w:t>
            </w:r>
            <w:r>
              <w:rPr>
                <w:szCs w:val="18"/>
              </w:rPr>
              <w:t>3</w:t>
            </w:r>
          </w:p>
        </w:tc>
        <w:tc>
          <w:tcPr>
            <w:tcW w:w="771" w:type="pct"/>
            <w:vAlign w:val="center"/>
            <w:hideMark/>
          </w:tcPr>
          <w:p w14:paraId="68D84407" w14:textId="31BB737E" w:rsidR="003D75C3" w:rsidRPr="00F52387" w:rsidRDefault="003D75C3" w:rsidP="009F5EF2">
            <w:pPr>
              <w:spacing w:after="0" w:line="264" w:lineRule="auto"/>
              <w:jc w:val="center"/>
            </w:pPr>
            <w:r>
              <w:rPr>
                <w:szCs w:val="18"/>
              </w:rPr>
              <w:t>3</w:t>
            </w:r>
            <w:r w:rsidR="009F5EF2">
              <w:rPr>
                <w:szCs w:val="18"/>
              </w:rPr>
              <w:t>.</w:t>
            </w:r>
            <w:r>
              <w:rPr>
                <w:szCs w:val="18"/>
              </w:rPr>
              <w:t>9</w:t>
            </w:r>
          </w:p>
        </w:tc>
        <w:tc>
          <w:tcPr>
            <w:tcW w:w="771" w:type="pct"/>
            <w:vAlign w:val="center"/>
            <w:hideMark/>
          </w:tcPr>
          <w:p w14:paraId="4BB6A34C" w14:textId="52E6F055" w:rsidR="003D75C3" w:rsidRPr="00F52387" w:rsidRDefault="003D75C3" w:rsidP="009F5EF2">
            <w:pPr>
              <w:spacing w:after="0" w:line="264" w:lineRule="auto"/>
              <w:jc w:val="center"/>
            </w:pPr>
            <w:r w:rsidRPr="00E6219A">
              <w:rPr>
                <w:bCs/>
                <w:szCs w:val="18"/>
              </w:rPr>
              <w:t>10</w:t>
            </w:r>
            <w:r w:rsidR="009F5EF2">
              <w:rPr>
                <w:bCs/>
                <w:szCs w:val="18"/>
              </w:rPr>
              <w:t>.</w:t>
            </w:r>
            <w:r w:rsidRPr="00E6219A">
              <w:rPr>
                <w:bCs/>
                <w:szCs w:val="18"/>
              </w:rPr>
              <w:t>6</w:t>
            </w:r>
          </w:p>
        </w:tc>
        <w:tc>
          <w:tcPr>
            <w:tcW w:w="771" w:type="pct"/>
            <w:vAlign w:val="center"/>
            <w:hideMark/>
          </w:tcPr>
          <w:p w14:paraId="38A383E2" w14:textId="69A3614F" w:rsidR="003D75C3" w:rsidRPr="00F52387" w:rsidRDefault="003D75C3" w:rsidP="009F5EF2">
            <w:pPr>
              <w:spacing w:after="0" w:line="264" w:lineRule="auto"/>
              <w:jc w:val="center"/>
            </w:pPr>
            <w:r>
              <w:rPr>
                <w:szCs w:val="18"/>
              </w:rPr>
              <w:t>9</w:t>
            </w:r>
            <w:r w:rsidR="009F5EF2">
              <w:rPr>
                <w:szCs w:val="18"/>
              </w:rPr>
              <w:t>.</w:t>
            </w:r>
            <w:r>
              <w:rPr>
                <w:szCs w:val="18"/>
              </w:rPr>
              <w:t>9</w:t>
            </w:r>
          </w:p>
        </w:tc>
      </w:tr>
      <w:tr w:rsidR="003D75C3" w:rsidRPr="00F52387" w14:paraId="0206355F" w14:textId="77777777" w:rsidTr="009F5EF2">
        <w:trPr>
          <w:trHeight w:val="278"/>
          <w:jc w:val="center"/>
        </w:trPr>
        <w:tc>
          <w:tcPr>
            <w:tcW w:w="1915" w:type="pct"/>
            <w:vAlign w:val="center"/>
            <w:hideMark/>
          </w:tcPr>
          <w:p w14:paraId="589A17A4" w14:textId="77777777" w:rsidR="003D75C3" w:rsidRPr="00F52387" w:rsidRDefault="003D75C3" w:rsidP="003D75C3">
            <w:pPr>
              <w:spacing w:before="20" w:after="20"/>
            </w:pPr>
            <w:r w:rsidRPr="00F52387">
              <w:t>10. Социална защита</w:t>
            </w:r>
          </w:p>
        </w:tc>
        <w:tc>
          <w:tcPr>
            <w:tcW w:w="771" w:type="pct"/>
            <w:vAlign w:val="center"/>
            <w:hideMark/>
          </w:tcPr>
          <w:p w14:paraId="2A89E3B1" w14:textId="22551FF6" w:rsidR="003D75C3" w:rsidRPr="00F52387" w:rsidRDefault="003D75C3" w:rsidP="009F5EF2">
            <w:pPr>
              <w:spacing w:after="0" w:line="264" w:lineRule="auto"/>
              <w:jc w:val="center"/>
            </w:pPr>
            <w:r>
              <w:rPr>
                <w:szCs w:val="18"/>
              </w:rPr>
              <w:t>13</w:t>
            </w:r>
            <w:r w:rsidR="009F5EF2">
              <w:rPr>
                <w:szCs w:val="18"/>
              </w:rPr>
              <w:t>.</w:t>
            </w:r>
            <w:r>
              <w:rPr>
                <w:szCs w:val="18"/>
              </w:rPr>
              <w:t>4</w:t>
            </w:r>
          </w:p>
        </w:tc>
        <w:tc>
          <w:tcPr>
            <w:tcW w:w="771" w:type="pct"/>
            <w:vAlign w:val="center"/>
            <w:hideMark/>
          </w:tcPr>
          <w:p w14:paraId="06F0D379" w14:textId="50890192" w:rsidR="003D75C3" w:rsidRPr="00F52387" w:rsidRDefault="003D75C3" w:rsidP="009F5EF2">
            <w:pPr>
              <w:spacing w:after="0" w:line="264" w:lineRule="auto"/>
              <w:jc w:val="center"/>
            </w:pPr>
            <w:r>
              <w:rPr>
                <w:szCs w:val="18"/>
              </w:rPr>
              <w:t>14</w:t>
            </w:r>
            <w:r w:rsidR="009F5EF2">
              <w:rPr>
                <w:szCs w:val="18"/>
              </w:rPr>
              <w:t>.</w:t>
            </w:r>
            <w:r>
              <w:rPr>
                <w:szCs w:val="18"/>
              </w:rPr>
              <w:t>4</w:t>
            </w:r>
          </w:p>
        </w:tc>
        <w:tc>
          <w:tcPr>
            <w:tcW w:w="771" w:type="pct"/>
            <w:vAlign w:val="center"/>
            <w:hideMark/>
          </w:tcPr>
          <w:p w14:paraId="5FED7816" w14:textId="6CB39FD5" w:rsidR="003D75C3" w:rsidRPr="00F52387" w:rsidRDefault="003D75C3" w:rsidP="009F5EF2">
            <w:pPr>
              <w:spacing w:after="0" w:line="264" w:lineRule="auto"/>
              <w:jc w:val="center"/>
            </w:pPr>
            <w:r w:rsidRPr="00E6219A">
              <w:rPr>
                <w:bCs/>
                <w:szCs w:val="18"/>
              </w:rPr>
              <w:t>32</w:t>
            </w:r>
            <w:r w:rsidR="009F5EF2">
              <w:rPr>
                <w:bCs/>
                <w:szCs w:val="18"/>
              </w:rPr>
              <w:t>.</w:t>
            </w:r>
            <w:r w:rsidRPr="00E6219A">
              <w:rPr>
                <w:bCs/>
                <w:szCs w:val="18"/>
              </w:rPr>
              <w:t>9</w:t>
            </w:r>
          </w:p>
        </w:tc>
        <w:tc>
          <w:tcPr>
            <w:tcW w:w="771" w:type="pct"/>
            <w:vAlign w:val="center"/>
            <w:hideMark/>
          </w:tcPr>
          <w:p w14:paraId="3424C77F" w14:textId="0FE298AF" w:rsidR="003D75C3" w:rsidRPr="00F52387" w:rsidRDefault="003D75C3" w:rsidP="009F5EF2">
            <w:pPr>
              <w:spacing w:after="0" w:line="264" w:lineRule="auto"/>
              <w:jc w:val="center"/>
            </w:pPr>
            <w:r>
              <w:rPr>
                <w:szCs w:val="18"/>
              </w:rPr>
              <w:t>36</w:t>
            </w:r>
            <w:r w:rsidR="009F5EF2">
              <w:rPr>
                <w:szCs w:val="18"/>
              </w:rPr>
              <w:t>.</w:t>
            </w:r>
            <w:r>
              <w:rPr>
                <w:szCs w:val="18"/>
              </w:rPr>
              <w:t>5</w:t>
            </w:r>
          </w:p>
        </w:tc>
      </w:tr>
      <w:tr w:rsidR="003D75C3" w:rsidRPr="00F52387" w14:paraId="46788BF3" w14:textId="77777777" w:rsidTr="009F5EF2">
        <w:trPr>
          <w:trHeight w:val="278"/>
          <w:jc w:val="center"/>
        </w:trPr>
        <w:tc>
          <w:tcPr>
            <w:tcW w:w="1915" w:type="pct"/>
            <w:vAlign w:val="center"/>
            <w:hideMark/>
          </w:tcPr>
          <w:p w14:paraId="433A3602" w14:textId="77777777" w:rsidR="003D75C3" w:rsidRPr="00F52387" w:rsidRDefault="003D75C3" w:rsidP="003D75C3">
            <w:pPr>
              <w:spacing w:before="20" w:after="20"/>
              <w:rPr>
                <w:b/>
              </w:rPr>
            </w:pPr>
            <w:r w:rsidRPr="00F52387">
              <w:rPr>
                <w:b/>
              </w:rPr>
              <w:t xml:space="preserve">11. Общо разходи </w:t>
            </w:r>
          </w:p>
        </w:tc>
        <w:tc>
          <w:tcPr>
            <w:tcW w:w="771" w:type="pct"/>
            <w:vAlign w:val="center"/>
            <w:hideMark/>
          </w:tcPr>
          <w:p w14:paraId="2B36C2EC" w14:textId="75D57CE6" w:rsidR="003D75C3" w:rsidRPr="00F52387" w:rsidRDefault="003D75C3" w:rsidP="009F5EF2">
            <w:pPr>
              <w:spacing w:after="0" w:line="264" w:lineRule="auto"/>
              <w:jc w:val="center"/>
            </w:pPr>
            <w:r>
              <w:rPr>
                <w:szCs w:val="18"/>
              </w:rPr>
              <w:t>40</w:t>
            </w:r>
            <w:r w:rsidR="009F5EF2">
              <w:rPr>
                <w:szCs w:val="18"/>
              </w:rPr>
              <w:t>.</w:t>
            </w:r>
            <w:r>
              <w:rPr>
                <w:szCs w:val="18"/>
              </w:rPr>
              <w:t>6</w:t>
            </w:r>
          </w:p>
        </w:tc>
        <w:tc>
          <w:tcPr>
            <w:tcW w:w="771" w:type="pct"/>
            <w:vAlign w:val="center"/>
            <w:hideMark/>
          </w:tcPr>
          <w:p w14:paraId="6EE09A31" w14:textId="20592A7A" w:rsidR="003D75C3" w:rsidRPr="00F52387" w:rsidRDefault="003D75C3" w:rsidP="009F5EF2">
            <w:pPr>
              <w:spacing w:after="0" w:line="264" w:lineRule="auto"/>
              <w:jc w:val="center"/>
            </w:pPr>
            <w:r>
              <w:rPr>
                <w:szCs w:val="18"/>
              </w:rPr>
              <w:t>39</w:t>
            </w:r>
            <w:r w:rsidR="009F5EF2">
              <w:rPr>
                <w:szCs w:val="18"/>
              </w:rPr>
              <w:t>.</w:t>
            </w:r>
            <w:r>
              <w:rPr>
                <w:szCs w:val="18"/>
              </w:rPr>
              <w:t>4</w:t>
            </w:r>
          </w:p>
        </w:tc>
        <w:tc>
          <w:tcPr>
            <w:tcW w:w="771" w:type="pct"/>
            <w:vAlign w:val="center"/>
            <w:hideMark/>
          </w:tcPr>
          <w:p w14:paraId="39884E6D" w14:textId="2B77F183" w:rsidR="003D75C3" w:rsidRPr="00F52387" w:rsidRDefault="003D75C3" w:rsidP="009F5EF2">
            <w:pPr>
              <w:spacing w:after="0" w:line="264" w:lineRule="auto"/>
              <w:jc w:val="center"/>
            </w:pPr>
            <w:r w:rsidRPr="00E6219A">
              <w:rPr>
                <w:bCs/>
                <w:szCs w:val="18"/>
              </w:rPr>
              <w:t>100</w:t>
            </w:r>
            <w:r w:rsidR="009F5EF2">
              <w:rPr>
                <w:bCs/>
                <w:szCs w:val="18"/>
              </w:rPr>
              <w:t>.</w:t>
            </w:r>
            <w:r w:rsidRPr="00E6219A">
              <w:rPr>
                <w:bCs/>
                <w:szCs w:val="18"/>
              </w:rPr>
              <w:t>0</w:t>
            </w:r>
          </w:p>
        </w:tc>
        <w:tc>
          <w:tcPr>
            <w:tcW w:w="771" w:type="pct"/>
            <w:vAlign w:val="center"/>
            <w:hideMark/>
          </w:tcPr>
          <w:p w14:paraId="3D35728E" w14:textId="6FD0E549" w:rsidR="003D75C3" w:rsidRPr="00F52387" w:rsidRDefault="003D75C3" w:rsidP="009F5EF2">
            <w:pPr>
              <w:spacing w:after="0" w:line="264" w:lineRule="auto"/>
              <w:jc w:val="center"/>
            </w:pPr>
            <w:r>
              <w:rPr>
                <w:szCs w:val="18"/>
              </w:rPr>
              <w:t>100</w:t>
            </w:r>
            <w:r w:rsidR="009F5EF2">
              <w:rPr>
                <w:szCs w:val="18"/>
              </w:rPr>
              <w:t>.</w:t>
            </w:r>
            <w:r>
              <w:rPr>
                <w:szCs w:val="18"/>
              </w:rPr>
              <w:t>0</w:t>
            </w:r>
          </w:p>
        </w:tc>
      </w:tr>
      <w:bookmarkEnd w:id="136"/>
    </w:tbl>
    <w:p w14:paraId="199DC55E" w14:textId="77777777" w:rsidR="00067B4C" w:rsidRPr="00F52387" w:rsidRDefault="00067B4C" w:rsidP="00067B4C">
      <w:pPr>
        <w:spacing w:line="264" w:lineRule="auto"/>
        <w:rPr>
          <w:b/>
        </w:rPr>
      </w:pPr>
    </w:p>
    <w:p w14:paraId="54A963B1" w14:textId="75EE2F56" w:rsidR="00067B4C" w:rsidRPr="0051111F" w:rsidRDefault="00067B4C" w:rsidP="00067B4C">
      <w:pPr>
        <w:spacing w:line="264" w:lineRule="auto"/>
      </w:pPr>
      <w:r w:rsidRPr="0051111F">
        <w:t>За периода 202</w:t>
      </w:r>
      <w:r w:rsidRPr="0051111F">
        <w:rPr>
          <w:lang w:val="en-US"/>
        </w:rPr>
        <w:t>1</w:t>
      </w:r>
      <w:r w:rsidR="00B552D5">
        <w:t>–</w:t>
      </w:r>
      <w:r w:rsidRPr="0051111F">
        <w:t>202</w:t>
      </w:r>
      <w:r w:rsidRPr="0051111F">
        <w:rPr>
          <w:lang w:val="en-US"/>
        </w:rPr>
        <w:t>6</w:t>
      </w:r>
      <w:r w:rsidR="00B552D5">
        <w:t> г.</w:t>
      </w:r>
      <w:r w:rsidRPr="0051111F">
        <w:t xml:space="preserve"> в общите разходи на сектор „Държавно управление“ се очаква спад от </w:t>
      </w:r>
      <w:r w:rsidRPr="0051111F">
        <w:rPr>
          <w:lang w:val="en-US"/>
        </w:rPr>
        <w:t>1</w:t>
      </w:r>
      <w:r w:rsidR="00A71AE0">
        <w:rPr>
          <w:lang w:val="en-US"/>
        </w:rPr>
        <w:t>.</w:t>
      </w:r>
      <w:r w:rsidR="003D75C3">
        <w:t>2</w:t>
      </w:r>
      <w:r w:rsidR="003D75C3" w:rsidRPr="0051111F">
        <w:t xml:space="preserve"> </w:t>
      </w:r>
      <w:r w:rsidRPr="0051111F">
        <w:t>пр.п. от БВП.  Това до голяма степен се дължи на отпадането на предприетите разходи през 202</w:t>
      </w:r>
      <w:r w:rsidRPr="0051111F">
        <w:rPr>
          <w:lang w:val="en-US"/>
        </w:rPr>
        <w:t>1</w:t>
      </w:r>
      <w:r w:rsidR="00B552D5">
        <w:t> г.</w:t>
      </w:r>
      <w:r w:rsidRPr="0051111F">
        <w:t xml:space="preserve"> за предотвратяване разпространението на COVID-19, за лечението му,  мерки за подкрепа на бизнеса и за намаляване на негативните ефекти от пандемията, които доведоха до нарастване на разходите по функциите „Здравеопазване“ и „Икономически дейности“ през 202</w:t>
      </w:r>
      <w:r w:rsidRPr="0051111F">
        <w:rPr>
          <w:lang w:val="en-US"/>
        </w:rPr>
        <w:t>1</w:t>
      </w:r>
      <w:r w:rsidR="00B552D5">
        <w:t> г.</w:t>
      </w:r>
      <w:r w:rsidRPr="0051111F">
        <w:t xml:space="preserve"> </w:t>
      </w:r>
    </w:p>
    <w:p w14:paraId="01624E27" w14:textId="559AA6B8" w:rsidR="00067B4C" w:rsidRPr="0051111F" w:rsidRDefault="00067B4C" w:rsidP="00067B4C">
      <w:pPr>
        <w:rPr>
          <w:b/>
          <w:lang w:val="en-US"/>
        </w:rPr>
      </w:pPr>
      <w:r w:rsidRPr="0051111F">
        <w:lastRenderedPageBreak/>
        <w:t>За периода 202</w:t>
      </w:r>
      <w:r w:rsidRPr="0051111F">
        <w:rPr>
          <w:lang w:val="en-US"/>
        </w:rPr>
        <w:t>1</w:t>
      </w:r>
      <w:r w:rsidR="00B552D5">
        <w:t>–</w:t>
      </w:r>
      <w:r w:rsidRPr="0051111F">
        <w:t>202</w:t>
      </w:r>
      <w:r w:rsidRPr="0051111F">
        <w:rPr>
          <w:lang w:val="en-US"/>
        </w:rPr>
        <w:t>6</w:t>
      </w:r>
      <w:r w:rsidR="00B552D5">
        <w:t> г.</w:t>
      </w:r>
      <w:r w:rsidRPr="0051111F">
        <w:t xml:space="preserve"> разходите по функция</w:t>
      </w:r>
      <w:r w:rsidRPr="0051111F">
        <w:rPr>
          <w:b/>
        </w:rPr>
        <w:t xml:space="preserve"> „Общи държавни служби“ </w:t>
      </w:r>
      <w:r w:rsidRPr="00F52387">
        <w:t>се очаква да</w:t>
      </w:r>
      <w:r w:rsidRPr="00F52387">
        <w:rPr>
          <w:b/>
        </w:rPr>
        <w:t xml:space="preserve"> </w:t>
      </w:r>
      <w:r>
        <w:t>нараснат</w:t>
      </w:r>
      <w:r w:rsidRPr="0051111F">
        <w:t xml:space="preserve"> от 3</w:t>
      </w:r>
      <w:r w:rsidR="00A71AE0">
        <w:rPr>
          <w:lang w:val="en-US"/>
        </w:rPr>
        <w:t>.</w:t>
      </w:r>
      <w:r w:rsidRPr="0051111F">
        <w:t>5% от БВП през 2021</w:t>
      </w:r>
      <w:r w:rsidR="00B552D5">
        <w:t> г.</w:t>
      </w:r>
      <w:r w:rsidRPr="0051111F">
        <w:t xml:space="preserve"> на </w:t>
      </w:r>
      <w:r w:rsidR="003D75C3">
        <w:t>4.2</w:t>
      </w:r>
      <w:r w:rsidRPr="0051111F">
        <w:t>% през 2026</w:t>
      </w:r>
      <w:r w:rsidR="00B552D5">
        <w:t> г.</w:t>
      </w:r>
      <w:r>
        <w:t xml:space="preserve"> Нарастването е свързано с</w:t>
      </w:r>
      <w:r w:rsidRPr="0051111F">
        <w:t xml:space="preserve"> увеличението на лихвените разходи на сектор „Държавно управление“, които по методологията </w:t>
      </w:r>
      <w:r w:rsidRPr="0051111F">
        <w:rPr>
          <w:lang w:val="en-US"/>
        </w:rPr>
        <w:t xml:space="preserve">COFOG </w:t>
      </w:r>
      <w:r w:rsidRPr="0051111F">
        <w:t xml:space="preserve">се отчитат в тази функция. </w:t>
      </w:r>
    </w:p>
    <w:p w14:paraId="335CE145" w14:textId="31769A93" w:rsidR="00067B4C" w:rsidRPr="0051111F" w:rsidRDefault="00067B4C" w:rsidP="00067B4C">
      <w:r w:rsidRPr="0051111F">
        <w:t>Разходите по функция „</w:t>
      </w:r>
      <w:r w:rsidRPr="0051111F">
        <w:rPr>
          <w:b/>
        </w:rPr>
        <w:t>Отбрана“</w:t>
      </w:r>
      <w:r w:rsidRPr="0051111F">
        <w:t xml:space="preserve"> </w:t>
      </w:r>
      <w:r w:rsidRPr="00F52387">
        <w:t>се увеличават</w:t>
      </w:r>
      <w:r w:rsidRPr="0051111F">
        <w:t xml:space="preserve"> като дял от БВП от 1</w:t>
      </w:r>
      <w:r w:rsidR="00A71AE0">
        <w:rPr>
          <w:lang w:val="en-US"/>
        </w:rPr>
        <w:t>.</w:t>
      </w:r>
      <w:r w:rsidRPr="0051111F">
        <w:t>6% на 1</w:t>
      </w:r>
      <w:r w:rsidR="00A71AE0">
        <w:rPr>
          <w:lang w:val="en-US"/>
        </w:rPr>
        <w:t>.</w:t>
      </w:r>
      <w:r w:rsidRPr="0051111F">
        <w:t xml:space="preserve">7%. </w:t>
      </w:r>
      <w:r w:rsidRPr="00F52387">
        <w:t>Тук са включени средствата</w:t>
      </w:r>
      <w:r w:rsidRPr="0051111F">
        <w:t xml:space="preserve"> за поддържане и развитие на националните отбранителни способности и способностите, свързани с колективната отбрана, в т.ч. средства за изпълнение на одобрените от Народното събрание инвестиционни проекти за модернизация на Българската армия, а именно: придобиването на многофункционален модулен патрулен кораб за ВМС, нов тип боен самолет</w:t>
      </w:r>
      <w:r w:rsidR="00B552D5">
        <w:t xml:space="preserve"> – </w:t>
      </w:r>
      <w:r w:rsidR="00CB726C" w:rsidRPr="009B3172">
        <w:t>II-ри етап</w:t>
      </w:r>
      <w:r w:rsidRPr="0051111F">
        <w:t xml:space="preserve">, </w:t>
      </w:r>
      <w:r w:rsidRPr="00A77FC7">
        <w:t>включително</w:t>
      </w:r>
      <w:r w:rsidRPr="0051111F">
        <w:t xml:space="preserve"> и за съпътстващи разходи </w:t>
      </w:r>
      <w:r w:rsidR="00512C9E" w:rsidRPr="009B3172">
        <w:t xml:space="preserve">по двата етапа </w:t>
      </w:r>
      <w:r w:rsidRPr="0051111F">
        <w:t>(транспорт, ДДС и мита) и основна бойна техника за изграждане на батальонни бойни групи от състава на механизирана бригада. Допълнително са предвидени средства за придобиване на боеприпаси и горива за бойна подготовка, както и за придобиване, модернизация, поддръжка и ремонт на въоръжение</w:t>
      </w:r>
      <w:r w:rsidR="00512C9E" w:rsidRPr="009B3172">
        <w:t>, ракети, торпеда</w:t>
      </w:r>
      <w:r w:rsidRPr="0051111F">
        <w:t xml:space="preserve"> и техника</w:t>
      </w:r>
      <w:r w:rsidR="00512C9E" w:rsidRPr="009B3172">
        <w:t>, и за ремонт</w:t>
      </w:r>
      <w:r w:rsidRPr="0051111F">
        <w:t xml:space="preserve"> и изграждане на инфраструктура.</w:t>
      </w:r>
    </w:p>
    <w:p w14:paraId="0D3AE944" w14:textId="5C5973D6" w:rsidR="00067B4C" w:rsidRPr="0051111F" w:rsidRDefault="00067B4C" w:rsidP="00067B4C">
      <w:r w:rsidRPr="0051111F">
        <w:t>Разходите по функция „</w:t>
      </w:r>
      <w:r w:rsidRPr="0051111F">
        <w:rPr>
          <w:b/>
        </w:rPr>
        <w:t xml:space="preserve">Обществен ред и сигурност“ </w:t>
      </w:r>
      <w:r w:rsidRPr="00F52387">
        <w:t>спадат</w:t>
      </w:r>
      <w:r w:rsidRPr="0051111F">
        <w:t xml:space="preserve"> като дял от БВП от 2</w:t>
      </w:r>
      <w:r w:rsidR="00A71AE0">
        <w:rPr>
          <w:lang w:val="en-US"/>
        </w:rPr>
        <w:t>.</w:t>
      </w:r>
      <w:r w:rsidRPr="0051111F">
        <w:t>7% през 2021</w:t>
      </w:r>
      <w:r w:rsidR="00B552D5">
        <w:t> г.</w:t>
      </w:r>
      <w:r w:rsidRPr="0051111F">
        <w:t xml:space="preserve"> до 2</w:t>
      </w:r>
      <w:r w:rsidR="00A71AE0">
        <w:rPr>
          <w:lang w:val="en-US"/>
        </w:rPr>
        <w:t>.</w:t>
      </w:r>
      <w:r w:rsidRPr="0051111F">
        <w:t>1% през 2026</w:t>
      </w:r>
      <w:r w:rsidR="00B552D5">
        <w:t> г.</w:t>
      </w:r>
      <w:r w:rsidRPr="0051111F">
        <w:t xml:space="preserve"> В тази</w:t>
      </w:r>
      <w:r>
        <w:t xml:space="preserve"> функционална</w:t>
      </w:r>
      <w:r w:rsidRPr="0051111F">
        <w:t xml:space="preserve"> група са включени разходи за дейности по противодействие на тежките престъпления срещу личността и собствеността на гражданите, граничен контрол и охрана на държавната граница, противодействие на незаконната миграция на територията на Република България и засилване контрола върху установяване на незаконно пребиваващи граждани на територията на страната, осигуряване на пожарна безопасност и защита на населението при пожари, бедствия и други извънредни ситуации</w:t>
      </w:r>
      <w:r w:rsidRPr="00F52387">
        <w:t>,</w:t>
      </w:r>
      <w:r w:rsidRPr="0051111F">
        <w:t xml:space="preserve"> и </w:t>
      </w:r>
      <w:r w:rsidRPr="00F52387">
        <w:t>др</w:t>
      </w:r>
      <w:r w:rsidRPr="0051111F">
        <w:t>.</w:t>
      </w:r>
    </w:p>
    <w:p w14:paraId="28138279" w14:textId="6F1EB041" w:rsidR="00067B4C" w:rsidRPr="0051111F" w:rsidRDefault="00067B4C" w:rsidP="00067B4C">
      <w:r w:rsidRPr="0051111F">
        <w:t xml:space="preserve">Разходите по функция </w:t>
      </w:r>
      <w:r w:rsidRPr="0051111F">
        <w:rPr>
          <w:b/>
        </w:rPr>
        <w:t>„Икономически дейности“</w:t>
      </w:r>
      <w:r w:rsidRPr="0051111F">
        <w:t xml:space="preserve"> намаляват от 6</w:t>
      </w:r>
      <w:r w:rsidR="00A71AE0">
        <w:rPr>
          <w:lang w:val="en-US"/>
        </w:rPr>
        <w:t>.</w:t>
      </w:r>
      <w:r w:rsidRPr="0051111F">
        <w:t>7% от БВП през 2021</w:t>
      </w:r>
      <w:r w:rsidR="00B552D5">
        <w:t> г.</w:t>
      </w:r>
      <w:r w:rsidRPr="0051111F">
        <w:t xml:space="preserve"> на 5</w:t>
      </w:r>
      <w:r w:rsidR="00A71AE0">
        <w:rPr>
          <w:lang w:val="en-US"/>
        </w:rPr>
        <w:t>.</w:t>
      </w:r>
      <w:r w:rsidRPr="0051111F">
        <w:t>9% от БВП през 2026</w:t>
      </w:r>
      <w:r w:rsidR="00B552D5">
        <w:t> г.</w:t>
      </w:r>
      <w:r w:rsidRPr="0051111F">
        <w:t xml:space="preserve"> Във функцията са включени държавните предприятия, които са част от сектор „Държавно управление“ и са елиминирани разходите, свързани с европейски средства, </w:t>
      </w:r>
      <w:r w:rsidRPr="00F52387">
        <w:t>вкл</w:t>
      </w:r>
      <w:r>
        <w:t>ючително</w:t>
      </w:r>
      <w:r w:rsidRPr="00F52387">
        <w:t xml:space="preserve"> ресурсите за изпълнение на Националния план за възстановяване и устойчивост, </w:t>
      </w:r>
      <w:r w:rsidRPr="0051111F">
        <w:t xml:space="preserve">които съгласно методологията ЕСС 2010 нямат влияние върху приходите и разходите на сектор „Държавно управление“. </w:t>
      </w:r>
    </w:p>
    <w:p w14:paraId="0F8136F6" w14:textId="50F70910" w:rsidR="00067B4C" w:rsidRPr="0051111F" w:rsidRDefault="00067B4C" w:rsidP="00067B4C">
      <w:r w:rsidRPr="0051111F">
        <w:t xml:space="preserve">Разходите по функция </w:t>
      </w:r>
      <w:r w:rsidRPr="0051111F">
        <w:rPr>
          <w:b/>
        </w:rPr>
        <w:t>„Опазване на околната среда“</w:t>
      </w:r>
      <w:r w:rsidRPr="0051111F">
        <w:t xml:space="preserve"> </w:t>
      </w:r>
      <w:r w:rsidRPr="00F52387">
        <w:t>спадат</w:t>
      </w:r>
      <w:r w:rsidRPr="0051111F">
        <w:t xml:space="preserve"> от 0</w:t>
      </w:r>
      <w:r w:rsidR="00A71AE0">
        <w:rPr>
          <w:lang w:val="en-US"/>
        </w:rPr>
        <w:t>.</w:t>
      </w:r>
      <w:r w:rsidRPr="0051111F">
        <w:t>8% на 0</w:t>
      </w:r>
      <w:r w:rsidR="00A71AE0">
        <w:rPr>
          <w:lang w:val="en-US"/>
        </w:rPr>
        <w:t>.</w:t>
      </w:r>
      <w:r w:rsidRPr="0051111F">
        <w:t xml:space="preserve">5% от БВП през разглеждания период. В разходите по функцията са включени мерки в областта на опазването и ползването на компонентите на околната среда; националната система за мониторинг на околната среда и информационна обезпеченост; за подобряване на инвестиционния процес, поддържане, модернизация и изграждане на техническата инфраструктура, свързана с изпълнението на геозащитните мерки и дейности за ограничаване на свлачищата, ерозионните процеси по Дунавското крайбрежие и абразионните процеси по Черноморското крайбрежие и за предотвратяване на аварии и щети, както и дейностите по регистрирането и мониторинга на свлачищните райони. </w:t>
      </w:r>
    </w:p>
    <w:p w14:paraId="6B2632C6" w14:textId="16DCDA59" w:rsidR="00067B4C" w:rsidRPr="0051111F" w:rsidRDefault="00067B4C" w:rsidP="00067B4C">
      <w:r w:rsidRPr="00220D2A">
        <w:t xml:space="preserve">Разходите по функция </w:t>
      </w:r>
      <w:r w:rsidRPr="00220D2A">
        <w:rPr>
          <w:b/>
        </w:rPr>
        <w:t xml:space="preserve">„Жилищно строителство, благоустройство и комунално стопанство“ </w:t>
      </w:r>
      <w:r w:rsidRPr="00220D2A">
        <w:t>намаляват от 1</w:t>
      </w:r>
      <w:r w:rsidR="00A71AE0">
        <w:rPr>
          <w:lang w:val="en-US"/>
        </w:rPr>
        <w:t>.</w:t>
      </w:r>
      <w:r w:rsidRPr="00220D2A">
        <w:t>0% от БВП за 2021</w:t>
      </w:r>
      <w:r w:rsidR="00B552D5">
        <w:t> г.</w:t>
      </w:r>
      <w:r w:rsidRPr="00220D2A">
        <w:t xml:space="preserve"> на 0</w:t>
      </w:r>
      <w:r w:rsidR="00A71AE0">
        <w:rPr>
          <w:lang w:val="en-US"/>
        </w:rPr>
        <w:t>.</w:t>
      </w:r>
      <w:r w:rsidRPr="00220D2A">
        <w:t>7% за 2026</w:t>
      </w:r>
      <w:r w:rsidR="00B552D5">
        <w:t> г.</w:t>
      </w:r>
      <w:r w:rsidRPr="00220D2A">
        <w:t xml:space="preserve"> В тази функция са включени разходите по управление, контрол и регулиране на дейностите по жилищно строителство и териториално развитие. В рамките на функцията са включени разходите за изпълнението на Националната програма за енергийна ефективност на многофамилни жилищни сгради.</w:t>
      </w:r>
      <w:r w:rsidRPr="0051111F">
        <w:t xml:space="preserve"> Друга приоритетна област включва </w:t>
      </w:r>
      <w:r w:rsidRPr="00220D2A">
        <w:t>дейностите за управление, поддържане и изграждане на ВиК инфраструктурата</w:t>
      </w:r>
      <w:r w:rsidRPr="00F52387">
        <w:t xml:space="preserve"> в страната, както и</w:t>
      </w:r>
      <w:r w:rsidRPr="00220D2A">
        <w:t xml:space="preserve"> дейности свързани с проектирането, строителството, експлоатацията и поддръжката на републиканските пътища.</w:t>
      </w:r>
    </w:p>
    <w:p w14:paraId="3376CF5A" w14:textId="260ADD27" w:rsidR="00067B4C" w:rsidRPr="0051111F" w:rsidRDefault="00067B4C" w:rsidP="00067B4C">
      <w:r w:rsidRPr="0051111F">
        <w:lastRenderedPageBreak/>
        <w:t xml:space="preserve">Разходите по функция </w:t>
      </w:r>
      <w:r w:rsidRPr="0051111F">
        <w:rPr>
          <w:b/>
        </w:rPr>
        <w:t>„Здравеопазване“</w:t>
      </w:r>
      <w:r w:rsidRPr="0051111F">
        <w:t xml:space="preserve"> </w:t>
      </w:r>
      <w:r w:rsidRPr="007E5E86">
        <w:t>намаляват</w:t>
      </w:r>
      <w:r w:rsidRPr="0051111F">
        <w:t xml:space="preserve"> от 5</w:t>
      </w:r>
      <w:r w:rsidR="00A71AE0">
        <w:rPr>
          <w:lang w:val="en-US"/>
        </w:rPr>
        <w:t>.</w:t>
      </w:r>
      <w:r w:rsidRPr="0051111F">
        <w:t>8% от БВП през 2021</w:t>
      </w:r>
      <w:r w:rsidR="00B552D5">
        <w:t> г.</w:t>
      </w:r>
      <w:r w:rsidRPr="0051111F">
        <w:t xml:space="preserve"> на 5</w:t>
      </w:r>
      <w:r w:rsidR="00A71AE0">
        <w:rPr>
          <w:lang w:val="en-US"/>
        </w:rPr>
        <w:t>.</w:t>
      </w:r>
      <w:r w:rsidRPr="0051111F">
        <w:t>4% от БВП през 2026</w:t>
      </w:r>
      <w:r w:rsidR="00B552D5">
        <w:t> г.</w:t>
      </w:r>
      <w:r w:rsidRPr="0051111F">
        <w:t xml:space="preserve"> В разходите по функцията са включени мерки за опазване на здравето на гражданите; осигуряване на финансова стабилност и обезпеченост на здравната система чрез дългосрочен, устойчив и предвидим механизъм на финансиране, основан на здравни резултати; повишаване качеството и достъпността на здравните услуги; осигуряване на здравна закрила на деца, бременни и лица с физически увреждания и психически разстройства; развитие на капацитета за спешна помощ и реагиране при извънредни ситуации; по-добро планиране и мотивиране на работната сила в сектора на здравеопазването; развитие на електронното здравеопазване и дигитализация на здравната система. </w:t>
      </w:r>
    </w:p>
    <w:p w14:paraId="6FFD83D6" w14:textId="385CE0D1" w:rsidR="00067B4C" w:rsidRPr="0051111F" w:rsidRDefault="00067B4C" w:rsidP="00067B4C">
      <w:r>
        <w:t xml:space="preserve">За периода </w:t>
      </w:r>
      <w:r w:rsidR="00B552D5">
        <w:t>2023–2026 г.</w:t>
      </w:r>
      <w:r w:rsidRPr="0051111F">
        <w:t xml:space="preserve"> по функцията са разчетени допълнителни средства в размер на 142</w:t>
      </w:r>
      <w:r w:rsidR="00A71AE0">
        <w:rPr>
          <w:lang w:val="en-US"/>
        </w:rPr>
        <w:t>.</w:t>
      </w:r>
      <w:r w:rsidRPr="0051111F">
        <w:t xml:space="preserve">6 млн. лв. </w:t>
      </w:r>
      <w:r>
        <w:t>годишно за</w:t>
      </w:r>
      <w:r w:rsidRPr="0051111F">
        <w:t xml:space="preserve"> укрепване на кадровия капацитет и финансова устойчивост на достигнатото ниво на заплащане на персонала в Регионалните здравни инспекции и Центровете за спешна медицинска помощ, както и за финансово обезпечаване на договорените през 2022</w:t>
      </w:r>
      <w:r w:rsidR="00B552D5">
        <w:t> г.</w:t>
      </w:r>
      <w:r w:rsidRPr="0051111F">
        <w:t xml:space="preserve"> в колективния трудов договор за отрасъл „Здравеопазване“ нива минимални основни работни заплати за медицинския персонал.</w:t>
      </w:r>
    </w:p>
    <w:p w14:paraId="6BB7A845" w14:textId="73274E42" w:rsidR="00067B4C" w:rsidRPr="0051111F" w:rsidRDefault="00067B4C" w:rsidP="00067B4C">
      <w:r w:rsidRPr="0051111F">
        <w:t>По об</w:t>
      </w:r>
      <w:r>
        <w:t xml:space="preserve">щинските бюджети за периода </w:t>
      </w:r>
      <w:r w:rsidR="00B552D5">
        <w:t>2023–2026 г.</w:t>
      </w:r>
      <w:r w:rsidRPr="00F52387">
        <w:t>,</w:t>
      </w:r>
      <w:r w:rsidRPr="0051111F">
        <w:t xml:space="preserve"> за делегираните от държавата дейности по функция „Здравеопазване“ са разчетени допъл</w:t>
      </w:r>
      <w:r>
        <w:t>нителни средства в размер на 119</w:t>
      </w:r>
      <w:r w:rsidR="00A71AE0">
        <w:rPr>
          <w:lang w:val="en-US"/>
        </w:rPr>
        <w:t>.</w:t>
      </w:r>
      <w:r>
        <w:t>8</w:t>
      </w:r>
      <w:r w:rsidRPr="0051111F">
        <w:t xml:space="preserve"> млн. лв., с цел осигуряване въвеждането от 1 април 2022</w:t>
      </w:r>
      <w:r w:rsidR="00B552D5">
        <w:t> г.</w:t>
      </w:r>
      <w:r w:rsidRPr="0051111F">
        <w:t xml:space="preserve"> на безплатни детски ясли и поемането на издръжката им от държавата и във връзка с увеличението на размера на минималната работна заплата. Осигурени са също допълнителни средства за увеличение на възнагражденията на педагогическия персонал в детските ясли и свързания с това ръст на осигурителните вноски за сметка на работодателя.</w:t>
      </w:r>
    </w:p>
    <w:p w14:paraId="7FBF3EE5" w14:textId="5010D8B7" w:rsidR="00067B4C" w:rsidRPr="0051111F" w:rsidRDefault="00067B4C" w:rsidP="00067B4C">
      <w:r w:rsidRPr="0051111F">
        <w:t xml:space="preserve">Разходите по функция </w:t>
      </w:r>
      <w:r w:rsidRPr="0051111F">
        <w:rPr>
          <w:b/>
        </w:rPr>
        <w:t>„Почивно дело, култура и религия“</w:t>
      </w:r>
      <w:r w:rsidRPr="0051111F">
        <w:t xml:space="preserve"> намаляват от 0</w:t>
      </w:r>
      <w:r w:rsidR="00A71AE0">
        <w:rPr>
          <w:lang w:val="en-US"/>
        </w:rPr>
        <w:t>.</w:t>
      </w:r>
      <w:r w:rsidRPr="0051111F">
        <w:t>9% от БВП през 2021</w:t>
      </w:r>
      <w:r w:rsidR="00B552D5">
        <w:t> г.</w:t>
      </w:r>
      <w:r w:rsidRPr="0051111F">
        <w:t xml:space="preserve"> на 0</w:t>
      </w:r>
      <w:r w:rsidR="00A71AE0">
        <w:rPr>
          <w:lang w:val="en-US"/>
        </w:rPr>
        <w:t>.</w:t>
      </w:r>
      <w:r w:rsidRPr="0051111F">
        <w:t>6% от БВП през 2026</w:t>
      </w:r>
      <w:r w:rsidR="00B552D5">
        <w:t> г.</w:t>
      </w:r>
      <w:r w:rsidRPr="0051111F">
        <w:t xml:space="preserve"> В тази функция се включват мерките в областта на опазване на движимото и недвижимото културно наследство, където основни приоритети са опазване и социализиране на културното наследство и стимулиране на обвързването му с туристическите продукти, привличане на проектно финансиране в областта на културата по различни програми и донори, развитие и техническо усъвършенстване на музейната мрежа, привличане на средства от Европейските програми и двустранни спогодби за подкрепа на културата и утвърждаване на България като дестинация за осъществяване на международни културни проекти. В тази разходна функция са включени</w:t>
      </w:r>
      <w:r w:rsidRPr="00F52387">
        <w:t xml:space="preserve"> и</w:t>
      </w:r>
      <w:r w:rsidRPr="0051111F">
        <w:t xml:space="preserve"> политиките в областта на спорта за учащи и спорта в свободното време, както и в областта на привеждането на спортните обекти и съоръжения във вид, отговарящ на съвременните международни</w:t>
      </w:r>
      <w:r>
        <w:t>те</w:t>
      </w:r>
      <w:r w:rsidRPr="0051111F">
        <w:t xml:space="preserve"> </w:t>
      </w:r>
      <w:r w:rsidRPr="00F52387">
        <w:t xml:space="preserve">изисквания и </w:t>
      </w:r>
      <w:r w:rsidRPr="0051111F">
        <w:t>стандарти.</w:t>
      </w:r>
    </w:p>
    <w:p w14:paraId="66DCE3AE" w14:textId="4068D0DD" w:rsidR="00067B4C" w:rsidRPr="0051111F" w:rsidRDefault="00067B4C" w:rsidP="00067B4C">
      <w:r w:rsidRPr="0051111F">
        <w:t>Разходите по функция „</w:t>
      </w:r>
      <w:r w:rsidRPr="0051111F">
        <w:rPr>
          <w:b/>
        </w:rPr>
        <w:t>Образование“</w:t>
      </w:r>
      <w:r w:rsidRPr="0051111F">
        <w:t xml:space="preserve"> </w:t>
      </w:r>
      <w:r w:rsidRPr="00F52387">
        <w:t>спадат</w:t>
      </w:r>
      <w:r w:rsidRPr="0051111F">
        <w:t xml:space="preserve"> от 4</w:t>
      </w:r>
      <w:r w:rsidR="00A71AE0">
        <w:rPr>
          <w:lang w:val="en-US"/>
        </w:rPr>
        <w:t>.</w:t>
      </w:r>
      <w:r w:rsidRPr="0051111F">
        <w:t>3% на 3</w:t>
      </w:r>
      <w:r w:rsidR="00A71AE0">
        <w:rPr>
          <w:lang w:val="en-US"/>
        </w:rPr>
        <w:t>.</w:t>
      </w:r>
      <w:r w:rsidRPr="0051111F">
        <w:t>9% от БВП през разглеждания период, като включват мерки, насочени към реализиране на политики в предучилищното и училищното образование, ефективна социализация на деца от ранна детска възраст, осигуряване на равен достъп до качествено образование, личностно развитие на децата и учениците, насърчаване на иновациите,</w:t>
      </w:r>
      <w:r>
        <w:t xml:space="preserve"> </w:t>
      </w:r>
      <w:r w:rsidRPr="0051111F">
        <w:t>квалификация на педагогическите специалисти, модернизиране на образователните институции, дигитализация на образованието</w:t>
      </w:r>
      <w:r>
        <w:t>. По тази функция са предвидени допълнителни разходи</w:t>
      </w:r>
      <w:r w:rsidRPr="00382B26">
        <w:t xml:space="preserve"> за увеличение на заплатите на педагогическите специалисти</w:t>
      </w:r>
      <w:r w:rsidRPr="00C412F0">
        <w:t xml:space="preserve"> във връзка с политиката за увеличение на доходите </w:t>
      </w:r>
      <w:r>
        <w:t>им до</w:t>
      </w:r>
      <w:r w:rsidRPr="00C412F0">
        <w:t xml:space="preserve"> достигане до ниво от 125 на сто от средната работна заплата за страната</w:t>
      </w:r>
      <w:r>
        <w:t xml:space="preserve"> както и разходи за</w:t>
      </w:r>
      <w:r w:rsidRPr="00382B26">
        <w:t xml:space="preserve"> поетапното разширяване на достъпа и обхващане в задължително предучилищно образование на 4-годишни деца</w:t>
      </w:r>
      <w:r>
        <w:t>;</w:t>
      </w:r>
      <w:r w:rsidRPr="00382B26">
        <w:t xml:space="preserve"> за повишаване на интереса и увеличаване на извънкласните дейности</w:t>
      </w:r>
      <w:r>
        <w:t xml:space="preserve">; </w:t>
      </w:r>
      <w:r w:rsidRPr="008D5634">
        <w:rPr>
          <w:rFonts w:eastAsia="Times New Roman"/>
          <w:szCs w:val="24"/>
        </w:rPr>
        <w:t>за компенсиране на разходите за отглеждане и обучение на деца, които не са приети поради липса на места в държавни и общински детски градини и училища</w:t>
      </w:r>
      <w:r>
        <w:rPr>
          <w:rFonts w:eastAsia="Times New Roman"/>
          <w:szCs w:val="24"/>
        </w:rPr>
        <w:t>; за увеличение на</w:t>
      </w:r>
      <w:r w:rsidRPr="00407125">
        <w:rPr>
          <w:rFonts w:eastAsia="Times New Roman"/>
          <w:szCs w:val="24"/>
        </w:rPr>
        <w:t xml:space="preserve"> възнаграждения на лицата от академичния състав в държавните висши </w:t>
      </w:r>
      <w:r>
        <w:rPr>
          <w:rFonts w:eastAsia="Times New Roman"/>
          <w:szCs w:val="24"/>
        </w:rPr>
        <w:t xml:space="preserve">училища и др. </w:t>
      </w:r>
    </w:p>
    <w:p w14:paraId="43177A3B" w14:textId="5F5D2049" w:rsidR="00067B4C" w:rsidRDefault="00067B4C" w:rsidP="00067B4C">
      <w:r w:rsidRPr="0051111F">
        <w:lastRenderedPageBreak/>
        <w:t xml:space="preserve">Разходите по функция </w:t>
      </w:r>
      <w:r w:rsidRPr="0051111F">
        <w:rPr>
          <w:b/>
        </w:rPr>
        <w:t>„Социална защита“</w:t>
      </w:r>
      <w:r w:rsidRPr="0051111F">
        <w:t xml:space="preserve"> нарастват значително</w:t>
      </w:r>
      <w:r w:rsidR="00B552D5">
        <w:t xml:space="preserve"> – </w:t>
      </w:r>
      <w:r w:rsidRPr="0051111F">
        <w:t>от 13</w:t>
      </w:r>
      <w:r w:rsidR="00A71AE0">
        <w:rPr>
          <w:lang w:val="en-US"/>
        </w:rPr>
        <w:t>.</w:t>
      </w:r>
      <w:r w:rsidRPr="0051111F">
        <w:t>4% от БВП през 2021</w:t>
      </w:r>
      <w:r w:rsidR="00B552D5">
        <w:t> г.</w:t>
      </w:r>
      <w:r w:rsidRPr="0051111F">
        <w:t xml:space="preserve"> на 14</w:t>
      </w:r>
      <w:r w:rsidR="00A71AE0">
        <w:rPr>
          <w:lang w:val="en-US"/>
        </w:rPr>
        <w:t>.</w:t>
      </w:r>
      <w:r w:rsidRPr="0051111F">
        <w:t>4% от БВП през 2026</w:t>
      </w:r>
      <w:r w:rsidR="00B552D5">
        <w:t> г.</w:t>
      </w:r>
      <w:r w:rsidRPr="0051111F">
        <w:t xml:space="preserve"> Нарастването на разходите по тази функция е свързано с увеличение на разходите за пенсии и социални помощи. При пенсиите, нарастването се дължи основно на ежегодната индексация от 1 юли на съответната година по швейцарското правило, както и на предприетите през 2022</w:t>
      </w:r>
      <w:r w:rsidR="00B552D5">
        <w:t> г.</w:t>
      </w:r>
      <w:r w:rsidRPr="0051111F">
        <w:t xml:space="preserve"> увеличение на пенсиите с 10% от първи юли, преизчисляване на пенсиите за трудова дейност и нарастване на максималната пенсия от първи октомври, които оказват влияние на разходите и през следващите години. При обезщетенията и помощите за домакинствата влияние оказва нарастването на социалнит</w:t>
      </w:r>
      <w:r w:rsidR="002142A0">
        <w:t>е помощи по Закона за социално</w:t>
      </w:r>
      <w:r w:rsidRPr="0051111F">
        <w:t xml:space="preserve"> подпомагане и по Закона за хората с увреждания</w:t>
      </w:r>
      <w:r w:rsidRPr="00F52387">
        <w:rPr>
          <w:rFonts w:eastAsia="Batang"/>
          <w:szCs w:val="24"/>
        </w:rPr>
        <w:t>,</w:t>
      </w:r>
      <w:r w:rsidRPr="0051111F">
        <w:t xml:space="preserve"> поради </w:t>
      </w:r>
      <w:r w:rsidRPr="008A0159">
        <w:rPr>
          <w:rFonts w:eastAsia="Batang"/>
          <w:szCs w:val="24"/>
        </w:rPr>
        <w:t>нар</w:t>
      </w:r>
      <w:r>
        <w:rPr>
          <w:rFonts w:eastAsia="Batang"/>
          <w:szCs w:val="24"/>
        </w:rPr>
        <w:t>астването</w:t>
      </w:r>
      <w:r w:rsidRPr="0051111F">
        <w:t xml:space="preserve"> на линията на бедност</w:t>
      </w:r>
      <w:r w:rsidRPr="00F52387">
        <w:rPr>
          <w:rFonts w:eastAsia="Batang"/>
          <w:szCs w:val="24"/>
        </w:rPr>
        <w:t xml:space="preserve"> за страната</w:t>
      </w:r>
      <w:r w:rsidRPr="0051111F">
        <w:t>, както и предвиденото нарастване на МРЗ, което</w:t>
      </w:r>
      <w:r w:rsidRPr="00F52387">
        <w:rPr>
          <w:rFonts w:eastAsia="Calibri"/>
          <w:bCs/>
          <w:iCs/>
          <w:szCs w:val="24"/>
        </w:rPr>
        <w:t xml:space="preserve"> съответно</w:t>
      </w:r>
      <w:r w:rsidRPr="0051111F">
        <w:t xml:space="preserve"> води до увеличение на часовата ставка за положен труд за изчисляване на възнагражденията на личните асистенти по Закона за личната помощ и</w:t>
      </w:r>
      <w:r w:rsidRPr="00F52387">
        <w:rPr>
          <w:rFonts w:eastAsia="Calibri"/>
          <w:bCs/>
          <w:iCs/>
          <w:szCs w:val="24"/>
        </w:rPr>
        <w:t xml:space="preserve"> на</w:t>
      </w:r>
      <w:r w:rsidRPr="0051111F">
        <w:t xml:space="preserve"> възнагражденията на приемните </w:t>
      </w:r>
      <w:r w:rsidRPr="00E84F81">
        <w:rPr>
          <w:rFonts w:eastAsia="Calibri"/>
          <w:bCs/>
          <w:iCs/>
          <w:szCs w:val="24"/>
        </w:rPr>
        <w:t>семейства</w:t>
      </w:r>
      <w:r w:rsidRPr="0051111F">
        <w:t xml:space="preserve"> по Закона за закрила на детето</w:t>
      </w:r>
      <w:r>
        <w:t>.</w:t>
      </w:r>
    </w:p>
    <w:p w14:paraId="6D6365C6" w14:textId="4F8E9317" w:rsidR="00210F62" w:rsidRPr="00E360FF" w:rsidRDefault="00D359FF" w:rsidP="00EE53B2">
      <w:pPr>
        <w:pStyle w:val="Heading2"/>
      </w:pPr>
      <w:bookmarkStart w:id="137" w:name="_Toc352851614"/>
      <w:bookmarkStart w:id="138" w:name="_Toc448227303"/>
      <w:bookmarkStart w:id="139" w:name="_Toc479332455"/>
      <w:bookmarkStart w:id="140" w:name="_Toc133597287"/>
      <w:r w:rsidRPr="00E360FF">
        <w:t>Структура и ефективност на приходните системи</w:t>
      </w:r>
      <w:bookmarkEnd w:id="137"/>
      <w:bookmarkEnd w:id="138"/>
      <w:bookmarkEnd w:id="139"/>
      <w:bookmarkEnd w:id="140"/>
    </w:p>
    <w:p w14:paraId="330F8C1D" w14:textId="12915B2C" w:rsidR="00210F62" w:rsidRPr="005968FD" w:rsidRDefault="00210F62" w:rsidP="00B552D5">
      <w:pPr>
        <w:pStyle w:val="Heading3"/>
      </w:pPr>
      <w:r w:rsidRPr="005968FD">
        <w:t>Данъчна политика и законодателство</w:t>
      </w:r>
    </w:p>
    <w:p w14:paraId="02C67B1F" w14:textId="0B422525" w:rsidR="00EA7B9F" w:rsidRPr="00EA7B9F" w:rsidRDefault="00EA7B9F" w:rsidP="00EA7B9F">
      <w:pPr>
        <w:rPr>
          <w:szCs w:val="24"/>
        </w:rPr>
      </w:pPr>
      <w:r w:rsidRPr="00EA7B9F">
        <w:rPr>
          <w:szCs w:val="24"/>
        </w:rPr>
        <w:t>Данъчната политика на Република България е ориентирана към осигуряване на макроикономическа и бюджетна стабилност в средносрочен и дългосрочен план, както и на необходимия финансов ресурс за изпълнение на разходните политики на правителството. Политиката в областта на данъците се характеризира с предвидимост, като същевременно</w:t>
      </w:r>
      <w:r w:rsidR="0005652B">
        <w:rPr>
          <w:szCs w:val="24"/>
        </w:rPr>
        <w:t xml:space="preserve"> </w:t>
      </w:r>
      <w:r w:rsidRPr="00EA7B9F">
        <w:rPr>
          <w:szCs w:val="24"/>
        </w:rPr>
        <w:t>се насърчава развитието на бизнеса, инвестиционната активност, стимулират се иновациите, енергийната ефективност и заетостта. В международен аспект данъчната политика на страната е насочена в подкрепа на функционирането на единния пазар на Европейския съюз, успешното осъществяване на цифровата трансформация на обществото и икономиката в Европа и на дейностите по справяне с въпросите за климата и околната среда.</w:t>
      </w:r>
    </w:p>
    <w:p w14:paraId="136E07BE" w14:textId="300454E2" w:rsidR="00EA7B9F" w:rsidRPr="00EA7B9F" w:rsidRDefault="00EA7B9F" w:rsidP="00EA7B9F">
      <w:pPr>
        <w:rPr>
          <w:szCs w:val="24"/>
        </w:rPr>
      </w:pPr>
      <w:r w:rsidRPr="00EA7B9F">
        <w:rPr>
          <w:szCs w:val="24"/>
        </w:rPr>
        <w:t>Приходните дискреционни мерки в областта на данъчната политика за 2023</w:t>
      </w:r>
      <w:r w:rsidR="00B552D5">
        <w:rPr>
          <w:szCs w:val="24"/>
        </w:rPr>
        <w:t> г.</w:t>
      </w:r>
      <w:r w:rsidRPr="00EA7B9F">
        <w:rPr>
          <w:szCs w:val="24"/>
        </w:rPr>
        <w:t xml:space="preserve"> включват предприети в отговор на борбата с разпространението на заразата с COVID-19 спешни законодателни промени,</w:t>
      </w:r>
      <w:r w:rsidR="0005652B">
        <w:rPr>
          <w:szCs w:val="24"/>
        </w:rPr>
        <w:t xml:space="preserve"> </w:t>
      </w:r>
      <w:r w:rsidRPr="00EA7B9F">
        <w:rPr>
          <w:szCs w:val="24"/>
        </w:rPr>
        <w:t xml:space="preserve">насочени в подкрепа на гражданите, бизнеса и заетостта. Някои от тези мерки, като удължения срок за деклариране по </w:t>
      </w:r>
      <w:r w:rsidR="00E8285A">
        <w:rPr>
          <w:szCs w:val="24"/>
        </w:rPr>
        <w:t>ЗКПО</w:t>
      </w:r>
      <w:r w:rsidRPr="00EA7B9F">
        <w:rPr>
          <w:szCs w:val="24"/>
        </w:rPr>
        <w:t xml:space="preserve"> и намалената ставка на ДДС за определени стоки, станаха постоянни чрез промени в съответните данъчни закони. В отговор на предизвикателствата свързани с високите цени на енергията и на основни хранителни продукти, през 2022</w:t>
      </w:r>
      <w:r w:rsidR="00B552D5">
        <w:rPr>
          <w:szCs w:val="24"/>
        </w:rPr>
        <w:t> г.</w:t>
      </w:r>
      <w:r w:rsidRPr="00EA7B9F">
        <w:rPr>
          <w:szCs w:val="24"/>
        </w:rPr>
        <w:t xml:space="preserve"> беше въведен пакет от антикризисни мерки, някои от които продължават своето действие в периода </w:t>
      </w:r>
      <w:r w:rsidR="00931426">
        <w:rPr>
          <w:szCs w:val="24"/>
        </w:rPr>
        <w:t>2023–2025</w:t>
      </w:r>
      <w:r w:rsidRPr="00EA7B9F">
        <w:rPr>
          <w:szCs w:val="24"/>
        </w:rPr>
        <w:t xml:space="preserve"> година. Прието е допускането, че икономическото възстановяване в България протича едновременно със същите процеси в международен план. </w:t>
      </w:r>
    </w:p>
    <w:p w14:paraId="7F2BAF55" w14:textId="77777777" w:rsidR="00EA7B9F" w:rsidRPr="00EA7B9F" w:rsidRDefault="00EA7B9F" w:rsidP="00EA7B9F">
      <w:pPr>
        <w:rPr>
          <w:szCs w:val="24"/>
        </w:rPr>
      </w:pPr>
      <w:r w:rsidRPr="00EA7B9F">
        <w:rPr>
          <w:szCs w:val="24"/>
        </w:rPr>
        <w:t xml:space="preserve">Като се придържа към принципите за справедливост и ефективност, данъчната система се развива по начин, благоприятстващ растежа и осигуряващ повишаване на бюджетните приходи. В тази насока важна роля имат целите и мерките на данъчната политика за ограничаване на данъчните измами, за предотвратяване на отклонението от данъчно облагане, за справяне със сенчестата икономика и за намаляване на административната тежест и разходите за бизнеса и гражданите. </w:t>
      </w:r>
    </w:p>
    <w:p w14:paraId="49F24045" w14:textId="06011E63" w:rsidR="00EA7B9F" w:rsidRPr="00EA7B9F" w:rsidRDefault="00EA7B9F" w:rsidP="00EA7B9F">
      <w:pPr>
        <w:rPr>
          <w:szCs w:val="24"/>
        </w:rPr>
      </w:pPr>
      <w:r w:rsidRPr="00EA7B9F">
        <w:rPr>
          <w:szCs w:val="24"/>
        </w:rPr>
        <w:t xml:space="preserve">За периода </w:t>
      </w:r>
      <w:r w:rsidR="00B552D5">
        <w:rPr>
          <w:szCs w:val="24"/>
        </w:rPr>
        <w:t>2023–2026 г.</w:t>
      </w:r>
      <w:r w:rsidRPr="00EA7B9F">
        <w:rPr>
          <w:szCs w:val="24"/>
        </w:rPr>
        <w:t xml:space="preserve"> политиката в областта на данъците ще продължи да се придържа към установените принципи и насоки през последните години, като основните ѝ цели отново са насочени към поддържане на икономическия растеж, подобряване на бизнес средата, борбата с данъчните злоупотреби и повишаване на фискалната устойчивост в дългосрочен план.  Запазват се основните приоритети, свързани с подобряване на събираемостта на приходите, предотвратяването на възможности за укриване и невнасяне на </w:t>
      </w:r>
      <w:r w:rsidRPr="00EA7B9F">
        <w:rPr>
          <w:szCs w:val="24"/>
        </w:rPr>
        <w:lastRenderedPageBreak/>
        <w:t xml:space="preserve">данъци и осигуровки и намаляване на административната тежест и разходите за бизнеса и гражданите. </w:t>
      </w:r>
    </w:p>
    <w:p w14:paraId="6D988296" w14:textId="36154A50" w:rsidR="00EA7B9F" w:rsidRPr="00EA7B9F" w:rsidRDefault="00EA7B9F" w:rsidP="00EA7B9F">
      <w:pPr>
        <w:rPr>
          <w:szCs w:val="24"/>
        </w:rPr>
      </w:pPr>
      <w:r w:rsidRPr="00EA7B9F">
        <w:rPr>
          <w:szCs w:val="24"/>
        </w:rPr>
        <w:t>През периода 2023–2026</w:t>
      </w:r>
      <w:r w:rsidR="00B552D5">
        <w:rPr>
          <w:szCs w:val="24"/>
        </w:rPr>
        <w:t> г.</w:t>
      </w:r>
      <w:r w:rsidRPr="00EA7B9F">
        <w:rPr>
          <w:szCs w:val="24"/>
        </w:rPr>
        <w:t xml:space="preserve"> Министерството на финансите ще продължи активно да участва в структурите и дейността на ЕС и в инициативи на ОИСР в областта на данъците и административното сътрудничество. Продължава работата, свързана с участието на Република България в дейностите за въвеждането на вече договорените от ОИСР четири минимални стандарта и други елементи на пакета от мерки по Проекта „Свиване на данъчната основа и прехвърлянето на печалби” (Base Erosion and Profit Shifting – BEPS), във връзка с присъединяването на Република България към Приобщаващата рамка на ОИСР за въвеждане на мерките по проекта за свиване на данъчната основа и прехвърлянето на печалби (Протокол № 13.37 от заседанието на Министерския съвет на 30 март 2016</w:t>
      </w:r>
      <w:r w:rsidR="00B552D5">
        <w:rPr>
          <w:szCs w:val="24"/>
        </w:rPr>
        <w:t> г.</w:t>
      </w:r>
      <w:r w:rsidRPr="00EA7B9F">
        <w:rPr>
          <w:szCs w:val="24"/>
        </w:rPr>
        <w:t>). Въвеждането на минималните стандарти е свързано и с изпълнението на задълженията на България като държава членка на ЕС.</w:t>
      </w:r>
    </w:p>
    <w:p w14:paraId="0ED6A76F" w14:textId="77777777" w:rsidR="00EA7B9F" w:rsidRPr="00EA7B9F" w:rsidRDefault="00EA7B9F" w:rsidP="00EA7B9F">
      <w:pPr>
        <w:rPr>
          <w:szCs w:val="24"/>
        </w:rPr>
      </w:pPr>
      <w:r w:rsidRPr="00EA7B9F">
        <w:rPr>
          <w:szCs w:val="24"/>
        </w:rPr>
        <w:t xml:space="preserve">През периода ще продължи участието на български експерти в дейностите, свързани с обсъждането, анализа и оценката на въздействие от планираните от ОИСР мерки за справяне с данъчните предизвикателства, породени от дигитализацията на икономиката и нерешени проблеми, свързани с прехвърлянето на печалби: Стълб 1 (преразпределение на данъчни права) и Стълб 2 (минимално данъчно облагане на печалбата на многонационалните предприятия). Очаква се реформата да осигури повишаване на приходите от корпоративни данъци, значително намаляване на прехвърлянето на печалби и повишаване на данъчната сигурност. </w:t>
      </w:r>
    </w:p>
    <w:p w14:paraId="5BE21960" w14:textId="008AE3D9" w:rsidR="00EA7B9F" w:rsidRPr="00EA7B9F" w:rsidRDefault="00EA7B9F" w:rsidP="00EA7B9F">
      <w:pPr>
        <w:rPr>
          <w:szCs w:val="24"/>
        </w:rPr>
      </w:pPr>
      <w:r w:rsidRPr="00EA7B9F">
        <w:rPr>
          <w:szCs w:val="24"/>
        </w:rPr>
        <w:t>Водещият приоритет на Европейска</w:t>
      </w:r>
      <w:r w:rsidR="00A525E6">
        <w:rPr>
          <w:szCs w:val="24"/>
        </w:rPr>
        <w:t>та</w:t>
      </w:r>
      <w:r w:rsidRPr="00EA7B9F">
        <w:rPr>
          <w:szCs w:val="24"/>
        </w:rPr>
        <w:t xml:space="preserve"> комисия за действия за справяне с предизвикателствата, свързани с климата и околната среда, предполага ангажирането на България с предприемането на мерки в данъчното законодателство за постигане на поставените от Европейския съюз цели в области като облагането на енергийните продукти и насърчаване използването на екологосъобразни превозни средства.</w:t>
      </w:r>
    </w:p>
    <w:p w14:paraId="0BF45FBB" w14:textId="0B38CC84" w:rsidR="00EA7B9F" w:rsidRPr="00EA7B9F" w:rsidRDefault="00EA7B9F" w:rsidP="00EA7B9F">
      <w:pPr>
        <w:rPr>
          <w:szCs w:val="24"/>
        </w:rPr>
      </w:pPr>
      <w:r w:rsidRPr="00EA7B9F">
        <w:rPr>
          <w:szCs w:val="24"/>
        </w:rPr>
        <w:t xml:space="preserve">През периода </w:t>
      </w:r>
      <w:r w:rsidR="00B552D5">
        <w:rPr>
          <w:szCs w:val="24"/>
        </w:rPr>
        <w:t>2023–2026</w:t>
      </w:r>
      <w:r w:rsidRPr="00EA7B9F">
        <w:rPr>
          <w:szCs w:val="24"/>
        </w:rPr>
        <w:t xml:space="preserve"> като основна остава целта за провеждането на политика, насочена към повишаване на събираемостта на приходите и постигане на заложените бюджетни цели. За изпълнение на приоритетните цели на данъчната политика се извършват нормативни промени и действия на приходните администрации в областта на събирането и контрола. Много от мерките за подобряване събираемостта на приходите в областта на данъчната политика са с постоянен характер, включени са в стратегическите документи, които всяка от отговорните институции разработва и прилага и ще продължат да се изпълняват през периода </w:t>
      </w:r>
      <w:r w:rsidR="00B552D5">
        <w:rPr>
          <w:szCs w:val="24"/>
        </w:rPr>
        <w:t>2023–2026</w:t>
      </w:r>
      <w:r w:rsidRPr="00EA7B9F">
        <w:rPr>
          <w:szCs w:val="24"/>
        </w:rPr>
        <w:t xml:space="preserve"> година. Основни инструменти за минимизиране загубите от непостъпили данъчни приходи в бюджета са осъществяващото се взаимодействие на институциите и обмена на информация в национален и в международен мащаб, както и намаляването на административната тежест и разходите за бизнеса и гражданите.</w:t>
      </w:r>
    </w:p>
    <w:p w14:paraId="5C6DA687" w14:textId="173B85FF" w:rsidR="00210F62" w:rsidRPr="005968FD" w:rsidRDefault="00EA7B9F" w:rsidP="005968FD">
      <w:pPr>
        <w:rPr>
          <w:szCs w:val="24"/>
        </w:rPr>
      </w:pPr>
      <w:r w:rsidRPr="00EA7B9F">
        <w:rPr>
          <w:szCs w:val="24"/>
        </w:rPr>
        <w:t>Основните мерки с постоянен характер включват: Механизъм за обратно начисляване на ДДС при доставки на стоки и услуги; Осъществяване на фискален контрол върху движението на стоки с висок фискален риск; Механизъм за погасяване на публични задължения на лица с вземания от общини, други ведомства или държавни предприятия по договори за обществени поръчки и такива, възложени в изпълнение на оперативни програми на ЕС; Постоянен мониторинг спрямо длъжници с просрочени задължения над определен размер; Насърчаване на доброволното спазване на законодателството; Контрол върху доставките и движението на течни горива; Намаляване на административната тежест.</w:t>
      </w:r>
    </w:p>
    <w:p w14:paraId="759A6E91" w14:textId="09BBCB99" w:rsidR="00210F62" w:rsidRPr="005968FD" w:rsidRDefault="00EA7B9F" w:rsidP="00C0210D">
      <w:pPr>
        <w:pStyle w:val="Heading4"/>
      </w:pPr>
      <w:r>
        <w:lastRenderedPageBreak/>
        <w:t>Законодателни промени</w:t>
      </w:r>
    </w:p>
    <w:p w14:paraId="045E285F" w14:textId="4DC6E378" w:rsidR="00EA7B9F" w:rsidRPr="00EA7B9F" w:rsidRDefault="00EA7B9F" w:rsidP="00EA7B9F">
      <w:pPr>
        <w:rPr>
          <w:szCs w:val="24"/>
        </w:rPr>
      </w:pPr>
      <w:r w:rsidRPr="00EA7B9F">
        <w:rPr>
          <w:szCs w:val="24"/>
        </w:rPr>
        <w:t>За повишаване на бюджетните прихо</w:t>
      </w:r>
      <w:r w:rsidR="009D48E5">
        <w:rPr>
          <w:szCs w:val="24"/>
        </w:rPr>
        <w:t xml:space="preserve">ди и борба с данъчните измами са предприети </w:t>
      </w:r>
      <w:r w:rsidRPr="00EA7B9F">
        <w:rPr>
          <w:szCs w:val="24"/>
        </w:rPr>
        <w:t>мерки за  подобряване на спазването на законодателството, превенция и противодействие на данъчните измами и отклонението от данъчно облагане.</w:t>
      </w:r>
    </w:p>
    <w:p w14:paraId="2B3F7A16" w14:textId="2E3EBDE3" w:rsidR="00EA7B9F" w:rsidRPr="00EA7B9F" w:rsidRDefault="00EA7B9F" w:rsidP="00EA7B9F">
      <w:pPr>
        <w:rPr>
          <w:szCs w:val="24"/>
        </w:rPr>
      </w:pPr>
      <w:r w:rsidRPr="00EA7B9F">
        <w:rPr>
          <w:szCs w:val="24"/>
        </w:rPr>
        <w:t>С цел да се разреши проблемът с измамите с ДДС при електронната търговия чрез засилване на сътрудничеството между данъчните органи и доставчиците на платежни услуги, както и във връзка с въведените с разпоредбите на Директива (ЕС) 2020/284 на Съвета от 18 февруари 2020 година за изисквания</w:t>
      </w:r>
      <w:r w:rsidR="00772716">
        <w:rPr>
          <w:szCs w:val="24"/>
        </w:rPr>
        <w:t>та</w:t>
      </w:r>
      <w:r w:rsidRPr="00EA7B9F">
        <w:rPr>
          <w:szCs w:val="24"/>
        </w:rPr>
        <w:t xml:space="preserve"> за доставчиците на платежни услуги, са направени съответните изменения и в ЗДДС (ЗИД на ЗДДС, обн., ДВ, бр. 102 от 23.12.2022</w:t>
      </w:r>
      <w:r w:rsidR="00B552D5">
        <w:rPr>
          <w:szCs w:val="24"/>
        </w:rPr>
        <w:t> г.</w:t>
      </w:r>
      <w:r w:rsidRPr="00EA7B9F">
        <w:rPr>
          <w:szCs w:val="24"/>
        </w:rPr>
        <w:t>, в сила от 1.01.2023</w:t>
      </w:r>
      <w:r w:rsidR="00B552D5">
        <w:rPr>
          <w:szCs w:val="24"/>
        </w:rPr>
        <w:t> г.</w:t>
      </w:r>
      <w:r w:rsidRPr="00EA7B9F">
        <w:rPr>
          <w:szCs w:val="24"/>
        </w:rPr>
        <w:t xml:space="preserve">). </w:t>
      </w:r>
    </w:p>
    <w:p w14:paraId="3D3B72F6" w14:textId="6A40131C" w:rsidR="00EA7B9F" w:rsidRPr="00EA7B9F" w:rsidRDefault="00EA7B9F" w:rsidP="00EA7B9F">
      <w:pPr>
        <w:rPr>
          <w:szCs w:val="24"/>
        </w:rPr>
      </w:pPr>
      <w:r w:rsidRPr="00EA7B9F">
        <w:rPr>
          <w:szCs w:val="24"/>
        </w:rPr>
        <w:t>По отношение на облагането с акциз на тютюна и тютюневите изделия е въведен акцизен календар за поетапно увеличаване на ставките за период от четири години в Закона за акцизите и данъчните складове</w:t>
      </w:r>
      <w:r w:rsidR="00B552D5">
        <w:rPr>
          <w:szCs w:val="24"/>
        </w:rPr>
        <w:t xml:space="preserve"> – </w:t>
      </w:r>
      <w:r w:rsidRPr="00EA7B9F">
        <w:rPr>
          <w:szCs w:val="24"/>
        </w:rPr>
        <w:t>в сила от 1 март 2023</w:t>
      </w:r>
      <w:r w:rsidR="00B552D5">
        <w:rPr>
          <w:szCs w:val="24"/>
        </w:rPr>
        <w:t> г.</w:t>
      </w:r>
      <w:r w:rsidRPr="00EA7B9F">
        <w:rPr>
          <w:szCs w:val="24"/>
        </w:rPr>
        <w:t xml:space="preserve"> </w:t>
      </w:r>
    </w:p>
    <w:p w14:paraId="2CB62075" w14:textId="3BFBC3FA" w:rsidR="00EA7B9F" w:rsidRPr="00EA7B9F" w:rsidRDefault="00EA7B9F" w:rsidP="00EA7B9F">
      <w:pPr>
        <w:rPr>
          <w:szCs w:val="24"/>
        </w:rPr>
      </w:pPr>
      <w:r w:rsidRPr="00EA7B9F">
        <w:rPr>
          <w:szCs w:val="24"/>
        </w:rPr>
        <w:t>Въведена е временна солидарна вноска. С промените в ПЗР на ЗКПО се уреждат реда и начина за прилагане на Глава III от Регламент (ЕС) 2022/1854 на Съвета от 6 октомври 2022</w:t>
      </w:r>
      <w:r w:rsidR="00B552D5">
        <w:rPr>
          <w:szCs w:val="24"/>
        </w:rPr>
        <w:t> г.</w:t>
      </w:r>
      <w:r w:rsidRPr="00EA7B9F">
        <w:rPr>
          <w:szCs w:val="24"/>
        </w:rPr>
        <w:t xml:space="preserve"> относно спешна намеса за справяне с високите цени на енергията. С приетата разпоредба се регламентират правилата за временната солидарна вноска, която следва да се внася за генерираните свръхпечалби от дружествата и местата на стопанска дейност от Съюза, извършващи дейност в отраслите на суровия нефт, природния газ, въглищата и нефтопреработването. </w:t>
      </w:r>
    </w:p>
    <w:p w14:paraId="62080138" w14:textId="7C792E57" w:rsidR="00EA7B9F" w:rsidRPr="00EA7B9F" w:rsidRDefault="00EA7B9F" w:rsidP="00EA7B9F">
      <w:pPr>
        <w:rPr>
          <w:szCs w:val="24"/>
        </w:rPr>
      </w:pPr>
      <w:r w:rsidRPr="00EA7B9F">
        <w:rPr>
          <w:szCs w:val="24"/>
        </w:rPr>
        <w:t>Разширен е обхватът на доходите, за които се предоставя информация със справката по чл. 73, ал. 1 от ЗДДФЛ с някои необлагаеми доходи (ЗИД на ЗДДФЛ, обн., ДВ, бр. 102 от 23.12.2022</w:t>
      </w:r>
      <w:r w:rsidR="00B552D5">
        <w:rPr>
          <w:szCs w:val="24"/>
        </w:rPr>
        <w:t> г.</w:t>
      </w:r>
      <w:r w:rsidRPr="00EA7B9F">
        <w:rPr>
          <w:szCs w:val="24"/>
        </w:rPr>
        <w:t>, в сила от 1.01.2023</w:t>
      </w:r>
      <w:r w:rsidR="00B552D5">
        <w:rPr>
          <w:szCs w:val="24"/>
        </w:rPr>
        <w:t> г.</w:t>
      </w:r>
      <w:r w:rsidRPr="00EA7B9F">
        <w:rPr>
          <w:szCs w:val="24"/>
        </w:rPr>
        <w:t xml:space="preserve">). Добавени са, независимо от размерът им, и доходите от допълнително пенсионно осигуряване, командировъчните пари и други доходи, които въпреки че са освободени от облагане се получават регулярно от физическите лица и са от значение за коректното определяне на разполагаемия доход. Променен е прагът, над който възниква задължението за предоставяне (от 5000 на 500 лв.), по отношение на доходите от хазарт, както и на доходите от лихви по влогове и облигации. Добавени са различните помощи от социално подпомагане, държавни и национални награди, стипендии (с изключение на стипендиите, които се предоставят от училищата в полза на ученици и студенти), ренти и потребителски дивиденти. </w:t>
      </w:r>
    </w:p>
    <w:p w14:paraId="68239D94" w14:textId="11F34DFB" w:rsidR="00EA7B9F" w:rsidRPr="00EA7B9F" w:rsidRDefault="00EA7B9F" w:rsidP="00EA7B9F">
      <w:pPr>
        <w:rPr>
          <w:szCs w:val="24"/>
        </w:rPr>
      </w:pPr>
      <w:r w:rsidRPr="00EA7B9F">
        <w:rPr>
          <w:szCs w:val="24"/>
        </w:rPr>
        <w:t>Предоставена е възможност на местните физически лица да декларират в годишната данъчна декларация придобитите през годината доходи, които са освободени от облагане по силата на закона, придобитите доходи облагаеми с окончателен данък, полученото имущество по наследство, завет и дарение, както и полученото имущество с възстановено право на собственост по реда на нормативен акт. До промяната, доходите, облагаеми с окончателен данък, не се включваха в годишната данъчна декларация по чл. 50 от ЗДДФЛ, независимо от желанието на лицата.</w:t>
      </w:r>
    </w:p>
    <w:p w14:paraId="3961279C" w14:textId="5A4711B4" w:rsidR="00EA7B9F" w:rsidRPr="00EA7B9F" w:rsidRDefault="00EA7B9F" w:rsidP="00EA7B9F">
      <w:pPr>
        <w:rPr>
          <w:szCs w:val="24"/>
        </w:rPr>
      </w:pPr>
      <w:r w:rsidRPr="00EA7B9F">
        <w:rPr>
          <w:szCs w:val="24"/>
        </w:rPr>
        <w:t>Направени са промени за отстраняване на съществуващите недостатъци в Директива 2011/16/ЕС на Съвета от 15 февруари 2011</w:t>
      </w:r>
      <w:r w:rsidR="00B552D5">
        <w:rPr>
          <w:szCs w:val="24"/>
        </w:rPr>
        <w:t> г.</w:t>
      </w:r>
      <w:r w:rsidRPr="00EA7B9F">
        <w:rPr>
          <w:szCs w:val="24"/>
        </w:rPr>
        <w:t xml:space="preserve"> относно административното сътрудничество в областта на данъчното облагане и прецизиране в тази връзка на националните законодателства на държавите членки по еднозначен начин, които от своя страна гарантират правна сигурност и яснота на правилата в областта на административното сътрудничество и обмена на информация. Същевременно, развитието на цифровизацията на икономиката и възможностите за укриване на доходи, особено в случаите, когато дейността се извършва чрез цифрови платформи, установени в други юрисдикции, мотивира разширяването на обхвата на автоматичния обмен на информация за данъчни цели по отношение на доходите, реализирани чрез такива платформи, и техните получатели. Във </w:t>
      </w:r>
      <w:r w:rsidRPr="00EA7B9F">
        <w:rPr>
          <w:szCs w:val="24"/>
        </w:rPr>
        <w:lastRenderedPageBreak/>
        <w:t>връзка с това и в съответствие с изискванията на Директива (ЕС) 2021/514 с приетите промени със ЗИД на Данъчно-осигурителния процесуален кодекс (обн., ДВ, бр. 100, от 16.12.2022</w:t>
      </w:r>
      <w:r w:rsidR="00B552D5">
        <w:rPr>
          <w:szCs w:val="24"/>
        </w:rPr>
        <w:t> г.</w:t>
      </w:r>
      <w:r w:rsidRPr="00EA7B9F">
        <w:rPr>
          <w:szCs w:val="24"/>
        </w:rPr>
        <w:t>, в сила от 1.01.2023</w:t>
      </w:r>
      <w:r w:rsidR="00B552D5">
        <w:rPr>
          <w:szCs w:val="24"/>
        </w:rPr>
        <w:t> г.</w:t>
      </w:r>
      <w:r w:rsidRPr="00EA7B9F">
        <w:rPr>
          <w:szCs w:val="24"/>
        </w:rPr>
        <w:t xml:space="preserve">) се подобрява цялостната уредба на обмена на информация и административното сътрудничество и се разширява обхватът на автоматичния обмен на информация, като се включва и информацията, предоставяна от операторите на цифрови платформи за продавачи, извършващи дейност чрез тези платформи. </w:t>
      </w:r>
    </w:p>
    <w:p w14:paraId="5F395447" w14:textId="6DDBFF34" w:rsidR="00EA7B9F" w:rsidRPr="00EA7B9F" w:rsidRDefault="00EA7B9F" w:rsidP="00EA7B9F">
      <w:pPr>
        <w:rPr>
          <w:szCs w:val="24"/>
        </w:rPr>
      </w:pPr>
      <w:r w:rsidRPr="00EA7B9F">
        <w:rPr>
          <w:szCs w:val="24"/>
        </w:rPr>
        <w:t>Други промени в областта на административното сътрудничество включват създаването на възможност за присъствие на длъжностни лица на държава членка по време на административно производство в друга държава членка, както и прецизиране на действащата разпоредба относно паралелните проверки, като се предвижда 60-дневен срок за отговор на запитания орган при отправено предложение за извършване на паралелна проверка. Създадени са правила относно извършването на съвместни ревизии и проверки между две или повече държави членки. Разпоредбите на чл. 143г и създадения нов чл. 143л „Съвместни ревизии и проверки“ на ДОПК влизат в сила от 1 януари 2024</w:t>
      </w:r>
      <w:r w:rsidR="00B552D5">
        <w:rPr>
          <w:szCs w:val="24"/>
        </w:rPr>
        <w:t> г.</w:t>
      </w:r>
    </w:p>
    <w:p w14:paraId="35630202" w14:textId="33BA73E6" w:rsidR="00EA7B9F" w:rsidRPr="00474E83" w:rsidRDefault="00EA7B9F" w:rsidP="00EA7B9F">
      <w:pPr>
        <w:rPr>
          <w:b/>
          <w:szCs w:val="24"/>
        </w:rPr>
      </w:pPr>
      <w:r w:rsidRPr="00474E83">
        <w:rPr>
          <w:b/>
          <w:szCs w:val="24"/>
        </w:rPr>
        <w:t>За подобряване на бизнес средата и намаляване на административната тежест и разходите за бизнеса и гражданите</w:t>
      </w:r>
      <w:r w:rsidR="00474E83" w:rsidRPr="00474E83">
        <w:rPr>
          <w:b/>
          <w:szCs w:val="24"/>
        </w:rPr>
        <w:t>:</w:t>
      </w:r>
    </w:p>
    <w:p w14:paraId="3250D4E1" w14:textId="08C1532B" w:rsidR="00EA7B9F" w:rsidRPr="00EA7B9F" w:rsidRDefault="00EA7B9F" w:rsidP="00EA7B9F">
      <w:pPr>
        <w:rPr>
          <w:szCs w:val="24"/>
        </w:rPr>
      </w:pPr>
      <w:r w:rsidRPr="00EA7B9F">
        <w:rPr>
          <w:szCs w:val="24"/>
        </w:rPr>
        <w:t>Увеличен е размерът на прага за задължително регистриране по ЗДДС от 50 000 лв. на 100 000 лв. с  направеното изменение на чл. 96, ал. 1 (ЗИД на ЗДДС, обн., ДВ, бр. 58 от 23.07.2022</w:t>
      </w:r>
      <w:r w:rsidR="00B552D5">
        <w:rPr>
          <w:szCs w:val="24"/>
        </w:rPr>
        <w:t> г.</w:t>
      </w:r>
      <w:r w:rsidRPr="00EA7B9F">
        <w:rPr>
          <w:szCs w:val="24"/>
        </w:rPr>
        <w:t>) от ЗДДС. Промяната е в сила от 1.01.2023 година. Решението на ЕС за разрешаване на Република България да въведе дерогация от Директива 2006/112/ЕО на Съвета от 28 ноември 2006 година относно общата система на данъка върху добавената стойност e прието от Съвета на ЕС на 14.11.2022</w:t>
      </w:r>
      <w:r w:rsidR="00B552D5">
        <w:rPr>
          <w:szCs w:val="24"/>
        </w:rPr>
        <w:t> г.</w:t>
      </w:r>
      <w:r w:rsidRPr="00EA7B9F">
        <w:rPr>
          <w:szCs w:val="24"/>
        </w:rPr>
        <w:t xml:space="preserve"> и е публикувано в Официален вестник на ЕС на 17.11.2022</w:t>
      </w:r>
      <w:r w:rsidR="00B552D5">
        <w:rPr>
          <w:szCs w:val="24"/>
        </w:rPr>
        <w:t> г.</w:t>
      </w:r>
      <w:r w:rsidRPr="00EA7B9F">
        <w:rPr>
          <w:szCs w:val="24"/>
        </w:rPr>
        <w:t xml:space="preserve"> (L 297/69).</w:t>
      </w:r>
    </w:p>
    <w:p w14:paraId="62038085" w14:textId="7FECB9A2" w:rsidR="00EA7B9F" w:rsidRPr="00EA7B9F" w:rsidRDefault="00EA7B9F" w:rsidP="00EA7B9F">
      <w:pPr>
        <w:rPr>
          <w:szCs w:val="24"/>
        </w:rPr>
      </w:pPr>
      <w:r w:rsidRPr="00EA7B9F">
        <w:rPr>
          <w:szCs w:val="24"/>
        </w:rPr>
        <w:t>В съответствие с решенията на Съда на Европейския съюз са направени промени в ЗДДС за намаляване на данъчната основа на доставката при пълно или частично неплащане, което може да стане несъбираемо, с оглед на предвидената възможност в разпоредбата на чл. 90, параграф 1 от Директива 2006/112/ЕО на Съвета от 28 ноември 2006</w:t>
      </w:r>
      <w:r w:rsidR="00B552D5">
        <w:rPr>
          <w:szCs w:val="24"/>
        </w:rPr>
        <w:t> г.</w:t>
      </w:r>
      <w:r w:rsidRPr="00EA7B9F">
        <w:rPr>
          <w:szCs w:val="24"/>
        </w:rPr>
        <w:t xml:space="preserve"> относно общата система на данъка върху добавената стойност (Директивата за ДДС). Промяната в ЗДДС е въведена със ЗИД на закона, обн., ДВ, бр. 102 от 23.12.2022</w:t>
      </w:r>
      <w:r w:rsidR="00B552D5">
        <w:rPr>
          <w:szCs w:val="24"/>
        </w:rPr>
        <w:t> г.</w:t>
      </w:r>
      <w:r w:rsidRPr="00EA7B9F">
        <w:rPr>
          <w:szCs w:val="24"/>
        </w:rPr>
        <w:t>, в сила от 1.01.2023 година.</w:t>
      </w:r>
    </w:p>
    <w:p w14:paraId="3B6664C7" w14:textId="77777777" w:rsidR="00EA7B9F" w:rsidRPr="00EA7B9F" w:rsidRDefault="00EA7B9F" w:rsidP="00EA7B9F">
      <w:pPr>
        <w:rPr>
          <w:szCs w:val="24"/>
        </w:rPr>
      </w:pPr>
      <w:r w:rsidRPr="00EA7B9F">
        <w:rPr>
          <w:szCs w:val="24"/>
        </w:rPr>
        <w:t>Разширен е кръгът на освободените по ЗДДС доставки с добавяне на дейността по управление на алтернативни инвестиционни фондове. Въведената нова разпоредба в чл. 46, ал. 1 от ЗДДС третира управлението на алтернативни инвестиционни фондове, определени като специални инвестиционни фондове, в съответствие с критериите, установени от правото на Европейския съюз, като освободена доставка.</w:t>
      </w:r>
    </w:p>
    <w:p w14:paraId="623506CD" w14:textId="4E34D027" w:rsidR="00EA7B9F" w:rsidRPr="00EA7B9F" w:rsidRDefault="00EA7B9F" w:rsidP="00EA7B9F">
      <w:pPr>
        <w:rPr>
          <w:szCs w:val="24"/>
        </w:rPr>
      </w:pPr>
      <w:r w:rsidRPr="00EA7B9F">
        <w:rPr>
          <w:szCs w:val="24"/>
        </w:rPr>
        <w:t>Съгласно приетия § 5 на ЗИД на ЗДДС за изменение на чл. 66а от ЗДДС  (ДВ, бр. 102, от 23.12.2022</w:t>
      </w:r>
      <w:r w:rsidR="00B552D5">
        <w:rPr>
          <w:szCs w:val="24"/>
        </w:rPr>
        <w:t> г.</w:t>
      </w:r>
      <w:r w:rsidRPr="00EA7B9F">
        <w:rPr>
          <w:szCs w:val="24"/>
        </w:rPr>
        <w:t>, в  сила от 1 януари 2023</w:t>
      </w:r>
      <w:r w:rsidR="00B552D5">
        <w:rPr>
          <w:szCs w:val="24"/>
        </w:rPr>
        <w:t> г.</w:t>
      </w:r>
      <w:r w:rsidRPr="00EA7B9F">
        <w:rPr>
          <w:szCs w:val="24"/>
        </w:rPr>
        <w:t>), като постоянна мярка са установени намалените данъчни ставки (от 20</w:t>
      </w:r>
      <w:r w:rsidR="008B5514">
        <w:rPr>
          <w:szCs w:val="24"/>
        </w:rPr>
        <w:t>%</w:t>
      </w:r>
      <w:r w:rsidRPr="00EA7B9F">
        <w:rPr>
          <w:szCs w:val="24"/>
        </w:rPr>
        <w:t xml:space="preserve"> на 9</w:t>
      </w:r>
      <w:r w:rsidR="008B5514">
        <w:rPr>
          <w:szCs w:val="24"/>
        </w:rPr>
        <w:t>%</w:t>
      </w:r>
      <w:r w:rsidRPr="00EA7B9F">
        <w:rPr>
          <w:szCs w:val="24"/>
        </w:rPr>
        <w:t xml:space="preserve">) за доставка на книги (включително учебници, познавателни книжки и учебни комплекти, детски книги с илюстрации, за рисуване или оцветяване, печатни или ръкописни нотни издания), различни от публикации, които са изцяло или основно предназначени за реклама, и различни от публикации, които са изцяло или основно съставени от видеосъдържание или аудио-музикално съдържание), на храна, подходяща за бебета или за малки деца и на бебешки пелени и подобни хигиенни артикули по приложение № 4 на закона. </w:t>
      </w:r>
      <w:r w:rsidR="00F7527F">
        <w:rPr>
          <w:szCs w:val="24"/>
        </w:rPr>
        <w:t>До 31.12.2023</w:t>
      </w:r>
      <w:r w:rsidR="00B552D5">
        <w:rPr>
          <w:szCs w:val="24"/>
        </w:rPr>
        <w:t> г.</w:t>
      </w:r>
      <w:r w:rsidR="00F7527F">
        <w:rPr>
          <w:szCs w:val="24"/>
          <w:lang w:val="en-US"/>
        </w:rPr>
        <w:t xml:space="preserve"> </w:t>
      </w:r>
      <w:r w:rsidR="00F7527F" w:rsidRPr="00EA7B9F">
        <w:rPr>
          <w:szCs w:val="24"/>
        </w:rPr>
        <w:t xml:space="preserve">е </w:t>
      </w:r>
      <w:r w:rsidR="00F7527F">
        <w:rPr>
          <w:szCs w:val="24"/>
        </w:rPr>
        <w:t xml:space="preserve">удължен </w:t>
      </w:r>
      <w:r w:rsidRPr="00EA7B9F">
        <w:rPr>
          <w:szCs w:val="24"/>
        </w:rPr>
        <w:t>срокът на действие на намалената данъчна ставка за ресторантьорски и кетъринг услуги и за доставка на услуга за използване на спортни съоръжения, както и срокът на действие на нулевата ставка на ДДС за доставки на хляб и на брашно (§ 38 на ЗИД на ЗДДС за изменение на § 15д от ПЗР на ЗДДС).</w:t>
      </w:r>
    </w:p>
    <w:p w14:paraId="2752BE84" w14:textId="77777777" w:rsidR="00EA7B9F" w:rsidRPr="00EA7B9F" w:rsidRDefault="00EA7B9F" w:rsidP="00EA7B9F">
      <w:pPr>
        <w:rPr>
          <w:szCs w:val="24"/>
        </w:rPr>
      </w:pPr>
      <w:r w:rsidRPr="00EA7B9F">
        <w:rPr>
          <w:szCs w:val="24"/>
        </w:rPr>
        <w:lastRenderedPageBreak/>
        <w:t>С цел намаляване на административната тежест по отношение на данъчно задължените лица, които са обявени в ликвидация, е предложено, ако тези лица са избрали да останат регистрирани по ЗДДС до датата на заличаването им от търговския регистър, да не подават заявление за дерегистрация към датата на заличаването им. Прекратяването на регистрацията по ЗДДС на тези лица вече се извършва служебно от органите по приходите.</w:t>
      </w:r>
    </w:p>
    <w:p w14:paraId="2C6391D7" w14:textId="77777777" w:rsidR="00EA7B9F" w:rsidRPr="00EA7B9F" w:rsidRDefault="00EA7B9F" w:rsidP="00EA7B9F">
      <w:pPr>
        <w:rPr>
          <w:szCs w:val="24"/>
        </w:rPr>
      </w:pPr>
      <w:r w:rsidRPr="00EA7B9F">
        <w:rPr>
          <w:szCs w:val="24"/>
        </w:rPr>
        <w:t>Направена е промяна на срока за предоставянето на обезпечение при търговия с течни горива. С изменението се дава възможност на лицата да отчитат своевременно промяната на цената на горивата на вътрешният пазар, повлияна от: борсовите котировки на световните борси; пазарните промени в ценовите условия на производители и вносители, водещи до преразпределение на обемите крайни клиенти, последици от аварии и природни бедствия, водещи до временно преразпределяне на клиентите на даден производител/вносител и др.</w:t>
      </w:r>
    </w:p>
    <w:p w14:paraId="02DEAE51" w14:textId="0314D95E" w:rsidR="00EA7B9F" w:rsidRPr="00EA7B9F" w:rsidRDefault="00EA7B9F" w:rsidP="00EA7B9F">
      <w:pPr>
        <w:rPr>
          <w:szCs w:val="24"/>
        </w:rPr>
      </w:pPr>
      <w:r w:rsidRPr="00EA7B9F">
        <w:rPr>
          <w:szCs w:val="24"/>
        </w:rPr>
        <w:t xml:space="preserve">Част от направените промени в </w:t>
      </w:r>
      <w:r w:rsidR="00E8285A">
        <w:rPr>
          <w:szCs w:val="24"/>
        </w:rPr>
        <w:t>Закона за акцизите и данъчните складове (</w:t>
      </w:r>
      <w:r w:rsidRPr="00EA7B9F">
        <w:rPr>
          <w:szCs w:val="24"/>
        </w:rPr>
        <w:t>ЗАДС</w:t>
      </w:r>
      <w:r w:rsidR="00E8285A">
        <w:rPr>
          <w:szCs w:val="24"/>
        </w:rPr>
        <w:t>)</w:t>
      </w:r>
      <w:r w:rsidRPr="00EA7B9F">
        <w:rPr>
          <w:szCs w:val="24"/>
        </w:rPr>
        <w:t xml:space="preserve"> (ЗИД на ЗАДС, обн., ДВ, бр. 102 от 23.12.2022</w:t>
      </w:r>
      <w:r w:rsidR="00B552D5">
        <w:rPr>
          <w:szCs w:val="24"/>
        </w:rPr>
        <w:t> г.</w:t>
      </w:r>
      <w:r w:rsidRPr="00EA7B9F">
        <w:rPr>
          <w:szCs w:val="24"/>
        </w:rPr>
        <w:t>, в сила от 1.01.2023</w:t>
      </w:r>
      <w:r w:rsidR="00B552D5">
        <w:rPr>
          <w:szCs w:val="24"/>
        </w:rPr>
        <w:t> г.</w:t>
      </w:r>
      <w:r w:rsidRPr="00EA7B9F">
        <w:rPr>
          <w:szCs w:val="24"/>
        </w:rPr>
        <w:t xml:space="preserve">) са с цел намаляване на административната тежест и създаване на облекчени условия за икономическите оператори, включително за премахване на потенциални пречки пред данъчно задължените лица при прилагането на новите режими в ЗАДС, които са в сила от 13 февруари 2023 година. Въведена е нова разпоредба за отстраняване на пропуск в ЗАДС, тъй като лицата, които получават на територията на страната акцизни стоки, които не се облагат с акциз в държавата членка на изпращане, не бяха сред изрично дефинираните като данъчно задължени лица. Прието е при внасяне или въвеждане на територията на страната на продукти от вида масла от растителни мазнини, метанол и т.н., лицата, които внасят или въвеждат тези стоки, да декларират пред митническите органи предназначението на стоката (дали ще се използва и/или предлага за продажба като моторно гориво и гориво за отопление). Създадена е правна рамка, при която сертифицираните получатели ще подават месечна акцизна декларация за данъчния период, а не както досега, лицата да декларират и заплащат акциза за всяко получаване на акцизни стоки, освободени за потребление на територията на друга държава членка. </w:t>
      </w:r>
    </w:p>
    <w:p w14:paraId="33D1F84C" w14:textId="77777777" w:rsidR="00EA7B9F" w:rsidRPr="00EA7B9F" w:rsidRDefault="00EA7B9F" w:rsidP="00EA7B9F">
      <w:pPr>
        <w:rPr>
          <w:szCs w:val="24"/>
        </w:rPr>
      </w:pPr>
      <w:r w:rsidRPr="00EA7B9F">
        <w:rPr>
          <w:szCs w:val="24"/>
        </w:rPr>
        <w:t>Отпадна задължението по ЗАДС за регистрация на лицата, които потребяват собствена електрическа енергия, произведена от енергия от възобновяеми източници за свои собствени нужди от централа с обща инсталирана общност до 1 MW. Промяната е в изпълнение на поет ангажимент в Плана за възстановяване и устойчивост на Република България в реформа C4.R6 „Стимулиране на производството на електроенергия от възобновяеми източници“. Хипотезите на задължителна регистрация (в чл. 57а от ЗАДС) са  допълнени с лицата, които внасят или въвеждат на територията на страната компресиран природен газ, транспортиран със специализирани съдове. Тази промяна цели повишаване на контрола по акцизното законодателство и избягване на отклонение или избягване на заплащане на съответния дължим акциз в зависимост от потреблението. Изрично е уредено, че не се смятат за производство на енергийни продукти дейности, при които потребителят на даден енергиен продукт прави възможна повторната му употреба в неговото предприятие, при условие че вече платеният акциз за този продукт не е по-малък от размера на акциза, който би бил дължим, когато върху повторно използвания продукт трябва да се наложи повторен акциз.</w:t>
      </w:r>
    </w:p>
    <w:p w14:paraId="192F4F29" w14:textId="7305D412" w:rsidR="00EA7B9F" w:rsidRPr="00EA7B9F" w:rsidRDefault="00EA7B9F" w:rsidP="00EA7B9F">
      <w:pPr>
        <w:rPr>
          <w:szCs w:val="24"/>
        </w:rPr>
      </w:pPr>
      <w:r w:rsidRPr="00EA7B9F">
        <w:rPr>
          <w:szCs w:val="24"/>
        </w:rPr>
        <w:t>През 2023</w:t>
      </w:r>
      <w:r w:rsidR="00B552D5">
        <w:rPr>
          <w:szCs w:val="24"/>
        </w:rPr>
        <w:t> г.</w:t>
      </w:r>
      <w:r w:rsidRPr="00EA7B9F">
        <w:rPr>
          <w:szCs w:val="24"/>
        </w:rPr>
        <w:t xml:space="preserve"> се очаква постановяване на положително решение на Европейската комисия относно съответствие с Насоките за регионална държавна помощ (2021/C 153/01) за прилагане на нова схема на данъчното облекчение, представляващо държавна помощ за регионално развитие, с което ще започне преотстъпването на корпоративен данък съгласно чл. 184 във връзка с чл. 189 от ЗКПО, което да се прилага в срок до 31 декември 2027 година.  Данъчната преференция се предоставя с цел да насърчи икономическата активност за МСП, като ги стимулира да инвестират в материални и нематериални активи в </w:t>
      </w:r>
      <w:r w:rsidRPr="00EA7B9F">
        <w:rPr>
          <w:szCs w:val="24"/>
        </w:rPr>
        <w:lastRenderedPageBreak/>
        <w:t>предприятия, намиращи се в общини с безработица, по-висока от средната за страната, като се очаква така да се запазят или увеличат нивата на заетост в тези общини.</w:t>
      </w:r>
    </w:p>
    <w:p w14:paraId="46FC9051" w14:textId="77777777" w:rsidR="00EA7B9F" w:rsidRPr="00EA7B9F" w:rsidRDefault="00EA7B9F" w:rsidP="00EA7B9F">
      <w:pPr>
        <w:rPr>
          <w:szCs w:val="24"/>
        </w:rPr>
      </w:pPr>
      <w:r w:rsidRPr="00EA7B9F">
        <w:rPr>
          <w:szCs w:val="24"/>
        </w:rPr>
        <w:t xml:space="preserve">Променени са условията, касаещи общите изисквания за преотстъпване на корпоративен данък по чл. 167 от ЗКПО. Уточнено е изрично, че не са налице подлежащи на принудително изпълнение публични задължения и задължения по санкции по влезли в сила наказателни постановления, свързани с нарушаване на нормативните актове относно публичните задължения, както и съответните лихви, свързани с тяхното невнасяне, когато към 31 декември на съответната година същите не са отразени в данъчно-осигурителната сметка или не са отразени като предявени за принудително изпълнение в Националната агенция за приходите. </w:t>
      </w:r>
    </w:p>
    <w:p w14:paraId="623944A5" w14:textId="0CCAEF80" w:rsidR="00EA7B9F" w:rsidRPr="00EA7B9F" w:rsidRDefault="00EA7B9F" w:rsidP="00EA7B9F">
      <w:pPr>
        <w:rPr>
          <w:szCs w:val="24"/>
        </w:rPr>
      </w:pPr>
      <w:r w:rsidRPr="00EA7B9F">
        <w:rPr>
          <w:szCs w:val="24"/>
        </w:rPr>
        <w:t>С промяната в чл. 29, ал. 1, т.2, буква „г“ (нова – ДВ, бр. 52 от 2022</w:t>
      </w:r>
      <w:r w:rsidR="00B552D5">
        <w:rPr>
          <w:szCs w:val="24"/>
        </w:rPr>
        <w:t> г.</w:t>
      </w:r>
      <w:r w:rsidRPr="00EA7B9F">
        <w:rPr>
          <w:szCs w:val="24"/>
        </w:rPr>
        <w:t>) на ЗДДФЛ се повишават нормативно признатите разходи за доходи от упражняване на свободна професия като адвокат (от 25</w:t>
      </w:r>
      <w:r w:rsidR="008B5514">
        <w:rPr>
          <w:szCs w:val="24"/>
        </w:rPr>
        <w:t>%</w:t>
      </w:r>
      <w:r w:rsidRPr="00EA7B9F">
        <w:rPr>
          <w:szCs w:val="24"/>
        </w:rPr>
        <w:t xml:space="preserve"> на 40</w:t>
      </w:r>
      <w:r w:rsidR="008B5514">
        <w:rPr>
          <w:szCs w:val="24"/>
        </w:rPr>
        <w:t>%</w:t>
      </w:r>
      <w:r w:rsidRPr="00EA7B9F">
        <w:rPr>
          <w:szCs w:val="24"/>
        </w:rPr>
        <w:t>), които от своя страна намаляват облагаемият доход от упражняване на конкретната дейност. Промяната се прилага от 1 януари 2023 година.</w:t>
      </w:r>
    </w:p>
    <w:p w14:paraId="4A0B6A3F" w14:textId="7BE32B30" w:rsidR="00EA7B9F" w:rsidRPr="00EA7B9F" w:rsidRDefault="00EA7B9F" w:rsidP="00EA7B9F">
      <w:pPr>
        <w:rPr>
          <w:szCs w:val="24"/>
        </w:rPr>
      </w:pPr>
      <w:r w:rsidRPr="00EA7B9F">
        <w:rPr>
          <w:szCs w:val="24"/>
        </w:rPr>
        <w:t>С направени законодателни изменения (§ 7 от ПЗР на ЗПР на ЗДБРБ за 2022</w:t>
      </w:r>
      <w:r w:rsidR="00B552D5">
        <w:rPr>
          <w:szCs w:val="24"/>
        </w:rPr>
        <w:t> г.</w:t>
      </w:r>
      <w:r w:rsidRPr="00EA7B9F">
        <w:rPr>
          <w:szCs w:val="24"/>
        </w:rPr>
        <w:t>, ЗБДОО за 2022</w:t>
      </w:r>
      <w:r w:rsidR="00B552D5">
        <w:rPr>
          <w:szCs w:val="24"/>
        </w:rPr>
        <w:t> г.</w:t>
      </w:r>
      <w:r w:rsidRPr="00EA7B9F">
        <w:rPr>
          <w:szCs w:val="24"/>
        </w:rPr>
        <w:t xml:space="preserve"> и ЗБНЗОК  за 2022</w:t>
      </w:r>
      <w:r w:rsidR="00B552D5">
        <w:rPr>
          <w:szCs w:val="24"/>
        </w:rPr>
        <w:t> г.</w:t>
      </w:r>
      <w:r w:rsidRPr="00EA7B9F">
        <w:rPr>
          <w:szCs w:val="24"/>
        </w:rPr>
        <w:t>– ДВ, бр. 104 от 30.12.2022</w:t>
      </w:r>
      <w:r w:rsidR="00B552D5">
        <w:rPr>
          <w:szCs w:val="24"/>
        </w:rPr>
        <w:t> г.</w:t>
      </w:r>
      <w:r w:rsidRPr="00EA7B9F">
        <w:rPr>
          <w:szCs w:val="24"/>
        </w:rPr>
        <w:t>) е удължен срокът на ползване в увеличен размер на данъчните облекчения по чл. 22в и 22г от ЗДДФЛ (за деца и за деца с увреждания) през 2023</w:t>
      </w:r>
      <w:r w:rsidR="00B552D5">
        <w:rPr>
          <w:szCs w:val="24"/>
        </w:rPr>
        <w:t> г.</w:t>
      </w:r>
      <w:r w:rsidRPr="00EA7B9F">
        <w:rPr>
          <w:szCs w:val="24"/>
        </w:rPr>
        <w:t xml:space="preserve"> Възможността за авансово ползване през текущата година се запазва. Изрично е регламентирано, че възстановените въз основа на тези данъчни облекчения суми не подлежат на принудително изпълнение. Дадена е и възможност данъчните облекчения да се ползват чрез подаване на годишна данъчна декларация за починало лице от страна на наследниците по закон или по завещание, както и заветниците или техните законни представители, когато не са налице други възможности облекчението да бъде приложено. </w:t>
      </w:r>
    </w:p>
    <w:p w14:paraId="5BF9D618" w14:textId="5DD5790D" w:rsidR="00AA40DC" w:rsidRPr="005968FD" w:rsidRDefault="00AA40DC" w:rsidP="00C0210D">
      <w:pPr>
        <w:pStyle w:val="Heading4"/>
      </w:pPr>
      <w:r w:rsidRPr="005968FD">
        <w:t xml:space="preserve">Национална агенция за приходите </w:t>
      </w:r>
    </w:p>
    <w:p w14:paraId="5776A8D0" w14:textId="77777777" w:rsidR="00D8340E" w:rsidRDefault="00D8340E" w:rsidP="00AA62B8">
      <w:pPr>
        <w:rPr>
          <w:szCs w:val="24"/>
        </w:rPr>
      </w:pPr>
      <w:r>
        <w:rPr>
          <w:szCs w:val="24"/>
        </w:rPr>
        <w:t>За увеличаване дела на доброволното спазване на задълженията и подобряване на събираемостта на данъчно-осигурителните задължения, НАП продължава прилагането на следните мерки:</w:t>
      </w:r>
    </w:p>
    <w:p w14:paraId="7E37265A" w14:textId="77777777" w:rsidR="00D8340E" w:rsidRPr="00AA62B8" w:rsidRDefault="00D8340E" w:rsidP="0057481D">
      <w:pPr>
        <w:numPr>
          <w:ilvl w:val="0"/>
          <w:numId w:val="5"/>
        </w:numPr>
        <w:rPr>
          <w:szCs w:val="24"/>
        </w:rPr>
      </w:pPr>
      <w:r w:rsidRPr="00AA62B8">
        <w:rPr>
          <w:szCs w:val="24"/>
        </w:rPr>
        <w:t>Подпомагане на гражданите и фирмите при упражняване  на правата и задълженията им:</w:t>
      </w:r>
    </w:p>
    <w:p w14:paraId="24C74607" w14:textId="77777777" w:rsidR="00D8340E" w:rsidRDefault="00D8340E" w:rsidP="009F5EF2">
      <w:pPr>
        <w:pStyle w:val="ListParagraph"/>
        <w:numPr>
          <w:ilvl w:val="0"/>
          <w:numId w:val="36"/>
        </w:numPr>
        <w:tabs>
          <w:tab w:val="clear" w:pos="680"/>
          <w:tab w:val="left" w:pos="794"/>
        </w:tabs>
        <w:rPr>
          <w:szCs w:val="24"/>
        </w:rPr>
      </w:pPr>
      <w:r>
        <w:rPr>
          <w:szCs w:val="24"/>
        </w:rPr>
        <w:t>Осигуряване на бързо и качествено съдействие на клиентите на НАП.</w:t>
      </w:r>
    </w:p>
    <w:p w14:paraId="0BD653C9" w14:textId="77777777" w:rsidR="00D8340E" w:rsidRDefault="00D8340E" w:rsidP="009F5EF2">
      <w:pPr>
        <w:pStyle w:val="ListParagraph"/>
        <w:numPr>
          <w:ilvl w:val="0"/>
          <w:numId w:val="36"/>
        </w:numPr>
        <w:tabs>
          <w:tab w:val="clear" w:pos="680"/>
          <w:tab w:val="left" w:pos="794"/>
        </w:tabs>
        <w:rPr>
          <w:szCs w:val="24"/>
        </w:rPr>
      </w:pPr>
      <w:r>
        <w:rPr>
          <w:szCs w:val="24"/>
        </w:rPr>
        <w:t xml:space="preserve">Усъвършенстване на съществуващите и разработване на нови електронни услуги. </w:t>
      </w:r>
    </w:p>
    <w:p w14:paraId="3859064F" w14:textId="77777777" w:rsidR="00D8340E" w:rsidRDefault="00D8340E" w:rsidP="009F5EF2">
      <w:pPr>
        <w:pStyle w:val="ListParagraph"/>
        <w:numPr>
          <w:ilvl w:val="0"/>
          <w:numId w:val="36"/>
        </w:numPr>
        <w:tabs>
          <w:tab w:val="clear" w:pos="680"/>
          <w:tab w:val="left" w:pos="794"/>
        </w:tabs>
        <w:rPr>
          <w:szCs w:val="24"/>
        </w:rPr>
      </w:pPr>
      <w:r>
        <w:rPr>
          <w:szCs w:val="24"/>
        </w:rPr>
        <w:t>Намаляване на административната тежест, разширяване на каналите за комуникация и повишаване дела на електронното взаимодействие и обмен на информация с  клиентите и с други администрации при: предоставяне на административни услуги, определяне, деклариране и плащане на публични задължения.</w:t>
      </w:r>
    </w:p>
    <w:p w14:paraId="4A53D8B2" w14:textId="77777777" w:rsidR="00D8340E" w:rsidRDefault="00D8340E" w:rsidP="009F5EF2">
      <w:pPr>
        <w:pStyle w:val="ListParagraph"/>
        <w:numPr>
          <w:ilvl w:val="0"/>
          <w:numId w:val="36"/>
        </w:numPr>
        <w:tabs>
          <w:tab w:val="clear" w:pos="680"/>
          <w:tab w:val="left" w:pos="794"/>
        </w:tabs>
        <w:rPr>
          <w:szCs w:val="24"/>
        </w:rPr>
      </w:pPr>
      <w:r>
        <w:rPr>
          <w:szCs w:val="24"/>
        </w:rPr>
        <w:t>Обслужване на клиентите при приемане на данъчни и осигурителни декларации и издаване на удостоверения независимо от териториалната компетентност.</w:t>
      </w:r>
    </w:p>
    <w:p w14:paraId="0DACEFE5" w14:textId="77777777" w:rsidR="00D8340E" w:rsidRDefault="00D8340E" w:rsidP="009F5EF2">
      <w:pPr>
        <w:pStyle w:val="ListParagraph"/>
        <w:numPr>
          <w:ilvl w:val="0"/>
          <w:numId w:val="36"/>
        </w:numPr>
        <w:tabs>
          <w:tab w:val="clear" w:pos="680"/>
          <w:tab w:val="left" w:pos="794"/>
        </w:tabs>
        <w:rPr>
          <w:szCs w:val="24"/>
        </w:rPr>
      </w:pPr>
      <w:r>
        <w:rPr>
          <w:szCs w:val="24"/>
        </w:rPr>
        <w:t>Активна комуникация и разширяване на превантивните мерки спрямо гражданите и бизнеса – уведомителни писма, електронни съобщения, срещи, информационни кампании и други дейности за стимулиране изпълнението на задълженията.</w:t>
      </w:r>
    </w:p>
    <w:p w14:paraId="3E7BE5C1" w14:textId="77777777" w:rsidR="00D8340E" w:rsidRDefault="00D8340E" w:rsidP="009F5EF2">
      <w:pPr>
        <w:pStyle w:val="ListParagraph"/>
        <w:numPr>
          <w:ilvl w:val="0"/>
          <w:numId w:val="36"/>
        </w:numPr>
        <w:tabs>
          <w:tab w:val="clear" w:pos="680"/>
          <w:tab w:val="left" w:pos="794"/>
        </w:tabs>
        <w:rPr>
          <w:szCs w:val="24"/>
        </w:rPr>
      </w:pPr>
      <w:r>
        <w:rPr>
          <w:szCs w:val="24"/>
        </w:rPr>
        <w:t>Осигуряване на прозрачност в дейността на НАП  и разширяване на обхвата на отворените данни.</w:t>
      </w:r>
    </w:p>
    <w:p w14:paraId="3229F47B" w14:textId="77777777" w:rsidR="00D8340E" w:rsidRPr="00AA62B8" w:rsidRDefault="00D8340E" w:rsidP="0057481D">
      <w:pPr>
        <w:numPr>
          <w:ilvl w:val="0"/>
          <w:numId w:val="5"/>
        </w:numPr>
        <w:rPr>
          <w:szCs w:val="24"/>
        </w:rPr>
      </w:pPr>
      <w:r w:rsidRPr="00AA62B8">
        <w:rPr>
          <w:szCs w:val="24"/>
        </w:rPr>
        <w:t>Контрол за спазване на законодателството и намаляване на данъчните измами и засилено административно сътрудничество:</w:t>
      </w:r>
    </w:p>
    <w:p w14:paraId="0E94E495" w14:textId="77777777" w:rsidR="00D8340E" w:rsidRDefault="00D8340E" w:rsidP="009F5EF2">
      <w:pPr>
        <w:pStyle w:val="ListParagraph"/>
        <w:numPr>
          <w:ilvl w:val="0"/>
          <w:numId w:val="36"/>
        </w:numPr>
        <w:tabs>
          <w:tab w:val="clear" w:pos="680"/>
          <w:tab w:val="left" w:pos="794"/>
        </w:tabs>
        <w:rPr>
          <w:szCs w:val="24"/>
        </w:rPr>
      </w:pPr>
      <w:r>
        <w:rPr>
          <w:szCs w:val="24"/>
        </w:rPr>
        <w:lastRenderedPageBreak/>
        <w:t xml:space="preserve">Постоянен мониторинг и комуникация със задължени лица, формиращи значим дял от икономиката на страната, вкл. засилване на информираността им за механизмите и индикациите за наличие на данъчни измами с оглед избягването им. </w:t>
      </w:r>
    </w:p>
    <w:p w14:paraId="0111F010" w14:textId="77777777" w:rsidR="00D8340E" w:rsidRDefault="00D8340E" w:rsidP="009F5EF2">
      <w:pPr>
        <w:pStyle w:val="ListParagraph"/>
        <w:numPr>
          <w:ilvl w:val="0"/>
          <w:numId w:val="36"/>
        </w:numPr>
        <w:tabs>
          <w:tab w:val="clear" w:pos="680"/>
          <w:tab w:val="left" w:pos="794"/>
        </w:tabs>
        <w:rPr>
          <w:szCs w:val="24"/>
        </w:rPr>
      </w:pPr>
      <w:r>
        <w:rPr>
          <w:szCs w:val="24"/>
        </w:rPr>
        <w:t xml:space="preserve">Усъвършенстване на контрола, базиран на анализ на риска и рисково поведение и  развитие на комуникационна стратегия с оглед достигане до неограничен кръг клиенти на администрацията на информация за създаване на обща превенция спрямо включване в данъчни и осигурителни измами. </w:t>
      </w:r>
    </w:p>
    <w:p w14:paraId="283357AD" w14:textId="77777777" w:rsidR="00D8340E" w:rsidRDefault="00D8340E" w:rsidP="009F5EF2">
      <w:pPr>
        <w:pStyle w:val="ListParagraph"/>
        <w:numPr>
          <w:ilvl w:val="0"/>
          <w:numId w:val="36"/>
        </w:numPr>
        <w:tabs>
          <w:tab w:val="clear" w:pos="680"/>
          <w:tab w:val="left" w:pos="794"/>
        </w:tabs>
        <w:rPr>
          <w:szCs w:val="24"/>
        </w:rPr>
      </w:pPr>
      <w:r>
        <w:rPr>
          <w:szCs w:val="24"/>
        </w:rPr>
        <w:t>Развиване на капацитета на НАП за контрол върху електронната търговия и контрол в дигитална среда (е-ревизии).</w:t>
      </w:r>
    </w:p>
    <w:p w14:paraId="54B754B9" w14:textId="77777777" w:rsidR="00D8340E" w:rsidRDefault="00D8340E" w:rsidP="009F5EF2">
      <w:pPr>
        <w:pStyle w:val="ListParagraph"/>
        <w:numPr>
          <w:ilvl w:val="0"/>
          <w:numId w:val="36"/>
        </w:numPr>
        <w:tabs>
          <w:tab w:val="clear" w:pos="680"/>
          <w:tab w:val="left" w:pos="794"/>
        </w:tabs>
        <w:rPr>
          <w:szCs w:val="24"/>
        </w:rPr>
      </w:pPr>
      <w:r>
        <w:rPr>
          <w:szCs w:val="24"/>
        </w:rPr>
        <w:t xml:space="preserve">Развитие на капацитета на НАП за контрол върху онлайн хазарта. </w:t>
      </w:r>
    </w:p>
    <w:p w14:paraId="183A307D" w14:textId="0AEF9BBD" w:rsidR="00D8340E" w:rsidRDefault="00D8340E" w:rsidP="009F5EF2">
      <w:pPr>
        <w:pStyle w:val="ListParagraph"/>
        <w:numPr>
          <w:ilvl w:val="0"/>
          <w:numId w:val="36"/>
        </w:numPr>
        <w:tabs>
          <w:tab w:val="clear" w:pos="680"/>
          <w:tab w:val="left" w:pos="794"/>
        </w:tabs>
        <w:rPr>
          <w:szCs w:val="24"/>
        </w:rPr>
      </w:pPr>
      <w:r>
        <w:rPr>
          <w:szCs w:val="24"/>
        </w:rPr>
        <w:t xml:space="preserve">Осъществяване на ефективен и ефикасен фискален контрол във връзка с движението /превоза/ </w:t>
      </w:r>
      <w:r w:rsidR="00E8285A">
        <w:rPr>
          <w:szCs w:val="24"/>
        </w:rPr>
        <w:t>на стоки с висок фискален риск</w:t>
      </w:r>
      <w:r>
        <w:rPr>
          <w:szCs w:val="24"/>
        </w:rPr>
        <w:t xml:space="preserve"> на територията  на България, с цел предотвратяване укриването на данъци и на данъчни измами. </w:t>
      </w:r>
    </w:p>
    <w:p w14:paraId="0B62DD2B" w14:textId="77777777" w:rsidR="00D8340E" w:rsidRDefault="00D8340E" w:rsidP="009F5EF2">
      <w:pPr>
        <w:pStyle w:val="ListParagraph"/>
        <w:numPr>
          <w:ilvl w:val="0"/>
          <w:numId w:val="36"/>
        </w:numPr>
        <w:tabs>
          <w:tab w:val="clear" w:pos="680"/>
          <w:tab w:val="left" w:pos="794"/>
        </w:tabs>
        <w:rPr>
          <w:szCs w:val="24"/>
        </w:rPr>
      </w:pPr>
      <w:r>
        <w:rPr>
          <w:szCs w:val="24"/>
        </w:rPr>
        <w:t>Постигане на по-добра прозрачност и ефективност на контролната дейност, вкл. ефективността на междуведомственото сътрудничество в противодействието и разкриването на данъчни и/или осигурителни измами и престъпления.</w:t>
      </w:r>
    </w:p>
    <w:p w14:paraId="6ACB5F1C" w14:textId="77777777" w:rsidR="00D8340E" w:rsidRDefault="00D8340E" w:rsidP="009F5EF2">
      <w:pPr>
        <w:pStyle w:val="ListParagraph"/>
        <w:numPr>
          <w:ilvl w:val="0"/>
          <w:numId w:val="36"/>
        </w:numPr>
        <w:tabs>
          <w:tab w:val="clear" w:pos="680"/>
          <w:tab w:val="left" w:pos="794"/>
        </w:tabs>
        <w:rPr>
          <w:szCs w:val="24"/>
        </w:rPr>
      </w:pPr>
      <w:r>
        <w:rPr>
          <w:szCs w:val="24"/>
        </w:rPr>
        <w:t>Подобряване качеството на ревизионните производства.</w:t>
      </w:r>
    </w:p>
    <w:p w14:paraId="170CA09F" w14:textId="77777777" w:rsidR="00D8340E" w:rsidRDefault="00D8340E" w:rsidP="009F5EF2">
      <w:pPr>
        <w:pStyle w:val="ListParagraph"/>
        <w:numPr>
          <w:ilvl w:val="0"/>
          <w:numId w:val="36"/>
        </w:numPr>
        <w:tabs>
          <w:tab w:val="clear" w:pos="680"/>
          <w:tab w:val="left" w:pos="794"/>
        </w:tabs>
        <w:rPr>
          <w:szCs w:val="24"/>
        </w:rPr>
      </w:pPr>
      <w:r>
        <w:rPr>
          <w:szCs w:val="24"/>
        </w:rPr>
        <w:t xml:space="preserve">Диалог с бизнеса с цел превенция за спазване на данъчното и осигурителното законодателство. Организиране на срещи с браншови организации и Консултативен съвет във връзка със спазване на данъчното и осигурителното законодателство. </w:t>
      </w:r>
    </w:p>
    <w:p w14:paraId="5A7AB985" w14:textId="77777777" w:rsidR="00D8340E" w:rsidRDefault="00D8340E" w:rsidP="009F5EF2">
      <w:pPr>
        <w:pStyle w:val="ListParagraph"/>
        <w:numPr>
          <w:ilvl w:val="0"/>
          <w:numId w:val="36"/>
        </w:numPr>
        <w:tabs>
          <w:tab w:val="clear" w:pos="680"/>
          <w:tab w:val="left" w:pos="794"/>
        </w:tabs>
        <w:rPr>
          <w:szCs w:val="24"/>
        </w:rPr>
      </w:pPr>
      <w:r>
        <w:rPr>
          <w:szCs w:val="24"/>
        </w:rPr>
        <w:t>Проучване и консултации със заинтересованите страни за възможности  за внедряване на  Стандартен одитен файл за данъчни цели (SAF-T) в съответствие с Насоките на Организацията за икономическо сътрудничество и развитие.</w:t>
      </w:r>
    </w:p>
    <w:p w14:paraId="312C0147" w14:textId="77777777" w:rsidR="00D8340E" w:rsidRPr="00AA62B8" w:rsidRDefault="00D8340E" w:rsidP="0057481D">
      <w:pPr>
        <w:numPr>
          <w:ilvl w:val="0"/>
          <w:numId w:val="5"/>
        </w:numPr>
        <w:rPr>
          <w:szCs w:val="24"/>
        </w:rPr>
      </w:pPr>
      <w:r w:rsidRPr="00AA62B8">
        <w:rPr>
          <w:szCs w:val="24"/>
        </w:rPr>
        <w:t xml:space="preserve">Ефективно и ефикасно събиране на просрочени задължения </w:t>
      </w:r>
    </w:p>
    <w:p w14:paraId="0039D218" w14:textId="77777777" w:rsidR="00D8340E" w:rsidRDefault="00D8340E" w:rsidP="009F5EF2">
      <w:pPr>
        <w:pStyle w:val="ListParagraph"/>
        <w:numPr>
          <w:ilvl w:val="0"/>
          <w:numId w:val="36"/>
        </w:numPr>
        <w:tabs>
          <w:tab w:val="clear" w:pos="680"/>
          <w:tab w:val="left" w:pos="794"/>
        </w:tabs>
        <w:rPr>
          <w:szCs w:val="24"/>
        </w:rPr>
      </w:pPr>
      <w:r>
        <w:rPr>
          <w:szCs w:val="24"/>
        </w:rPr>
        <w:t>Активна комуникация и ранно прилагане на способи, стимулиращи доброволното плащане на просрочени задължения, с цел избягване на необходимостта от прилагане на принудителни действия.</w:t>
      </w:r>
    </w:p>
    <w:p w14:paraId="453D9944" w14:textId="77777777" w:rsidR="00D8340E" w:rsidRDefault="00D8340E" w:rsidP="009F5EF2">
      <w:pPr>
        <w:pStyle w:val="ListParagraph"/>
        <w:numPr>
          <w:ilvl w:val="0"/>
          <w:numId w:val="36"/>
        </w:numPr>
        <w:tabs>
          <w:tab w:val="clear" w:pos="680"/>
          <w:tab w:val="left" w:pos="794"/>
        </w:tabs>
        <w:rPr>
          <w:szCs w:val="24"/>
        </w:rPr>
      </w:pPr>
      <w:r>
        <w:rPr>
          <w:szCs w:val="24"/>
        </w:rPr>
        <w:t xml:space="preserve">Прилагане на унифициран и индивидуализиран подход базиран на оценка на поведението на клиента, посредством data mining модели. </w:t>
      </w:r>
    </w:p>
    <w:p w14:paraId="672DA888" w14:textId="77777777" w:rsidR="00D8340E" w:rsidRDefault="00D8340E" w:rsidP="009F5EF2">
      <w:pPr>
        <w:pStyle w:val="ListParagraph"/>
        <w:numPr>
          <w:ilvl w:val="0"/>
          <w:numId w:val="36"/>
        </w:numPr>
        <w:tabs>
          <w:tab w:val="clear" w:pos="680"/>
          <w:tab w:val="left" w:pos="794"/>
        </w:tabs>
        <w:rPr>
          <w:szCs w:val="24"/>
        </w:rPr>
      </w:pPr>
      <w:r>
        <w:rPr>
          <w:szCs w:val="24"/>
        </w:rPr>
        <w:t>Постоянен мониторинг и комуникация с лица със задължения с висок фискален ефект.</w:t>
      </w:r>
    </w:p>
    <w:p w14:paraId="5DA76809" w14:textId="77777777" w:rsidR="00D8340E" w:rsidRDefault="00D8340E" w:rsidP="009F5EF2">
      <w:pPr>
        <w:pStyle w:val="ListParagraph"/>
        <w:numPr>
          <w:ilvl w:val="0"/>
          <w:numId w:val="36"/>
        </w:numPr>
        <w:tabs>
          <w:tab w:val="clear" w:pos="680"/>
          <w:tab w:val="left" w:pos="794"/>
        </w:tabs>
        <w:rPr>
          <w:szCs w:val="24"/>
        </w:rPr>
      </w:pPr>
      <w:r>
        <w:rPr>
          <w:szCs w:val="24"/>
        </w:rPr>
        <w:t>Подобряване на комуникацията, в т.ч. и по електронен път, с длъжници, публични взискатели и заинтересовани страни.</w:t>
      </w:r>
    </w:p>
    <w:p w14:paraId="7A4EFA0E" w14:textId="77777777" w:rsidR="00D8340E" w:rsidRDefault="00D8340E" w:rsidP="009F5EF2">
      <w:pPr>
        <w:pStyle w:val="ListParagraph"/>
        <w:numPr>
          <w:ilvl w:val="0"/>
          <w:numId w:val="36"/>
        </w:numPr>
        <w:tabs>
          <w:tab w:val="clear" w:pos="680"/>
          <w:tab w:val="left" w:pos="794"/>
        </w:tabs>
        <w:rPr>
          <w:szCs w:val="24"/>
        </w:rPr>
      </w:pPr>
      <w:r>
        <w:rPr>
          <w:szCs w:val="24"/>
        </w:rPr>
        <w:t xml:space="preserve">Активна комуникация и използване на законовите възможности за улесняване плащането на дълга от лица с временни затруднения. </w:t>
      </w:r>
    </w:p>
    <w:p w14:paraId="42DBF4A8" w14:textId="77777777" w:rsidR="00D8340E" w:rsidRDefault="00D8340E" w:rsidP="009F5EF2">
      <w:pPr>
        <w:pStyle w:val="ListParagraph"/>
        <w:numPr>
          <w:ilvl w:val="0"/>
          <w:numId w:val="36"/>
        </w:numPr>
        <w:tabs>
          <w:tab w:val="clear" w:pos="680"/>
          <w:tab w:val="left" w:pos="794"/>
        </w:tabs>
        <w:rPr>
          <w:szCs w:val="24"/>
        </w:rPr>
      </w:pPr>
      <w:r>
        <w:rPr>
          <w:szCs w:val="24"/>
        </w:rPr>
        <w:t>Повишаване на ефективността на взаимната помощ при събиране чрез използване на данните от автоматичния обмен на данъчна информация.</w:t>
      </w:r>
    </w:p>
    <w:p w14:paraId="0B459764" w14:textId="77777777" w:rsidR="00D8340E" w:rsidRDefault="00D8340E" w:rsidP="009F5EF2">
      <w:pPr>
        <w:pStyle w:val="ListParagraph"/>
        <w:numPr>
          <w:ilvl w:val="0"/>
          <w:numId w:val="36"/>
        </w:numPr>
        <w:tabs>
          <w:tab w:val="clear" w:pos="680"/>
          <w:tab w:val="left" w:pos="794"/>
        </w:tabs>
        <w:rPr>
          <w:szCs w:val="24"/>
        </w:rPr>
      </w:pPr>
      <w:r>
        <w:rPr>
          <w:szCs w:val="24"/>
        </w:rPr>
        <w:t>Подготовка за и сключване на споразумения с трети държави по прилагане на „Конвенцията за взаимно административно сътрудничество по данъчни въпроси“ в частта „Съдействие при събиране“.</w:t>
      </w:r>
    </w:p>
    <w:p w14:paraId="07CDA050" w14:textId="77777777" w:rsidR="00D8340E" w:rsidRPr="00AA62B8" w:rsidRDefault="00D8340E" w:rsidP="0057481D">
      <w:pPr>
        <w:numPr>
          <w:ilvl w:val="0"/>
          <w:numId w:val="5"/>
        </w:numPr>
        <w:rPr>
          <w:szCs w:val="24"/>
        </w:rPr>
      </w:pPr>
      <w:r w:rsidRPr="00AA62B8">
        <w:rPr>
          <w:szCs w:val="24"/>
        </w:rPr>
        <w:t>Развитие на системата за управление на риска от неспазване на данъчното и осигурително законодателство в НАП</w:t>
      </w:r>
    </w:p>
    <w:p w14:paraId="768BCD63" w14:textId="77777777" w:rsidR="00D8340E" w:rsidRDefault="00D8340E" w:rsidP="009F5EF2">
      <w:pPr>
        <w:pStyle w:val="ListParagraph"/>
        <w:numPr>
          <w:ilvl w:val="0"/>
          <w:numId w:val="36"/>
        </w:numPr>
        <w:tabs>
          <w:tab w:val="clear" w:pos="680"/>
          <w:tab w:val="left" w:pos="794"/>
        </w:tabs>
        <w:rPr>
          <w:szCs w:val="24"/>
        </w:rPr>
      </w:pPr>
      <w:r>
        <w:rPr>
          <w:szCs w:val="24"/>
        </w:rPr>
        <w:lastRenderedPageBreak/>
        <w:t>Усъвършенстване на контрола, базиран на анализ на риска и рисково поведение, в т.ч. широка комуникация за създаване на обща превенция спрямо включване в данъчни и осигурителни измами;</w:t>
      </w:r>
    </w:p>
    <w:p w14:paraId="6C53553C" w14:textId="77777777" w:rsidR="00D8340E" w:rsidRDefault="00D8340E" w:rsidP="009F5EF2">
      <w:pPr>
        <w:pStyle w:val="ListParagraph"/>
        <w:numPr>
          <w:ilvl w:val="0"/>
          <w:numId w:val="36"/>
        </w:numPr>
        <w:tabs>
          <w:tab w:val="clear" w:pos="680"/>
          <w:tab w:val="left" w:pos="794"/>
        </w:tabs>
        <w:rPr>
          <w:szCs w:val="24"/>
        </w:rPr>
      </w:pPr>
      <w:r>
        <w:rPr>
          <w:szCs w:val="24"/>
        </w:rPr>
        <w:t>Продължаване реализацията на проект „Сегментиране и поведенческо профилиране на клиентите на НАП в контекста на управление на риска“;</w:t>
      </w:r>
    </w:p>
    <w:p w14:paraId="53F9CBD1" w14:textId="77777777" w:rsidR="00D8340E" w:rsidRDefault="00D8340E" w:rsidP="009F5EF2">
      <w:pPr>
        <w:pStyle w:val="ListParagraph"/>
        <w:numPr>
          <w:ilvl w:val="0"/>
          <w:numId w:val="36"/>
        </w:numPr>
        <w:tabs>
          <w:tab w:val="clear" w:pos="680"/>
          <w:tab w:val="left" w:pos="794"/>
        </w:tabs>
        <w:rPr>
          <w:szCs w:val="24"/>
        </w:rPr>
      </w:pPr>
      <w:r>
        <w:rPr>
          <w:szCs w:val="24"/>
        </w:rPr>
        <w:t>Изпълнение на дейностите по проект „Засилване на спазването чрез въвеждането в НАП на модели за изследване на външния контекст и за влияние върху поведението на данъкоплатците“;</w:t>
      </w:r>
    </w:p>
    <w:p w14:paraId="310CF5DB" w14:textId="77777777" w:rsidR="00D8340E" w:rsidRDefault="00D8340E" w:rsidP="009F5EF2">
      <w:pPr>
        <w:pStyle w:val="ListParagraph"/>
        <w:numPr>
          <w:ilvl w:val="0"/>
          <w:numId w:val="36"/>
        </w:numPr>
        <w:tabs>
          <w:tab w:val="clear" w:pos="680"/>
          <w:tab w:val="left" w:pos="794"/>
        </w:tabs>
        <w:rPr>
          <w:szCs w:val="24"/>
        </w:rPr>
      </w:pPr>
      <w:r>
        <w:rPr>
          <w:szCs w:val="24"/>
        </w:rPr>
        <w:t>Изпълнение на дейностите по проект „Разработване и прилагане на модел на „Хоризонтален мониторинг“ от Българската приходна администрация“;</w:t>
      </w:r>
    </w:p>
    <w:p w14:paraId="51551077" w14:textId="5AA50E71" w:rsidR="006D2755" w:rsidRPr="00D8340E" w:rsidRDefault="00D8340E" w:rsidP="009F5EF2">
      <w:pPr>
        <w:numPr>
          <w:ilvl w:val="0"/>
          <w:numId w:val="5"/>
        </w:numPr>
        <w:rPr>
          <w:szCs w:val="24"/>
        </w:rPr>
      </w:pPr>
      <w:r w:rsidRPr="00D8340E">
        <w:rPr>
          <w:szCs w:val="24"/>
        </w:rPr>
        <w:t>Оценка на данъчните липси от ДДС на високо ниво.</w:t>
      </w:r>
    </w:p>
    <w:p w14:paraId="6D38FD5A" w14:textId="37FC8CCE" w:rsidR="00210F62" w:rsidRPr="005968FD" w:rsidRDefault="00E0182A" w:rsidP="00C0210D">
      <w:pPr>
        <w:pStyle w:val="Heading4"/>
      </w:pPr>
      <w:r w:rsidRPr="005968FD">
        <w:t>Агенция Митници</w:t>
      </w:r>
    </w:p>
    <w:p w14:paraId="50194978" w14:textId="0BB6EAA9" w:rsidR="00D8340E" w:rsidRPr="009729D0" w:rsidRDefault="00D8340E" w:rsidP="009F5EF2">
      <w:pPr>
        <w:pStyle w:val="Heading5"/>
      </w:pPr>
      <w:r w:rsidRPr="009729D0">
        <w:t>Акцизно законодателство</w:t>
      </w:r>
    </w:p>
    <w:p w14:paraId="3453C76F" w14:textId="43FE0B7E" w:rsidR="00D8340E" w:rsidRPr="00D8340E" w:rsidRDefault="009423CE" w:rsidP="00D8340E">
      <w:pPr>
        <w:rPr>
          <w:szCs w:val="24"/>
        </w:rPr>
      </w:pPr>
      <w:r w:rsidRPr="001D5246">
        <w:rPr>
          <w:szCs w:val="24"/>
        </w:rPr>
        <w:t>С направените през 2022 г. и</w:t>
      </w:r>
      <w:r w:rsidR="00D8340E" w:rsidRPr="001D5246">
        <w:rPr>
          <w:szCs w:val="24"/>
        </w:rPr>
        <w:t>зменения и допълнения в Закона за акцизите и данъчните складове (ЗАДС)</w:t>
      </w:r>
      <w:r w:rsidRPr="001D5246">
        <w:rPr>
          <w:szCs w:val="24"/>
        </w:rPr>
        <w:t xml:space="preserve">, в сила от 2023 г., </w:t>
      </w:r>
      <w:r w:rsidR="00D8340E" w:rsidRPr="00D8340E">
        <w:rPr>
          <w:szCs w:val="24"/>
        </w:rPr>
        <w:t xml:space="preserve"> лицата, регистрирани по чл. 57а, ал. 1, т. 3б от ЗАДС, са длъжни да подават акцизна декларация в края на данъчния период, който е едногодишен.</w:t>
      </w:r>
      <w:r>
        <w:rPr>
          <w:szCs w:val="24"/>
        </w:rPr>
        <w:t xml:space="preserve"> Предвидено е също, че т</w:t>
      </w:r>
      <w:r w:rsidR="00D8340E" w:rsidRPr="00D8340E">
        <w:rPr>
          <w:szCs w:val="24"/>
        </w:rPr>
        <w:t xml:space="preserve">ечността за електронна цигара, съдържаща никотин, се смята за тютюнево изделие.  </w:t>
      </w:r>
    </w:p>
    <w:p w14:paraId="3B7683DD" w14:textId="75D34363" w:rsidR="00D8340E" w:rsidRPr="00AB6D73" w:rsidRDefault="00D8340E" w:rsidP="00AB6D73">
      <w:pPr>
        <w:pStyle w:val="ListParagraph"/>
        <w:numPr>
          <w:ilvl w:val="0"/>
          <w:numId w:val="41"/>
        </w:numPr>
        <w:ind w:left="714" w:hanging="357"/>
      </w:pPr>
      <w:r w:rsidRPr="00AB6D73">
        <w:t>В чл. 29 ал. 3 се изменя данъчната основа за нагреваемо тютюнево изделие и течността за електронна цигара;</w:t>
      </w:r>
    </w:p>
    <w:p w14:paraId="4CAD9677" w14:textId="73FCABDB" w:rsidR="00D8340E" w:rsidRPr="00AB6D73" w:rsidRDefault="00D8340E" w:rsidP="00AB6D73">
      <w:pPr>
        <w:pStyle w:val="ListParagraph"/>
        <w:numPr>
          <w:ilvl w:val="0"/>
          <w:numId w:val="41"/>
        </w:numPr>
      </w:pPr>
      <w:r w:rsidRPr="00AB6D73">
        <w:t>В чл. 37 се изменя акцизната ставка за пури и пурети;</w:t>
      </w:r>
    </w:p>
    <w:p w14:paraId="3A7243A0" w14:textId="27484B64" w:rsidR="00D8340E" w:rsidRPr="00AB6D73" w:rsidRDefault="00D8340E" w:rsidP="00AB6D73">
      <w:pPr>
        <w:pStyle w:val="ListParagraph"/>
        <w:numPr>
          <w:ilvl w:val="0"/>
          <w:numId w:val="41"/>
        </w:numPr>
        <w:ind w:left="714" w:hanging="357"/>
      </w:pPr>
      <w:r w:rsidRPr="00AB6D73">
        <w:t>В чл. 38 се изменя акцизната ставка за тютюн за пушене (за лула и цигари) нагреваеми тютюневи изделия, течност за електронна цигара, съдържаща никотин;</w:t>
      </w:r>
    </w:p>
    <w:p w14:paraId="4C991649" w14:textId="00B051CC" w:rsidR="00D8340E" w:rsidRPr="00AB6D73" w:rsidRDefault="00D8340E" w:rsidP="00AB6D73">
      <w:pPr>
        <w:pStyle w:val="ListParagraph"/>
        <w:numPr>
          <w:ilvl w:val="0"/>
          <w:numId w:val="41"/>
        </w:numPr>
      </w:pPr>
      <w:r w:rsidRPr="00AB6D73">
        <w:t>В чл. 39 се изменя акцизната ставка за цигарите</w:t>
      </w:r>
      <w:r w:rsidR="009423CE">
        <w:t>.</w:t>
      </w:r>
      <w:r w:rsidRPr="00AB6D73">
        <w:t xml:space="preserve"> </w:t>
      </w:r>
    </w:p>
    <w:p w14:paraId="0DA79F9C" w14:textId="73DD0F68" w:rsidR="00D8340E" w:rsidRPr="00AB6D73" w:rsidRDefault="00D8340E" w:rsidP="00AB6D73">
      <w:pPr>
        <w:pStyle w:val="ListParagraph"/>
        <w:numPr>
          <w:ilvl w:val="0"/>
          <w:numId w:val="41"/>
        </w:numPr>
      </w:pPr>
      <w:r w:rsidRPr="00AB6D73">
        <w:t>чл. 3, ал. 1 се създава нова т. 11, свързана с отстраняване на пропуск в закона, тъй като към момента лицата, които получават на територията на страната акцизни стоки, които в държавата членка на изпращане не се облагат с акциз, не са изрично дефинирани като данъчно задължени лица. От 13 февруари 2023</w:t>
      </w:r>
      <w:r w:rsidR="00B552D5" w:rsidRPr="00AB6D73">
        <w:t> г.</w:t>
      </w:r>
      <w:r w:rsidRPr="00AB6D73">
        <w:t xml:space="preserve"> влизат в сила новите режими за получаване на акцизни стоки от и до територията на страната, които в държавата членка на изпращане или получаване не се облагат с акциз.</w:t>
      </w:r>
    </w:p>
    <w:p w14:paraId="6EA2C1C3" w14:textId="5DCA7DCD" w:rsidR="00D8340E" w:rsidRPr="00AB6D73" w:rsidRDefault="00D8340E" w:rsidP="001D5246">
      <w:pPr>
        <w:pStyle w:val="ListParagraph"/>
        <w:numPr>
          <w:ilvl w:val="0"/>
          <w:numId w:val="41"/>
        </w:numPr>
      </w:pPr>
      <w:r w:rsidRPr="00AB6D73">
        <w:t xml:space="preserve">С цел облекчаване на дейността на сертифицираните получатели е направено допълнение в чл. 44, ал. 1, т. 3, както и промяна в чл. 87 от ЗАДС относно декларирането и внасянето на дължимия акциз. По този начин се създава правна рамка, при която сертифицираните получатели ще подават месечна акцизна декларация за данъчния период, а не както до сега, лицата да декларират и заплащат акциза за всяко получаване на акцизни стоки, освободени за потребление на територията на друга държава членка. </w:t>
      </w:r>
    </w:p>
    <w:p w14:paraId="74F05B6F" w14:textId="1DDCE839" w:rsidR="00D8340E" w:rsidRPr="00AB6D73" w:rsidRDefault="00D8340E" w:rsidP="00AB6D73">
      <w:pPr>
        <w:pStyle w:val="ListParagraph"/>
        <w:numPr>
          <w:ilvl w:val="0"/>
          <w:numId w:val="41"/>
        </w:numPr>
      </w:pPr>
      <w:r w:rsidRPr="00AB6D73">
        <w:t xml:space="preserve">С допълнението в чл. 53, ал. 6 се създава нормативна възможност, като се въвежда основание за заплащане освен на дължимия акциз и на законната лихва, за да могат лицата, които са собственици на стоката, и са вложители в данъчния склад, при прекратяване действието на лиценза за управление на данъчен склад да изведат стоките от данъчния склад. </w:t>
      </w:r>
    </w:p>
    <w:p w14:paraId="43F0AC6E" w14:textId="6D412664" w:rsidR="00D8340E" w:rsidRPr="00AB6D73" w:rsidRDefault="00D8340E" w:rsidP="00AB6D73">
      <w:pPr>
        <w:pStyle w:val="ListParagraph"/>
        <w:numPr>
          <w:ilvl w:val="0"/>
          <w:numId w:val="41"/>
        </w:numPr>
      </w:pPr>
      <w:r w:rsidRPr="00AB6D73">
        <w:lastRenderedPageBreak/>
        <w:t xml:space="preserve">Направено е допълнение в чл. 57, ал. 3, т. 7, свързано с въведените нови определения за „независим малък винопроизводител“ и „обект за винопроизводство на независим малък винопроизводител“ и задължението им да подават декларация, че отговарят на изискванията на чл. 4, т. 8, 8а и 9 от ЗАДС. </w:t>
      </w:r>
    </w:p>
    <w:p w14:paraId="0313E297" w14:textId="4C07934B" w:rsidR="00D8340E" w:rsidRPr="00AB6D73" w:rsidRDefault="00D8340E" w:rsidP="00AB6D73">
      <w:pPr>
        <w:pStyle w:val="ListParagraph"/>
        <w:numPr>
          <w:ilvl w:val="0"/>
          <w:numId w:val="41"/>
        </w:numPr>
      </w:pPr>
      <w:r w:rsidRPr="00AB6D73">
        <w:t xml:space="preserve">С изменението на чл. 57б, ал. 3, т. 2 се прецизира разпоредбата и синхронизирането й с чл. 57а, ал. 1, т. 4, съгласно която регистрираните лица за целите на ДДС в друга държава членка, които въвеждат акцизни стоки на територията на страната за извършване на доставки при условията на дистанционна продажба по смисъла на Закона за данък върху добавената стойност, се регистрират чрез данъчен представител. </w:t>
      </w:r>
    </w:p>
    <w:p w14:paraId="2CE85A2D" w14:textId="278AA6E4" w:rsidR="00D8340E" w:rsidRPr="00D8340E" w:rsidRDefault="00D8340E" w:rsidP="00D8340E">
      <w:pPr>
        <w:rPr>
          <w:szCs w:val="24"/>
        </w:rPr>
      </w:pPr>
      <w:r w:rsidRPr="00D8340E">
        <w:rPr>
          <w:szCs w:val="24"/>
        </w:rPr>
        <w:t>Новата ал. 7 в чл. 59 е в съответствие с разпоредбата на чл. 21, параграф 6, буква „б“ от Директива 2003/96/EО на Съвета от 27 октомври 2003 година относно преструктурирането на правната рамката на Общността за данъчно облагане на енергийните продукти и електроенергията. Целта е отстраняване на пропуск при транспониране на директивата, като изрично се урежда, че не се смятат за производство на енергийни продукти дейности, при които потребителят на даден енергиен продукт прави възможна повторната му употреба в неговото предприятие, при условие че вече платеният акциз за този продукт не е по-малък от размера на акциза, който би бил дължим, ако върху повторно използвания продукт трябва да се наложи повторен акциз.</w:t>
      </w:r>
    </w:p>
    <w:p w14:paraId="68D84757" w14:textId="45F62707" w:rsidR="00D8340E" w:rsidRPr="00AB6D73" w:rsidRDefault="00D8340E" w:rsidP="00AB6D73">
      <w:pPr>
        <w:pStyle w:val="ListParagraph"/>
        <w:numPr>
          <w:ilvl w:val="0"/>
          <w:numId w:val="41"/>
        </w:numPr>
      </w:pPr>
      <w:r w:rsidRPr="00AB6D73">
        <w:t>С § 32 от ПЗР на ЗАДС се регламентира че: „разпоредбите относно реда за движение на акцизни стоки по чл. 76а, 76б и 76в се прилагат до 12 февруари 2023</w:t>
      </w:r>
      <w:r w:rsidR="00B552D5" w:rsidRPr="00AB6D73">
        <w:t> г.</w:t>
      </w:r>
      <w:r w:rsidRPr="00AB6D73">
        <w:t xml:space="preserve"> включително, като започналите до този срок движения на акцизни стоки се приключват по същия ред.“</w:t>
      </w:r>
    </w:p>
    <w:p w14:paraId="73944FFA" w14:textId="09489689" w:rsidR="00D8340E" w:rsidRPr="004A1254" w:rsidRDefault="004A1254" w:rsidP="004A1254">
      <w:pPr>
        <w:rPr>
          <w:szCs w:val="24"/>
        </w:rPr>
      </w:pPr>
      <w:r>
        <w:rPr>
          <w:szCs w:val="24"/>
        </w:rPr>
        <w:t>Изготвени са и</w:t>
      </w:r>
      <w:r w:rsidR="00D8340E" w:rsidRPr="004A1254">
        <w:rPr>
          <w:szCs w:val="24"/>
        </w:rPr>
        <w:t>зменения и допълнения в Правилника за прилагане на Закона за</w:t>
      </w:r>
      <w:r w:rsidR="00E8285A">
        <w:rPr>
          <w:szCs w:val="24"/>
        </w:rPr>
        <w:t xml:space="preserve"> акцизите и данъчните складове </w:t>
      </w:r>
      <w:r w:rsidR="00D8340E" w:rsidRPr="004A1254">
        <w:rPr>
          <w:szCs w:val="24"/>
        </w:rPr>
        <w:t>през 2022</w:t>
      </w:r>
      <w:r w:rsidR="00B552D5">
        <w:rPr>
          <w:szCs w:val="24"/>
        </w:rPr>
        <w:t> г.</w:t>
      </w:r>
      <w:r>
        <w:rPr>
          <w:szCs w:val="24"/>
        </w:rPr>
        <w:t xml:space="preserve"> във връзка </w:t>
      </w:r>
      <w:r w:rsidRPr="00D8340E">
        <w:rPr>
          <w:szCs w:val="24"/>
        </w:rPr>
        <w:t>с измененията и допълненията на ЗАДС</w:t>
      </w:r>
      <w:r w:rsidR="009423CE">
        <w:rPr>
          <w:szCs w:val="24"/>
        </w:rPr>
        <w:t>.</w:t>
      </w:r>
    </w:p>
    <w:p w14:paraId="7BB48183" w14:textId="0530DAED" w:rsidR="00D8340E" w:rsidRPr="00181369" w:rsidRDefault="00D8340E" w:rsidP="00D8340E">
      <w:pPr>
        <w:rPr>
          <w:szCs w:val="24"/>
          <w:u w:val="single"/>
        </w:rPr>
      </w:pPr>
      <w:r w:rsidRPr="00181369">
        <w:rPr>
          <w:szCs w:val="24"/>
          <w:u w:val="single"/>
        </w:rPr>
        <w:t>Предложения за включване на законопроекти в Законодателната програма на Министерския съвет за първото шестмесечие на 2023 година</w:t>
      </w:r>
    </w:p>
    <w:p w14:paraId="56D97FEA" w14:textId="1092CD40" w:rsidR="00D8340E" w:rsidRPr="00D8340E" w:rsidRDefault="00D8340E" w:rsidP="00D8340E">
      <w:pPr>
        <w:rPr>
          <w:szCs w:val="24"/>
        </w:rPr>
      </w:pPr>
      <w:r w:rsidRPr="00D8340E">
        <w:rPr>
          <w:szCs w:val="24"/>
        </w:rPr>
        <w:t>В периода до 30.06.2023</w:t>
      </w:r>
      <w:r w:rsidR="00B552D5">
        <w:rPr>
          <w:szCs w:val="24"/>
        </w:rPr>
        <w:t> г.</w:t>
      </w:r>
      <w:r w:rsidRPr="00D8340E">
        <w:rPr>
          <w:szCs w:val="24"/>
        </w:rPr>
        <w:t>, като част от Законодателната програма на Министерския съвет за първото шестмесечие на 2023</w:t>
      </w:r>
      <w:r w:rsidR="00B552D5">
        <w:rPr>
          <w:szCs w:val="24"/>
        </w:rPr>
        <w:t> г.</w:t>
      </w:r>
      <w:r w:rsidRPr="00D8340E">
        <w:rPr>
          <w:szCs w:val="24"/>
        </w:rPr>
        <w:t xml:space="preserve">, Агенция „Митници“ е направила предложения за включване на следните законопроекти: Закон за изменение и допълнение на Закона за акцизите и данъчните складове, Закона за изменение и допълнение на Закона за митниците, Закон за изменение и допълнение на Закона за държавния служител и Закон за изменение и допълнение на Закона за електронното управление.  Наред с тях, към настоящия момент Агенция „Митници“ е внесла за разглеждане в Министерството на финансите пакет материали за изменение на Закона за пътищата. Проектът е изготвен във връзка с необходимостта от създаване на условия за по-ефективно използване на кадровия ресурс на държавната администрация при осъществяване на възложените на изпълнителната власт контролни функции, и същият предвижда съответни изменения на Закона за движението по пътищата и Закона за митниците. </w:t>
      </w:r>
    </w:p>
    <w:p w14:paraId="710D21A0" w14:textId="3A852F9F" w:rsidR="00D8340E" w:rsidRDefault="00D8340E" w:rsidP="00D8340E">
      <w:pPr>
        <w:rPr>
          <w:szCs w:val="24"/>
        </w:rPr>
      </w:pPr>
      <w:r w:rsidRPr="00D8340E">
        <w:rPr>
          <w:szCs w:val="24"/>
        </w:rPr>
        <w:t xml:space="preserve">С цел повишаване събираемостта на установените в нормативен акт публични държавни вземания и съобразно предоставените ѝ правомощия, Агенция „Митници“ анализира и прилага различни инструменти за повишаване ефективността на осъществяваните от митническата администрация функции в рамките на разполагаемия финансов, административен и човешки ресурс. В тази връзка в Агенция „Митници“ е извършен анализ за събираемостта на публичните държавни вземания, установени с актове на митническите органи, когато същите не са обект на доброволно изпълнение е внесен пакет материали.  </w:t>
      </w:r>
    </w:p>
    <w:p w14:paraId="55E43CFC" w14:textId="299B5780" w:rsidR="001D190B" w:rsidRDefault="001D190B" w:rsidP="00D8340E">
      <w:pPr>
        <w:rPr>
          <w:szCs w:val="24"/>
        </w:rPr>
      </w:pPr>
    </w:p>
    <w:p w14:paraId="47789541" w14:textId="77777777" w:rsidR="001D190B" w:rsidRPr="00D8340E" w:rsidRDefault="001D190B" w:rsidP="00D8340E">
      <w:pPr>
        <w:rPr>
          <w:szCs w:val="24"/>
        </w:rPr>
      </w:pPr>
    </w:p>
    <w:p w14:paraId="06D1D48B" w14:textId="771D3B0C" w:rsidR="00D8340E" w:rsidRPr="00181369" w:rsidRDefault="00D8340E" w:rsidP="00D8340E">
      <w:pPr>
        <w:rPr>
          <w:szCs w:val="24"/>
          <w:u w:val="single"/>
        </w:rPr>
      </w:pPr>
      <w:r w:rsidRPr="00181369">
        <w:rPr>
          <w:szCs w:val="24"/>
          <w:u w:val="single"/>
        </w:rPr>
        <w:t>Проекти, свързани с разработването и усъвършенстването на интегрираните информационни системи на Агенция „Митници“</w:t>
      </w:r>
    </w:p>
    <w:p w14:paraId="3AD37E1C" w14:textId="0B75E100" w:rsidR="00D8340E" w:rsidRPr="00D8340E" w:rsidRDefault="00D8340E" w:rsidP="00D8340E">
      <w:pPr>
        <w:rPr>
          <w:szCs w:val="24"/>
        </w:rPr>
      </w:pPr>
      <w:r w:rsidRPr="00D8340E">
        <w:rPr>
          <w:szCs w:val="24"/>
        </w:rPr>
        <w:t>В периода от 2023 до 2026</w:t>
      </w:r>
      <w:r w:rsidR="00B552D5">
        <w:rPr>
          <w:szCs w:val="24"/>
        </w:rPr>
        <w:t> г.</w:t>
      </w:r>
      <w:r w:rsidRPr="00D8340E">
        <w:rPr>
          <w:szCs w:val="24"/>
        </w:rPr>
        <w:t xml:space="preserve"> Агенция „Митници“ ще продължи да реализира редица проекти в съответствие с Пътната карта за изпълнение на Секторната стратегия „е-Митници“ (2021-2027</w:t>
      </w:r>
      <w:r w:rsidR="00B552D5">
        <w:rPr>
          <w:szCs w:val="24"/>
        </w:rPr>
        <w:t> г.</w:t>
      </w:r>
      <w:r w:rsidRPr="00D8340E">
        <w:rPr>
          <w:szCs w:val="24"/>
        </w:rPr>
        <w:t>), които имат за цел повишаване качеството на административното обслужване на гражданите и бизнеса, намаляване на административната тежест, своевременно отражение на настъпили промени в нормативната уредба, усъвършенстване на процесите по преминаване към безхартиена среда и други.</w:t>
      </w:r>
    </w:p>
    <w:p w14:paraId="5E99D90D" w14:textId="39C1A9EC" w:rsidR="00D8340E" w:rsidRPr="00D8340E" w:rsidRDefault="00D8340E" w:rsidP="00D8340E">
      <w:pPr>
        <w:rPr>
          <w:szCs w:val="24"/>
        </w:rPr>
      </w:pPr>
      <w:r w:rsidRPr="00D8340E">
        <w:rPr>
          <w:szCs w:val="24"/>
        </w:rPr>
        <w:t>През периода е планирано изпълнение на 26 мерки от планираните общо 46 мерки от Пътна карта към „Секторна стратегия за развитие на електронното управление в Агенция „Митници“ – „е-Митници" 2021 – 2027“, приета с Решение № 951 от 25.11.2022</w:t>
      </w:r>
      <w:r w:rsidR="00B552D5">
        <w:rPr>
          <w:szCs w:val="24"/>
        </w:rPr>
        <w:t> г.</w:t>
      </w:r>
      <w:r w:rsidRPr="00D8340E">
        <w:rPr>
          <w:szCs w:val="24"/>
        </w:rPr>
        <w:t xml:space="preserve"> на Министерския съвет. </w:t>
      </w:r>
    </w:p>
    <w:p w14:paraId="4F28C29B" w14:textId="77777777" w:rsidR="00D8340E" w:rsidRPr="00D8340E" w:rsidRDefault="00D8340E" w:rsidP="00D8340E">
      <w:pPr>
        <w:rPr>
          <w:szCs w:val="24"/>
        </w:rPr>
      </w:pPr>
      <w:r w:rsidRPr="00D8340E">
        <w:rPr>
          <w:szCs w:val="24"/>
        </w:rPr>
        <w:t>Приоритетно на национално ниво за модернизация на ГКПП, Агенция „Митници“ стартира проект за изграждане единна интегрирана информационна система „Контрол на транспортни средства в реално време“ (КТСРВ). Проектът е насочен към повишаване на пропускателната способност на ГКПП, подобряване на резултатите от противодействието на опитите за нарушаване на митническо и акцизно законодателство, разширяване на възможностите за автоматизиран рисков анализ, улесняването на търговските операции на законния бизнес, повишаване на конкурентоспособността на икономиката, както и подобряване на изпълнението на функциите на АМ по защита на живота и здравето на хората.</w:t>
      </w:r>
    </w:p>
    <w:p w14:paraId="69BE89F3" w14:textId="203B7EC0" w:rsidR="00D8340E" w:rsidRPr="00D8340E" w:rsidRDefault="00D8340E" w:rsidP="00D8340E">
      <w:pPr>
        <w:rPr>
          <w:szCs w:val="24"/>
        </w:rPr>
      </w:pPr>
      <w:r w:rsidRPr="00D8340E">
        <w:rPr>
          <w:szCs w:val="24"/>
        </w:rPr>
        <w:t>Във връзка с изграждането на КТСРВ, в агенцията през периода 2023</w:t>
      </w:r>
      <w:r w:rsidR="00B552D5">
        <w:rPr>
          <w:szCs w:val="24"/>
        </w:rPr>
        <w:t> г.</w:t>
      </w:r>
      <w:r w:rsidRPr="00D8340E">
        <w:rPr>
          <w:szCs w:val="24"/>
        </w:rPr>
        <w:t xml:space="preserve"> – 2025</w:t>
      </w:r>
      <w:r w:rsidR="00B552D5">
        <w:rPr>
          <w:szCs w:val="24"/>
        </w:rPr>
        <w:t> г.</w:t>
      </w:r>
      <w:r w:rsidRPr="00D8340E">
        <w:rPr>
          <w:szCs w:val="24"/>
        </w:rPr>
        <w:t xml:space="preserve"> стартират следните проекти:</w:t>
      </w:r>
    </w:p>
    <w:p w14:paraId="4DBF20B8" w14:textId="02351CE4" w:rsidR="00D8340E" w:rsidRPr="00AB6D73" w:rsidRDefault="00D8340E" w:rsidP="00AB6D73">
      <w:pPr>
        <w:pStyle w:val="ListParagraph"/>
        <w:numPr>
          <w:ilvl w:val="0"/>
          <w:numId w:val="37"/>
        </w:numPr>
        <w:rPr>
          <w:szCs w:val="24"/>
        </w:rPr>
      </w:pPr>
      <w:r w:rsidRPr="00AB6D73">
        <w:rPr>
          <w:szCs w:val="24"/>
        </w:rPr>
        <w:t>„Изграждане на Център за видеоданни на Агенция „Митници“</w:t>
      </w:r>
      <w:r w:rsidR="00B552D5" w:rsidRPr="00AB6D73">
        <w:rPr>
          <w:szCs w:val="24"/>
        </w:rPr>
        <w:t xml:space="preserve"> – </w:t>
      </w:r>
      <w:r w:rsidRPr="00AB6D73">
        <w:rPr>
          <w:szCs w:val="24"/>
        </w:rPr>
        <w:t xml:space="preserve">етап 1“; </w:t>
      </w:r>
    </w:p>
    <w:p w14:paraId="38570CD5" w14:textId="2A42AD39" w:rsidR="00D8340E" w:rsidRPr="00AB6D73" w:rsidRDefault="00D8340E" w:rsidP="00AB6D73">
      <w:pPr>
        <w:pStyle w:val="ListParagraph"/>
        <w:numPr>
          <w:ilvl w:val="0"/>
          <w:numId w:val="37"/>
        </w:numPr>
        <w:rPr>
          <w:szCs w:val="24"/>
        </w:rPr>
      </w:pPr>
      <w:r w:rsidRPr="00AB6D73">
        <w:rPr>
          <w:szCs w:val="24"/>
        </w:rPr>
        <w:t>„Развитие и въвеждане на Институционална архитектура на АМ по отношение на проект: „Изграждане на Централизирана информационна система за Контрол на транспортни средства в реално време (ЦИС КТСРВ)</w:t>
      </w:r>
      <w:r w:rsidR="00B552D5" w:rsidRPr="00AB6D73">
        <w:rPr>
          <w:szCs w:val="24"/>
        </w:rPr>
        <w:t xml:space="preserve"> – </w:t>
      </w:r>
      <w:r w:rsidRPr="00AB6D73">
        <w:rPr>
          <w:szCs w:val="24"/>
        </w:rPr>
        <w:t xml:space="preserve">етап 1 върху Cloud архитектура“; </w:t>
      </w:r>
    </w:p>
    <w:p w14:paraId="7E9426FC" w14:textId="5D0551FD" w:rsidR="00D8340E" w:rsidRPr="00AB6D73" w:rsidRDefault="00D8340E" w:rsidP="00AB6D73">
      <w:pPr>
        <w:pStyle w:val="ListParagraph"/>
        <w:numPr>
          <w:ilvl w:val="0"/>
          <w:numId w:val="37"/>
        </w:numPr>
        <w:rPr>
          <w:szCs w:val="24"/>
        </w:rPr>
      </w:pPr>
      <w:r w:rsidRPr="00AB6D73">
        <w:rPr>
          <w:szCs w:val="24"/>
        </w:rPr>
        <w:t xml:space="preserve">„Развитие и въвеждане на Институционална архитектура на Агенция Митници (АМ) по отношение на проект „Изграждане на Система за управление на трафика на ГКПП  върху Cloud архитектура“  </w:t>
      </w:r>
    </w:p>
    <w:p w14:paraId="14A8890F" w14:textId="31A317F6" w:rsidR="00D8340E" w:rsidRPr="00AB6D73" w:rsidRDefault="00D8340E" w:rsidP="00AB6D73">
      <w:pPr>
        <w:pStyle w:val="ListParagraph"/>
        <w:numPr>
          <w:ilvl w:val="0"/>
          <w:numId w:val="37"/>
        </w:numPr>
        <w:rPr>
          <w:szCs w:val="24"/>
        </w:rPr>
      </w:pPr>
      <w:r w:rsidRPr="00AB6D73">
        <w:rPr>
          <w:szCs w:val="24"/>
        </w:rPr>
        <w:t>„Развитие и въвеждане на Институционална архитектура на Агенция „Митници“ по отношение на проект „Изграждане на Система за управление на опашките върху Cloud архитектура“.</w:t>
      </w:r>
    </w:p>
    <w:p w14:paraId="209ED380" w14:textId="77777777" w:rsidR="00D8340E" w:rsidRPr="00D8340E" w:rsidRDefault="00D8340E" w:rsidP="00D8340E">
      <w:pPr>
        <w:rPr>
          <w:szCs w:val="24"/>
        </w:rPr>
      </w:pPr>
      <w:r w:rsidRPr="00D8340E">
        <w:rPr>
          <w:szCs w:val="24"/>
        </w:rPr>
        <w:t>В периода ще приключи и изпълнението на 11 проекта от  работна програма относно разработването и въвеждането на електронните системи, предвидени в Митническия кодекс на Съюза, включени в Националния план на Агенция „Митници“ за разработване на информационните системи 2020-2025. В периода е планирано и изграждане на Българска интегрирана рентгенова информационна система за анализ и обмен на изображения и данни от рентгеновото оборудване на Агенция „Митници“.</w:t>
      </w:r>
    </w:p>
    <w:p w14:paraId="0824A12E" w14:textId="5F8D5215" w:rsidR="00D8340E" w:rsidRPr="00D8340E" w:rsidRDefault="00D8340E" w:rsidP="00D8340E">
      <w:pPr>
        <w:rPr>
          <w:szCs w:val="24"/>
        </w:rPr>
      </w:pPr>
      <w:r w:rsidRPr="00D8340E">
        <w:rPr>
          <w:szCs w:val="24"/>
        </w:rPr>
        <w:t>През 2023</w:t>
      </w:r>
      <w:r w:rsidR="00B552D5">
        <w:rPr>
          <w:szCs w:val="24"/>
        </w:rPr>
        <w:t> г.</w:t>
      </w:r>
      <w:r w:rsidRPr="00D8340E">
        <w:rPr>
          <w:szCs w:val="24"/>
        </w:rPr>
        <w:t xml:space="preserve"> агенцията продължава да изпълнява проекти по Оперативна програма „Добро управление” (ОПДУ):</w:t>
      </w:r>
    </w:p>
    <w:p w14:paraId="004826B9" w14:textId="6433F427" w:rsidR="00D8340E" w:rsidRPr="00AB6D73" w:rsidRDefault="00D8340E" w:rsidP="00AB6D73">
      <w:pPr>
        <w:pStyle w:val="ListParagraph"/>
        <w:numPr>
          <w:ilvl w:val="0"/>
          <w:numId w:val="40"/>
        </w:numPr>
        <w:rPr>
          <w:szCs w:val="24"/>
        </w:rPr>
      </w:pPr>
      <w:r w:rsidRPr="00AB6D73">
        <w:rPr>
          <w:szCs w:val="24"/>
        </w:rPr>
        <w:t>„Надграждане на основните системи на Агенция „Митници“ за предоставяне на данни и услуги – БИМИС (фаза 2)“ по договор № BG05SFOP001-1.007-0001-</w:t>
      </w:r>
      <w:r w:rsidRPr="00AB6D73">
        <w:rPr>
          <w:szCs w:val="24"/>
        </w:rPr>
        <w:lastRenderedPageBreak/>
        <w:t>C01/15.04.2019</w:t>
      </w:r>
      <w:r w:rsidR="00B552D5" w:rsidRPr="00AB6D73">
        <w:rPr>
          <w:szCs w:val="24"/>
        </w:rPr>
        <w:t> г.</w:t>
      </w:r>
      <w:r w:rsidRPr="00AB6D73">
        <w:rPr>
          <w:szCs w:val="24"/>
        </w:rPr>
        <w:t xml:space="preserve"> за предоставяне на безвъзмездна финансова помощ, със срок на изпълнение от 01.03.2019</w:t>
      </w:r>
      <w:r w:rsidR="00B552D5" w:rsidRPr="00AB6D73">
        <w:rPr>
          <w:szCs w:val="24"/>
        </w:rPr>
        <w:t> г.</w:t>
      </w:r>
      <w:r w:rsidRPr="00AB6D73">
        <w:rPr>
          <w:szCs w:val="24"/>
        </w:rPr>
        <w:t xml:space="preserve"> до 30.09.2023</w:t>
      </w:r>
      <w:r w:rsidR="00B552D5" w:rsidRPr="00AB6D73">
        <w:rPr>
          <w:szCs w:val="24"/>
        </w:rPr>
        <w:t> г.</w:t>
      </w:r>
      <w:r w:rsidRPr="00AB6D73">
        <w:rPr>
          <w:szCs w:val="24"/>
        </w:rPr>
        <w:t xml:space="preserve"> и обща стойност 13 377 145,60 лв. с ДДС. В проекта са включени 5 дейности. </w:t>
      </w:r>
    </w:p>
    <w:p w14:paraId="6B0245D8" w14:textId="3D4128DF" w:rsidR="00D8340E" w:rsidRPr="00AB6D73" w:rsidRDefault="00D8340E" w:rsidP="00AB6D73">
      <w:pPr>
        <w:pStyle w:val="ListParagraph"/>
        <w:numPr>
          <w:ilvl w:val="0"/>
          <w:numId w:val="40"/>
        </w:numPr>
        <w:rPr>
          <w:szCs w:val="24"/>
        </w:rPr>
      </w:pPr>
      <w:r w:rsidRPr="00AB6D73">
        <w:rPr>
          <w:szCs w:val="24"/>
        </w:rPr>
        <w:t>„Надграждане на основните системи на Агенция „Митници“ за предоставяне на данни и услуги – БИМИС (фаза 3)“ по договор № BG05SFOP001-1.025-0001-С01/29.11.2021</w:t>
      </w:r>
      <w:r w:rsidR="00B552D5" w:rsidRPr="00AB6D73">
        <w:rPr>
          <w:szCs w:val="24"/>
        </w:rPr>
        <w:t> г.</w:t>
      </w:r>
      <w:r w:rsidRPr="00AB6D73">
        <w:rPr>
          <w:szCs w:val="24"/>
        </w:rPr>
        <w:t xml:space="preserve"> за предоставяне на безвъзмездна финансова помощ по ОПДУ, със срок на изпълнение от 01.09.2021</w:t>
      </w:r>
      <w:r w:rsidR="00B552D5" w:rsidRPr="00AB6D73">
        <w:rPr>
          <w:szCs w:val="24"/>
        </w:rPr>
        <w:t> г.</w:t>
      </w:r>
      <w:r w:rsidRPr="00AB6D73">
        <w:rPr>
          <w:szCs w:val="24"/>
        </w:rPr>
        <w:t xml:space="preserve"> до 31.12.2023</w:t>
      </w:r>
      <w:r w:rsidR="00B552D5" w:rsidRPr="00AB6D73">
        <w:rPr>
          <w:szCs w:val="24"/>
        </w:rPr>
        <w:t> г.</w:t>
      </w:r>
      <w:r w:rsidRPr="00AB6D73">
        <w:rPr>
          <w:szCs w:val="24"/>
        </w:rPr>
        <w:t xml:space="preserve"> и обща стойност 17 784 495,00 лв. с ДДС. В проекта са включени 7 дейности.</w:t>
      </w:r>
    </w:p>
    <w:p w14:paraId="44EF90DA" w14:textId="67C2DD12" w:rsidR="006D2755" w:rsidRDefault="00D8340E" w:rsidP="00D8340E">
      <w:pPr>
        <w:rPr>
          <w:szCs w:val="24"/>
        </w:rPr>
      </w:pPr>
      <w:r w:rsidRPr="00D8340E">
        <w:rPr>
          <w:szCs w:val="24"/>
        </w:rPr>
        <w:t>През 2023</w:t>
      </w:r>
      <w:r w:rsidR="00B552D5">
        <w:rPr>
          <w:szCs w:val="24"/>
        </w:rPr>
        <w:t> г.</w:t>
      </w:r>
      <w:r w:rsidRPr="00D8340E">
        <w:rPr>
          <w:szCs w:val="24"/>
        </w:rPr>
        <w:t xml:space="preserve"> АМ ще кандидатства по Процедура BG16BARA001-1.001 за директно предоставяне на безвъзмездна финансова помощ с наименование „Финансиране на мерки за приспособяване във връзка с последиците от Брек</w:t>
      </w:r>
      <w:r>
        <w:rPr>
          <w:szCs w:val="24"/>
        </w:rPr>
        <w:t>з</w:t>
      </w:r>
      <w:r w:rsidRPr="00D8340E">
        <w:rPr>
          <w:szCs w:val="24"/>
        </w:rPr>
        <w:t>ит“.</w:t>
      </w:r>
    </w:p>
    <w:p w14:paraId="62CEA044" w14:textId="44F95CED" w:rsidR="00E0182A" w:rsidRPr="005968FD" w:rsidRDefault="00E0182A" w:rsidP="005968FD">
      <w:pPr>
        <w:rPr>
          <w:szCs w:val="24"/>
          <w:lang w:eastAsia="en-US"/>
        </w:rPr>
      </w:pPr>
    </w:p>
    <w:p w14:paraId="61856391" w14:textId="77777777" w:rsidR="00E0182A" w:rsidRPr="005B2032" w:rsidRDefault="00E0182A" w:rsidP="00F62D4F">
      <w:pPr>
        <w:rPr>
          <w:szCs w:val="24"/>
        </w:rPr>
      </w:pPr>
    </w:p>
    <w:p w14:paraId="0F5BCACD" w14:textId="77777777" w:rsidR="005702A5" w:rsidRPr="005B2032" w:rsidRDefault="005702A5" w:rsidP="00C1337B">
      <w:pPr>
        <w:rPr>
          <w:rFonts w:asciiTheme="minorHAnsi" w:hAnsiTheme="minorHAnsi" w:cstheme="minorHAnsi"/>
          <w:b/>
          <w:bCs/>
          <w:iCs/>
        </w:rPr>
      </w:pPr>
    </w:p>
    <w:p w14:paraId="34BD268E" w14:textId="77777777" w:rsidR="005702A5" w:rsidRPr="005B2032" w:rsidRDefault="005702A5" w:rsidP="00C1337B">
      <w:pPr>
        <w:rPr>
          <w:rFonts w:asciiTheme="minorHAnsi" w:hAnsiTheme="minorHAnsi" w:cstheme="minorHAnsi"/>
          <w:b/>
          <w:bCs/>
          <w:iCs/>
        </w:rPr>
      </w:pPr>
    </w:p>
    <w:p w14:paraId="0180786B" w14:textId="2BA8B97C" w:rsidR="006160EF" w:rsidRPr="005B2032" w:rsidRDefault="006160EF" w:rsidP="00C1337B">
      <w:pPr>
        <w:rPr>
          <w:rFonts w:asciiTheme="minorHAnsi" w:hAnsiTheme="minorHAnsi" w:cstheme="minorHAnsi"/>
        </w:rPr>
      </w:pPr>
    </w:p>
    <w:p w14:paraId="38984536" w14:textId="77777777" w:rsidR="00E3664F" w:rsidRPr="005B2032" w:rsidRDefault="00E3664F" w:rsidP="00FF66BE">
      <w:pPr>
        <w:rPr>
          <w:rFonts w:asciiTheme="minorHAnsi" w:hAnsiTheme="minorHAnsi" w:cstheme="minorHAnsi"/>
        </w:rPr>
        <w:sectPr w:rsidR="00E3664F" w:rsidRPr="005B2032" w:rsidSect="00202EFA">
          <w:headerReference w:type="default" r:id="rId63"/>
          <w:type w:val="continuous"/>
          <w:pgSz w:w="11906" w:h="16838" w:code="9"/>
          <w:pgMar w:top="1418" w:right="1418" w:bottom="851" w:left="1418" w:header="680" w:footer="680" w:gutter="0"/>
          <w:cols w:space="708"/>
          <w:docGrid w:linePitch="360"/>
        </w:sectPr>
      </w:pPr>
    </w:p>
    <w:p w14:paraId="44A40621" w14:textId="77777777" w:rsidR="00D359FF" w:rsidRPr="005E6318" w:rsidRDefault="00D359FF" w:rsidP="00B552D5">
      <w:pPr>
        <w:pStyle w:val="Heading1"/>
      </w:pPr>
      <w:bookmarkStart w:id="141" w:name="_Toc352851616"/>
      <w:bookmarkStart w:id="142" w:name="_Toc448227305"/>
      <w:bookmarkStart w:id="143" w:name="_Toc479332457"/>
      <w:bookmarkStart w:id="144" w:name="_Toc133597288"/>
      <w:r w:rsidRPr="005E6318">
        <w:lastRenderedPageBreak/>
        <w:t>Ин</w:t>
      </w:r>
      <w:r w:rsidR="00F83F22" w:rsidRPr="005E6318">
        <w:t xml:space="preserve">ституционални </w:t>
      </w:r>
      <w:r w:rsidR="008248E6" w:rsidRPr="005E6318">
        <w:br/>
      </w:r>
      <w:r w:rsidR="00F83F22" w:rsidRPr="005E6318">
        <w:t xml:space="preserve">характеристики на </w:t>
      </w:r>
      <w:r w:rsidRPr="005E6318">
        <w:t>публичните финанси</w:t>
      </w:r>
      <w:bookmarkEnd w:id="141"/>
      <w:bookmarkEnd w:id="142"/>
      <w:bookmarkEnd w:id="143"/>
      <w:bookmarkEnd w:id="144"/>
    </w:p>
    <w:p w14:paraId="638BF94D" w14:textId="77777777" w:rsidR="00820EF1" w:rsidRPr="005E6318" w:rsidRDefault="00D359FF" w:rsidP="00EE53B2">
      <w:pPr>
        <w:pStyle w:val="Heading2"/>
      </w:pPr>
      <w:bookmarkStart w:id="145" w:name="_Toc352851617"/>
      <w:bookmarkStart w:id="146" w:name="_Toc448227306"/>
      <w:bookmarkStart w:id="147" w:name="_Toc479332458"/>
      <w:bookmarkStart w:id="148" w:name="_Toc133597289"/>
      <w:r w:rsidRPr="005E6318">
        <w:t>Национални бюджетни правила</w:t>
      </w:r>
      <w:bookmarkEnd w:id="145"/>
      <w:bookmarkEnd w:id="146"/>
      <w:bookmarkEnd w:id="147"/>
      <w:bookmarkEnd w:id="148"/>
    </w:p>
    <w:p w14:paraId="4FC80AD6" w14:textId="16C5F475" w:rsidR="00A83427" w:rsidRPr="00CA5073" w:rsidRDefault="00A83427" w:rsidP="00A83427">
      <w:r w:rsidRPr="00CA5073">
        <w:t xml:space="preserve">Наличието на законова рамка, определяща бюджетните правила, ограниченията и процедурите за действие при наличие на отклонения от </w:t>
      </w:r>
      <w:r w:rsidR="009124CC">
        <w:t>заложените цели за даден показа</w:t>
      </w:r>
      <w:r w:rsidRPr="00CA5073">
        <w:t>тел, е предпоставка за повишаване на предсказуемостта на провежданата фискална политика, за спазването на бюджетната и финансова дисциплина, както и за гарантиране устойчивостта на публичните финанси. Фискалните правила следва да имат постоянен характер, да се отнасят за значим индикатор (в най-общия случай за бюджетния баланс, дълга, разходите и приходите) и да поставят числови ограничения или цели. Изисква се също наличието на законови изисквания и процедури за корективни механизми и мерки за връщане към целта или към определеното с правилото ограни</w:t>
      </w:r>
      <w:r w:rsidR="009124CC">
        <w:t>чение и случаи</w:t>
      </w:r>
      <w:r w:rsidRPr="00CA5073">
        <w:t>те на отклонение от целта/ограничението.</w:t>
      </w:r>
    </w:p>
    <w:p w14:paraId="48549D77" w14:textId="77777777" w:rsidR="00A83427" w:rsidRPr="00CA5073" w:rsidRDefault="00A83427" w:rsidP="00A83427">
      <w:r w:rsidRPr="00CA5073">
        <w:t>По отношение на обхвата разграничаваме правила за показатели както по националната методология – за бюджетното салдо и разходите по консолидираната фискална програма (на касова основа) и за държавния дълг, така и показатели съгласно европейската методология – за сектор „Държавно управление“ (за някои правила – и за съответните му подсектори) – за средносрочната бюджетна цел за структурния дефицит, за бюджетното салдо, за растежа на разходите спрямо ръста на потенциалния БВП и за консолидирания дълг за сектор „Държавно управление“.</w:t>
      </w:r>
    </w:p>
    <w:p w14:paraId="7129C362" w14:textId="39C8B1F1" w:rsidR="00A83427" w:rsidRPr="00CA5073" w:rsidRDefault="00A83427" w:rsidP="00A83427">
      <w:r w:rsidRPr="00CA5073">
        <w:t>С приемането на Закона за публичните финанси и Закона за Фискален съвет и автоматични корективни механизми и на последващите им</w:t>
      </w:r>
      <w:r w:rsidR="009124CC">
        <w:t xml:space="preserve"> изменения и допълнения, свърза</w:t>
      </w:r>
      <w:r w:rsidRPr="00CA5073">
        <w:t xml:space="preserve">ни с постигане на пълно съответствие с европейското законодателство, България покри изцяло изискванията за засилване и укрепване на икономическото управление в ЕС. Правилата отговарят на международно приетите дефиниции и критерии и на изискванията за съгласуване на националното фискално планиране с превантивната и корективната част на Пакта за стабилност и растеж на ЕС. </w:t>
      </w:r>
    </w:p>
    <w:p w14:paraId="6A3968AE" w14:textId="37D06876" w:rsidR="00A83427" w:rsidRPr="00CA5073" w:rsidRDefault="00A83427" w:rsidP="00A83427">
      <w:r w:rsidRPr="00CA5073">
        <w:t xml:space="preserve">Концентрирането на фискалните правила и тяхната трайна уредба в рамките на ЗПФ оказва положително влияние не само за подобряване на координацията при изпълнението на различни политики, но и за по-доброто планиране, разработване и провеждане на фискалната политика, тъй като се гарантира тяхната дългосрочна устойчивост. </w:t>
      </w:r>
    </w:p>
    <w:p w14:paraId="3771D293" w14:textId="77777777" w:rsidR="00A83427" w:rsidRPr="00CA5073" w:rsidRDefault="00A83427" w:rsidP="00A83427">
      <w:r w:rsidRPr="00CA5073">
        <w:t xml:space="preserve">Важно условие за доброто функциониране на фискалните правила са органите, които осъществяват контрол за спазването им, както и наличието на корективни механизми в случай на отклонение от поставените цели. Проследяването им се базира на универсални критерии за оценка на фискалната политика. Фискалните правила като цяло налагат ограничения върху фискалната политика на национално ниво, но някои от тях налагат числови ограничения и върху бюджетни показатели на индивидуални бюджети, като тези на общините. </w:t>
      </w:r>
    </w:p>
    <w:p w14:paraId="24A81271" w14:textId="69CE65F8" w:rsidR="00A83427" w:rsidRPr="00CA5073" w:rsidRDefault="00A83427" w:rsidP="00A83427">
      <w:r w:rsidRPr="00CA5073">
        <w:lastRenderedPageBreak/>
        <w:t>От приемането на ЗПФ през 2013</w:t>
      </w:r>
      <w:r w:rsidR="00B552D5">
        <w:t> г.</w:t>
      </w:r>
      <w:r w:rsidRPr="00CA5073">
        <w:t xml:space="preserve"> до настоящия момент са приети три (през 2016, 2017 и 2020</w:t>
      </w:r>
      <w:r w:rsidR="00B552D5">
        <w:t> г.</w:t>
      </w:r>
      <w:r w:rsidRPr="00CA5073">
        <w:t>) съществени изменения и допълнения на ЗПФ, които са били свързани с прецизиране и доразвиване на уредбата с цел подобряване на процесите по управлението на публичните финанси и постигане на пълно съответствие с изискванията на Директива 2011/85/ЕС на Съвета от 8 ноември 2011</w:t>
      </w:r>
      <w:r w:rsidR="00B552D5">
        <w:t> г.</w:t>
      </w:r>
      <w:r w:rsidRPr="00CA5073">
        <w:t xml:space="preserve"> относно изискванията за бюджетните рамки на държавите членки, създаването на условия за изпълнението на относимите регламенти, приети в края на 2011</w:t>
      </w:r>
      <w:r w:rsidR="00B552D5">
        <w:t> г.</w:t>
      </w:r>
      <w:r w:rsidRPr="00CA5073">
        <w:t>, както и по отношение на фискалните правила и ограничения с оглед осигуряване на адекватен отговор на предизвикателствата на COVID-19 кризата и създалата се извънредна обстановка.</w:t>
      </w:r>
    </w:p>
    <w:p w14:paraId="5ED84600" w14:textId="77777777" w:rsidR="00A83427" w:rsidRPr="00CA5073" w:rsidRDefault="00A83427" w:rsidP="00A83427">
      <w:r w:rsidRPr="00CA5073">
        <w:t xml:space="preserve">Спазването на фискалните правила и бюджетна дисциплина са отговорности на различни власти. Правителството отговаря за спазването на фискалните правила на национално ниво (за КФП и за сектор „Държавно управление“) при ограничени възможности за въздействие върху подсекторите (местни власти, социалноосигурителни фондове и автономни бюджети), като при налични отклонения може да компенсира само в обхвата на централното правителство. Възможни са отклонения от заложените ограничения, когато са в резултат на възникнали наложителни мерки с еднократен характер и същите не водят до трайни негативни тенденции за развитие на фискалната политика в средносрочен план. </w:t>
      </w:r>
    </w:p>
    <w:p w14:paraId="2A025CBF" w14:textId="6AE1BA1A" w:rsidR="00A83427" w:rsidRPr="00CA5073" w:rsidRDefault="00A83427" w:rsidP="00A83427">
      <w:r w:rsidRPr="00CA5073">
        <w:t>На ниво отделни бюджети законовите ангажименти на първостепенните разпоредители с бюджет изискват в рамките на управленската им отговорност да се спазва бюджетна дисциплина, в т.ч. и приложимите за тях правила. Това важи и за самостоятелните бюджети, които не са част от държавния бюджет</w:t>
      </w:r>
      <w:r w:rsidR="009124CC">
        <w:t>, тъй като те влияят върху пара</w:t>
      </w:r>
      <w:r w:rsidRPr="00CA5073">
        <w:t>метрите на бюджетната рамка на национално ниво.</w:t>
      </w:r>
    </w:p>
    <w:p w14:paraId="37ACD0B2" w14:textId="77777777" w:rsidR="00A83427" w:rsidRPr="00CA5073" w:rsidRDefault="00A83427" w:rsidP="00A83427">
      <w:r w:rsidRPr="00CA5073">
        <w:t xml:space="preserve">Освен основните принципи, правила и процедури, относими за всички разпоредители с бюджет, натрупаните бюджетни дисбаланси на местните власти и невъзможността да се спазват правилата за общините са причина за законово уреждане на процедури за идентифициране на общини с финансови затруднения и създаване на механизми за финансово оздравяване. </w:t>
      </w:r>
    </w:p>
    <w:p w14:paraId="7BCF172D" w14:textId="5E9322E7" w:rsidR="00A83427" w:rsidRDefault="00A83427" w:rsidP="00A83427">
      <w:r w:rsidRPr="00CA5073">
        <w:t>За периода на прилагане на промените в ЗПФ, по отношение на създадения механизъм за финансово оздравяване на общините, броят на общините, дефинирани като общини с финансови затруднения, намалява.</w:t>
      </w:r>
    </w:p>
    <w:p w14:paraId="2245DC5A" w14:textId="483BB914" w:rsidR="001876B7" w:rsidRDefault="001876B7" w:rsidP="001876B7">
      <w:r>
        <w:t>През 2023</w:t>
      </w:r>
      <w:r w:rsidR="00B552D5">
        <w:t> г.</w:t>
      </w:r>
      <w:r>
        <w:t xml:space="preserve"> за общините, при които срокът на процедурата за финансово оздравяване е изтекъл през 2022</w:t>
      </w:r>
      <w:r w:rsidR="00B552D5">
        <w:t> г.</w:t>
      </w:r>
      <w:r>
        <w:t xml:space="preserve">, с цел изпълнение на ангажиментите им за възстановяване на безлихвените заеми, отпуснати по реда на чл. 130ж, ал. 1 от ЗПФ, продължава въведената практика за съгласуване от министъра на финансите на проектобюджетите им. </w:t>
      </w:r>
    </w:p>
    <w:p w14:paraId="2C2D30CB" w14:textId="5F9B5E38" w:rsidR="00A83427" w:rsidRPr="00CA5073" w:rsidRDefault="00A83427" w:rsidP="00A83427">
      <w:r w:rsidRPr="00CA5073">
        <w:t>В отговор на глобалните предизвикателства, свързани с овладяване и преодоляване на последствията от възникналата пандемия от COVID-19 се мобилизираха както национални, така и европейски ресурси и безпроблемното реализиране на тези проактивни антициклични мерки не следва да бъде възпрепятствано, за което беше предвидено в националното законодателство да бъде заложена възможност на временно отклонение от ограниченията в условията на извънредни обстоятелства, което беше причина за приемането в края на 2020</w:t>
      </w:r>
      <w:r w:rsidR="00B552D5">
        <w:t> г.</w:t>
      </w:r>
      <w:r w:rsidRPr="00CA5073">
        <w:t xml:space="preserve"> на промени на Закона за публичните финанси. Промените осигуриха по-голяма гъвкавост по отношение на националните фискални правила при наличието на извънредни обстоятелства чрез въвеждането на норми за временно отклонение от ограниченията в съответствие с изискванията на динамичната и бързо променящата се действителност и премахване на предпоставките за проциклично въздействие; ясно дефиниране на ограниченията и допустимите отклонения; осигуряване изпълнението на мерки за ограничаване и преодоляване на последиците от възникнали извънредни ситуации и безпрепятствено усвояване на средства от европейските фондове и програми, в </w:t>
      </w:r>
      <w:r w:rsidRPr="00CA5073">
        <w:lastRenderedPageBreak/>
        <w:t>т.ч. и реализирането на съответни планове за възстановяване. С приемане на тези промени се осигури възможност ограниченията да са в съответствие с динамичните предизвикателства при спазване на изискванията на европейското законодателство.</w:t>
      </w:r>
    </w:p>
    <w:p w14:paraId="2B5743F5" w14:textId="77777777" w:rsidR="004D113D" w:rsidRPr="005E6318" w:rsidRDefault="008E682A" w:rsidP="00EE53B2">
      <w:pPr>
        <w:pStyle w:val="Heading2"/>
      </w:pPr>
      <w:bookmarkStart w:id="149" w:name="_Toc479332459"/>
      <w:bookmarkStart w:id="150" w:name="_Toc352851619"/>
      <w:bookmarkStart w:id="151" w:name="_Toc448227309"/>
      <w:bookmarkStart w:id="152" w:name="_Toc133597290"/>
      <w:r w:rsidRPr="005E6318">
        <w:t>Бюджетни процедури</w:t>
      </w:r>
      <w:bookmarkStart w:id="153" w:name="_Toc352851620"/>
      <w:bookmarkEnd w:id="149"/>
      <w:bookmarkEnd w:id="150"/>
      <w:bookmarkEnd w:id="151"/>
      <w:bookmarkEnd w:id="152"/>
    </w:p>
    <w:p w14:paraId="16F0C922" w14:textId="77777777" w:rsidR="00A83427" w:rsidRPr="00CA5073" w:rsidRDefault="00A83427" w:rsidP="00A83427">
      <w:r w:rsidRPr="00CA5073">
        <w:t>Бюджетирането е постоянен процес, но етапите и стъпките за неговото реализиране търпят своето развитие в зависимост от много фактори – организационни, икономически, политически, законови и други, които предопределят необходимостта от разработването на график, с който да се организира процесът по планирането и съставянето на бюджетните документи.</w:t>
      </w:r>
    </w:p>
    <w:p w14:paraId="2E60DA92" w14:textId="77777777" w:rsidR="00A83427" w:rsidRPr="00CA5073" w:rsidRDefault="00A83427" w:rsidP="00A83427">
      <w:r w:rsidRPr="00CA5073">
        <w:t xml:space="preserve">В Закона за публичните финанси е посочено, че бюджетната процедура включва етапите, сроковете, разпределението на отговорностите и изискванията за съставянето както на средносрочната бюджетна прогноза, така и на проекта на държавния бюджет. Постоянният стремеж за усъвършенстване на качеството на бюджетните документи като израз на доброто управление на публичните финанси предполага бюджетната процедура да отчита както променящите се изисквания към всички отговорни институции, така и изискванията към България като държава членка в рамките на т.нар. Европейски семестър – графикът, чрез който се осъществява съгласуваност на националните икономически и бюджетни политики в рамките на Европейския съюз. </w:t>
      </w:r>
    </w:p>
    <w:p w14:paraId="54ADD5E0" w14:textId="2A49E6F0" w:rsidR="00A83427" w:rsidRPr="00CA5073" w:rsidRDefault="00A83427" w:rsidP="00A83427">
      <w:r w:rsidRPr="00CA5073">
        <w:t>Бюджетната процедура за 2024</w:t>
      </w:r>
      <w:r w:rsidR="00B552D5">
        <w:t> г.</w:t>
      </w:r>
      <w:r w:rsidR="00171525" w:rsidRPr="00171525">
        <w:t xml:space="preserve"> </w:t>
      </w:r>
      <w:r w:rsidR="00171525" w:rsidRPr="00745F89">
        <w:t>(одобрена с Решение № 70 на Министерския съвет от 27 януари 2023</w:t>
      </w:r>
      <w:r w:rsidR="00B552D5">
        <w:t> г.</w:t>
      </w:r>
      <w:r w:rsidR="00171525" w:rsidRPr="00745F89">
        <w:t xml:space="preserve">) </w:t>
      </w:r>
      <w:r w:rsidRPr="00CA5073">
        <w:t xml:space="preserve"> бе изготвена съгласно правилата на ЗПФ, като при нейната подготовка бяха отразени заложените изисквания за структурата и съдържанието на ключовите бюджетни документи и сроковете за тяхната подготовка.</w:t>
      </w:r>
    </w:p>
    <w:p w14:paraId="1CB3AA1A" w14:textId="148FC4A7" w:rsidR="00A83427" w:rsidRPr="00CA5073" w:rsidRDefault="00A83427" w:rsidP="00A83427">
      <w:r w:rsidRPr="00CA5073">
        <w:t>С бюджетната процедура за 2024</w:t>
      </w:r>
      <w:r w:rsidR="00B552D5">
        <w:t> г.</w:t>
      </w:r>
      <w:r w:rsidRPr="00CA5073">
        <w:t xml:space="preserve"> </w:t>
      </w:r>
      <w:r w:rsidR="00171525">
        <w:t xml:space="preserve">беше планирано да </w:t>
      </w:r>
      <w:r w:rsidRPr="00CA5073">
        <w:t xml:space="preserve">се </w:t>
      </w:r>
      <w:r w:rsidR="00171525" w:rsidRPr="00CA5073">
        <w:t>осигур</w:t>
      </w:r>
      <w:r w:rsidR="00171525">
        <w:t>и</w:t>
      </w:r>
      <w:r w:rsidR="00171525" w:rsidRPr="00CA5073">
        <w:t xml:space="preserve"> </w:t>
      </w:r>
      <w:r w:rsidRPr="00CA5073">
        <w:t>завръщане към стандартните етапи в процес по подготовка и приемането на бюджета, след като бюджетните процедури през последните години бяха изпълнявани в условията на продължаваща извънредна епидемична обстановка и политически предизвикателства и несигурност, което съответно се отрази върху сроковете на изготвяните бюджетни документи.</w:t>
      </w:r>
    </w:p>
    <w:p w14:paraId="03EA2316" w14:textId="77777777" w:rsidR="00171525" w:rsidRDefault="00171525" w:rsidP="00171525">
      <w:r>
        <w:t>Въпреки това, изпълнението на стъпките и сроковете по първия етап на процедурата беше забавено от липсата на</w:t>
      </w:r>
      <w:r w:rsidRPr="00745F89">
        <w:t xml:space="preserve"> прие</w:t>
      </w:r>
      <w:r>
        <w:t>т</w:t>
      </w:r>
      <w:r w:rsidRPr="00745F89">
        <w:t xml:space="preserve"> в рамките на обичайния срок Бюджет 202</w:t>
      </w:r>
      <w:r>
        <w:t xml:space="preserve">3 </w:t>
      </w:r>
      <w:r w:rsidRPr="00745F89">
        <w:t xml:space="preserve">с включени дългосрочни допускания за развитие на политиките. </w:t>
      </w:r>
    </w:p>
    <w:p w14:paraId="423B8B6E" w14:textId="64AF09EC" w:rsidR="00E72D37" w:rsidRPr="00CA5073" w:rsidRDefault="00E72D37" w:rsidP="00171525">
      <w:r>
        <w:t>С</w:t>
      </w:r>
      <w:r w:rsidRPr="00745F89">
        <w:t>роковете по първия етап на бюджетната процедура за 2024</w:t>
      </w:r>
      <w:r>
        <w:t> г. съвпаднаха с п</w:t>
      </w:r>
      <w:r w:rsidRPr="00745F89">
        <w:t>одготовката на проект</w:t>
      </w:r>
      <w:r>
        <w:t>а</w:t>
      </w:r>
      <w:r w:rsidRPr="00745F89">
        <w:t xml:space="preserve"> на Бюджет 2023</w:t>
      </w:r>
      <w:r>
        <w:t xml:space="preserve">, вкл. Актуализираната средносрочна бюджетна прогноза за периода 2023–2025 г. </w:t>
      </w:r>
      <w:r w:rsidRPr="00595F3A">
        <w:t>(одобрен с Решение № 331 на Министерския съвет от 28 април 2023 г</w:t>
      </w:r>
      <w:r>
        <w:t>.</w:t>
      </w:r>
      <w:r w:rsidRPr="00595F3A">
        <w:t xml:space="preserve"> и внесен</w:t>
      </w:r>
      <w:r>
        <w:t xml:space="preserve"> за разглеждане</w:t>
      </w:r>
      <w:r w:rsidRPr="00595F3A">
        <w:t xml:space="preserve"> в Народното събрание)</w:t>
      </w:r>
      <w:r>
        <w:t>, които са база за разработването на настоящата Конвергентна програма,</w:t>
      </w:r>
      <w:r w:rsidRPr="00CA5073">
        <w:t xml:space="preserve"> </w:t>
      </w:r>
      <w:r>
        <w:t>С</w:t>
      </w:r>
      <w:r w:rsidRPr="00CA5073">
        <w:t xml:space="preserve">редносрочната бюджетна прогноза за периода </w:t>
      </w:r>
      <w:r>
        <w:t>2024–2026 г. и другите свързани с процедурата актове на правителството.</w:t>
      </w:r>
    </w:p>
    <w:p w14:paraId="04488AE1" w14:textId="0AB3AEE2" w:rsidR="00A83427" w:rsidRPr="00CA5073" w:rsidRDefault="00A83427" w:rsidP="00A83427">
      <w:r w:rsidRPr="00CA5073">
        <w:t>Предвидено е през месец юни 2023</w:t>
      </w:r>
      <w:r w:rsidR="00B552D5">
        <w:t> г.</w:t>
      </w:r>
      <w:r w:rsidRPr="00CA5073">
        <w:t xml:space="preserve"> Министерският съвет да разгледа и одобри изготвения от министъра на образованието и науката проект на решение за одобряване на максималния размер на новите държавни гаранции, които могат да бъдат издадени през 2024</w:t>
      </w:r>
      <w:r w:rsidR="00B552D5">
        <w:t> г.</w:t>
      </w:r>
      <w:r w:rsidRPr="00CA5073">
        <w:t xml:space="preserve"> по Закона за кредитиране на студенти и докторанти, както и изготвения от министъра на финансите проект на решение за одобряване на проектите, които ще се финансират с държавни и/или държавногарантирани заеми през 2024</w:t>
      </w:r>
      <w:r w:rsidR="00B552D5">
        <w:t> г.</w:t>
      </w:r>
      <w:r w:rsidRPr="00CA5073">
        <w:t xml:space="preserve"> Етапът завършва през месец юли с привеждането в съответствие от ПРБ на бюджетните им прогнози за периода </w:t>
      </w:r>
      <w:r w:rsidR="001364E0">
        <w:t>2024–2026</w:t>
      </w:r>
      <w:r w:rsidR="00B552D5">
        <w:t> г.</w:t>
      </w:r>
      <w:r w:rsidRPr="00CA5073">
        <w:t xml:space="preserve"> с приетите от Министерския съвет решения и с публикуването на бюджетните прогнози в програмен формат на интернет страниците си при спазване на изискванията на Закона за защита на класифицираната информация. </w:t>
      </w:r>
    </w:p>
    <w:p w14:paraId="6E048B57" w14:textId="433D4009" w:rsidR="00A83427" w:rsidRPr="00CA5073" w:rsidRDefault="00A83427" w:rsidP="00A83427">
      <w:r w:rsidRPr="00CA5073">
        <w:lastRenderedPageBreak/>
        <w:t>Във втория етап на процедурата основните процеси и бюджетни документи са свързани с изготвянето на законопроекта на държавния бюджет на Република България за 2024</w:t>
      </w:r>
      <w:r w:rsidR="00B552D5">
        <w:t> г.</w:t>
      </w:r>
      <w:r w:rsidR="00171525">
        <w:rPr>
          <w:lang w:val="en-US"/>
        </w:rPr>
        <w:t xml:space="preserve"> </w:t>
      </w:r>
      <w:r w:rsidR="00171525" w:rsidRPr="00745F89">
        <w:rPr>
          <w:lang w:val="en-US"/>
        </w:rPr>
        <w:t xml:space="preserve">и актуализирана средносрочна бюджетна прогноза за периода </w:t>
      </w:r>
      <w:r w:rsidR="001364E0">
        <w:rPr>
          <w:lang w:val="en-US"/>
        </w:rPr>
        <w:t>2024–2026</w:t>
      </w:r>
      <w:r w:rsidR="00B552D5">
        <w:rPr>
          <w:lang w:val="en-US"/>
        </w:rPr>
        <w:t> г.</w:t>
      </w:r>
    </w:p>
    <w:p w14:paraId="3F626BE3" w14:textId="25815EFF" w:rsidR="00A83427" w:rsidRPr="00CA5073" w:rsidRDefault="00A83427" w:rsidP="00A83427">
      <w:r w:rsidRPr="00CA5073">
        <w:t>Съгласуването с Националното сдружение на общините в Република България на механизма за разпределяне на общата изравнителна субсидия и на целевата субсидия за капиталови разходи по общини и провеждането на консултации по предложенията на сдружението за общия размер на основните бюджетни взаимоотношения на общинските бюджети с централния бюджет и на други предложения по проекта на държавния бюджет за 2024</w:t>
      </w:r>
      <w:r w:rsidR="00B552D5">
        <w:t> г.</w:t>
      </w:r>
      <w:r w:rsidRPr="00CA5073">
        <w:t xml:space="preserve"> в частта му за общините също е част от втория етап. </w:t>
      </w:r>
    </w:p>
    <w:p w14:paraId="3DD1B0DE" w14:textId="4DB86FA1" w:rsidR="00A83427" w:rsidRPr="00CA5073" w:rsidRDefault="00A83427" w:rsidP="00A83427">
      <w:r w:rsidRPr="00CA5073">
        <w:t>До края на месец октомври 2023</w:t>
      </w:r>
      <w:r w:rsidR="00B552D5">
        <w:t> г.</w:t>
      </w:r>
      <w:r w:rsidRPr="00CA5073">
        <w:t xml:space="preserve"> Министерският съвет разглежда и одобрява изготвените от министъра на финансите проекти на Закон за държавния бюджет на Република България за 2024</w:t>
      </w:r>
      <w:r w:rsidR="00B552D5">
        <w:t> г.</w:t>
      </w:r>
      <w:r w:rsidRPr="00CA5073">
        <w:t xml:space="preserve"> и на актуализирана средносрочна бюджетна прогноза за периода </w:t>
      </w:r>
      <w:r w:rsidR="001364E0">
        <w:t>2024–2026</w:t>
      </w:r>
      <w:r w:rsidR="00B552D5">
        <w:t> г.</w:t>
      </w:r>
      <w:r w:rsidRPr="00CA5073">
        <w:t>, а при необходимост одобрява промени и в другите свързани актове на правителството. В същия срок Министерският съвет разглежда и одобрява и проектите на Закон за бюджета на Националната здравноосигурителна каса за 2024</w:t>
      </w:r>
      <w:r w:rsidR="00B552D5">
        <w:t> г.</w:t>
      </w:r>
      <w:r w:rsidRPr="00CA5073">
        <w:t xml:space="preserve"> и на Закон за бюджета на държавното обществено осигуряване за 2024</w:t>
      </w:r>
      <w:r w:rsidR="00B552D5">
        <w:t> г.</w:t>
      </w:r>
    </w:p>
    <w:p w14:paraId="307B007A" w14:textId="7CE9E260" w:rsidR="00A83427" w:rsidRPr="00CA5073" w:rsidRDefault="00A83427" w:rsidP="00A83427">
      <w:r w:rsidRPr="00CA5073">
        <w:t>В едномесечен срок от обнародването в „Държавен вестник“ на Закона за държавния бюджет на Република България за 2024</w:t>
      </w:r>
      <w:r w:rsidR="00B552D5">
        <w:t> г.</w:t>
      </w:r>
      <w:r w:rsidRPr="00CA5073">
        <w:t xml:space="preserve"> Министерският съвет приема, по предложение на министъра на финансите, Постановление за изпълнението на държавния бюджет на Република България за 2024</w:t>
      </w:r>
      <w:r w:rsidR="00B552D5">
        <w:t> г.</w:t>
      </w:r>
    </w:p>
    <w:p w14:paraId="79CE1B43" w14:textId="752FC3A4" w:rsidR="00A83427" w:rsidRPr="00CA5073" w:rsidRDefault="00A83427" w:rsidP="00A83427">
      <w:r w:rsidRPr="00CA5073">
        <w:t xml:space="preserve">При необходимост, в едноседмичен срок от одобряването на промените в актуализираната средносрочна бюджетна прогноза за периода </w:t>
      </w:r>
      <w:r w:rsidR="001364E0">
        <w:t>2024–2026</w:t>
      </w:r>
      <w:r w:rsidR="00B552D5">
        <w:t> г.</w:t>
      </w:r>
      <w:r w:rsidRPr="00CA5073">
        <w:t xml:space="preserve"> първостепенните разпоредители с бюджет по бюджетите на бюджетните организации, които са определени да прилагат програмен формат на бюджет актуализират програмните формати на бюджетите си, изпращат ги до Министерството на финансите, Сметната палата и Народното събрание и ги публикуват на интернет страниците си, с което бюджетната процедура за 2024</w:t>
      </w:r>
      <w:r w:rsidR="00B552D5">
        <w:t> г.</w:t>
      </w:r>
      <w:r w:rsidRPr="00CA5073">
        <w:t xml:space="preserve"> приключва.</w:t>
      </w:r>
    </w:p>
    <w:p w14:paraId="0718EEFA" w14:textId="695E3A68" w:rsidR="00CD15E6" w:rsidRPr="00A83427" w:rsidRDefault="00A83427" w:rsidP="003E05B8">
      <w:r w:rsidRPr="00CA5073">
        <w:t>Бюджетната процедура за 2024</w:t>
      </w:r>
      <w:r w:rsidR="00B552D5">
        <w:t> г.</w:t>
      </w:r>
      <w:r w:rsidRPr="00CA5073">
        <w:t xml:space="preserve"> към момента следва определените срокове за изготвянето на основните бюджетни документи, което създава условия за прозрачност и предвидимост, и представлява елемент на доброто управление на публичните финанси в страната. Добросъвестното участие в бюджетния процес на всички бюджетни организации е условие за цялостния успех на процедурата и предпоставка за постигане на желаните крайни резултати от провеждането ѝ.</w:t>
      </w:r>
    </w:p>
    <w:p w14:paraId="1FCF615A" w14:textId="22144F3A" w:rsidR="004D113D" w:rsidRDefault="004D113D" w:rsidP="00EE53B2">
      <w:pPr>
        <w:pStyle w:val="Heading2"/>
      </w:pPr>
      <w:bookmarkStart w:id="154" w:name="_Toc133597291"/>
      <w:r w:rsidRPr="005E6318">
        <w:t>Други институционални развития във връзка с публичните финанси</w:t>
      </w:r>
      <w:bookmarkEnd w:id="154"/>
    </w:p>
    <w:p w14:paraId="04BEE35F" w14:textId="429A7613" w:rsidR="002F6C74" w:rsidRDefault="002F6C74" w:rsidP="006F6754">
      <w:pPr>
        <w:rPr>
          <w:szCs w:val="24"/>
        </w:rPr>
      </w:pPr>
      <w:r>
        <w:rPr>
          <w:szCs w:val="24"/>
        </w:rPr>
        <w:t>Въпреки че България няма да се присъедини към еврозоната на 1 януари 2024</w:t>
      </w:r>
      <w:r w:rsidR="00B552D5">
        <w:rPr>
          <w:szCs w:val="24"/>
        </w:rPr>
        <w:t> г.</w:t>
      </w:r>
      <w:r>
        <w:rPr>
          <w:szCs w:val="24"/>
        </w:rPr>
        <w:t xml:space="preserve">, служебното правителство продължава работата по подготовката на страната ни за членство със същите ускорени темпове. </w:t>
      </w:r>
    </w:p>
    <w:p w14:paraId="078213FF" w14:textId="36712D34" w:rsidR="00966613" w:rsidRDefault="00966613" w:rsidP="006F6754">
      <w:pPr>
        <w:rPr>
          <w:szCs w:val="24"/>
        </w:rPr>
      </w:pPr>
      <w:r>
        <w:rPr>
          <w:szCs w:val="24"/>
        </w:rPr>
        <w:t>В тази връзка е разработен нов Закон за Българската народна банка, който да регламентира функционирането на националната ни банка в рамките на еврозоната.</w:t>
      </w:r>
    </w:p>
    <w:p w14:paraId="11920522" w14:textId="5101A6BA" w:rsidR="00966613" w:rsidRDefault="00966613" w:rsidP="00966613">
      <w:r>
        <w:rPr>
          <w:szCs w:val="24"/>
        </w:rPr>
        <w:t xml:space="preserve">В процес на изготвяне е и проект на </w:t>
      </w:r>
      <w:r>
        <w:t>Закон</w:t>
      </w:r>
      <w:r w:rsidRPr="00A36D01">
        <w:t xml:space="preserve"> за въвеждането на еврото</w:t>
      </w:r>
      <w:r>
        <w:t>, който се разработва от</w:t>
      </w:r>
      <w:r w:rsidRPr="00A36D01">
        <w:t xml:space="preserve"> специално сформирана за това</w:t>
      </w:r>
      <w:r>
        <w:t xml:space="preserve"> междуведомствена</w:t>
      </w:r>
      <w:r w:rsidRPr="00A36D01">
        <w:t xml:space="preserve"> работна група към Координационния съвет за подготовка на Република България за членство в еврозоната. </w:t>
      </w:r>
      <w:r>
        <w:t>На този етап работата по</w:t>
      </w:r>
      <w:r w:rsidRPr="00A36D01">
        <w:t xml:space="preserve"> зак</w:t>
      </w:r>
      <w:r>
        <w:t xml:space="preserve">онопроекта е в напреднала фаза. Съгласно приетия </w:t>
      </w:r>
      <w:r w:rsidRPr="00A36D01">
        <w:t>от работната група индикативен график</w:t>
      </w:r>
      <w:r>
        <w:t>, след изработването на проект на Закон за въвеждане на еврото, той ще</w:t>
      </w:r>
      <w:r w:rsidRPr="000A5DFA">
        <w:t xml:space="preserve"> се съгласува с </w:t>
      </w:r>
      <w:r>
        <w:t>ЕК</w:t>
      </w:r>
      <w:r w:rsidRPr="000A5DFA">
        <w:t xml:space="preserve"> </w:t>
      </w:r>
      <w:r>
        <w:t>и ЕЦБ</w:t>
      </w:r>
      <w:r w:rsidRPr="000A5DFA">
        <w:t>.</w:t>
      </w:r>
      <w:r>
        <w:t xml:space="preserve"> Законопроектът ще бъде</w:t>
      </w:r>
      <w:r w:rsidRPr="00A36D01">
        <w:t xml:space="preserve"> </w:t>
      </w:r>
      <w:r>
        <w:t xml:space="preserve">окончателно изготвен </w:t>
      </w:r>
      <w:r w:rsidRPr="00A36D01">
        <w:t xml:space="preserve">до </w:t>
      </w:r>
      <w:r>
        <w:t>месец юни,</w:t>
      </w:r>
      <w:r w:rsidRPr="00A36D01">
        <w:t xml:space="preserve"> след което ще бъде внесен за гласуване от Народното събрание.</w:t>
      </w:r>
      <w:r>
        <w:t xml:space="preserve"> </w:t>
      </w:r>
    </w:p>
    <w:p w14:paraId="47661FD6" w14:textId="04386457" w:rsidR="00966613" w:rsidRDefault="00966613" w:rsidP="00966613">
      <w:r>
        <w:lastRenderedPageBreak/>
        <w:t>Предстои стартирането на широкообхватна комуникационна кампания, която да информира и разясни на цялото общество и бизнеса процеса по присъединяване на страната ни към еврозоната.</w:t>
      </w:r>
    </w:p>
    <w:p w14:paraId="2A2566EA" w14:textId="1E8D64FE" w:rsidR="002F6C74" w:rsidRDefault="00966613" w:rsidP="006F6754">
      <w:pPr>
        <w:spacing w:before="120"/>
        <w:rPr>
          <w:szCs w:val="24"/>
        </w:rPr>
      </w:pPr>
      <w:r>
        <w:rPr>
          <w:szCs w:val="24"/>
        </w:rPr>
        <w:t>Ц</w:t>
      </w:r>
      <w:r w:rsidR="002F6C74" w:rsidRPr="003F7FAB">
        <w:rPr>
          <w:szCs w:val="24"/>
        </w:rPr>
        <w:t>ел</w:t>
      </w:r>
      <w:r>
        <w:rPr>
          <w:szCs w:val="24"/>
        </w:rPr>
        <w:t>та</w:t>
      </w:r>
      <w:r w:rsidR="002F6C74" w:rsidRPr="003F7FAB">
        <w:rPr>
          <w:szCs w:val="24"/>
        </w:rPr>
        <w:t xml:space="preserve"> е България да подаде молба за изготвяне на Конвергентни доклади от ЕК и ЕЦБ непосредствено след изпълнение на условия</w:t>
      </w:r>
      <w:r w:rsidR="002F6C74">
        <w:rPr>
          <w:szCs w:val="24"/>
        </w:rPr>
        <w:t xml:space="preserve">та по </w:t>
      </w:r>
      <w:r w:rsidR="002F6C74" w:rsidRPr="004E4535">
        <w:rPr>
          <w:szCs w:val="24"/>
        </w:rPr>
        <w:t xml:space="preserve">критериите от Маастрихт от една страна, и от друга </w:t>
      </w:r>
      <w:r w:rsidR="00B552D5">
        <w:rPr>
          <w:szCs w:val="24"/>
        </w:rPr>
        <w:t xml:space="preserve"> – </w:t>
      </w:r>
      <w:r w:rsidR="002F6C74" w:rsidRPr="004E4535">
        <w:rPr>
          <w:szCs w:val="24"/>
        </w:rPr>
        <w:t xml:space="preserve">приемане на необходимите нормативни и други промени, договорени при включването ни във </w:t>
      </w:r>
      <w:r w:rsidR="002F6C74">
        <w:rPr>
          <w:szCs w:val="24"/>
        </w:rPr>
        <w:t>Валутния</w:t>
      </w:r>
      <w:r w:rsidR="002F6C74" w:rsidRPr="004E4535">
        <w:rPr>
          <w:szCs w:val="24"/>
        </w:rPr>
        <w:t xml:space="preserve"> механизъм II, и в изпълнение на препоръките на Конвергентни доклади</w:t>
      </w:r>
      <w:r w:rsidR="002F6C74">
        <w:rPr>
          <w:szCs w:val="24"/>
        </w:rPr>
        <w:t>.</w:t>
      </w:r>
    </w:p>
    <w:p w14:paraId="0C99BB5D" w14:textId="77777777" w:rsidR="00D359FF" w:rsidRPr="00DF033D" w:rsidRDefault="00D359FF" w:rsidP="00DF033D">
      <w:pPr>
        <w:pStyle w:val="Heading1"/>
      </w:pPr>
      <w:bookmarkStart w:id="155" w:name="_Toc448227310"/>
      <w:bookmarkStart w:id="156" w:name="_Toc479332461"/>
      <w:bookmarkStart w:id="157" w:name="_Toc133597292"/>
      <w:r w:rsidRPr="00DF033D">
        <w:lastRenderedPageBreak/>
        <w:t xml:space="preserve">Приложение </w:t>
      </w:r>
      <w:bookmarkEnd w:id="153"/>
      <w:r w:rsidR="00B32FA7" w:rsidRPr="00DF033D">
        <w:t>А</w:t>
      </w:r>
      <w:bookmarkEnd w:id="155"/>
      <w:bookmarkEnd w:id="156"/>
      <w:bookmarkEnd w:id="157"/>
    </w:p>
    <w:p w14:paraId="288EFDC9" w14:textId="77777777" w:rsidR="006D2755" w:rsidRPr="005954E3" w:rsidRDefault="006D2755" w:rsidP="006D2755"/>
    <w:p w14:paraId="10AAD7E5" w14:textId="77777777" w:rsidR="006D2755" w:rsidRPr="005954E3" w:rsidRDefault="006D2755" w:rsidP="00EE53B2">
      <w:pPr>
        <w:pStyle w:val="Heading2"/>
        <w:numPr>
          <w:ilvl w:val="0"/>
          <w:numId w:val="0"/>
        </w:numPr>
      </w:pPr>
      <w:bookmarkStart w:id="158" w:name="_Toc448227311"/>
      <w:bookmarkStart w:id="159" w:name="_Toc479332462"/>
      <w:bookmarkStart w:id="160" w:name="_Toc133597293"/>
      <w:r w:rsidRPr="005954E3">
        <w:t>Табл. 1а: Макроикономически перспективи</w:t>
      </w:r>
      <w:bookmarkEnd w:id="158"/>
      <w:bookmarkEnd w:id="159"/>
      <w:bookmarkEnd w:id="160"/>
    </w:p>
    <w:tbl>
      <w:tblPr>
        <w:tblStyle w:val="Style19"/>
        <w:tblW w:w="5000"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CellMar>
          <w:left w:w="85" w:type="dxa"/>
          <w:right w:w="85" w:type="dxa"/>
        </w:tblCellMar>
        <w:tblLook w:val="0620" w:firstRow="1" w:lastRow="0" w:firstColumn="0" w:lastColumn="0" w:noHBand="1" w:noVBand="1"/>
      </w:tblPr>
      <w:tblGrid>
        <w:gridCol w:w="2691"/>
        <w:gridCol w:w="708"/>
        <w:gridCol w:w="944"/>
        <w:gridCol w:w="944"/>
        <w:gridCol w:w="944"/>
        <w:gridCol w:w="944"/>
        <w:gridCol w:w="944"/>
        <w:gridCol w:w="945"/>
      </w:tblGrid>
      <w:tr w:rsidR="006D2755" w:rsidRPr="005954E3" w14:paraId="492DB09B" w14:textId="77777777" w:rsidTr="006D2755">
        <w:trPr>
          <w:trHeight w:val="340"/>
          <w:jc w:val="center"/>
        </w:trPr>
        <w:tc>
          <w:tcPr>
            <w:tcW w:w="2691" w:type="dxa"/>
            <w:vMerge w:val="restart"/>
            <w:shd w:val="clear" w:color="auto" w:fill="auto"/>
            <w:vAlign w:val="center"/>
          </w:tcPr>
          <w:p w14:paraId="052937CC" w14:textId="77777777" w:rsidR="006D2755" w:rsidRPr="005954E3" w:rsidRDefault="006D2755" w:rsidP="006D2755">
            <w:pPr>
              <w:pStyle w:val="tabletextleft"/>
              <w:spacing w:before="120" w:after="120"/>
              <w:rPr>
                <w:szCs w:val="18"/>
              </w:rPr>
            </w:pPr>
          </w:p>
        </w:tc>
        <w:tc>
          <w:tcPr>
            <w:tcW w:w="708" w:type="dxa"/>
            <w:vMerge w:val="restart"/>
            <w:shd w:val="clear" w:color="auto" w:fill="auto"/>
            <w:vAlign w:val="center"/>
            <w:hideMark/>
          </w:tcPr>
          <w:p w14:paraId="194E4B27" w14:textId="77777777" w:rsidR="006D2755" w:rsidRPr="005954E3" w:rsidRDefault="006D2755" w:rsidP="006D2755">
            <w:pPr>
              <w:pStyle w:val="tabletextleft"/>
              <w:spacing w:before="120" w:after="120"/>
              <w:rPr>
                <w:b/>
                <w:szCs w:val="18"/>
              </w:rPr>
            </w:pPr>
            <w:r w:rsidRPr="005954E3">
              <w:rPr>
                <w:b/>
                <w:szCs w:val="18"/>
              </w:rPr>
              <w:t>Код по ЕСС 2010</w:t>
            </w:r>
          </w:p>
        </w:tc>
        <w:tc>
          <w:tcPr>
            <w:tcW w:w="944" w:type="dxa"/>
            <w:shd w:val="clear" w:color="auto" w:fill="auto"/>
            <w:vAlign w:val="center"/>
          </w:tcPr>
          <w:p w14:paraId="6BA5D9ED" w14:textId="77777777" w:rsidR="006D2755" w:rsidRPr="005954E3" w:rsidRDefault="006D2755" w:rsidP="006D2755">
            <w:pPr>
              <w:pStyle w:val="tabletextleft"/>
              <w:spacing w:before="120" w:after="120"/>
              <w:jc w:val="center"/>
              <w:rPr>
                <w:b/>
                <w:szCs w:val="18"/>
              </w:rPr>
            </w:pPr>
            <w:r w:rsidRPr="005954E3">
              <w:rPr>
                <w:b/>
                <w:szCs w:val="18"/>
              </w:rPr>
              <w:t>2022</w:t>
            </w:r>
          </w:p>
        </w:tc>
        <w:tc>
          <w:tcPr>
            <w:tcW w:w="944" w:type="dxa"/>
            <w:shd w:val="clear" w:color="auto" w:fill="auto"/>
            <w:vAlign w:val="center"/>
          </w:tcPr>
          <w:p w14:paraId="54A6533B" w14:textId="77777777" w:rsidR="006D2755" w:rsidRPr="005954E3" w:rsidRDefault="006D2755" w:rsidP="006D2755">
            <w:pPr>
              <w:pStyle w:val="tabletextleft"/>
              <w:spacing w:before="120" w:after="120"/>
              <w:jc w:val="center"/>
              <w:rPr>
                <w:b/>
                <w:szCs w:val="18"/>
              </w:rPr>
            </w:pPr>
            <w:r w:rsidRPr="005954E3">
              <w:rPr>
                <w:b/>
                <w:szCs w:val="18"/>
              </w:rPr>
              <w:t>2022</w:t>
            </w:r>
          </w:p>
        </w:tc>
        <w:tc>
          <w:tcPr>
            <w:tcW w:w="944" w:type="dxa"/>
            <w:shd w:val="clear" w:color="auto" w:fill="auto"/>
            <w:vAlign w:val="center"/>
          </w:tcPr>
          <w:p w14:paraId="0BD3DB46" w14:textId="77777777" w:rsidR="006D2755" w:rsidRPr="005954E3" w:rsidRDefault="006D2755" w:rsidP="006D2755">
            <w:pPr>
              <w:pStyle w:val="tabletextleft"/>
              <w:spacing w:before="120" w:after="120"/>
              <w:jc w:val="center"/>
              <w:rPr>
                <w:b/>
                <w:szCs w:val="18"/>
              </w:rPr>
            </w:pPr>
            <w:r w:rsidRPr="005954E3">
              <w:rPr>
                <w:b/>
                <w:szCs w:val="18"/>
              </w:rPr>
              <w:t>2023</w:t>
            </w:r>
          </w:p>
        </w:tc>
        <w:tc>
          <w:tcPr>
            <w:tcW w:w="944" w:type="dxa"/>
            <w:shd w:val="clear" w:color="auto" w:fill="auto"/>
            <w:vAlign w:val="center"/>
          </w:tcPr>
          <w:p w14:paraId="598FC1ED" w14:textId="77777777" w:rsidR="006D2755" w:rsidRPr="005954E3" w:rsidRDefault="006D2755" w:rsidP="006D2755">
            <w:pPr>
              <w:pStyle w:val="tabletextleft"/>
              <w:spacing w:before="120" w:after="120"/>
              <w:jc w:val="center"/>
              <w:rPr>
                <w:b/>
                <w:szCs w:val="18"/>
              </w:rPr>
            </w:pPr>
            <w:r w:rsidRPr="005954E3">
              <w:rPr>
                <w:b/>
                <w:szCs w:val="18"/>
              </w:rPr>
              <w:t>2024</w:t>
            </w:r>
          </w:p>
        </w:tc>
        <w:tc>
          <w:tcPr>
            <w:tcW w:w="944" w:type="dxa"/>
            <w:shd w:val="clear" w:color="auto" w:fill="auto"/>
            <w:vAlign w:val="center"/>
          </w:tcPr>
          <w:p w14:paraId="7B0F9575" w14:textId="77777777" w:rsidR="006D2755" w:rsidRPr="005954E3" w:rsidRDefault="006D2755" w:rsidP="006D2755">
            <w:pPr>
              <w:pStyle w:val="tabletextleft"/>
              <w:spacing w:before="120" w:after="120"/>
              <w:jc w:val="center"/>
              <w:rPr>
                <w:b/>
                <w:szCs w:val="18"/>
              </w:rPr>
            </w:pPr>
            <w:r w:rsidRPr="005954E3">
              <w:rPr>
                <w:b/>
                <w:szCs w:val="18"/>
              </w:rPr>
              <w:t>2025</w:t>
            </w:r>
          </w:p>
        </w:tc>
        <w:tc>
          <w:tcPr>
            <w:tcW w:w="945" w:type="dxa"/>
            <w:shd w:val="clear" w:color="auto" w:fill="auto"/>
            <w:vAlign w:val="center"/>
          </w:tcPr>
          <w:p w14:paraId="1FE5AD15" w14:textId="77777777" w:rsidR="006D2755" w:rsidRPr="005954E3" w:rsidRDefault="006D2755" w:rsidP="006D2755">
            <w:pPr>
              <w:pStyle w:val="tabletextleft"/>
              <w:spacing w:before="120" w:after="120"/>
              <w:jc w:val="center"/>
              <w:rPr>
                <w:b/>
                <w:szCs w:val="18"/>
              </w:rPr>
            </w:pPr>
            <w:r w:rsidRPr="005954E3">
              <w:rPr>
                <w:b/>
                <w:szCs w:val="18"/>
              </w:rPr>
              <w:t>2026</w:t>
            </w:r>
          </w:p>
        </w:tc>
      </w:tr>
      <w:tr w:rsidR="006D2755" w:rsidRPr="005954E3" w14:paraId="0885B1B7" w14:textId="77777777" w:rsidTr="006D2755">
        <w:trPr>
          <w:trHeight w:val="340"/>
          <w:jc w:val="center"/>
        </w:trPr>
        <w:tc>
          <w:tcPr>
            <w:tcW w:w="2691" w:type="dxa"/>
            <w:vMerge/>
            <w:shd w:val="clear" w:color="auto" w:fill="auto"/>
            <w:vAlign w:val="center"/>
            <w:hideMark/>
          </w:tcPr>
          <w:p w14:paraId="78DD0A10" w14:textId="77777777" w:rsidR="006D2755" w:rsidRPr="005954E3" w:rsidRDefault="006D2755" w:rsidP="006D2755">
            <w:pPr>
              <w:pStyle w:val="tabletextleft"/>
              <w:spacing w:before="120" w:after="120"/>
              <w:rPr>
                <w:szCs w:val="18"/>
              </w:rPr>
            </w:pPr>
          </w:p>
        </w:tc>
        <w:tc>
          <w:tcPr>
            <w:tcW w:w="708" w:type="dxa"/>
            <w:vMerge/>
            <w:shd w:val="clear" w:color="auto" w:fill="auto"/>
            <w:vAlign w:val="center"/>
            <w:hideMark/>
          </w:tcPr>
          <w:p w14:paraId="52D80D42" w14:textId="77777777" w:rsidR="006D2755" w:rsidRPr="005954E3" w:rsidRDefault="006D2755" w:rsidP="006D2755">
            <w:pPr>
              <w:pStyle w:val="tabletextleft"/>
              <w:spacing w:before="120" w:after="120"/>
              <w:rPr>
                <w:b/>
                <w:szCs w:val="18"/>
              </w:rPr>
            </w:pPr>
          </w:p>
        </w:tc>
        <w:tc>
          <w:tcPr>
            <w:tcW w:w="944" w:type="dxa"/>
            <w:shd w:val="clear" w:color="auto" w:fill="auto"/>
            <w:vAlign w:val="center"/>
            <w:hideMark/>
          </w:tcPr>
          <w:p w14:paraId="45818A26" w14:textId="77777777" w:rsidR="006D2755" w:rsidRPr="005954E3" w:rsidRDefault="006D2755" w:rsidP="006D2755">
            <w:pPr>
              <w:pStyle w:val="tabletextleft"/>
              <w:spacing w:before="0" w:after="0"/>
              <w:jc w:val="center"/>
              <w:rPr>
                <w:b/>
                <w:w w:val="90"/>
                <w:szCs w:val="18"/>
              </w:rPr>
            </w:pPr>
            <w:r w:rsidRPr="005954E3">
              <w:rPr>
                <w:b/>
                <w:w w:val="90"/>
                <w:szCs w:val="18"/>
              </w:rPr>
              <w:t>Равнище</w:t>
            </w:r>
          </w:p>
          <w:p w14:paraId="159DA03C" w14:textId="77777777" w:rsidR="006D2755" w:rsidRPr="005954E3" w:rsidRDefault="006D2755" w:rsidP="006D2755">
            <w:pPr>
              <w:pStyle w:val="tabletextleft"/>
              <w:spacing w:before="0" w:after="0"/>
              <w:jc w:val="center"/>
              <w:rPr>
                <w:b/>
                <w:w w:val="90"/>
                <w:szCs w:val="18"/>
              </w:rPr>
            </w:pPr>
            <w:r w:rsidRPr="005954E3">
              <w:rPr>
                <w:b/>
                <w:w w:val="90"/>
                <w:szCs w:val="18"/>
              </w:rPr>
              <w:t>(млн. лв.)</w:t>
            </w:r>
          </w:p>
        </w:tc>
        <w:tc>
          <w:tcPr>
            <w:tcW w:w="944" w:type="dxa"/>
            <w:shd w:val="clear" w:color="auto" w:fill="auto"/>
            <w:vAlign w:val="center"/>
            <w:hideMark/>
          </w:tcPr>
          <w:p w14:paraId="5B18DBC3" w14:textId="77777777" w:rsidR="006D2755" w:rsidRPr="005954E3" w:rsidRDefault="006D2755" w:rsidP="006D2755">
            <w:pPr>
              <w:pStyle w:val="tabletextleft"/>
              <w:spacing w:before="0" w:after="0"/>
              <w:jc w:val="center"/>
              <w:rPr>
                <w:b/>
                <w:w w:val="90"/>
                <w:szCs w:val="18"/>
              </w:rPr>
            </w:pPr>
            <w:r w:rsidRPr="005954E3">
              <w:rPr>
                <w:b/>
                <w:w w:val="90"/>
                <w:szCs w:val="18"/>
              </w:rPr>
              <w:t>Темп на изменение</w:t>
            </w:r>
          </w:p>
        </w:tc>
        <w:tc>
          <w:tcPr>
            <w:tcW w:w="944" w:type="dxa"/>
            <w:shd w:val="clear" w:color="auto" w:fill="auto"/>
            <w:vAlign w:val="center"/>
            <w:hideMark/>
          </w:tcPr>
          <w:p w14:paraId="63B3A9FE" w14:textId="77777777" w:rsidR="006D2755" w:rsidRPr="005954E3" w:rsidRDefault="006D2755" w:rsidP="006D2755">
            <w:pPr>
              <w:pStyle w:val="tabletextleft"/>
              <w:spacing w:before="0" w:after="0"/>
              <w:jc w:val="center"/>
              <w:rPr>
                <w:b/>
                <w:w w:val="90"/>
                <w:szCs w:val="18"/>
              </w:rPr>
            </w:pPr>
            <w:r w:rsidRPr="005954E3">
              <w:rPr>
                <w:b/>
                <w:w w:val="90"/>
                <w:szCs w:val="18"/>
              </w:rPr>
              <w:t>Темп на изменение</w:t>
            </w:r>
          </w:p>
        </w:tc>
        <w:tc>
          <w:tcPr>
            <w:tcW w:w="944" w:type="dxa"/>
            <w:shd w:val="clear" w:color="auto" w:fill="auto"/>
            <w:vAlign w:val="center"/>
            <w:hideMark/>
          </w:tcPr>
          <w:p w14:paraId="7E8D7386" w14:textId="77777777" w:rsidR="006D2755" w:rsidRPr="005954E3" w:rsidRDefault="006D2755" w:rsidP="006D2755">
            <w:pPr>
              <w:pStyle w:val="tabletextleft"/>
              <w:spacing w:before="0" w:after="0"/>
              <w:jc w:val="center"/>
              <w:rPr>
                <w:b/>
                <w:w w:val="90"/>
                <w:szCs w:val="18"/>
              </w:rPr>
            </w:pPr>
            <w:r w:rsidRPr="005954E3">
              <w:rPr>
                <w:b/>
                <w:w w:val="90"/>
                <w:szCs w:val="18"/>
              </w:rPr>
              <w:t>Темп на изменение</w:t>
            </w:r>
          </w:p>
        </w:tc>
        <w:tc>
          <w:tcPr>
            <w:tcW w:w="944" w:type="dxa"/>
            <w:shd w:val="clear" w:color="auto" w:fill="auto"/>
            <w:vAlign w:val="center"/>
            <w:hideMark/>
          </w:tcPr>
          <w:p w14:paraId="1395DE5C" w14:textId="77777777" w:rsidR="006D2755" w:rsidRPr="005954E3" w:rsidRDefault="006D2755" w:rsidP="006D2755">
            <w:pPr>
              <w:pStyle w:val="tabletextleft"/>
              <w:spacing w:before="0" w:after="0"/>
              <w:jc w:val="center"/>
              <w:rPr>
                <w:b/>
                <w:w w:val="90"/>
                <w:szCs w:val="18"/>
              </w:rPr>
            </w:pPr>
            <w:r w:rsidRPr="005954E3">
              <w:rPr>
                <w:b/>
                <w:w w:val="90"/>
                <w:szCs w:val="18"/>
              </w:rPr>
              <w:t>Темп на изменение</w:t>
            </w:r>
          </w:p>
        </w:tc>
        <w:tc>
          <w:tcPr>
            <w:tcW w:w="945" w:type="dxa"/>
            <w:shd w:val="clear" w:color="auto" w:fill="auto"/>
            <w:vAlign w:val="center"/>
            <w:hideMark/>
          </w:tcPr>
          <w:p w14:paraId="77801A81" w14:textId="77777777" w:rsidR="006D2755" w:rsidRPr="005954E3" w:rsidRDefault="006D2755" w:rsidP="006D2755">
            <w:pPr>
              <w:pStyle w:val="tabletextleft"/>
              <w:spacing w:before="0" w:after="0"/>
              <w:jc w:val="center"/>
              <w:rPr>
                <w:b/>
                <w:w w:val="90"/>
                <w:szCs w:val="18"/>
              </w:rPr>
            </w:pPr>
            <w:r w:rsidRPr="005954E3">
              <w:rPr>
                <w:b/>
                <w:w w:val="90"/>
                <w:szCs w:val="18"/>
              </w:rPr>
              <w:t>Темп на изменение</w:t>
            </w:r>
          </w:p>
        </w:tc>
      </w:tr>
      <w:tr w:rsidR="00AE77DE" w:rsidRPr="005954E3" w14:paraId="2E24C815" w14:textId="77777777" w:rsidTr="00777E7B">
        <w:trPr>
          <w:trHeight w:val="340"/>
          <w:jc w:val="center"/>
        </w:trPr>
        <w:tc>
          <w:tcPr>
            <w:tcW w:w="2691" w:type="dxa"/>
            <w:vAlign w:val="center"/>
            <w:hideMark/>
          </w:tcPr>
          <w:p w14:paraId="0BFF6DDC" w14:textId="77777777" w:rsidR="00AE77DE" w:rsidRPr="005954E3" w:rsidRDefault="00AE77DE" w:rsidP="00AE77DE">
            <w:pPr>
              <w:pStyle w:val="tabletextleft"/>
              <w:spacing w:before="120" w:after="120"/>
              <w:rPr>
                <w:szCs w:val="18"/>
              </w:rPr>
            </w:pPr>
            <w:r w:rsidRPr="005954E3">
              <w:rPr>
                <w:szCs w:val="18"/>
              </w:rPr>
              <w:t xml:space="preserve">Реален БВП </w:t>
            </w:r>
            <w:r w:rsidRPr="005954E3">
              <w:rPr>
                <w:szCs w:val="18"/>
              </w:rPr>
              <w:br/>
              <w:t>(по цени от 2015 година)</w:t>
            </w:r>
          </w:p>
        </w:tc>
        <w:tc>
          <w:tcPr>
            <w:tcW w:w="708" w:type="dxa"/>
            <w:vAlign w:val="center"/>
            <w:hideMark/>
          </w:tcPr>
          <w:p w14:paraId="6126431F" w14:textId="77777777" w:rsidR="00AE77DE" w:rsidRPr="005954E3" w:rsidRDefault="00AE77DE" w:rsidP="00AE77DE">
            <w:pPr>
              <w:pStyle w:val="tabletextleft"/>
              <w:spacing w:before="120" w:after="120"/>
              <w:rPr>
                <w:szCs w:val="18"/>
              </w:rPr>
            </w:pPr>
            <w:r w:rsidRPr="005954E3">
              <w:rPr>
                <w:szCs w:val="18"/>
              </w:rPr>
              <w:t>B1*g</w:t>
            </w:r>
          </w:p>
        </w:tc>
        <w:tc>
          <w:tcPr>
            <w:tcW w:w="944" w:type="dxa"/>
            <w:vAlign w:val="bottom"/>
          </w:tcPr>
          <w:p w14:paraId="13E9F0EE" w14:textId="4D61768D" w:rsidR="00AE77DE" w:rsidRPr="005954E3" w:rsidRDefault="00AE77DE" w:rsidP="00AE77DE">
            <w:pPr>
              <w:pStyle w:val="tabletextleft"/>
              <w:spacing w:before="120" w:after="120"/>
              <w:jc w:val="right"/>
              <w:rPr>
                <w:szCs w:val="18"/>
              </w:rPr>
            </w:pPr>
            <w:r w:rsidRPr="00E27712">
              <w:rPr>
                <w:szCs w:val="18"/>
              </w:rPr>
              <w:t>108 296</w:t>
            </w:r>
          </w:p>
        </w:tc>
        <w:tc>
          <w:tcPr>
            <w:tcW w:w="944" w:type="dxa"/>
            <w:vAlign w:val="bottom"/>
          </w:tcPr>
          <w:p w14:paraId="10CC86D2" w14:textId="2F0DEEA4" w:rsidR="00AE77DE" w:rsidRPr="005954E3" w:rsidRDefault="00AE77DE" w:rsidP="00AE77DE">
            <w:pPr>
              <w:pStyle w:val="tabletextleft"/>
              <w:spacing w:before="120" w:after="120"/>
              <w:jc w:val="right"/>
              <w:rPr>
                <w:szCs w:val="18"/>
              </w:rPr>
            </w:pPr>
            <w:r w:rsidRPr="00E27712">
              <w:rPr>
                <w:szCs w:val="18"/>
              </w:rPr>
              <w:t>3.4</w:t>
            </w:r>
          </w:p>
        </w:tc>
        <w:tc>
          <w:tcPr>
            <w:tcW w:w="944" w:type="dxa"/>
            <w:vAlign w:val="bottom"/>
          </w:tcPr>
          <w:p w14:paraId="115CEE26" w14:textId="4488E73D" w:rsidR="00AE77DE" w:rsidRPr="005954E3" w:rsidRDefault="00AE77DE" w:rsidP="00AE77DE">
            <w:pPr>
              <w:pStyle w:val="tabletextleft"/>
              <w:spacing w:before="120" w:after="120"/>
              <w:jc w:val="right"/>
              <w:rPr>
                <w:szCs w:val="18"/>
              </w:rPr>
            </w:pPr>
            <w:r w:rsidRPr="00E27712">
              <w:rPr>
                <w:szCs w:val="18"/>
              </w:rPr>
              <w:t>1.8</w:t>
            </w:r>
          </w:p>
        </w:tc>
        <w:tc>
          <w:tcPr>
            <w:tcW w:w="944" w:type="dxa"/>
            <w:vAlign w:val="bottom"/>
          </w:tcPr>
          <w:p w14:paraId="3528E2B3" w14:textId="531BEAF2" w:rsidR="00AE77DE" w:rsidRPr="005954E3" w:rsidRDefault="00AE77DE" w:rsidP="00AE77DE">
            <w:pPr>
              <w:pStyle w:val="tabletextleft"/>
              <w:spacing w:before="120" w:after="120"/>
              <w:jc w:val="right"/>
              <w:rPr>
                <w:szCs w:val="18"/>
              </w:rPr>
            </w:pPr>
            <w:r w:rsidRPr="00E27712">
              <w:rPr>
                <w:szCs w:val="18"/>
              </w:rPr>
              <w:t>3.3</w:t>
            </w:r>
          </w:p>
        </w:tc>
        <w:tc>
          <w:tcPr>
            <w:tcW w:w="944" w:type="dxa"/>
            <w:vAlign w:val="bottom"/>
          </w:tcPr>
          <w:p w14:paraId="7C8DBE05" w14:textId="7111334F" w:rsidR="00AE77DE" w:rsidRPr="005954E3" w:rsidRDefault="00AE77DE" w:rsidP="00AE77DE">
            <w:pPr>
              <w:pStyle w:val="tabletextleft"/>
              <w:spacing w:before="120" w:after="120"/>
              <w:jc w:val="right"/>
              <w:rPr>
                <w:szCs w:val="18"/>
              </w:rPr>
            </w:pPr>
            <w:r w:rsidRPr="00E27712">
              <w:rPr>
                <w:szCs w:val="18"/>
              </w:rPr>
              <w:t>3.2</w:t>
            </w:r>
          </w:p>
        </w:tc>
        <w:tc>
          <w:tcPr>
            <w:tcW w:w="945" w:type="dxa"/>
            <w:vAlign w:val="bottom"/>
          </w:tcPr>
          <w:p w14:paraId="64BFD394" w14:textId="3BEA3F08" w:rsidR="00AE77DE" w:rsidRPr="005954E3" w:rsidRDefault="00AE77DE" w:rsidP="00AE77DE">
            <w:pPr>
              <w:pStyle w:val="tabletextleft"/>
              <w:spacing w:before="120" w:after="120"/>
              <w:jc w:val="right"/>
              <w:rPr>
                <w:szCs w:val="18"/>
              </w:rPr>
            </w:pPr>
            <w:r w:rsidRPr="00E27712">
              <w:rPr>
                <w:szCs w:val="18"/>
              </w:rPr>
              <w:t>3.0</w:t>
            </w:r>
          </w:p>
        </w:tc>
      </w:tr>
      <w:tr w:rsidR="00AE77DE" w:rsidRPr="005954E3" w14:paraId="1C29075F" w14:textId="77777777" w:rsidTr="00777E7B">
        <w:trPr>
          <w:trHeight w:val="340"/>
          <w:jc w:val="center"/>
        </w:trPr>
        <w:tc>
          <w:tcPr>
            <w:tcW w:w="2691" w:type="dxa"/>
            <w:vAlign w:val="center"/>
            <w:hideMark/>
          </w:tcPr>
          <w:p w14:paraId="541C9602" w14:textId="77777777" w:rsidR="00AE77DE" w:rsidRPr="005954E3" w:rsidRDefault="00AE77DE" w:rsidP="00AE77DE">
            <w:pPr>
              <w:pStyle w:val="tabletextleft"/>
              <w:spacing w:before="120" w:after="120"/>
              <w:rPr>
                <w:szCs w:val="18"/>
              </w:rPr>
            </w:pPr>
            <w:r w:rsidRPr="005954E3">
              <w:rPr>
                <w:szCs w:val="18"/>
              </w:rPr>
              <w:t>Номинален БВП</w:t>
            </w:r>
          </w:p>
        </w:tc>
        <w:tc>
          <w:tcPr>
            <w:tcW w:w="708" w:type="dxa"/>
            <w:vAlign w:val="center"/>
            <w:hideMark/>
          </w:tcPr>
          <w:p w14:paraId="67B3B665" w14:textId="77777777" w:rsidR="00AE77DE" w:rsidRPr="005954E3" w:rsidRDefault="00AE77DE" w:rsidP="00AE77DE">
            <w:pPr>
              <w:pStyle w:val="tabletextleft"/>
              <w:spacing w:before="120" w:after="120"/>
              <w:rPr>
                <w:szCs w:val="18"/>
              </w:rPr>
            </w:pPr>
            <w:r w:rsidRPr="005954E3">
              <w:rPr>
                <w:szCs w:val="18"/>
              </w:rPr>
              <w:t>B1*g</w:t>
            </w:r>
          </w:p>
        </w:tc>
        <w:tc>
          <w:tcPr>
            <w:tcW w:w="944" w:type="dxa"/>
            <w:vAlign w:val="bottom"/>
          </w:tcPr>
          <w:p w14:paraId="74694191" w14:textId="2480EDF3" w:rsidR="00AE77DE" w:rsidRPr="005954E3" w:rsidRDefault="00AE77DE" w:rsidP="00AE77DE">
            <w:pPr>
              <w:pStyle w:val="tabletextleft"/>
              <w:spacing w:before="120" w:after="120"/>
              <w:jc w:val="right"/>
              <w:rPr>
                <w:szCs w:val="18"/>
              </w:rPr>
            </w:pPr>
            <w:r w:rsidRPr="00E27712">
              <w:rPr>
                <w:szCs w:val="18"/>
              </w:rPr>
              <w:t>165</w:t>
            </w:r>
            <w:r w:rsidRPr="00E27712">
              <w:rPr>
                <w:szCs w:val="18"/>
                <w:lang w:val="en-US"/>
              </w:rPr>
              <w:t xml:space="preserve"> </w:t>
            </w:r>
            <w:r w:rsidRPr="00E27712">
              <w:rPr>
                <w:szCs w:val="18"/>
              </w:rPr>
              <w:t>384</w:t>
            </w:r>
          </w:p>
        </w:tc>
        <w:tc>
          <w:tcPr>
            <w:tcW w:w="944" w:type="dxa"/>
            <w:vAlign w:val="bottom"/>
          </w:tcPr>
          <w:p w14:paraId="050541B4" w14:textId="0135472B" w:rsidR="00AE77DE" w:rsidRPr="005954E3" w:rsidRDefault="00AE77DE" w:rsidP="00AE77DE">
            <w:pPr>
              <w:pStyle w:val="tabletextleft"/>
              <w:spacing w:before="120" w:after="120"/>
              <w:jc w:val="right"/>
              <w:rPr>
                <w:szCs w:val="18"/>
              </w:rPr>
            </w:pPr>
            <w:r w:rsidRPr="00E27712">
              <w:rPr>
                <w:szCs w:val="18"/>
              </w:rPr>
              <w:t>19.0</w:t>
            </w:r>
          </w:p>
        </w:tc>
        <w:tc>
          <w:tcPr>
            <w:tcW w:w="944" w:type="dxa"/>
            <w:vAlign w:val="bottom"/>
          </w:tcPr>
          <w:p w14:paraId="35B64AC4" w14:textId="73F7DF76" w:rsidR="00AE77DE" w:rsidRPr="005954E3" w:rsidRDefault="00AE77DE" w:rsidP="00AE77DE">
            <w:pPr>
              <w:pStyle w:val="tabletextleft"/>
              <w:spacing w:before="120" w:after="120"/>
              <w:jc w:val="right"/>
              <w:rPr>
                <w:szCs w:val="18"/>
              </w:rPr>
            </w:pPr>
            <w:r w:rsidRPr="00E27712">
              <w:rPr>
                <w:szCs w:val="18"/>
              </w:rPr>
              <w:t>11.6</w:t>
            </w:r>
          </w:p>
        </w:tc>
        <w:tc>
          <w:tcPr>
            <w:tcW w:w="944" w:type="dxa"/>
            <w:vAlign w:val="bottom"/>
          </w:tcPr>
          <w:p w14:paraId="2D5F19C5" w14:textId="07449D78" w:rsidR="00AE77DE" w:rsidRPr="005954E3" w:rsidRDefault="00AE77DE" w:rsidP="00AE77DE">
            <w:pPr>
              <w:pStyle w:val="tabletextleft"/>
              <w:spacing w:before="120" w:after="120"/>
              <w:jc w:val="right"/>
              <w:rPr>
                <w:szCs w:val="18"/>
              </w:rPr>
            </w:pPr>
            <w:r w:rsidRPr="00E27712">
              <w:rPr>
                <w:szCs w:val="18"/>
              </w:rPr>
              <w:t>7.1</w:t>
            </w:r>
          </w:p>
        </w:tc>
        <w:tc>
          <w:tcPr>
            <w:tcW w:w="944" w:type="dxa"/>
            <w:vAlign w:val="bottom"/>
          </w:tcPr>
          <w:p w14:paraId="346C68DE" w14:textId="6E59BD50" w:rsidR="00AE77DE" w:rsidRPr="005954E3" w:rsidRDefault="00AE77DE" w:rsidP="00AE77DE">
            <w:pPr>
              <w:pStyle w:val="tabletextleft"/>
              <w:spacing w:before="120" w:after="120"/>
              <w:jc w:val="right"/>
              <w:rPr>
                <w:szCs w:val="18"/>
              </w:rPr>
            </w:pPr>
            <w:r w:rsidRPr="00E27712">
              <w:rPr>
                <w:szCs w:val="18"/>
              </w:rPr>
              <w:t>6.4</w:t>
            </w:r>
          </w:p>
        </w:tc>
        <w:tc>
          <w:tcPr>
            <w:tcW w:w="945" w:type="dxa"/>
            <w:vAlign w:val="bottom"/>
          </w:tcPr>
          <w:p w14:paraId="3DFFDF5F" w14:textId="03C09329" w:rsidR="00AE77DE" w:rsidRPr="005954E3" w:rsidRDefault="00AE77DE" w:rsidP="00AE77DE">
            <w:pPr>
              <w:pStyle w:val="tabletextleft"/>
              <w:spacing w:before="120" w:after="120"/>
              <w:jc w:val="right"/>
              <w:rPr>
                <w:szCs w:val="18"/>
              </w:rPr>
            </w:pPr>
            <w:r w:rsidRPr="00E27712">
              <w:rPr>
                <w:szCs w:val="18"/>
              </w:rPr>
              <w:t>5.9</w:t>
            </w:r>
          </w:p>
        </w:tc>
      </w:tr>
      <w:tr w:rsidR="006D2755" w:rsidRPr="005954E3" w14:paraId="13F3A0C8" w14:textId="77777777" w:rsidTr="006D2755">
        <w:trPr>
          <w:trHeight w:val="340"/>
          <w:jc w:val="center"/>
        </w:trPr>
        <w:tc>
          <w:tcPr>
            <w:tcW w:w="9064" w:type="dxa"/>
            <w:gridSpan w:val="8"/>
            <w:vAlign w:val="center"/>
          </w:tcPr>
          <w:p w14:paraId="6D0C8267" w14:textId="77777777" w:rsidR="006D2755" w:rsidRPr="005954E3" w:rsidRDefault="006D2755" w:rsidP="006D2755">
            <w:pPr>
              <w:pStyle w:val="tabletextleft"/>
              <w:spacing w:before="120" w:after="120"/>
              <w:jc w:val="right"/>
              <w:rPr>
                <w:szCs w:val="18"/>
              </w:rPr>
            </w:pPr>
          </w:p>
        </w:tc>
      </w:tr>
      <w:tr w:rsidR="00AE77DE" w:rsidRPr="005954E3" w14:paraId="11F314E3" w14:textId="77777777" w:rsidTr="00777E7B">
        <w:trPr>
          <w:trHeight w:val="340"/>
          <w:jc w:val="center"/>
        </w:trPr>
        <w:tc>
          <w:tcPr>
            <w:tcW w:w="2691" w:type="dxa"/>
            <w:vAlign w:val="center"/>
            <w:hideMark/>
          </w:tcPr>
          <w:p w14:paraId="046BD9C6" w14:textId="77777777" w:rsidR="00AE77DE" w:rsidRPr="005954E3" w:rsidRDefault="00AE77DE" w:rsidP="00AE77DE">
            <w:pPr>
              <w:pStyle w:val="tabletextleft"/>
              <w:spacing w:before="120" w:after="120"/>
              <w:rPr>
                <w:szCs w:val="18"/>
              </w:rPr>
            </w:pPr>
            <w:r w:rsidRPr="005954E3">
              <w:rPr>
                <w:szCs w:val="18"/>
              </w:rPr>
              <w:t>Частно потребление</w:t>
            </w:r>
          </w:p>
        </w:tc>
        <w:tc>
          <w:tcPr>
            <w:tcW w:w="708" w:type="dxa"/>
            <w:vAlign w:val="center"/>
            <w:hideMark/>
          </w:tcPr>
          <w:p w14:paraId="388E2E7D" w14:textId="77777777" w:rsidR="00AE77DE" w:rsidRPr="005954E3" w:rsidRDefault="00AE77DE" w:rsidP="00AE77DE">
            <w:pPr>
              <w:pStyle w:val="tabletextleft"/>
              <w:spacing w:before="120" w:after="120"/>
              <w:rPr>
                <w:szCs w:val="18"/>
              </w:rPr>
            </w:pPr>
            <w:r w:rsidRPr="005954E3">
              <w:rPr>
                <w:szCs w:val="18"/>
              </w:rPr>
              <w:t>P.3</w:t>
            </w:r>
          </w:p>
        </w:tc>
        <w:tc>
          <w:tcPr>
            <w:tcW w:w="944" w:type="dxa"/>
            <w:vAlign w:val="bottom"/>
          </w:tcPr>
          <w:p w14:paraId="419A35AC" w14:textId="7CDFB0E2" w:rsidR="00AE77DE" w:rsidRPr="005954E3" w:rsidRDefault="00AE77DE" w:rsidP="00AE77DE">
            <w:pPr>
              <w:pStyle w:val="tabletextleft"/>
              <w:spacing w:before="120" w:after="120"/>
              <w:jc w:val="right"/>
              <w:rPr>
                <w:szCs w:val="18"/>
              </w:rPr>
            </w:pPr>
            <w:r w:rsidRPr="00E27712">
              <w:rPr>
                <w:szCs w:val="18"/>
              </w:rPr>
              <w:t>72 520</w:t>
            </w:r>
          </w:p>
        </w:tc>
        <w:tc>
          <w:tcPr>
            <w:tcW w:w="944" w:type="dxa"/>
            <w:vAlign w:val="bottom"/>
          </w:tcPr>
          <w:p w14:paraId="5409CD2B" w14:textId="2C91DB31" w:rsidR="00AE77DE" w:rsidRPr="005954E3" w:rsidRDefault="00AE77DE" w:rsidP="00AE77DE">
            <w:pPr>
              <w:pStyle w:val="tabletextleft"/>
              <w:spacing w:before="120" w:after="120"/>
              <w:jc w:val="right"/>
              <w:rPr>
                <w:szCs w:val="18"/>
              </w:rPr>
            </w:pPr>
            <w:r w:rsidRPr="00E27712">
              <w:rPr>
                <w:szCs w:val="18"/>
              </w:rPr>
              <w:t>4.8</w:t>
            </w:r>
          </w:p>
        </w:tc>
        <w:tc>
          <w:tcPr>
            <w:tcW w:w="944" w:type="dxa"/>
            <w:vAlign w:val="bottom"/>
          </w:tcPr>
          <w:p w14:paraId="1710C19E" w14:textId="7292C1D6" w:rsidR="00AE77DE" w:rsidRPr="005954E3" w:rsidRDefault="00AE77DE" w:rsidP="00AE77DE">
            <w:pPr>
              <w:pStyle w:val="tabletextleft"/>
              <w:spacing w:before="120" w:after="120"/>
              <w:jc w:val="right"/>
              <w:rPr>
                <w:szCs w:val="18"/>
              </w:rPr>
            </w:pPr>
            <w:r w:rsidRPr="00E27712">
              <w:rPr>
                <w:szCs w:val="18"/>
              </w:rPr>
              <w:t>3.2</w:t>
            </w:r>
          </w:p>
        </w:tc>
        <w:tc>
          <w:tcPr>
            <w:tcW w:w="944" w:type="dxa"/>
            <w:vAlign w:val="bottom"/>
          </w:tcPr>
          <w:p w14:paraId="78E07973" w14:textId="0323232F" w:rsidR="00AE77DE" w:rsidRPr="005954E3" w:rsidRDefault="00AE77DE" w:rsidP="00AE77DE">
            <w:pPr>
              <w:pStyle w:val="tabletextleft"/>
              <w:spacing w:before="120" w:after="120"/>
              <w:jc w:val="right"/>
              <w:rPr>
                <w:szCs w:val="18"/>
              </w:rPr>
            </w:pPr>
            <w:r w:rsidRPr="00E27712">
              <w:rPr>
                <w:szCs w:val="18"/>
              </w:rPr>
              <w:t>4.3</w:t>
            </w:r>
          </w:p>
        </w:tc>
        <w:tc>
          <w:tcPr>
            <w:tcW w:w="944" w:type="dxa"/>
            <w:vAlign w:val="bottom"/>
          </w:tcPr>
          <w:p w14:paraId="56A033AD" w14:textId="76098009" w:rsidR="00AE77DE" w:rsidRPr="005954E3" w:rsidRDefault="00AE77DE" w:rsidP="00AE77DE">
            <w:pPr>
              <w:pStyle w:val="tabletextleft"/>
              <w:spacing w:before="120" w:after="120"/>
              <w:jc w:val="right"/>
              <w:rPr>
                <w:szCs w:val="18"/>
              </w:rPr>
            </w:pPr>
            <w:r w:rsidRPr="00E27712">
              <w:rPr>
                <w:szCs w:val="18"/>
              </w:rPr>
              <w:t>4.0</w:t>
            </w:r>
          </w:p>
        </w:tc>
        <w:tc>
          <w:tcPr>
            <w:tcW w:w="945" w:type="dxa"/>
            <w:vAlign w:val="bottom"/>
          </w:tcPr>
          <w:p w14:paraId="5AEB5A46" w14:textId="6581E1CA" w:rsidR="00AE77DE" w:rsidRPr="005954E3" w:rsidRDefault="00AE77DE" w:rsidP="00AE77DE">
            <w:pPr>
              <w:pStyle w:val="tabletextleft"/>
              <w:spacing w:before="120" w:after="120"/>
              <w:jc w:val="right"/>
              <w:rPr>
                <w:szCs w:val="18"/>
              </w:rPr>
            </w:pPr>
            <w:r w:rsidRPr="00E27712">
              <w:rPr>
                <w:szCs w:val="18"/>
              </w:rPr>
              <w:t>3.8</w:t>
            </w:r>
          </w:p>
        </w:tc>
      </w:tr>
      <w:tr w:rsidR="00AE77DE" w:rsidRPr="005954E3" w14:paraId="39584FCB" w14:textId="77777777" w:rsidTr="00777E7B">
        <w:trPr>
          <w:trHeight w:val="340"/>
          <w:jc w:val="center"/>
        </w:trPr>
        <w:tc>
          <w:tcPr>
            <w:tcW w:w="2691" w:type="dxa"/>
            <w:vAlign w:val="center"/>
            <w:hideMark/>
          </w:tcPr>
          <w:p w14:paraId="3574F9B2" w14:textId="77777777" w:rsidR="00AE77DE" w:rsidRPr="005954E3" w:rsidRDefault="00AE77DE" w:rsidP="00AE77DE">
            <w:pPr>
              <w:pStyle w:val="tabletextleft"/>
              <w:spacing w:before="120" w:after="120"/>
              <w:rPr>
                <w:szCs w:val="18"/>
              </w:rPr>
            </w:pPr>
            <w:r w:rsidRPr="005954E3">
              <w:rPr>
                <w:szCs w:val="18"/>
              </w:rPr>
              <w:t>Правителствено потребление</w:t>
            </w:r>
          </w:p>
        </w:tc>
        <w:tc>
          <w:tcPr>
            <w:tcW w:w="708" w:type="dxa"/>
            <w:vAlign w:val="center"/>
            <w:hideMark/>
          </w:tcPr>
          <w:p w14:paraId="639BE21A" w14:textId="77777777" w:rsidR="00AE77DE" w:rsidRPr="005954E3" w:rsidRDefault="00AE77DE" w:rsidP="00AE77DE">
            <w:pPr>
              <w:pStyle w:val="tabletextleft"/>
              <w:spacing w:before="120" w:after="120"/>
              <w:rPr>
                <w:szCs w:val="18"/>
              </w:rPr>
            </w:pPr>
            <w:r w:rsidRPr="005954E3">
              <w:rPr>
                <w:szCs w:val="18"/>
              </w:rPr>
              <w:t>P.3</w:t>
            </w:r>
          </w:p>
        </w:tc>
        <w:tc>
          <w:tcPr>
            <w:tcW w:w="944" w:type="dxa"/>
            <w:vAlign w:val="bottom"/>
          </w:tcPr>
          <w:p w14:paraId="6E3DE160" w14:textId="42BFF15A" w:rsidR="00AE77DE" w:rsidRPr="005954E3" w:rsidRDefault="00AE77DE" w:rsidP="00AE77DE">
            <w:pPr>
              <w:pStyle w:val="tabletextleft"/>
              <w:spacing w:before="120" w:after="120"/>
              <w:jc w:val="right"/>
              <w:rPr>
                <w:szCs w:val="18"/>
              </w:rPr>
            </w:pPr>
            <w:r w:rsidRPr="00E27712">
              <w:rPr>
                <w:szCs w:val="18"/>
              </w:rPr>
              <w:t>19 107</w:t>
            </w:r>
          </w:p>
        </w:tc>
        <w:tc>
          <w:tcPr>
            <w:tcW w:w="944" w:type="dxa"/>
            <w:vAlign w:val="bottom"/>
          </w:tcPr>
          <w:p w14:paraId="56FC0939" w14:textId="589AE3E8" w:rsidR="00AE77DE" w:rsidRPr="005954E3" w:rsidRDefault="00AE77DE" w:rsidP="00AE77DE">
            <w:pPr>
              <w:pStyle w:val="tabletextleft"/>
              <w:spacing w:before="120" w:after="120"/>
              <w:jc w:val="right"/>
              <w:rPr>
                <w:szCs w:val="18"/>
              </w:rPr>
            </w:pPr>
            <w:r w:rsidRPr="00E27712">
              <w:rPr>
                <w:szCs w:val="18"/>
              </w:rPr>
              <w:t>6.5</w:t>
            </w:r>
          </w:p>
        </w:tc>
        <w:tc>
          <w:tcPr>
            <w:tcW w:w="944" w:type="dxa"/>
            <w:vAlign w:val="bottom"/>
          </w:tcPr>
          <w:p w14:paraId="1DFAB889" w14:textId="49262FCB" w:rsidR="00AE77DE" w:rsidRPr="005954E3" w:rsidRDefault="00AE77DE" w:rsidP="00AE77DE">
            <w:pPr>
              <w:pStyle w:val="tabletextleft"/>
              <w:spacing w:before="120" w:after="120"/>
              <w:jc w:val="right"/>
              <w:rPr>
                <w:szCs w:val="18"/>
              </w:rPr>
            </w:pPr>
            <w:r w:rsidRPr="00E27712">
              <w:rPr>
                <w:szCs w:val="18"/>
              </w:rPr>
              <w:t>2.4</w:t>
            </w:r>
          </w:p>
        </w:tc>
        <w:tc>
          <w:tcPr>
            <w:tcW w:w="944" w:type="dxa"/>
            <w:vAlign w:val="bottom"/>
          </w:tcPr>
          <w:p w14:paraId="368617AB" w14:textId="590469E4" w:rsidR="00AE77DE" w:rsidRPr="005954E3" w:rsidRDefault="00AE77DE" w:rsidP="00AE77DE">
            <w:pPr>
              <w:pStyle w:val="tabletextleft"/>
              <w:spacing w:before="120" w:after="120"/>
              <w:jc w:val="right"/>
              <w:rPr>
                <w:szCs w:val="18"/>
              </w:rPr>
            </w:pPr>
            <w:r w:rsidRPr="00E27712">
              <w:rPr>
                <w:szCs w:val="18"/>
              </w:rPr>
              <w:t>-0.2</w:t>
            </w:r>
          </w:p>
        </w:tc>
        <w:tc>
          <w:tcPr>
            <w:tcW w:w="944" w:type="dxa"/>
            <w:vAlign w:val="bottom"/>
          </w:tcPr>
          <w:p w14:paraId="5146C1ED" w14:textId="195F464B" w:rsidR="00AE77DE" w:rsidRPr="005954E3" w:rsidRDefault="00AE77DE" w:rsidP="00AE77DE">
            <w:pPr>
              <w:pStyle w:val="tabletextleft"/>
              <w:spacing w:before="120" w:after="120"/>
              <w:jc w:val="right"/>
              <w:rPr>
                <w:szCs w:val="18"/>
              </w:rPr>
            </w:pPr>
            <w:r w:rsidRPr="00E27712">
              <w:rPr>
                <w:szCs w:val="18"/>
              </w:rPr>
              <w:t>0.9</w:t>
            </w:r>
          </w:p>
        </w:tc>
        <w:tc>
          <w:tcPr>
            <w:tcW w:w="945" w:type="dxa"/>
            <w:vAlign w:val="bottom"/>
          </w:tcPr>
          <w:p w14:paraId="228A93E4" w14:textId="77186563" w:rsidR="00AE77DE" w:rsidRPr="005954E3" w:rsidRDefault="00AE77DE" w:rsidP="00AE77DE">
            <w:pPr>
              <w:pStyle w:val="tabletextleft"/>
              <w:spacing w:before="120" w:after="120"/>
              <w:jc w:val="right"/>
              <w:rPr>
                <w:szCs w:val="18"/>
              </w:rPr>
            </w:pPr>
            <w:r w:rsidRPr="00E27712">
              <w:rPr>
                <w:szCs w:val="18"/>
              </w:rPr>
              <w:t>1.7</w:t>
            </w:r>
          </w:p>
        </w:tc>
      </w:tr>
      <w:tr w:rsidR="00AE77DE" w:rsidRPr="005954E3" w14:paraId="5EB3130A" w14:textId="77777777" w:rsidTr="00777E7B">
        <w:trPr>
          <w:trHeight w:val="340"/>
          <w:jc w:val="center"/>
        </w:trPr>
        <w:tc>
          <w:tcPr>
            <w:tcW w:w="2691" w:type="dxa"/>
            <w:vAlign w:val="center"/>
            <w:hideMark/>
          </w:tcPr>
          <w:p w14:paraId="0BFA00E8" w14:textId="77777777" w:rsidR="00AE77DE" w:rsidRPr="005954E3" w:rsidRDefault="00AE77DE" w:rsidP="00AE77DE">
            <w:pPr>
              <w:pStyle w:val="tabletextleft"/>
              <w:spacing w:before="120" w:after="120"/>
              <w:rPr>
                <w:szCs w:val="18"/>
              </w:rPr>
            </w:pPr>
            <w:r w:rsidRPr="005954E3">
              <w:rPr>
                <w:szCs w:val="18"/>
              </w:rPr>
              <w:t xml:space="preserve">Бруто образуване на основен </w:t>
            </w:r>
            <w:r w:rsidRPr="005954E3">
              <w:rPr>
                <w:szCs w:val="18"/>
              </w:rPr>
              <w:br/>
              <w:t>капитал</w:t>
            </w:r>
          </w:p>
        </w:tc>
        <w:tc>
          <w:tcPr>
            <w:tcW w:w="708" w:type="dxa"/>
            <w:vAlign w:val="center"/>
            <w:hideMark/>
          </w:tcPr>
          <w:p w14:paraId="110175D0" w14:textId="77777777" w:rsidR="00AE77DE" w:rsidRPr="005954E3" w:rsidRDefault="00AE77DE" w:rsidP="00AE77DE">
            <w:pPr>
              <w:pStyle w:val="tabletextleft"/>
              <w:spacing w:before="120" w:after="120"/>
              <w:rPr>
                <w:szCs w:val="18"/>
              </w:rPr>
            </w:pPr>
            <w:r w:rsidRPr="005954E3">
              <w:rPr>
                <w:szCs w:val="18"/>
              </w:rPr>
              <w:t>P.51</w:t>
            </w:r>
          </w:p>
        </w:tc>
        <w:tc>
          <w:tcPr>
            <w:tcW w:w="944" w:type="dxa"/>
            <w:vAlign w:val="bottom"/>
          </w:tcPr>
          <w:p w14:paraId="00116284" w14:textId="7DF6855E" w:rsidR="00AE77DE" w:rsidRPr="005954E3" w:rsidRDefault="00AE77DE" w:rsidP="00AE77DE">
            <w:pPr>
              <w:pStyle w:val="tabletextleft"/>
              <w:spacing w:before="120" w:after="120"/>
              <w:jc w:val="right"/>
              <w:rPr>
                <w:szCs w:val="18"/>
              </w:rPr>
            </w:pPr>
            <w:r w:rsidRPr="00E27712">
              <w:rPr>
                <w:szCs w:val="18"/>
              </w:rPr>
              <w:t>17 502</w:t>
            </w:r>
          </w:p>
        </w:tc>
        <w:tc>
          <w:tcPr>
            <w:tcW w:w="944" w:type="dxa"/>
            <w:vAlign w:val="bottom"/>
          </w:tcPr>
          <w:p w14:paraId="35FD0D0A" w14:textId="75675178" w:rsidR="00AE77DE" w:rsidRPr="005954E3" w:rsidRDefault="00AE77DE" w:rsidP="00AE77DE">
            <w:pPr>
              <w:pStyle w:val="tabletextleft"/>
              <w:spacing w:before="120" w:after="120"/>
              <w:jc w:val="right"/>
              <w:rPr>
                <w:szCs w:val="18"/>
              </w:rPr>
            </w:pPr>
            <w:r w:rsidRPr="00E27712">
              <w:rPr>
                <w:szCs w:val="18"/>
              </w:rPr>
              <w:t>-4.3</w:t>
            </w:r>
          </w:p>
        </w:tc>
        <w:tc>
          <w:tcPr>
            <w:tcW w:w="944" w:type="dxa"/>
            <w:vAlign w:val="bottom"/>
          </w:tcPr>
          <w:p w14:paraId="47E9FD1E" w14:textId="17AD5F35" w:rsidR="00AE77DE" w:rsidRPr="005954E3" w:rsidRDefault="00AE77DE" w:rsidP="00AE77DE">
            <w:pPr>
              <w:pStyle w:val="tabletextleft"/>
              <w:spacing w:before="120" w:after="120"/>
              <w:jc w:val="right"/>
              <w:rPr>
                <w:szCs w:val="18"/>
              </w:rPr>
            </w:pPr>
            <w:r w:rsidRPr="00E27712">
              <w:rPr>
                <w:szCs w:val="18"/>
              </w:rPr>
              <w:t>6.3</w:t>
            </w:r>
          </w:p>
        </w:tc>
        <w:tc>
          <w:tcPr>
            <w:tcW w:w="944" w:type="dxa"/>
            <w:vAlign w:val="bottom"/>
          </w:tcPr>
          <w:p w14:paraId="76A0501F" w14:textId="712A3C68" w:rsidR="00AE77DE" w:rsidRPr="005954E3" w:rsidRDefault="00AE77DE" w:rsidP="00AE77DE">
            <w:pPr>
              <w:pStyle w:val="tabletextleft"/>
              <w:spacing w:before="120" w:after="120"/>
              <w:jc w:val="right"/>
              <w:rPr>
                <w:szCs w:val="18"/>
              </w:rPr>
            </w:pPr>
            <w:r w:rsidRPr="00E27712">
              <w:rPr>
                <w:szCs w:val="18"/>
              </w:rPr>
              <w:t>12.6</w:t>
            </w:r>
          </w:p>
        </w:tc>
        <w:tc>
          <w:tcPr>
            <w:tcW w:w="944" w:type="dxa"/>
            <w:vAlign w:val="bottom"/>
          </w:tcPr>
          <w:p w14:paraId="7F2EA87F" w14:textId="7C5C5EE8" w:rsidR="00AE77DE" w:rsidRPr="005954E3" w:rsidRDefault="00AE77DE" w:rsidP="00AE77DE">
            <w:pPr>
              <w:pStyle w:val="tabletextleft"/>
              <w:spacing w:before="120" w:after="120"/>
              <w:jc w:val="right"/>
              <w:rPr>
                <w:szCs w:val="18"/>
              </w:rPr>
            </w:pPr>
            <w:r w:rsidRPr="00E27712">
              <w:rPr>
                <w:szCs w:val="18"/>
              </w:rPr>
              <w:t>6.5</w:t>
            </w:r>
          </w:p>
        </w:tc>
        <w:tc>
          <w:tcPr>
            <w:tcW w:w="945" w:type="dxa"/>
            <w:vAlign w:val="bottom"/>
          </w:tcPr>
          <w:p w14:paraId="3C031E6D" w14:textId="7EB1F7AB" w:rsidR="00AE77DE" w:rsidRPr="005954E3" w:rsidRDefault="00AE77DE" w:rsidP="00AE77DE">
            <w:pPr>
              <w:pStyle w:val="tabletextleft"/>
              <w:spacing w:before="120" w:after="120"/>
              <w:jc w:val="right"/>
              <w:rPr>
                <w:szCs w:val="18"/>
              </w:rPr>
            </w:pPr>
            <w:r w:rsidRPr="00E27712">
              <w:rPr>
                <w:szCs w:val="18"/>
              </w:rPr>
              <w:t>4.8</w:t>
            </w:r>
          </w:p>
        </w:tc>
      </w:tr>
      <w:tr w:rsidR="00AE77DE" w:rsidRPr="005954E3" w14:paraId="38161552" w14:textId="77777777" w:rsidTr="00777E7B">
        <w:trPr>
          <w:trHeight w:val="340"/>
          <w:jc w:val="center"/>
        </w:trPr>
        <w:tc>
          <w:tcPr>
            <w:tcW w:w="2691" w:type="dxa"/>
            <w:vAlign w:val="center"/>
            <w:hideMark/>
          </w:tcPr>
          <w:p w14:paraId="16EE3F80" w14:textId="392A0137" w:rsidR="00AE77DE" w:rsidRPr="005954E3" w:rsidRDefault="00AE77DE" w:rsidP="00AE77DE">
            <w:pPr>
              <w:pStyle w:val="tabletextleft"/>
              <w:spacing w:before="120" w:after="120"/>
              <w:rPr>
                <w:szCs w:val="18"/>
              </w:rPr>
            </w:pPr>
            <w:r w:rsidRPr="005954E3">
              <w:rPr>
                <w:szCs w:val="18"/>
              </w:rPr>
              <w:t xml:space="preserve">Изменение на запасите и нетно при добиване на активи </w:t>
            </w:r>
            <w:r w:rsidR="00DF033D">
              <w:rPr>
                <w:szCs w:val="18"/>
              </w:rPr>
              <w:br/>
            </w:r>
            <w:r w:rsidRPr="005954E3">
              <w:rPr>
                <w:szCs w:val="18"/>
              </w:rPr>
              <w:t>(% от БВП)</w:t>
            </w:r>
          </w:p>
        </w:tc>
        <w:tc>
          <w:tcPr>
            <w:tcW w:w="708" w:type="dxa"/>
            <w:vAlign w:val="center"/>
            <w:hideMark/>
          </w:tcPr>
          <w:p w14:paraId="4D06D54F" w14:textId="77777777" w:rsidR="00AE77DE" w:rsidRPr="005954E3" w:rsidRDefault="00AE77DE" w:rsidP="00AE77DE">
            <w:pPr>
              <w:pStyle w:val="tabletextleft"/>
              <w:spacing w:before="120" w:after="120"/>
              <w:rPr>
                <w:szCs w:val="18"/>
              </w:rPr>
            </w:pPr>
            <w:r w:rsidRPr="005954E3">
              <w:rPr>
                <w:szCs w:val="18"/>
              </w:rPr>
              <w:t>P.52+</w:t>
            </w:r>
            <w:r w:rsidRPr="005954E3">
              <w:rPr>
                <w:szCs w:val="18"/>
              </w:rPr>
              <w:br/>
              <w:t>P.53</w:t>
            </w:r>
          </w:p>
        </w:tc>
        <w:tc>
          <w:tcPr>
            <w:tcW w:w="944" w:type="dxa"/>
            <w:vAlign w:val="bottom"/>
          </w:tcPr>
          <w:p w14:paraId="1A32204D" w14:textId="0C775209" w:rsidR="00AE77DE" w:rsidRPr="005954E3" w:rsidRDefault="00AE77DE" w:rsidP="00AE77DE">
            <w:pPr>
              <w:pStyle w:val="tabletextleft"/>
              <w:spacing w:before="120" w:after="120"/>
              <w:jc w:val="right"/>
              <w:rPr>
                <w:szCs w:val="18"/>
              </w:rPr>
            </w:pPr>
            <w:r w:rsidRPr="00E27712">
              <w:rPr>
                <w:szCs w:val="18"/>
              </w:rPr>
              <w:t>5</w:t>
            </w:r>
            <w:r w:rsidRPr="00E27712">
              <w:rPr>
                <w:szCs w:val="18"/>
                <w:lang w:val="en-US"/>
              </w:rPr>
              <w:t xml:space="preserve"> </w:t>
            </w:r>
            <w:r w:rsidRPr="00E27712">
              <w:rPr>
                <w:szCs w:val="18"/>
              </w:rPr>
              <w:t>021</w:t>
            </w:r>
          </w:p>
        </w:tc>
        <w:tc>
          <w:tcPr>
            <w:tcW w:w="944" w:type="dxa"/>
            <w:vAlign w:val="bottom"/>
          </w:tcPr>
          <w:p w14:paraId="100DF355" w14:textId="5892E0EF" w:rsidR="00AE77DE" w:rsidRPr="005954E3" w:rsidRDefault="00AE77DE" w:rsidP="00AE77DE">
            <w:pPr>
              <w:pStyle w:val="tabletextleft"/>
              <w:spacing w:before="120" w:after="120"/>
              <w:jc w:val="right"/>
              <w:rPr>
                <w:szCs w:val="18"/>
              </w:rPr>
            </w:pPr>
            <w:r w:rsidRPr="00E27712">
              <w:rPr>
                <w:szCs w:val="18"/>
              </w:rPr>
              <w:t>5.4</w:t>
            </w:r>
          </w:p>
        </w:tc>
        <w:tc>
          <w:tcPr>
            <w:tcW w:w="944" w:type="dxa"/>
            <w:vAlign w:val="bottom"/>
          </w:tcPr>
          <w:p w14:paraId="023CB0B1" w14:textId="15CC1D79" w:rsidR="00AE77DE" w:rsidRPr="005954E3" w:rsidRDefault="00AE77DE" w:rsidP="00AE77DE">
            <w:pPr>
              <w:pStyle w:val="tabletextleft"/>
              <w:spacing w:before="120" w:after="120"/>
              <w:jc w:val="right"/>
              <w:rPr>
                <w:szCs w:val="18"/>
              </w:rPr>
            </w:pPr>
            <w:r w:rsidRPr="00E27712">
              <w:rPr>
                <w:szCs w:val="18"/>
              </w:rPr>
              <w:t>5.3</w:t>
            </w:r>
          </w:p>
        </w:tc>
        <w:tc>
          <w:tcPr>
            <w:tcW w:w="944" w:type="dxa"/>
            <w:vAlign w:val="bottom"/>
          </w:tcPr>
          <w:p w14:paraId="6D531B3D" w14:textId="52936CF8" w:rsidR="00AE77DE" w:rsidRPr="005954E3" w:rsidRDefault="00AE77DE" w:rsidP="00AE77DE">
            <w:pPr>
              <w:pStyle w:val="tabletextleft"/>
              <w:spacing w:before="120" w:after="120"/>
              <w:jc w:val="right"/>
              <w:rPr>
                <w:szCs w:val="18"/>
              </w:rPr>
            </w:pPr>
            <w:r w:rsidRPr="00E27712">
              <w:rPr>
                <w:szCs w:val="18"/>
              </w:rPr>
              <w:t>5.2</w:t>
            </w:r>
          </w:p>
        </w:tc>
        <w:tc>
          <w:tcPr>
            <w:tcW w:w="944" w:type="dxa"/>
            <w:vAlign w:val="bottom"/>
          </w:tcPr>
          <w:p w14:paraId="2848E20F" w14:textId="7CC840E7" w:rsidR="00AE77DE" w:rsidRPr="005954E3" w:rsidRDefault="00AE77DE" w:rsidP="00AE77DE">
            <w:pPr>
              <w:pStyle w:val="tabletextleft"/>
              <w:spacing w:before="120" w:after="120"/>
              <w:jc w:val="right"/>
              <w:rPr>
                <w:szCs w:val="18"/>
              </w:rPr>
            </w:pPr>
            <w:r w:rsidRPr="00E27712">
              <w:rPr>
                <w:szCs w:val="18"/>
              </w:rPr>
              <w:t>5.0</w:t>
            </w:r>
          </w:p>
        </w:tc>
        <w:tc>
          <w:tcPr>
            <w:tcW w:w="945" w:type="dxa"/>
            <w:vAlign w:val="bottom"/>
          </w:tcPr>
          <w:p w14:paraId="0F151D6A" w14:textId="296EE3D1" w:rsidR="00AE77DE" w:rsidRPr="005954E3" w:rsidRDefault="00AE77DE" w:rsidP="00AE77DE">
            <w:pPr>
              <w:pStyle w:val="tabletextleft"/>
              <w:spacing w:before="120" w:after="120"/>
              <w:jc w:val="right"/>
              <w:rPr>
                <w:szCs w:val="18"/>
              </w:rPr>
            </w:pPr>
            <w:r w:rsidRPr="00E27712">
              <w:rPr>
                <w:szCs w:val="18"/>
              </w:rPr>
              <w:t>4.9</w:t>
            </w:r>
          </w:p>
        </w:tc>
      </w:tr>
      <w:tr w:rsidR="00AE77DE" w:rsidRPr="005954E3" w14:paraId="52AF739A" w14:textId="77777777" w:rsidTr="00777E7B">
        <w:trPr>
          <w:trHeight w:val="340"/>
          <w:jc w:val="center"/>
        </w:trPr>
        <w:tc>
          <w:tcPr>
            <w:tcW w:w="2691" w:type="dxa"/>
            <w:vAlign w:val="center"/>
            <w:hideMark/>
          </w:tcPr>
          <w:p w14:paraId="423CABE7" w14:textId="77777777" w:rsidR="00AE77DE" w:rsidRPr="005954E3" w:rsidRDefault="00AE77DE" w:rsidP="00AE77DE">
            <w:pPr>
              <w:pStyle w:val="tabletextleft"/>
              <w:spacing w:before="120" w:after="120"/>
              <w:rPr>
                <w:szCs w:val="18"/>
              </w:rPr>
            </w:pPr>
            <w:r w:rsidRPr="005954E3">
              <w:rPr>
                <w:szCs w:val="18"/>
              </w:rPr>
              <w:t>Износ на стоки и услуги</w:t>
            </w:r>
          </w:p>
        </w:tc>
        <w:tc>
          <w:tcPr>
            <w:tcW w:w="708" w:type="dxa"/>
            <w:vAlign w:val="center"/>
            <w:hideMark/>
          </w:tcPr>
          <w:p w14:paraId="2C9B90D7" w14:textId="77777777" w:rsidR="00AE77DE" w:rsidRPr="005954E3" w:rsidRDefault="00AE77DE" w:rsidP="00AE77DE">
            <w:pPr>
              <w:pStyle w:val="tabletextleft"/>
              <w:spacing w:before="120" w:after="120"/>
              <w:rPr>
                <w:szCs w:val="18"/>
              </w:rPr>
            </w:pPr>
            <w:r w:rsidRPr="005954E3">
              <w:rPr>
                <w:szCs w:val="18"/>
              </w:rPr>
              <w:t>P.6</w:t>
            </w:r>
          </w:p>
        </w:tc>
        <w:tc>
          <w:tcPr>
            <w:tcW w:w="944" w:type="dxa"/>
            <w:vAlign w:val="bottom"/>
          </w:tcPr>
          <w:p w14:paraId="67104C5D" w14:textId="1E26932F" w:rsidR="00AE77DE" w:rsidRPr="005954E3" w:rsidRDefault="00AE77DE" w:rsidP="00AE77DE">
            <w:pPr>
              <w:pStyle w:val="tabletextleft"/>
              <w:spacing w:before="120" w:after="120"/>
              <w:jc w:val="right"/>
              <w:rPr>
                <w:szCs w:val="18"/>
              </w:rPr>
            </w:pPr>
            <w:r w:rsidRPr="00E27712">
              <w:rPr>
                <w:szCs w:val="18"/>
              </w:rPr>
              <w:t>74 824</w:t>
            </w:r>
          </w:p>
        </w:tc>
        <w:tc>
          <w:tcPr>
            <w:tcW w:w="944" w:type="dxa"/>
            <w:vAlign w:val="bottom"/>
          </w:tcPr>
          <w:p w14:paraId="774E77D4" w14:textId="48E925C6" w:rsidR="00AE77DE" w:rsidRPr="005954E3" w:rsidRDefault="00AE77DE" w:rsidP="00AE77DE">
            <w:pPr>
              <w:pStyle w:val="tabletextleft"/>
              <w:spacing w:before="120" w:after="120"/>
              <w:jc w:val="right"/>
              <w:rPr>
                <w:szCs w:val="18"/>
              </w:rPr>
            </w:pPr>
            <w:r w:rsidRPr="00E27712">
              <w:rPr>
                <w:szCs w:val="18"/>
              </w:rPr>
              <w:t>8.3</w:t>
            </w:r>
          </w:p>
        </w:tc>
        <w:tc>
          <w:tcPr>
            <w:tcW w:w="944" w:type="dxa"/>
            <w:vAlign w:val="bottom"/>
          </w:tcPr>
          <w:p w14:paraId="1857FD60" w14:textId="335B0382" w:rsidR="00AE77DE" w:rsidRPr="005954E3" w:rsidRDefault="00AE77DE" w:rsidP="00AE77DE">
            <w:pPr>
              <w:pStyle w:val="tabletextleft"/>
              <w:spacing w:before="120" w:after="120"/>
              <w:jc w:val="right"/>
              <w:rPr>
                <w:szCs w:val="18"/>
              </w:rPr>
            </w:pPr>
            <w:r w:rsidRPr="00E27712">
              <w:rPr>
                <w:szCs w:val="18"/>
              </w:rPr>
              <w:t>1.7</w:t>
            </w:r>
          </w:p>
        </w:tc>
        <w:tc>
          <w:tcPr>
            <w:tcW w:w="944" w:type="dxa"/>
            <w:vAlign w:val="bottom"/>
          </w:tcPr>
          <w:p w14:paraId="029FFB02" w14:textId="45A25F41" w:rsidR="00AE77DE" w:rsidRPr="005954E3" w:rsidRDefault="00AE77DE" w:rsidP="00AE77DE">
            <w:pPr>
              <w:pStyle w:val="tabletextleft"/>
              <w:spacing w:before="120" w:after="120"/>
              <w:jc w:val="right"/>
              <w:rPr>
                <w:szCs w:val="18"/>
              </w:rPr>
            </w:pPr>
            <w:r w:rsidRPr="00E27712">
              <w:rPr>
                <w:szCs w:val="18"/>
              </w:rPr>
              <w:t>4.3</w:t>
            </w:r>
          </w:p>
        </w:tc>
        <w:tc>
          <w:tcPr>
            <w:tcW w:w="944" w:type="dxa"/>
            <w:vAlign w:val="bottom"/>
          </w:tcPr>
          <w:p w14:paraId="4E6D38DE" w14:textId="012D0FF7" w:rsidR="00AE77DE" w:rsidRPr="005954E3" w:rsidRDefault="00AE77DE" w:rsidP="00AE77DE">
            <w:pPr>
              <w:pStyle w:val="tabletextleft"/>
              <w:spacing w:before="120" w:after="120"/>
              <w:jc w:val="right"/>
              <w:rPr>
                <w:szCs w:val="18"/>
              </w:rPr>
            </w:pPr>
            <w:r w:rsidRPr="00E27712">
              <w:rPr>
                <w:szCs w:val="18"/>
              </w:rPr>
              <w:t>4.7</w:t>
            </w:r>
          </w:p>
        </w:tc>
        <w:tc>
          <w:tcPr>
            <w:tcW w:w="945" w:type="dxa"/>
            <w:vAlign w:val="bottom"/>
          </w:tcPr>
          <w:p w14:paraId="4F2B7EE2" w14:textId="38CA37EB" w:rsidR="00AE77DE" w:rsidRPr="005954E3" w:rsidRDefault="00AE77DE" w:rsidP="00AE77DE">
            <w:pPr>
              <w:pStyle w:val="tabletextleft"/>
              <w:spacing w:before="120" w:after="120"/>
              <w:jc w:val="right"/>
              <w:rPr>
                <w:szCs w:val="18"/>
              </w:rPr>
            </w:pPr>
            <w:r w:rsidRPr="00E27712">
              <w:rPr>
                <w:szCs w:val="18"/>
              </w:rPr>
              <w:t>4.3</w:t>
            </w:r>
          </w:p>
        </w:tc>
      </w:tr>
      <w:tr w:rsidR="00AE77DE" w:rsidRPr="005954E3" w14:paraId="733A717C" w14:textId="77777777" w:rsidTr="00777E7B">
        <w:trPr>
          <w:trHeight w:val="340"/>
          <w:jc w:val="center"/>
        </w:trPr>
        <w:tc>
          <w:tcPr>
            <w:tcW w:w="2691" w:type="dxa"/>
            <w:vAlign w:val="center"/>
            <w:hideMark/>
          </w:tcPr>
          <w:p w14:paraId="2FF2AA12" w14:textId="77777777" w:rsidR="00AE77DE" w:rsidRPr="005954E3" w:rsidRDefault="00AE77DE" w:rsidP="00AE77DE">
            <w:pPr>
              <w:pStyle w:val="tabletextleft"/>
              <w:spacing w:before="120" w:after="120"/>
              <w:rPr>
                <w:szCs w:val="18"/>
              </w:rPr>
            </w:pPr>
            <w:r w:rsidRPr="005954E3">
              <w:rPr>
                <w:szCs w:val="18"/>
              </w:rPr>
              <w:t>Внос на стоки и услуги</w:t>
            </w:r>
          </w:p>
        </w:tc>
        <w:tc>
          <w:tcPr>
            <w:tcW w:w="708" w:type="dxa"/>
            <w:vAlign w:val="center"/>
            <w:hideMark/>
          </w:tcPr>
          <w:p w14:paraId="0B734730" w14:textId="77777777" w:rsidR="00AE77DE" w:rsidRPr="005954E3" w:rsidRDefault="00AE77DE" w:rsidP="00AE77DE">
            <w:pPr>
              <w:pStyle w:val="tabletextleft"/>
              <w:spacing w:before="120" w:after="120"/>
              <w:rPr>
                <w:szCs w:val="18"/>
              </w:rPr>
            </w:pPr>
            <w:r w:rsidRPr="005954E3">
              <w:rPr>
                <w:szCs w:val="18"/>
              </w:rPr>
              <w:t>P.7</w:t>
            </w:r>
          </w:p>
        </w:tc>
        <w:tc>
          <w:tcPr>
            <w:tcW w:w="944" w:type="dxa"/>
            <w:vAlign w:val="bottom"/>
          </w:tcPr>
          <w:p w14:paraId="607EBD53" w14:textId="40D00D43" w:rsidR="00AE77DE" w:rsidRPr="005954E3" w:rsidRDefault="00AE77DE" w:rsidP="00AE77DE">
            <w:pPr>
              <w:pStyle w:val="tabletextleft"/>
              <w:spacing w:before="120" w:after="120"/>
              <w:jc w:val="right"/>
              <w:rPr>
                <w:szCs w:val="18"/>
              </w:rPr>
            </w:pPr>
            <w:r w:rsidRPr="00E27712">
              <w:rPr>
                <w:szCs w:val="18"/>
              </w:rPr>
              <w:t>83</w:t>
            </w:r>
            <w:r w:rsidRPr="00E27712">
              <w:rPr>
                <w:szCs w:val="18"/>
                <w:lang w:val="en-US"/>
              </w:rPr>
              <w:t xml:space="preserve"> </w:t>
            </w:r>
            <w:r w:rsidRPr="00E27712">
              <w:rPr>
                <w:szCs w:val="18"/>
              </w:rPr>
              <w:t>076</w:t>
            </w:r>
          </w:p>
        </w:tc>
        <w:tc>
          <w:tcPr>
            <w:tcW w:w="944" w:type="dxa"/>
            <w:vAlign w:val="bottom"/>
          </w:tcPr>
          <w:p w14:paraId="7931FE87" w14:textId="08998EF2" w:rsidR="00AE77DE" w:rsidRPr="005954E3" w:rsidRDefault="00AE77DE" w:rsidP="00AE77DE">
            <w:pPr>
              <w:pStyle w:val="tabletextleft"/>
              <w:spacing w:before="120" w:after="120"/>
              <w:jc w:val="right"/>
              <w:rPr>
                <w:szCs w:val="18"/>
              </w:rPr>
            </w:pPr>
            <w:r w:rsidRPr="00E27712">
              <w:rPr>
                <w:szCs w:val="18"/>
              </w:rPr>
              <w:t>10.5</w:t>
            </w:r>
          </w:p>
        </w:tc>
        <w:tc>
          <w:tcPr>
            <w:tcW w:w="944" w:type="dxa"/>
            <w:vAlign w:val="bottom"/>
          </w:tcPr>
          <w:p w14:paraId="0DFE7808" w14:textId="060D97F5" w:rsidR="00AE77DE" w:rsidRPr="005954E3" w:rsidRDefault="00AE77DE" w:rsidP="00AE77DE">
            <w:pPr>
              <w:pStyle w:val="tabletextleft"/>
              <w:spacing w:before="120" w:after="120"/>
              <w:jc w:val="right"/>
              <w:rPr>
                <w:szCs w:val="18"/>
              </w:rPr>
            </w:pPr>
            <w:r w:rsidRPr="00E27712">
              <w:rPr>
                <w:szCs w:val="18"/>
              </w:rPr>
              <w:t>3.9</w:t>
            </w:r>
          </w:p>
        </w:tc>
        <w:tc>
          <w:tcPr>
            <w:tcW w:w="944" w:type="dxa"/>
            <w:vAlign w:val="bottom"/>
          </w:tcPr>
          <w:p w14:paraId="764F8F76" w14:textId="528B54C4" w:rsidR="00AE77DE" w:rsidRPr="005954E3" w:rsidRDefault="00AE77DE" w:rsidP="00AE77DE">
            <w:pPr>
              <w:pStyle w:val="tabletextleft"/>
              <w:spacing w:before="120" w:after="120"/>
              <w:jc w:val="right"/>
              <w:rPr>
                <w:szCs w:val="18"/>
              </w:rPr>
            </w:pPr>
            <w:r w:rsidRPr="00E27712">
              <w:rPr>
                <w:szCs w:val="18"/>
              </w:rPr>
              <w:t>6.4</w:t>
            </w:r>
          </w:p>
        </w:tc>
        <w:tc>
          <w:tcPr>
            <w:tcW w:w="944" w:type="dxa"/>
            <w:vAlign w:val="bottom"/>
          </w:tcPr>
          <w:p w14:paraId="653FA9C9" w14:textId="463FB6F9" w:rsidR="00AE77DE" w:rsidRPr="005954E3" w:rsidRDefault="00AE77DE" w:rsidP="00AE77DE">
            <w:pPr>
              <w:pStyle w:val="tabletextleft"/>
              <w:spacing w:before="120" w:after="120"/>
              <w:jc w:val="right"/>
              <w:rPr>
                <w:szCs w:val="18"/>
              </w:rPr>
            </w:pPr>
            <w:r w:rsidRPr="00E27712">
              <w:rPr>
                <w:szCs w:val="18"/>
              </w:rPr>
              <w:t>5.4</w:t>
            </w:r>
          </w:p>
        </w:tc>
        <w:tc>
          <w:tcPr>
            <w:tcW w:w="945" w:type="dxa"/>
            <w:vAlign w:val="bottom"/>
          </w:tcPr>
          <w:p w14:paraId="5661710A" w14:textId="155B4B25" w:rsidR="00AE77DE" w:rsidRPr="005954E3" w:rsidRDefault="00AE77DE" w:rsidP="00AE77DE">
            <w:pPr>
              <w:pStyle w:val="tabletextleft"/>
              <w:spacing w:before="120" w:after="120"/>
              <w:jc w:val="right"/>
              <w:rPr>
                <w:szCs w:val="18"/>
              </w:rPr>
            </w:pPr>
            <w:r w:rsidRPr="00E27712">
              <w:rPr>
                <w:szCs w:val="18"/>
              </w:rPr>
              <w:t>5.0</w:t>
            </w:r>
          </w:p>
        </w:tc>
      </w:tr>
      <w:tr w:rsidR="00AE77DE" w:rsidRPr="005954E3" w14:paraId="100C24E2" w14:textId="77777777" w:rsidTr="006D2755">
        <w:trPr>
          <w:trHeight w:val="340"/>
          <w:jc w:val="center"/>
        </w:trPr>
        <w:tc>
          <w:tcPr>
            <w:tcW w:w="9064" w:type="dxa"/>
            <w:gridSpan w:val="8"/>
            <w:vAlign w:val="center"/>
          </w:tcPr>
          <w:p w14:paraId="24208E9F" w14:textId="77777777" w:rsidR="00AE77DE" w:rsidRPr="005954E3" w:rsidRDefault="00AE77DE" w:rsidP="00AE77DE">
            <w:pPr>
              <w:pStyle w:val="tabletextleft"/>
              <w:spacing w:before="120" w:after="120"/>
              <w:jc w:val="right"/>
              <w:rPr>
                <w:szCs w:val="18"/>
              </w:rPr>
            </w:pPr>
          </w:p>
        </w:tc>
      </w:tr>
      <w:tr w:rsidR="00AE77DE" w:rsidRPr="005954E3" w14:paraId="435D0BB2" w14:textId="77777777" w:rsidTr="00777E7B">
        <w:trPr>
          <w:trHeight w:val="340"/>
          <w:jc w:val="center"/>
        </w:trPr>
        <w:tc>
          <w:tcPr>
            <w:tcW w:w="2691" w:type="dxa"/>
            <w:vAlign w:val="center"/>
            <w:hideMark/>
          </w:tcPr>
          <w:p w14:paraId="3CEFB1A4" w14:textId="77777777" w:rsidR="00AE77DE" w:rsidRPr="005954E3" w:rsidRDefault="00AE77DE" w:rsidP="00AE77DE">
            <w:pPr>
              <w:pStyle w:val="tabletextleft"/>
              <w:spacing w:before="120" w:after="120"/>
              <w:rPr>
                <w:szCs w:val="18"/>
              </w:rPr>
            </w:pPr>
            <w:r w:rsidRPr="005954E3">
              <w:rPr>
                <w:szCs w:val="18"/>
              </w:rPr>
              <w:t>Крайно вътрешно търсене</w:t>
            </w:r>
          </w:p>
        </w:tc>
        <w:tc>
          <w:tcPr>
            <w:tcW w:w="708" w:type="dxa"/>
            <w:vAlign w:val="center"/>
          </w:tcPr>
          <w:p w14:paraId="527EBB9D" w14:textId="77777777" w:rsidR="00AE77DE" w:rsidRPr="005954E3" w:rsidRDefault="00AE77DE" w:rsidP="00AE77DE">
            <w:pPr>
              <w:pStyle w:val="tabletextleft"/>
              <w:spacing w:before="120" w:after="120"/>
              <w:rPr>
                <w:szCs w:val="18"/>
              </w:rPr>
            </w:pPr>
          </w:p>
        </w:tc>
        <w:tc>
          <w:tcPr>
            <w:tcW w:w="944" w:type="dxa"/>
            <w:vAlign w:val="bottom"/>
          </w:tcPr>
          <w:p w14:paraId="62F06A79" w14:textId="5FA1EDAF" w:rsidR="00AE77DE" w:rsidRPr="005954E3" w:rsidRDefault="00AE77DE" w:rsidP="00AE77DE">
            <w:pPr>
              <w:pStyle w:val="tabletextleft"/>
              <w:spacing w:before="120" w:after="120"/>
              <w:jc w:val="right"/>
              <w:rPr>
                <w:szCs w:val="18"/>
              </w:rPr>
            </w:pPr>
            <w:r w:rsidRPr="00E27712">
              <w:rPr>
                <w:szCs w:val="18"/>
              </w:rPr>
              <w:t>-</w:t>
            </w:r>
          </w:p>
        </w:tc>
        <w:tc>
          <w:tcPr>
            <w:tcW w:w="944" w:type="dxa"/>
            <w:vAlign w:val="bottom"/>
          </w:tcPr>
          <w:p w14:paraId="3C318823" w14:textId="62283BEC" w:rsidR="00AE77DE" w:rsidRPr="005954E3" w:rsidRDefault="00AE77DE" w:rsidP="00AE77DE">
            <w:pPr>
              <w:pStyle w:val="tabletextleft"/>
              <w:spacing w:before="120" w:after="120"/>
              <w:jc w:val="right"/>
              <w:rPr>
                <w:szCs w:val="18"/>
              </w:rPr>
            </w:pPr>
            <w:r w:rsidRPr="00E27712">
              <w:rPr>
                <w:szCs w:val="18"/>
              </w:rPr>
              <w:t>3.3</w:t>
            </w:r>
          </w:p>
        </w:tc>
        <w:tc>
          <w:tcPr>
            <w:tcW w:w="944" w:type="dxa"/>
            <w:vAlign w:val="bottom"/>
          </w:tcPr>
          <w:p w14:paraId="53407AEF" w14:textId="3C8FB569" w:rsidR="00AE77DE" w:rsidRPr="005954E3" w:rsidRDefault="00AE77DE" w:rsidP="00AE77DE">
            <w:pPr>
              <w:pStyle w:val="tabletextleft"/>
              <w:spacing w:before="120" w:after="120"/>
              <w:jc w:val="right"/>
              <w:rPr>
                <w:szCs w:val="18"/>
              </w:rPr>
            </w:pPr>
            <w:r w:rsidRPr="00E27712">
              <w:rPr>
                <w:szCs w:val="18"/>
              </w:rPr>
              <w:t>3.3</w:t>
            </w:r>
          </w:p>
        </w:tc>
        <w:tc>
          <w:tcPr>
            <w:tcW w:w="944" w:type="dxa"/>
            <w:vAlign w:val="bottom"/>
          </w:tcPr>
          <w:p w14:paraId="6BB902F4" w14:textId="702F4D77" w:rsidR="00AE77DE" w:rsidRPr="005954E3" w:rsidRDefault="00AE77DE" w:rsidP="00AE77DE">
            <w:pPr>
              <w:pStyle w:val="tabletextleft"/>
              <w:spacing w:before="120" w:after="120"/>
              <w:jc w:val="right"/>
              <w:rPr>
                <w:szCs w:val="18"/>
              </w:rPr>
            </w:pPr>
            <w:r w:rsidRPr="00E27712">
              <w:rPr>
                <w:szCs w:val="18"/>
              </w:rPr>
              <w:t>4.5</w:t>
            </w:r>
          </w:p>
        </w:tc>
        <w:tc>
          <w:tcPr>
            <w:tcW w:w="944" w:type="dxa"/>
            <w:vAlign w:val="bottom"/>
          </w:tcPr>
          <w:p w14:paraId="33B34C91" w14:textId="61BBC3A4" w:rsidR="00AE77DE" w:rsidRPr="005954E3" w:rsidRDefault="00AE77DE" w:rsidP="00AE77DE">
            <w:pPr>
              <w:pStyle w:val="tabletextleft"/>
              <w:spacing w:before="120" w:after="120"/>
              <w:jc w:val="right"/>
              <w:rPr>
                <w:szCs w:val="18"/>
              </w:rPr>
            </w:pPr>
            <w:r w:rsidRPr="00E27712">
              <w:rPr>
                <w:szCs w:val="18"/>
              </w:rPr>
              <w:t>3.7</w:t>
            </w:r>
          </w:p>
        </w:tc>
        <w:tc>
          <w:tcPr>
            <w:tcW w:w="945" w:type="dxa"/>
            <w:vAlign w:val="bottom"/>
          </w:tcPr>
          <w:p w14:paraId="008D2F52" w14:textId="7B4D5CB1" w:rsidR="00AE77DE" w:rsidRPr="005954E3" w:rsidRDefault="00AE77DE" w:rsidP="00AE77DE">
            <w:pPr>
              <w:pStyle w:val="tabletextleft"/>
              <w:spacing w:before="120" w:after="120"/>
              <w:jc w:val="right"/>
              <w:rPr>
                <w:szCs w:val="18"/>
              </w:rPr>
            </w:pPr>
            <w:r w:rsidRPr="00E27712">
              <w:rPr>
                <w:szCs w:val="18"/>
              </w:rPr>
              <w:t>3.4</w:t>
            </w:r>
          </w:p>
        </w:tc>
      </w:tr>
      <w:tr w:rsidR="00AE77DE" w:rsidRPr="005954E3" w14:paraId="35BAE685" w14:textId="77777777" w:rsidTr="00777E7B">
        <w:trPr>
          <w:trHeight w:val="340"/>
          <w:jc w:val="center"/>
        </w:trPr>
        <w:tc>
          <w:tcPr>
            <w:tcW w:w="2691" w:type="dxa"/>
            <w:vAlign w:val="center"/>
            <w:hideMark/>
          </w:tcPr>
          <w:p w14:paraId="63967A43" w14:textId="77777777" w:rsidR="00AE77DE" w:rsidRPr="005954E3" w:rsidRDefault="00AE77DE" w:rsidP="00AE77DE">
            <w:pPr>
              <w:pStyle w:val="tabletextleft"/>
              <w:spacing w:before="120" w:after="120"/>
              <w:rPr>
                <w:szCs w:val="18"/>
              </w:rPr>
            </w:pPr>
            <w:r w:rsidRPr="005954E3">
              <w:rPr>
                <w:szCs w:val="18"/>
              </w:rPr>
              <w:t>Изменение в запасите и нетно при добиване на активи</w:t>
            </w:r>
          </w:p>
        </w:tc>
        <w:tc>
          <w:tcPr>
            <w:tcW w:w="708" w:type="dxa"/>
            <w:vAlign w:val="center"/>
            <w:hideMark/>
          </w:tcPr>
          <w:p w14:paraId="1EDD5666" w14:textId="77777777" w:rsidR="00AE77DE" w:rsidRPr="005954E3" w:rsidRDefault="00AE77DE" w:rsidP="00AE77DE">
            <w:pPr>
              <w:pStyle w:val="tabletextleft"/>
              <w:spacing w:before="120" w:after="120"/>
              <w:rPr>
                <w:szCs w:val="18"/>
              </w:rPr>
            </w:pPr>
            <w:r w:rsidRPr="005954E3">
              <w:rPr>
                <w:szCs w:val="18"/>
              </w:rPr>
              <w:t>P.52+P.53</w:t>
            </w:r>
          </w:p>
        </w:tc>
        <w:tc>
          <w:tcPr>
            <w:tcW w:w="944" w:type="dxa"/>
            <w:vAlign w:val="bottom"/>
          </w:tcPr>
          <w:p w14:paraId="2C485CC6" w14:textId="61E9E4A4" w:rsidR="00AE77DE" w:rsidRPr="005954E3" w:rsidRDefault="00AE77DE" w:rsidP="00AE77DE">
            <w:pPr>
              <w:pStyle w:val="tabletextleft"/>
              <w:spacing w:before="120" w:after="120"/>
              <w:jc w:val="right"/>
              <w:rPr>
                <w:szCs w:val="18"/>
              </w:rPr>
            </w:pPr>
            <w:r w:rsidRPr="00E27712">
              <w:rPr>
                <w:szCs w:val="18"/>
              </w:rPr>
              <w:t>-</w:t>
            </w:r>
          </w:p>
        </w:tc>
        <w:tc>
          <w:tcPr>
            <w:tcW w:w="944" w:type="dxa"/>
            <w:vAlign w:val="bottom"/>
          </w:tcPr>
          <w:p w14:paraId="6F1BE9F9" w14:textId="64F5489C" w:rsidR="00AE77DE" w:rsidRPr="005954E3" w:rsidRDefault="00AE77DE" w:rsidP="00AE77DE">
            <w:pPr>
              <w:pStyle w:val="tabletextleft"/>
              <w:spacing w:before="120" w:after="120"/>
              <w:jc w:val="right"/>
              <w:rPr>
                <w:szCs w:val="18"/>
              </w:rPr>
            </w:pPr>
            <w:r w:rsidRPr="00E27712">
              <w:rPr>
                <w:szCs w:val="18"/>
              </w:rPr>
              <w:t>1.3</w:t>
            </w:r>
          </w:p>
        </w:tc>
        <w:tc>
          <w:tcPr>
            <w:tcW w:w="944" w:type="dxa"/>
            <w:vAlign w:val="bottom"/>
          </w:tcPr>
          <w:p w14:paraId="1CEBF1B1" w14:textId="30EF6B21" w:rsidR="00AE77DE" w:rsidRPr="005954E3" w:rsidRDefault="00AE77DE" w:rsidP="00AE77DE">
            <w:pPr>
              <w:pStyle w:val="tabletextleft"/>
              <w:spacing w:before="120" w:after="120"/>
              <w:jc w:val="right"/>
              <w:rPr>
                <w:szCs w:val="18"/>
              </w:rPr>
            </w:pPr>
            <w:r w:rsidRPr="00E27712">
              <w:rPr>
                <w:szCs w:val="18"/>
              </w:rPr>
              <w:t>0.0</w:t>
            </w:r>
          </w:p>
        </w:tc>
        <w:tc>
          <w:tcPr>
            <w:tcW w:w="944" w:type="dxa"/>
            <w:vAlign w:val="bottom"/>
          </w:tcPr>
          <w:p w14:paraId="22A3CD13" w14:textId="6BED9E63" w:rsidR="00AE77DE" w:rsidRPr="005954E3" w:rsidRDefault="00AE77DE" w:rsidP="00AE77DE">
            <w:pPr>
              <w:pStyle w:val="tabletextleft"/>
              <w:spacing w:before="120" w:after="120"/>
              <w:jc w:val="right"/>
              <w:rPr>
                <w:szCs w:val="18"/>
              </w:rPr>
            </w:pPr>
            <w:r w:rsidRPr="00E27712">
              <w:rPr>
                <w:szCs w:val="18"/>
              </w:rPr>
              <w:t>0.0</w:t>
            </w:r>
          </w:p>
        </w:tc>
        <w:tc>
          <w:tcPr>
            <w:tcW w:w="944" w:type="dxa"/>
            <w:vAlign w:val="bottom"/>
          </w:tcPr>
          <w:p w14:paraId="00FF071B" w14:textId="15E22E29" w:rsidR="00AE77DE" w:rsidRPr="005954E3" w:rsidRDefault="00AE77DE" w:rsidP="00AE77DE">
            <w:pPr>
              <w:pStyle w:val="tabletextleft"/>
              <w:spacing w:before="120" w:after="120"/>
              <w:jc w:val="right"/>
              <w:rPr>
                <w:szCs w:val="18"/>
              </w:rPr>
            </w:pPr>
            <w:r w:rsidRPr="00E27712">
              <w:rPr>
                <w:szCs w:val="18"/>
              </w:rPr>
              <w:t>0.0</w:t>
            </w:r>
          </w:p>
        </w:tc>
        <w:tc>
          <w:tcPr>
            <w:tcW w:w="945" w:type="dxa"/>
            <w:vAlign w:val="bottom"/>
          </w:tcPr>
          <w:p w14:paraId="52C048EF" w14:textId="2111877B" w:rsidR="00AE77DE" w:rsidRPr="005954E3" w:rsidRDefault="00AE77DE" w:rsidP="00AE77DE">
            <w:pPr>
              <w:pStyle w:val="tabletextleft"/>
              <w:spacing w:before="120" w:after="120"/>
              <w:jc w:val="right"/>
              <w:rPr>
                <w:szCs w:val="18"/>
              </w:rPr>
            </w:pPr>
            <w:r w:rsidRPr="00E27712">
              <w:rPr>
                <w:szCs w:val="18"/>
              </w:rPr>
              <w:t>0.0</w:t>
            </w:r>
          </w:p>
        </w:tc>
      </w:tr>
      <w:tr w:rsidR="00AE77DE" w:rsidRPr="005954E3" w14:paraId="6C4622BC" w14:textId="77777777" w:rsidTr="00777E7B">
        <w:trPr>
          <w:trHeight w:val="340"/>
          <w:jc w:val="center"/>
        </w:trPr>
        <w:tc>
          <w:tcPr>
            <w:tcW w:w="2691" w:type="dxa"/>
            <w:vAlign w:val="center"/>
            <w:hideMark/>
          </w:tcPr>
          <w:p w14:paraId="5E2A5E9F" w14:textId="77777777" w:rsidR="00AE77DE" w:rsidRPr="005954E3" w:rsidRDefault="00AE77DE" w:rsidP="00AE77DE">
            <w:pPr>
              <w:pStyle w:val="tabletextleft"/>
              <w:spacing w:before="120" w:after="120"/>
              <w:rPr>
                <w:szCs w:val="18"/>
              </w:rPr>
            </w:pPr>
            <w:r w:rsidRPr="005954E3">
              <w:rPr>
                <w:szCs w:val="18"/>
              </w:rPr>
              <w:t xml:space="preserve">Външен баланс на стоки и </w:t>
            </w:r>
            <w:r w:rsidRPr="005954E3">
              <w:rPr>
                <w:szCs w:val="18"/>
              </w:rPr>
              <w:br/>
              <w:t>услуги</w:t>
            </w:r>
          </w:p>
        </w:tc>
        <w:tc>
          <w:tcPr>
            <w:tcW w:w="708" w:type="dxa"/>
            <w:vAlign w:val="center"/>
            <w:hideMark/>
          </w:tcPr>
          <w:p w14:paraId="1A7CDF98" w14:textId="77777777" w:rsidR="00AE77DE" w:rsidRPr="005954E3" w:rsidRDefault="00AE77DE" w:rsidP="00AE77DE">
            <w:pPr>
              <w:pStyle w:val="tabletextleft"/>
              <w:spacing w:before="120" w:after="120"/>
              <w:rPr>
                <w:szCs w:val="18"/>
              </w:rPr>
            </w:pPr>
            <w:r w:rsidRPr="005954E3">
              <w:rPr>
                <w:szCs w:val="18"/>
              </w:rPr>
              <w:t>B.11</w:t>
            </w:r>
          </w:p>
        </w:tc>
        <w:tc>
          <w:tcPr>
            <w:tcW w:w="944" w:type="dxa"/>
            <w:vAlign w:val="bottom"/>
          </w:tcPr>
          <w:p w14:paraId="439A77ED" w14:textId="38873015" w:rsidR="00AE77DE" w:rsidRPr="005954E3" w:rsidRDefault="00AE77DE" w:rsidP="00AE77DE">
            <w:pPr>
              <w:pStyle w:val="tabletextleft"/>
              <w:spacing w:before="120" w:after="120"/>
              <w:jc w:val="right"/>
              <w:rPr>
                <w:szCs w:val="18"/>
              </w:rPr>
            </w:pPr>
            <w:r w:rsidRPr="00E27712">
              <w:rPr>
                <w:szCs w:val="18"/>
              </w:rPr>
              <w:t>-</w:t>
            </w:r>
          </w:p>
        </w:tc>
        <w:tc>
          <w:tcPr>
            <w:tcW w:w="944" w:type="dxa"/>
            <w:vAlign w:val="bottom"/>
          </w:tcPr>
          <w:p w14:paraId="17F7914C" w14:textId="354C6A86" w:rsidR="00AE77DE" w:rsidRPr="005954E3" w:rsidRDefault="00AE77DE" w:rsidP="00AE77DE">
            <w:pPr>
              <w:pStyle w:val="tabletextleft"/>
              <w:spacing w:before="120" w:after="120"/>
              <w:jc w:val="right"/>
              <w:rPr>
                <w:szCs w:val="18"/>
              </w:rPr>
            </w:pPr>
            <w:r w:rsidRPr="00E27712">
              <w:rPr>
                <w:szCs w:val="18"/>
              </w:rPr>
              <w:t>-1.2</w:t>
            </w:r>
          </w:p>
        </w:tc>
        <w:tc>
          <w:tcPr>
            <w:tcW w:w="944" w:type="dxa"/>
            <w:vAlign w:val="bottom"/>
          </w:tcPr>
          <w:p w14:paraId="0F8DCE0E" w14:textId="4F9F68CD" w:rsidR="00AE77DE" w:rsidRPr="005954E3" w:rsidRDefault="00AE77DE" w:rsidP="00AE77DE">
            <w:pPr>
              <w:pStyle w:val="tabletextleft"/>
              <w:spacing w:before="120" w:after="120"/>
              <w:jc w:val="right"/>
              <w:rPr>
                <w:szCs w:val="18"/>
              </w:rPr>
            </w:pPr>
            <w:r w:rsidRPr="00E27712">
              <w:rPr>
                <w:szCs w:val="18"/>
              </w:rPr>
              <w:t>-1.5</w:t>
            </w:r>
          </w:p>
        </w:tc>
        <w:tc>
          <w:tcPr>
            <w:tcW w:w="944" w:type="dxa"/>
            <w:vAlign w:val="bottom"/>
          </w:tcPr>
          <w:p w14:paraId="4E26A077" w14:textId="31845D4F" w:rsidR="00AE77DE" w:rsidRPr="005954E3" w:rsidRDefault="00AE77DE" w:rsidP="00AE77DE">
            <w:pPr>
              <w:pStyle w:val="tabletextleft"/>
              <w:spacing w:before="120" w:after="120"/>
              <w:jc w:val="right"/>
              <w:rPr>
                <w:szCs w:val="18"/>
              </w:rPr>
            </w:pPr>
            <w:r w:rsidRPr="00E27712">
              <w:rPr>
                <w:szCs w:val="18"/>
              </w:rPr>
              <w:t>-1.3</w:t>
            </w:r>
          </w:p>
        </w:tc>
        <w:tc>
          <w:tcPr>
            <w:tcW w:w="944" w:type="dxa"/>
            <w:vAlign w:val="bottom"/>
          </w:tcPr>
          <w:p w14:paraId="3AE6C39B" w14:textId="3DFC7B90" w:rsidR="00AE77DE" w:rsidRPr="005954E3" w:rsidRDefault="00AE77DE" w:rsidP="00AE77DE">
            <w:pPr>
              <w:pStyle w:val="tabletextleft"/>
              <w:spacing w:before="120" w:after="120"/>
              <w:jc w:val="right"/>
              <w:rPr>
                <w:szCs w:val="18"/>
              </w:rPr>
            </w:pPr>
            <w:r w:rsidRPr="00E27712">
              <w:rPr>
                <w:szCs w:val="18"/>
              </w:rPr>
              <w:t>-0.5</w:t>
            </w:r>
          </w:p>
        </w:tc>
        <w:tc>
          <w:tcPr>
            <w:tcW w:w="945" w:type="dxa"/>
            <w:vAlign w:val="bottom"/>
          </w:tcPr>
          <w:p w14:paraId="41EAEAFF" w14:textId="1A1D1151" w:rsidR="00AE77DE" w:rsidRPr="005954E3" w:rsidRDefault="00AE77DE" w:rsidP="00AE77DE">
            <w:pPr>
              <w:pStyle w:val="tabletextleft"/>
              <w:spacing w:before="120" w:after="120"/>
              <w:jc w:val="right"/>
              <w:rPr>
                <w:szCs w:val="18"/>
              </w:rPr>
            </w:pPr>
            <w:r w:rsidRPr="00E27712">
              <w:rPr>
                <w:szCs w:val="18"/>
              </w:rPr>
              <w:t>-0.5</w:t>
            </w:r>
          </w:p>
        </w:tc>
      </w:tr>
    </w:tbl>
    <w:p w14:paraId="59AF67ED" w14:textId="77777777" w:rsidR="006D2755" w:rsidRPr="005954E3" w:rsidRDefault="006D2755" w:rsidP="00EE53B2">
      <w:pPr>
        <w:pStyle w:val="Heading2"/>
        <w:numPr>
          <w:ilvl w:val="0"/>
          <w:numId w:val="0"/>
        </w:numPr>
      </w:pPr>
      <w:bookmarkStart w:id="161" w:name="_Toc417566026"/>
      <w:bookmarkStart w:id="162" w:name="_Toc448227312"/>
      <w:bookmarkStart w:id="163" w:name="_Toc479332463"/>
      <w:r w:rsidRPr="005954E3">
        <w:br w:type="page"/>
      </w:r>
    </w:p>
    <w:p w14:paraId="3932E303" w14:textId="77777777" w:rsidR="006D2755" w:rsidRPr="005954E3" w:rsidRDefault="006D2755" w:rsidP="00EE53B2">
      <w:pPr>
        <w:pStyle w:val="Heading2"/>
        <w:numPr>
          <w:ilvl w:val="0"/>
          <w:numId w:val="0"/>
        </w:numPr>
      </w:pPr>
      <w:bookmarkStart w:id="164" w:name="_Toc133597294"/>
      <w:r w:rsidRPr="005954E3">
        <w:lastRenderedPageBreak/>
        <w:t>Табл. 1б: Ценова динамика</w:t>
      </w:r>
      <w:bookmarkEnd w:id="161"/>
      <w:bookmarkEnd w:id="162"/>
      <w:bookmarkEnd w:id="163"/>
      <w:bookmarkEnd w:id="164"/>
    </w:p>
    <w:tbl>
      <w:tblPr>
        <w:tblStyle w:val="Style19"/>
        <w:tblW w:w="9072" w:type="dxa"/>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CellMar>
          <w:left w:w="85" w:type="dxa"/>
          <w:right w:w="85" w:type="dxa"/>
        </w:tblCellMar>
        <w:tblLook w:val="0620" w:firstRow="1" w:lastRow="0" w:firstColumn="0" w:lastColumn="0" w:noHBand="1" w:noVBand="1"/>
      </w:tblPr>
      <w:tblGrid>
        <w:gridCol w:w="2978"/>
        <w:gridCol w:w="661"/>
        <w:gridCol w:w="848"/>
        <w:gridCol w:w="1055"/>
        <w:gridCol w:w="883"/>
        <w:gridCol w:w="882"/>
        <w:gridCol w:w="882"/>
        <w:gridCol w:w="883"/>
      </w:tblGrid>
      <w:tr w:rsidR="006D2755" w:rsidRPr="005954E3" w14:paraId="1FF75B1D" w14:textId="77777777" w:rsidTr="006D2755">
        <w:trPr>
          <w:trHeight w:val="454"/>
          <w:jc w:val="center"/>
        </w:trPr>
        <w:tc>
          <w:tcPr>
            <w:tcW w:w="2978" w:type="dxa"/>
            <w:vMerge w:val="restart"/>
            <w:shd w:val="clear" w:color="auto" w:fill="auto"/>
          </w:tcPr>
          <w:p w14:paraId="703BC3DA" w14:textId="77777777" w:rsidR="006D2755" w:rsidRPr="005954E3" w:rsidRDefault="006D2755" w:rsidP="006D2755">
            <w:pPr>
              <w:pStyle w:val="tabletextleft"/>
              <w:rPr>
                <w:szCs w:val="18"/>
              </w:rPr>
            </w:pPr>
          </w:p>
        </w:tc>
        <w:tc>
          <w:tcPr>
            <w:tcW w:w="661" w:type="dxa"/>
            <w:vMerge w:val="restart"/>
            <w:shd w:val="clear" w:color="auto" w:fill="auto"/>
            <w:vAlign w:val="center"/>
            <w:hideMark/>
          </w:tcPr>
          <w:p w14:paraId="3FD57343" w14:textId="77777777" w:rsidR="006D2755" w:rsidRPr="005954E3" w:rsidRDefault="006D2755" w:rsidP="006D2755">
            <w:pPr>
              <w:pStyle w:val="tabletextleft"/>
              <w:rPr>
                <w:szCs w:val="18"/>
              </w:rPr>
            </w:pPr>
            <w:r w:rsidRPr="005954E3">
              <w:rPr>
                <w:szCs w:val="18"/>
              </w:rPr>
              <w:t>Код по ЕСС 2010</w:t>
            </w:r>
          </w:p>
        </w:tc>
        <w:tc>
          <w:tcPr>
            <w:tcW w:w="848" w:type="dxa"/>
            <w:shd w:val="clear" w:color="auto" w:fill="auto"/>
            <w:vAlign w:val="center"/>
          </w:tcPr>
          <w:p w14:paraId="7AB3AEEC" w14:textId="77777777" w:rsidR="006D2755" w:rsidRPr="005954E3" w:rsidRDefault="006D2755" w:rsidP="006D2755">
            <w:pPr>
              <w:pStyle w:val="tabletextleft"/>
              <w:jc w:val="right"/>
              <w:rPr>
                <w:b/>
                <w:szCs w:val="18"/>
              </w:rPr>
            </w:pPr>
            <w:r w:rsidRPr="005954E3">
              <w:rPr>
                <w:b/>
                <w:szCs w:val="18"/>
              </w:rPr>
              <w:t>2022</w:t>
            </w:r>
          </w:p>
        </w:tc>
        <w:tc>
          <w:tcPr>
            <w:tcW w:w="1055" w:type="dxa"/>
            <w:shd w:val="clear" w:color="auto" w:fill="auto"/>
            <w:vAlign w:val="center"/>
          </w:tcPr>
          <w:p w14:paraId="5A4A8EEA" w14:textId="77777777" w:rsidR="006D2755" w:rsidRPr="005954E3" w:rsidRDefault="006D2755" w:rsidP="006D2755">
            <w:pPr>
              <w:pStyle w:val="tabletextleft"/>
              <w:jc w:val="right"/>
              <w:rPr>
                <w:b/>
                <w:szCs w:val="18"/>
              </w:rPr>
            </w:pPr>
            <w:r w:rsidRPr="005954E3">
              <w:rPr>
                <w:b/>
                <w:szCs w:val="18"/>
              </w:rPr>
              <w:t>2022</w:t>
            </w:r>
          </w:p>
        </w:tc>
        <w:tc>
          <w:tcPr>
            <w:tcW w:w="883" w:type="dxa"/>
            <w:shd w:val="clear" w:color="auto" w:fill="auto"/>
            <w:vAlign w:val="center"/>
          </w:tcPr>
          <w:p w14:paraId="79599885" w14:textId="77777777" w:rsidR="006D2755" w:rsidRPr="005954E3" w:rsidRDefault="006D2755" w:rsidP="006D2755">
            <w:pPr>
              <w:pStyle w:val="tabletextleft"/>
              <w:jc w:val="right"/>
              <w:rPr>
                <w:b/>
                <w:szCs w:val="18"/>
              </w:rPr>
            </w:pPr>
            <w:r w:rsidRPr="005954E3">
              <w:rPr>
                <w:b/>
                <w:szCs w:val="18"/>
              </w:rPr>
              <w:t>2023</w:t>
            </w:r>
          </w:p>
        </w:tc>
        <w:tc>
          <w:tcPr>
            <w:tcW w:w="882" w:type="dxa"/>
            <w:shd w:val="clear" w:color="auto" w:fill="auto"/>
            <w:vAlign w:val="center"/>
          </w:tcPr>
          <w:p w14:paraId="7D3D2DA2" w14:textId="77777777" w:rsidR="006D2755" w:rsidRPr="005954E3" w:rsidRDefault="006D2755" w:rsidP="006D2755">
            <w:pPr>
              <w:pStyle w:val="tabletextleft"/>
              <w:jc w:val="right"/>
              <w:rPr>
                <w:b/>
                <w:szCs w:val="18"/>
              </w:rPr>
            </w:pPr>
            <w:r w:rsidRPr="005954E3">
              <w:rPr>
                <w:b/>
                <w:szCs w:val="18"/>
              </w:rPr>
              <w:t>2024</w:t>
            </w:r>
          </w:p>
        </w:tc>
        <w:tc>
          <w:tcPr>
            <w:tcW w:w="882" w:type="dxa"/>
            <w:shd w:val="clear" w:color="auto" w:fill="auto"/>
            <w:vAlign w:val="center"/>
          </w:tcPr>
          <w:p w14:paraId="2F0CA1DA" w14:textId="77777777" w:rsidR="006D2755" w:rsidRPr="005954E3" w:rsidRDefault="006D2755" w:rsidP="006D2755">
            <w:pPr>
              <w:pStyle w:val="tabletextleft"/>
              <w:jc w:val="right"/>
              <w:rPr>
                <w:b/>
                <w:szCs w:val="18"/>
              </w:rPr>
            </w:pPr>
            <w:r w:rsidRPr="005954E3">
              <w:rPr>
                <w:b/>
                <w:szCs w:val="18"/>
              </w:rPr>
              <w:t>2025</w:t>
            </w:r>
          </w:p>
        </w:tc>
        <w:tc>
          <w:tcPr>
            <w:tcW w:w="883" w:type="dxa"/>
            <w:shd w:val="clear" w:color="auto" w:fill="auto"/>
            <w:vAlign w:val="center"/>
          </w:tcPr>
          <w:p w14:paraId="12AA07BB" w14:textId="77777777" w:rsidR="006D2755" w:rsidRPr="005954E3" w:rsidRDefault="006D2755" w:rsidP="006D2755">
            <w:pPr>
              <w:pStyle w:val="tabletextleft"/>
              <w:jc w:val="right"/>
              <w:rPr>
                <w:b/>
                <w:szCs w:val="18"/>
              </w:rPr>
            </w:pPr>
            <w:r w:rsidRPr="005954E3">
              <w:rPr>
                <w:b/>
                <w:szCs w:val="18"/>
              </w:rPr>
              <w:t>2026</w:t>
            </w:r>
          </w:p>
        </w:tc>
      </w:tr>
      <w:tr w:rsidR="006D2755" w:rsidRPr="005954E3" w14:paraId="2BE317FF" w14:textId="77777777" w:rsidTr="006D2755">
        <w:trPr>
          <w:trHeight w:val="454"/>
          <w:jc w:val="center"/>
        </w:trPr>
        <w:tc>
          <w:tcPr>
            <w:tcW w:w="2978" w:type="dxa"/>
            <w:vMerge/>
            <w:shd w:val="clear" w:color="auto" w:fill="auto"/>
            <w:vAlign w:val="center"/>
            <w:hideMark/>
          </w:tcPr>
          <w:p w14:paraId="6F6F3AA1" w14:textId="77777777" w:rsidR="006D2755" w:rsidRPr="005954E3" w:rsidRDefault="006D2755" w:rsidP="006D2755">
            <w:pPr>
              <w:pStyle w:val="tabletextleft"/>
              <w:rPr>
                <w:szCs w:val="18"/>
              </w:rPr>
            </w:pPr>
          </w:p>
        </w:tc>
        <w:tc>
          <w:tcPr>
            <w:tcW w:w="661" w:type="dxa"/>
            <w:vMerge/>
            <w:shd w:val="clear" w:color="auto" w:fill="auto"/>
            <w:vAlign w:val="center"/>
            <w:hideMark/>
          </w:tcPr>
          <w:p w14:paraId="19291D30" w14:textId="77777777" w:rsidR="006D2755" w:rsidRPr="005954E3" w:rsidRDefault="006D2755" w:rsidP="006D2755">
            <w:pPr>
              <w:pStyle w:val="tabletextleft"/>
              <w:rPr>
                <w:szCs w:val="18"/>
              </w:rPr>
            </w:pPr>
          </w:p>
        </w:tc>
        <w:tc>
          <w:tcPr>
            <w:tcW w:w="848" w:type="dxa"/>
            <w:shd w:val="clear" w:color="auto" w:fill="auto"/>
            <w:vAlign w:val="center"/>
            <w:hideMark/>
          </w:tcPr>
          <w:p w14:paraId="59518717" w14:textId="77777777" w:rsidR="006D2755" w:rsidRPr="005954E3" w:rsidRDefault="006D2755" w:rsidP="006D2755">
            <w:pPr>
              <w:pStyle w:val="tabletextleft"/>
              <w:jc w:val="right"/>
              <w:rPr>
                <w:szCs w:val="18"/>
              </w:rPr>
            </w:pPr>
            <w:r w:rsidRPr="005954E3">
              <w:rPr>
                <w:szCs w:val="18"/>
              </w:rPr>
              <w:t>Равнище</w:t>
            </w:r>
          </w:p>
        </w:tc>
        <w:tc>
          <w:tcPr>
            <w:tcW w:w="1055" w:type="dxa"/>
            <w:shd w:val="clear" w:color="auto" w:fill="auto"/>
            <w:vAlign w:val="center"/>
            <w:hideMark/>
          </w:tcPr>
          <w:p w14:paraId="27B8503A" w14:textId="77777777" w:rsidR="006D2755" w:rsidRPr="005954E3" w:rsidRDefault="006D2755" w:rsidP="006D2755">
            <w:pPr>
              <w:pStyle w:val="tabletextleft"/>
              <w:jc w:val="right"/>
              <w:rPr>
                <w:szCs w:val="18"/>
              </w:rPr>
            </w:pPr>
            <w:r w:rsidRPr="005954E3">
              <w:rPr>
                <w:szCs w:val="18"/>
              </w:rPr>
              <w:t>Промяна</w:t>
            </w:r>
            <w:r w:rsidRPr="005954E3">
              <w:rPr>
                <w:szCs w:val="18"/>
                <w:vertAlign w:val="superscript"/>
              </w:rPr>
              <w:footnoteReference w:id="35"/>
            </w:r>
          </w:p>
        </w:tc>
        <w:tc>
          <w:tcPr>
            <w:tcW w:w="883" w:type="dxa"/>
            <w:shd w:val="clear" w:color="auto" w:fill="auto"/>
            <w:vAlign w:val="center"/>
            <w:hideMark/>
          </w:tcPr>
          <w:p w14:paraId="64EA96DC" w14:textId="77777777" w:rsidR="006D2755" w:rsidRPr="005954E3" w:rsidRDefault="006D2755" w:rsidP="006D2755">
            <w:pPr>
              <w:pStyle w:val="tabletextleft"/>
              <w:jc w:val="right"/>
              <w:rPr>
                <w:szCs w:val="18"/>
              </w:rPr>
            </w:pPr>
            <w:r w:rsidRPr="005954E3">
              <w:rPr>
                <w:szCs w:val="18"/>
              </w:rPr>
              <w:t>Промяна</w:t>
            </w:r>
          </w:p>
        </w:tc>
        <w:tc>
          <w:tcPr>
            <w:tcW w:w="882" w:type="dxa"/>
            <w:shd w:val="clear" w:color="auto" w:fill="auto"/>
            <w:vAlign w:val="center"/>
            <w:hideMark/>
          </w:tcPr>
          <w:p w14:paraId="16AA754E" w14:textId="77777777" w:rsidR="006D2755" w:rsidRPr="005954E3" w:rsidRDefault="006D2755" w:rsidP="006D2755">
            <w:pPr>
              <w:pStyle w:val="tabletextleft"/>
              <w:jc w:val="right"/>
              <w:rPr>
                <w:szCs w:val="18"/>
              </w:rPr>
            </w:pPr>
            <w:r w:rsidRPr="005954E3">
              <w:rPr>
                <w:szCs w:val="18"/>
              </w:rPr>
              <w:t>Промяна</w:t>
            </w:r>
          </w:p>
        </w:tc>
        <w:tc>
          <w:tcPr>
            <w:tcW w:w="882" w:type="dxa"/>
            <w:shd w:val="clear" w:color="auto" w:fill="auto"/>
            <w:vAlign w:val="center"/>
            <w:hideMark/>
          </w:tcPr>
          <w:p w14:paraId="2462DCB9" w14:textId="77777777" w:rsidR="006D2755" w:rsidRPr="005954E3" w:rsidRDefault="006D2755" w:rsidP="006D2755">
            <w:pPr>
              <w:pStyle w:val="tabletextleft"/>
              <w:jc w:val="right"/>
              <w:rPr>
                <w:szCs w:val="18"/>
              </w:rPr>
            </w:pPr>
            <w:r w:rsidRPr="005954E3">
              <w:rPr>
                <w:szCs w:val="18"/>
              </w:rPr>
              <w:t>Промяна</w:t>
            </w:r>
          </w:p>
        </w:tc>
        <w:tc>
          <w:tcPr>
            <w:tcW w:w="883" w:type="dxa"/>
            <w:shd w:val="clear" w:color="auto" w:fill="auto"/>
            <w:vAlign w:val="center"/>
            <w:hideMark/>
          </w:tcPr>
          <w:p w14:paraId="7FBA5F33" w14:textId="77777777" w:rsidR="006D2755" w:rsidRPr="005954E3" w:rsidRDefault="006D2755" w:rsidP="006D2755">
            <w:pPr>
              <w:pStyle w:val="tabletextleft"/>
              <w:jc w:val="right"/>
              <w:rPr>
                <w:szCs w:val="18"/>
              </w:rPr>
            </w:pPr>
            <w:r w:rsidRPr="005954E3">
              <w:rPr>
                <w:szCs w:val="18"/>
              </w:rPr>
              <w:t>Промяна</w:t>
            </w:r>
          </w:p>
        </w:tc>
      </w:tr>
      <w:tr w:rsidR="00AE77DE" w:rsidRPr="005954E3" w14:paraId="4DFACCD1" w14:textId="77777777" w:rsidTr="006D2755">
        <w:trPr>
          <w:trHeight w:val="454"/>
          <w:jc w:val="center"/>
        </w:trPr>
        <w:tc>
          <w:tcPr>
            <w:tcW w:w="2978" w:type="dxa"/>
            <w:vAlign w:val="center"/>
            <w:hideMark/>
          </w:tcPr>
          <w:p w14:paraId="421C5DD7" w14:textId="77777777" w:rsidR="00AE77DE" w:rsidRPr="005954E3" w:rsidRDefault="00AE77DE" w:rsidP="00AE77DE">
            <w:pPr>
              <w:pStyle w:val="tabletextleft"/>
              <w:rPr>
                <w:szCs w:val="18"/>
              </w:rPr>
            </w:pPr>
            <w:r w:rsidRPr="005954E3">
              <w:rPr>
                <w:szCs w:val="18"/>
              </w:rPr>
              <w:t>Дефлатор на БВП</w:t>
            </w:r>
          </w:p>
        </w:tc>
        <w:tc>
          <w:tcPr>
            <w:tcW w:w="661" w:type="dxa"/>
            <w:vAlign w:val="center"/>
          </w:tcPr>
          <w:p w14:paraId="5548D087" w14:textId="77777777" w:rsidR="00AE77DE" w:rsidRPr="005954E3" w:rsidRDefault="00AE77DE" w:rsidP="00AE77DE">
            <w:pPr>
              <w:pStyle w:val="tabletextleft"/>
              <w:rPr>
                <w:szCs w:val="18"/>
              </w:rPr>
            </w:pPr>
          </w:p>
        </w:tc>
        <w:tc>
          <w:tcPr>
            <w:tcW w:w="848" w:type="dxa"/>
            <w:vAlign w:val="center"/>
          </w:tcPr>
          <w:p w14:paraId="6574B98F" w14:textId="77777777" w:rsidR="00AE77DE" w:rsidRPr="005954E3" w:rsidRDefault="00AE77DE" w:rsidP="00AE77DE">
            <w:pPr>
              <w:pStyle w:val="tabletextleft"/>
              <w:jc w:val="right"/>
              <w:rPr>
                <w:szCs w:val="18"/>
              </w:rPr>
            </w:pPr>
            <w:r w:rsidRPr="005954E3">
              <w:rPr>
                <w:szCs w:val="18"/>
              </w:rPr>
              <w:t>100</w:t>
            </w:r>
          </w:p>
        </w:tc>
        <w:tc>
          <w:tcPr>
            <w:tcW w:w="1055" w:type="dxa"/>
            <w:vAlign w:val="bottom"/>
          </w:tcPr>
          <w:p w14:paraId="49FFA014" w14:textId="29F36485" w:rsidR="00AE77DE" w:rsidRPr="005954E3" w:rsidRDefault="00AE77DE" w:rsidP="00AE77DE">
            <w:pPr>
              <w:pStyle w:val="tabletextleft"/>
              <w:jc w:val="right"/>
              <w:rPr>
                <w:szCs w:val="18"/>
              </w:rPr>
            </w:pPr>
            <w:r w:rsidRPr="00E27712">
              <w:rPr>
                <w:szCs w:val="18"/>
              </w:rPr>
              <w:t>15.1</w:t>
            </w:r>
          </w:p>
        </w:tc>
        <w:tc>
          <w:tcPr>
            <w:tcW w:w="883" w:type="dxa"/>
            <w:vAlign w:val="bottom"/>
          </w:tcPr>
          <w:p w14:paraId="6EAD0624" w14:textId="796411E3" w:rsidR="00AE77DE" w:rsidRPr="005954E3" w:rsidRDefault="00AE77DE" w:rsidP="00AE77DE">
            <w:pPr>
              <w:pStyle w:val="tabletextleft"/>
              <w:jc w:val="right"/>
              <w:rPr>
                <w:szCs w:val="18"/>
              </w:rPr>
            </w:pPr>
            <w:r w:rsidRPr="00E27712">
              <w:rPr>
                <w:szCs w:val="18"/>
              </w:rPr>
              <w:t>9.5</w:t>
            </w:r>
          </w:p>
        </w:tc>
        <w:tc>
          <w:tcPr>
            <w:tcW w:w="882" w:type="dxa"/>
            <w:vAlign w:val="bottom"/>
          </w:tcPr>
          <w:p w14:paraId="7ED17BF9" w14:textId="0F0F2DED" w:rsidR="00AE77DE" w:rsidRPr="005954E3" w:rsidRDefault="00AE77DE" w:rsidP="00AE77DE">
            <w:pPr>
              <w:pStyle w:val="tabletextleft"/>
              <w:jc w:val="right"/>
              <w:rPr>
                <w:szCs w:val="18"/>
              </w:rPr>
            </w:pPr>
            <w:r w:rsidRPr="00E27712">
              <w:rPr>
                <w:szCs w:val="18"/>
              </w:rPr>
              <w:t>3.7</w:t>
            </w:r>
          </w:p>
        </w:tc>
        <w:tc>
          <w:tcPr>
            <w:tcW w:w="882" w:type="dxa"/>
            <w:vAlign w:val="bottom"/>
          </w:tcPr>
          <w:p w14:paraId="458E0B0C" w14:textId="54618555" w:rsidR="00AE77DE" w:rsidRPr="005954E3" w:rsidRDefault="00AE77DE" w:rsidP="00AE77DE">
            <w:pPr>
              <w:pStyle w:val="tabletextleft"/>
              <w:jc w:val="right"/>
              <w:rPr>
                <w:szCs w:val="18"/>
              </w:rPr>
            </w:pPr>
            <w:r w:rsidRPr="00E27712">
              <w:rPr>
                <w:szCs w:val="18"/>
              </w:rPr>
              <w:t>3.1</w:t>
            </w:r>
          </w:p>
        </w:tc>
        <w:tc>
          <w:tcPr>
            <w:tcW w:w="883" w:type="dxa"/>
            <w:vAlign w:val="bottom"/>
          </w:tcPr>
          <w:p w14:paraId="754AB47B" w14:textId="3C44FC79" w:rsidR="00AE77DE" w:rsidRPr="005954E3" w:rsidRDefault="00AE77DE" w:rsidP="00AE77DE">
            <w:pPr>
              <w:pStyle w:val="tabletextleft"/>
              <w:jc w:val="right"/>
              <w:rPr>
                <w:szCs w:val="18"/>
              </w:rPr>
            </w:pPr>
            <w:r w:rsidRPr="00E27712">
              <w:rPr>
                <w:szCs w:val="18"/>
              </w:rPr>
              <w:t>2.8</w:t>
            </w:r>
          </w:p>
        </w:tc>
      </w:tr>
      <w:tr w:rsidR="00AE77DE" w:rsidRPr="005954E3" w14:paraId="4BFD2E9A" w14:textId="77777777" w:rsidTr="006D2755">
        <w:trPr>
          <w:trHeight w:val="454"/>
          <w:jc w:val="center"/>
        </w:trPr>
        <w:tc>
          <w:tcPr>
            <w:tcW w:w="2978" w:type="dxa"/>
            <w:vAlign w:val="center"/>
            <w:hideMark/>
          </w:tcPr>
          <w:p w14:paraId="29904AC3" w14:textId="77777777" w:rsidR="00AE77DE" w:rsidRPr="005954E3" w:rsidRDefault="00AE77DE" w:rsidP="00AE77DE">
            <w:pPr>
              <w:pStyle w:val="tabletextleft"/>
              <w:rPr>
                <w:szCs w:val="18"/>
              </w:rPr>
            </w:pPr>
            <w:r w:rsidRPr="005954E3">
              <w:rPr>
                <w:szCs w:val="18"/>
              </w:rPr>
              <w:t>Дефлатор на частното потребление</w:t>
            </w:r>
          </w:p>
        </w:tc>
        <w:tc>
          <w:tcPr>
            <w:tcW w:w="661" w:type="dxa"/>
            <w:vAlign w:val="center"/>
          </w:tcPr>
          <w:p w14:paraId="1F90F6B4" w14:textId="77777777" w:rsidR="00AE77DE" w:rsidRPr="005954E3" w:rsidRDefault="00AE77DE" w:rsidP="00AE77DE">
            <w:pPr>
              <w:pStyle w:val="tabletextleft"/>
              <w:rPr>
                <w:szCs w:val="18"/>
              </w:rPr>
            </w:pPr>
          </w:p>
        </w:tc>
        <w:tc>
          <w:tcPr>
            <w:tcW w:w="848" w:type="dxa"/>
            <w:vAlign w:val="center"/>
          </w:tcPr>
          <w:p w14:paraId="17552565" w14:textId="77777777" w:rsidR="00AE77DE" w:rsidRPr="005954E3" w:rsidRDefault="00AE77DE" w:rsidP="00AE77DE">
            <w:pPr>
              <w:pStyle w:val="tabletextleft"/>
              <w:jc w:val="right"/>
              <w:rPr>
                <w:szCs w:val="18"/>
              </w:rPr>
            </w:pPr>
            <w:r w:rsidRPr="005954E3">
              <w:rPr>
                <w:szCs w:val="18"/>
              </w:rPr>
              <w:t>100</w:t>
            </w:r>
          </w:p>
        </w:tc>
        <w:tc>
          <w:tcPr>
            <w:tcW w:w="1055" w:type="dxa"/>
            <w:vAlign w:val="bottom"/>
          </w:tcPr>
          <w:p w14:paraId="38884A8A" w14:textId="3D968BB1" w:rsidR="00AE77DE" w:rsidRPr="005954E3" w:rsidRDefault="00AE77DE" w:rsidP="00AE77DE">
            <w:pPr>
              <w:pStyle w:val="tabletextleft"/>
              <w:jc w:val="right"/>
              <w:rPr>
                <w:szCs w:val="18"/>
              </w:rPr>
            </w:pPr>
            <w:r w:rsidRPr="00E27712">
              <w:rPr>
                <w:szCs w:val="18"/>
              </w:rPr>
              <w:t>16.6</w:t>
            </w:r>
          </w:p>
        </w:tc>
        <w:tc>
          <w:tcPr>
            <w:tcW w:w="883" w:type="dxa"/>
            <w:vAlign w:val="bottom"/>
          </w:tcPr>
          <w:p w14:paraId="5FA06879" w14:textId="5379E80E" w:rsidR="00AE77DE" w:rsidRPr="005954E3" w:rsidRDefault="00AE77DE" w:rsidP="00AE77DE">
            <w:pPr>
              <w:pStyle w:val="tabletextleft"/>
              <w:jc w:val="right"/>
              <w:rPr>
                <w:szCs w:val="18"/>
              </w:rPr>
            </w:pPr>
            <w:r w:rsidRPr="00E27712">
              <w:rPr>
                <w:szCs w:val="18"/>
              </w:rPr>
              <w:t>8.1</w:t>
            </w:r>
          </w:p>
        </w:tc>
        <w:tc>
          <w:tcPr>
            <w:tcW w:w="882" w:type="dxa"/>
            <w:vAlign w:val="bottom"/>
          </w:tcPr>
          <w:p w14:paraId="27D4C9B8" w14:textId="06C84A5D" w:rsidR="00AE77DE" w:rsidRPr="005954E3" w:rsidRDefault="00AE77DE" w:rsidP="00AE77DE">
            <w:pPr>
              <w:pStyle w:val="tabletextleft"/>
              <w:jc w:val="right"/>
              <w:rPr>
                <w:szCs w:val="18"/>
              </w:rPr>
            </w:pPr>
            <w:r w:rsidRPr="00E27712">
              <w:rPr>
                <w:szCs w:val="18"/>
              </w:rPr>
              <w:t>3.2</w:t>
            </w:r>
          </w:p>
        </w:tc>
        <w:tc>
          <w:tcPr>
            <w:tcW w:w="882" w:type="dxa"/>
            <w:vAlign w:val="bottom"/>
          </w:tcPr>
          <w:p w14:paraId="294B5091" w14:textId="4CD98D21" w:rsidR="00AE77DE" w:rsidRPr="005954E3" w:rsidRDefault="00AE77DE" w:rsidP="00AE77DE">
            <w:pPr>
              <w:pStyle w:val="tabletextleft"/>
              <w:jc w:val="right"/>
              <w:rPr>
                <w:szCs w:val="18"/>
              </w:rPr>
            </w:pPr>
            <w:r w:rsidRPr="00E27712">
              <w:rPr>
                <w:szCs w:val="18"/>
              </w:rPr>
              <w:t>2.7</w:t>
            </w:r>
          </w:p>
        </w:tc>
        <w:tc>
          <w:tcPr>
            <w:tcW w:w="883" w:type="dxa"/>
            <w:vAlign w:val="bottom"/>
          </w:tcPr>
          <w:p w14:paraId="495E9168" w14:textId="5107FF6F" w:rsidR="00AE77DE" w:rsidRPr="005954E3" w:rsidRDefault="00AE77DE" w:rsidP="00AE77DE">
            <w:pPr>
              <w:pStyle w:val="tabletextleft"/>
              <w:jc w:val="right"/>
              <w:rPr>
                <w:szCs w:val="18"/>
              </w:rPr>
            </w:pPr>
            <w:r w:rsidRPr="00E27712">
              <w:rPr>
                <w:szCs w:val="18"/>
              </w:rPr>
              <w:t>2.5</w:t>
            </w:r>
          </w:p>
        </w:tc>
      </w:tr>
      <w:tr w:rsidR="00AE77DE" w:rsidRPr="005954E3" w14:paraId="074964D9" w14:textId="77777777" w:rsidTr="006D2755">
        <w:trPr>
          <w:trHeight w:val="454"/>
          <w:jc w:val="center"/>
        </w:trPr>
        <w:tc>
          <w:tcPr>
            <w:tcW w:w="2978" w:type="dxa"/>
            <w:vAlign w:val="center"/>
            <w:hideMark/>
          </w:tcPr>
          <w:p w14:paraId="4AF1B265" w14:textId="77777777" w:rsidR="00AE77DE" w:rsidRPr="005954E3" w:rsidRDefault="00AE77DE" w:rsidP="00AE77DE">
            <w:pPr>
              <w:pStyle w:val="tabletextleft"/>
              <w:rPr>
                <w:szCs w:val="18"/>
              </w:rPr>
            </w:pPr>
            <w:r w:rsidRPr="005954E3">
              <w:rPr>
                <w:szCs w:val="18"/>
              </w:rPr>
              <w:t>ХИПЦ</w:t>
            </w:r>
            <w:r w:rsidRPr="005954E3">
              <w:rPr>
                <w:szCs w:val="18"/>
                <w:vertAlign w:val="superscript"/>
              </w:rPr>
              <w:footnoteReference w:id="36"/>
            </w:r>
          </w:p>
        </w:tc>
        <w:tc>
          <w:tcPr>
            <w:tcW w:w="661" w:type="dxa"/>
            <w:vAlign w:val="center"/>
          </w:tcPr>
          <w:p w14:paraId="3555AE79" w14:textId="77777777" w:rsidR="00AE77DE" w:rsidRPr="005954E3" w:rsidRDefault="00AE77DE" w:rsidP="00AE77DE">
            <w:pPr>
              <w:pStyle w:val="tabletextleft"/>
              <w:rPr>
                <w:szCs w:val="18"/>
              </w:rPr>
            </w:pPr>
          </w:p>
        </w:tc>
        <w:tc>
          <w:tcPr>
            <w:tcW w:w="848" w:type="dxa"/>
            <w:vAlign w:val="center"/>
          </w:tcPr>
          <w:p w14:paraId="3313335F" w14:textId="77777777" w:rsidR="00AE77DE" w:rsidRPr="005954E3" w:rsidRDefault="00AE77DE" w:rsidP="00AE77DE">
            <w:pPr>
              <w:pStyle w:val="tabletextleft"/>
              <w:jc w:val="right"/>
              <w:rPr>
                <w:szCs w:val="18"/>
              </w:rPr>
            </w:pPr>
            <w:r w:rsidRPr="005954E3">
              <w:rPr>
                <w:szCs w:val="18"/>
              </w:rPr>
              <w:t>100</w:t>
            </w:r>
          </w:p>
        </w:tc>
        <w:tc>
          <w:tcPr>
            <w:tcW w:w="1055" w:type="dxa"/>
            <w:vAlign w:val="bottom"/>
          </w:tcPr>
          <w:p w14:paraId="02A68E12" w14:textId="3ADF1400" w:rsidR="00AE77DE" w:rsidRPr="005954E3" w:rsidRDefault="00AE77DE" w:rsidP="00AE77DE">
            <w:pPr>
              <w:pStyle w:val="tabletextleft"/>
              <w:jc w:val="right"/>
              <w:rPr>
                <w:szCs w:val="18"/>
              </w:rPr>
            </w:pPr>
            <w:r w:rsidRPr="00E27712">
              <w:rPr>
                <w:szCs w:val="18"/>
              </w:rPr>
              <w:t>13.0</w:t>
            </w:r>
          </w:p>
        </w:tc>
        <w:tc>
          <w:tcPr>
            <w:tcW w:w="883" w:type="dxa"/>
            <w:vAlign w:val="bottom"/>
          </w:tcPr>
          <w:p w14:paraId="4AA4F1C0" w14:textId="1B0F1334" w:rsidR="00AE77DE" w:rsidRPr="005954E3" w:rsidRDefault="00AE77DE" w:rsidP="00AE77DE">
            <w:pPr>
              <w:pStyle w:val="tabletextleft"/>
              <w:jc w:val="right"/>
              <w:rPr>
                <w:szCs w:val="18"/>
              </w:rPr>
            </w:pPr>
            <w:r w:rsidRPr="00E27712">
              <w:rPr>
                <w:szCs w:val="18"/>
              </w:rPr>
              <w:t>8.7</w:t>
            </w:r>
          </w:p>
        </w:tc>
        <w:tc>
          <w:tcPr>
            <w:tcW w:w="882" w:type="dxa"/>
            <w:vAlign w:val="bottom"/>
          </w:tcPr>
          <w:p w14:paraId="34DB28D9" w14:textId="2C606525" w:rsidR="00AE77DE" w:rsidRPr="005954E3" w:rsidRDefault="00AE77DE" w:rsidP="00AE77DE">
            <w:pPr>
              <w:pStyle w:val="tabletextleft"/>
              <w:jc w:val="right"/>
              <w:rPr>
                <w:szCs w:val="18"/>
              </w:rPr>
            </w:pPr>
            <w:r w:rsidRPr="00E27712">
              <w:rPr>
                <w:szCs w:val="18"/>
              </w:rPr>
              <w:t>3.8</w:t>
            </w:r>
          </w:p>
        </w:tc>
        <w:tc>
          <w:tcPr>
            <w:tcW w:w="882" w:type="dxa"/>
            <w:vAlign w:val="bottom"/>
          </w:tcPr>
          <w:p w14:paraId="56BACBFF" w14:textId="0914F936" w:rsidR="00AE77DE" w:rsidRPr="005954E3" w:rsidRDefault="00AE77DE" w:rsidP="00AE77DE">
            <w:pPr>
              <w:pStyle w:val="tabletextleft"/>
              <w:jc w:val="right"/>
              <w:rPr>
                <w:szCs w:val="18"/>
              </w:rPr>
            </w:pPr>
            <w:r w:rsidRPr="00E27712">
              <w:rPr>
                <w:szCs w:val="18"/>
              </w:rPr>
              <w:t>2.8</w:t>
            </w:r>
          </w:p>
        </w:tc>
        <w:tc>
          <w:tcPr>
            <w:tcW w:w="883" w:type="dxa"/>
            <w:vAlign w:val="bottom"/>
          </w:tcPr>
          <w:p w14:paraId="5730D432" w14:textId="04A94C03" w:rsidR="00AE77DE" w:rsidRPr="005954E3" w:rsidRDefault="00AE77DE" w:rsidP="00AE77DE">
            <w:pPr>
              <w:pStyle w:val="tabletextleft"/>
              <w:jc w:val="right"/>
              <w:rPr>
                <w:szCs w:val="18"/>
              </w:rPr>
            </w:pPr>
            <w:r w:rsidRPr="00E27712">
              <w:rPr>
                <w:szCs w:val="18"/>
              </w:rPr>
              <w:t>2.2</w:t>
            </w:r>
          </w:p>
        </w:tc>
      </w:tr>
      <w:tr w:rsidR="00AE77DE" w:rsidRPr="005954E3" w14:paraId="00AC1944" w14:textId="77777777" w:rsidTr="006D2755">
        <w:trPr>
          <w:trHeight w:val="454"/>
          <w:jc w:val="center"/>
        </w:trPr>
        <w:tc>
          <w:tcPr>
            <w:tcW w:w="2978" w:type="dxa"/>
            <w:vAlign w:val="center"/>
            <w:hideMark/>
          </w:tcPr>
          <w:p w14:paraId="25AE94C7" w14:textId="77777777" w:rsidR="00AE77DE" w:rsidRPr="005954E3" w:rsidRDefault="00AE77DE" w:rsidP="00AE77DE">
            <w:pPr>
              <w:pStyle w:val="tabletextleft"/>
              <w:rPr>
                <w:szCs w:val="18"/>
              </w:rPr>
            </w:pPr>
            <w:r w:rsidRPr="005954E3">
              <w:rPr>
                <w:szCs w:val="18"/>
              </w:rPr>
              <w:t xml:space="preserve">Дефлатор на правителственото </w:t>
            </w:r>
            <w:r w:rsidRPr="005954E3">
              <w:rPr>
                <w:szCs w:val="18"/>
              </w:rPr>
              <w:br/>
              <w:t>потребление</w:t>
            </w:r>
          </w:p>
        </w:tc>
        <w:tc>
          <w:tcPr>
            <w:tcW w:w="661" w:type="dxa"/>
            <w:vAlign w:val="center"/>
          </w:tcPr>
          <w:p w14:paraId="358E55C2" w14:textId="77777777" w:rsidR="00AE77DE" w:rsidRPr="005954E3" w:rsidRDefault="00AE77DE" w:rsidP="00AE77DE">
            <w:pPr>
              <w:pStyle w:val="tabletextleft"/>
              <w:rPr>
                <w:szCs w:val="18"/>
              </w:rPr>
            </w:pPr>
          </w:p>
        </w:tc>
        <w:tc>
          <w:tcPr>
            <w:tcW w:w="848" w:type="dxa"/>
            <w:vAlign w:val="center"/>
          </w:tcPr>
          <w:p w14:paraId="307CC78C" w14:textId="77777777" w:rsidR="00AE77DE" w:rsidRPr="005954E3" w:rsidRDefault="00AE77DE" w:rsidP="00AE77DE">
            <w:pPr>
              <w:pStyle w:val="tabletextleft"/>
              <w:jc w:val="right"/>
              <w:rPr>
                <w:szCs w:val="18"/>
              </w:rPr>
            </w:pPr>
            <w:r w:rsidRPr="005954E3">
              <w:rPr>
                <w:szCs w:val="18"/>
              </w:rPr>
              <w:t>100</w:t>
            </w:r>
          </w:p>
        </w:tc>
        <w:tc>
          <w:tcPr>
            <w:tcW w:w="1055" w:type="dxa"/>
            <w:vAlign w:val="bottom"/>
          </w:tcPr>
          <w:p w14:paraId="3E00180E" w14:textId="6DD5B5D3" w:rsidR="00AE77DE" w:rsidRPr="005954E3" w:rsidRDefault="00AE77DE" w:rsidP="00AE77DE">
            <w:pPr>
              <w:pStyle w:val="tabletextleft"/>
              <w:jc w:val="right"/>
              <w:rPr>
                <w:szCs w:val="18"/>
              </w:rPr>
            </w:pPr>
            <w:r w:rsidRPr="00E27712">
              <w:rPr>
                <w:szCs w:val="18"/>
              </w:rPr>
              <w:t>9.8</w:t>
            </w:r>
          </w:p>
        </w:tc>
        <w:tc>
          <w:tcPr>
            <w:tcW w:w="883" w:type="dxa"/>
            <w:vAlign w:val="bottom"/>
          </w:tcPr>
          <w:p w14:paraId="24A7B4E4" w14:textId="3AAD5C55" w:rsidR="00AE77DE" w:rsidRPr="005954E3" w:rsidRDefault="00AE77DE" w:rsidP="00AE77DE">
            <w:pPr>
              <w:pStyle w:val="tabletextleft"/>
              <w:jc w:val="right"/>
              <w:rPr>
                <w:szCs w:val="18"/>
              </w:rPr>
            </w:pPr>
            <w:r w:rsidRPr="00E27712">
              <w:rPr>
                <w:szCs w:val="18"/>
              </w:rPr>
              <w:t>8.0</w:t>
            </w:r>
          </w:p>
        </w:tc>
        <w:tc>
          <w:tcPr>
            <w:tcW w:w="882" w:type="dxa"/>
            <w:vAlign w:val="bottom"/>
          </w:tcPr>
          <w:p w14:paraId="50D36692" w14:textId="27BC0C50" w:rsidR="00AE77DE" w:rsidRPr="005954E3" w:rsidRDefault="00AE77DE" w:rsidP="00AE77DE">
            <w:pPr>
              <w:pStyle w:val="tabletextleft"/>
              <w:jc w:val="right"/>
              <w:rPr>
                <w:szCs w:val="18"/>
              </w:rPr>
            </w:pPr>
            <w:r w:rsidRPr="00E27712">
              <w:rPr>
                <w:szCs w:val="18"/>
              </w:rPr>
              <w:t>3.3</w:t>
            </w:r>
          </w:p>
        </w:tc>
        <w:tc>
          <w:tcPr>
            <w:tcW w:w="882" w:type="dxa"/>
            <w:vAlign w:val="bottom"/>
          </w:tcPr>
          <w:p w14:paraId="5912BD6A" w14:textId="74310DF6" w:rsidR="00AE77DE" w:rsidRPr="005954E3" w:rsidRDefault="00AE77DE" w:rsidP="00AE77DE">
            <w:pPr>
              <w:pStyle w:val="tabletextleft"/>
              <w:jc w:val="right"/>
              <w:rPr>
                <w:szCs w:val="18"/>
              </w:rPr>
            </w:pPr>
            <w:r w:rsidRPr="00E27712">
              <w:rPr>
                <w:szCs w:val="18"/>
              </w:rPr>
              <w:t>2.7</w:t>
            </w:r>
          </w:p>
        </w:tc>
        <w:tc>
          <w:tcPr>
            <w:tcW w:w="883" w:type="dxa"/>
            <w:vAlign w:val="bottom"/>
          </w:tcPr>
          <w:p w14:paraId="3EF96533" w14:textId="18F1795A" w:rsidR="00AE77DE" w:rsidRPr="005954E3" w:rsidRDefault="00AE77DE" w:rsidP="00AE77DE">
            <w:pPr>
              <w:pStyle w:val="tabletextleft"/>
              <w:jc w:val="right"/>
              <w:rPr>
                <w:szCs w:val="18"/>
              </w:rPr>
            </w:pPr>
            <w:r w:rsidRPr="00E27712">
              <w:rPr>
                <w:szCs w:val="18"/>
              </w:rPr>
              <w:t>2.2</w:t>
            </w:r>
          </w:p>
        </w:tc>
      </w:tr>
      <w:tr w:rsidR="00AE77DE" w:rsidRPr="005954E3" w14:paraId="673FE6D9" w14:textId="77777777" w:rsidTr="006D2755">
        <w:trPr>
          <w:trHeight w:val="454"/>
          <w:jc w:val="center"/>
        </w:trPr>
        <w:tc>
          <w:tcPr>
            <w:tcW w:w="2978" w:type="dxa"/>
            <w:vAlign w:val="center"/>
            <w:hideMark/>
          </w:tcPr>
          <w:p w14:paraId="655200F8" w14:textId="77777777" w:rsidR="00AE77DE" w:rsidRPr="005954E3" w:rsidRDefault="00AE77DE" w:rsidP="00AE77DE">
            <w:pPr>
              <w:pStyle w:val="tabletextleft"/>
              <w:rPr>
                <w:szCs w:val="18"/>
              </w:rPr>
            </w:pPr>
            <w:r w:rsidRPr="005954E3">
              <w:rPr>
                <w:szCs w:val="18"/>
              </w:rPr>
              <w:t>Дефлатор на инвестициите</w:t>
            </w:r>
          </w:p>
        </w:tc>
        <w:tc>
          <w:tcPr>
            <w:tcW w:w="661" w:type="dxa"/>
            <w:vAlign w:val="center"/>
          </w:tcPr>
          <w:p w14:paraId="15FC1DF0" w14:textId="77777777" w:rsidR="00AE77DE" w:rsidRPr="005954E3" w:rsidRDefault="00AE77DE" w:rsidP="00AE77DE">
            <w:pPr>
              <w:pStyle w:val="tabletextleft"/>
              <w:rPr>
                <w:szCs w:val="18"/>
              </w:rPr>
            </w:pPr>
          </w:p>
        </w:tc>
        <w:tc>
          <w:tcPr>
            <w:tcW w:w="848" w:type="dxa"/>
            <w:vAlign w:val="center"/>
          </w:tcPr>
          <w:p w14:paraId="04153817" w14:textId="77777777" w:rsidR="00AE77DE" w:rsidRPr="005954E3" w:rsidRDefault="00AE77DE" w:rsidP="00AE77DE">
            <w:pPr>
              <w:pStyle w:val="tabletextleft"/>
              <w:jc w:val="right"/>
              <w:rPr>
                <w:szCs w:val="18"/>
              </w:rPr>
            </w:pPr>
            <w:r w:rsidRPr="005954E3">
              <w:rPr>
                <w:szCs w:val="18"/>
              </w:rPr>
              <w:t>100</w:t>
            </w:r>
          </w:p>
        </w:tc>
        <w:tc>
          <w:tcPr>
            <w:tcW w:w="1055" w:type="dxa"/>
            <w:vAlign w:val="bottom"/>
          </w:tcPr>
          <w:p w14:paraId="3D156ACD" w14:textId="02C9233A" w:rsidR="00AE77DE" w:rsidRPr="005954E3" w:rsidRDefault="00AE77DE" w:rsidP="00AE77DE">
            <w:pPr>
              <w:pStyle w:val="tabletextleft"/>
              <w:jc w:val="right"/>
              <w:rPr>
                <w:szCs w:val="18"/>
              </w:rPr>
            </w:pPr>
            <w:r w:rsidRPr="00E27712">
              <w:rPr>
                <w:szCs w:val="18"/>
              </w:rPr>
              <w:t>14.0</w:t>
            </w:r>
          </w:p>
        </w:tc>
        <w:tc>
          <w:tcPr>
            <w:tcW w:w="883" w:type="dxa"/>
            <w:vAlign w:val="bottom"/>
          </w:tcPr>
          <w:p w14:paraId="79AF06E5" w14:textId="79591E04" w:rsidR="00AE77DE" w:rsidRPr="005954E3" w:rsidRDefault="00AE77DE" w:rsidP="00AE77DE">
            <w:pPr>
              <w:pStyle w:val="tabletextleft"/>
              <w:jc w:val="right"/>
              <w:rPr>
                <w:szCs w:val="18"/>
              </w:rPr>
            </w:pPr>
            <w:r w:rsidRPr="00E27712">
              <w:rPr>
                <w:szCs w:val="18"/>
              </w:rPr>
              <w:t>8.8</w:t>
            </w:r>
          </w:p>
        </w:tc>
        <w:tc>
          <w:tcPr>
            <w:tcW w:w="882" w:type="dxa"/>
            <w:vAlign w:val="bottom"/>
          </w:tcPr>
          <w:p w14:paraId="4AA889E2" w14:textId="6AE17743" w:rsidR="00AE77DE" w:rsidRPr="005954E3" w:rsidRDefault="00AE77DE" w:rsidP="00AE77DE">
            <w:pPr>
              <w:pStyle w:val="tabletextleft"/>
              <w:jc w:val="right"/>
              <w:rPr>
                <w:szCs w:val="18"/>
              </w:rPr>
            </w:pPr>
            <w:r w:rsidRPr="00E27712">
              <w:rPr>
                <w:szCs w:val="18"/>
              </w:rPr>
              <w:t>4.7</w:t>
            </w:r>
          </w:p>
        </w:tc>
        <w:tc>
          <w:tcPr>
            <w:tcW w:w="882" w:type="dxa"/>
            <w:vAlign w:val="bottom"/>
          </w:tcPr>
          <w:p w14:paraId="3EBE8555" w14:textId="66A94730" w:rsidR="00AE77DE" w:rsidRPr="005954E3" w:rsidRDefault="00AE77DE" w:rsidP="00AE77DE">
            <w:pPr>
              <w:pStyle w:val="tabletextleft"/>
              <w:jc w:val="right"/>
              <w:rPr>
                <w:szCs w:val="18"/>
              </w:rPr>
            </w:pPr>
            <w:r w:rsidRPr="00E27712">
              <w:rPr>
                <w:szCs w:val="18"/>
              </w:rPr>
              <w:t>2.7</w:t>
            </w:r>
          </w:p>
        </w:tc>
        <w:tc>
          <w:tcPr>
            <w:tcW w:w="883" w:type="dxa"/>
            <w:vAlign w:val="bottom"/>
          </w:tcPr>
          <w:p w14:paraId="2E0DECBD" w14:textId="071CF467" w:rsidR="00AE77DE" w:rsidRPr="005954E3" w:rsidRDefault="00AE77DE" w:rsidP="00AE77DE">
            <w:pPr>
              <w:pStyle w:val="tabletextleft"/>
              <w:jc w:val="right"/>
              <w:rPr>
                <w:szCs w:val="18"/>
              </w:rPr>
            </w:pPr>
            <w:r w:rsidRPr="00E27712">
              <w:rPr>
                <w:szCs w:val="18"/>
              </w:rPr>
              <w:t>2.3</w:t>
            </w:r>
          </w:p>
        </w:tc>
      </w:tr>
      <w:tr w:rsidR="00AE77DE" w:rsidRPr="005954E3" w14:paraId="52FB48B7" w14:textId="77777777" w:rsidTr="006D2755">
        <w:trPr>
          <w:trHeight w:val="454"/>
          <w:jc w:val="center"/>
        </w:trPr>
        <w:tc>
          <w:tcPr>
            <w:tcW w:w="2978" w:type="dxa"/>
            <w:vAlign w:val="center"/>
            <w:hideMark/>
          </w:tcPr>
          <w:p w14:paraId="19880B05" w14:textId="77777777" w:rsidR="00AE77DE" w:rsidRPr="005954E3" w:rsidRDefault="00AE77DE" w:rsidP="00AE77DE">
            <w:pPr>
              <w:pStyle w:val="tabletextleft"/>
              <w:rPr>
                <w:szCs w:val="18"/>
              </w:rPr>
            </w:pPr>
            <w:r w:rsidRPr="005954E3">
              <w:rPr>
                <w:szCs w:val="18"/>
              </w:rPr>
              <w:t xml:space="preserve">Дефлатор на цените на износа </w:t>
            </w:r>
            <w:r w:rsidRPr="005954E3">
              <w:rPr>
                <w:szCs w:val="18"/>
              </w:rPr>
              <w:br/>
              <w:t>(стоки и услуги)</w:t>
            </w:r>
          </w:p>
        </w:tc>
        <w:tc>
          <w:tcPr>
            <w:tcW w:w="661" w:type="dxa"/>
            <w:vAlign w:val="center"/>
          </w:tcPr>
          <w:p w14:paraId="131B7FC8" w14:textId="77777777" w:rsidR="00AE77DE" w:rsidRPr="005954E3" w:rsidRDefault="00AE77DE" w:rsidP="00AE77DE">
            <w:pPr>
              <w:pStyle w:val="tabletextleft"/>
              <w:rPr>
                <w:szCs w:val="18"/>
              </w:rPr>
            </w:pPr>
          </w:p>
        </w:tc>
        <w:tc>
          <w:tcPr>
            <w:tcW w:w="848" w:type="dxa"/>
            <w:vAlign w:val="center"/>
          </w:tcPr>
          <w:p w14:paraId="2101E1A4" w14:textId="77777777" w:rsidR="00AE77DE" w:rsidRPr="005954E3" w:rsidRDefault="00AE77DE" w:rsidP="00AE77DE">
            <w:pPr>
              <w:pStyle w:val="tabletextleft"/>
              <w:jc w:val="right"/>
              <w:rPr>
                <w:szCs w:val="18"/>
              </w:rPr>
            </w:pPr>
            <w:r w:rsidRPr="005954E3">
              <w:rPr>
                <w:szCs w:val="18"/>
              </w:rPr>
              <w:t>100</w:t>
            </w:r>
          </w:p>
        </w:tc>
        <w:tc>
          <w:tcPr>
            <w:tcW w:w="1055" w:type="dxa"/>
            <w:vAlign w:val="bottom"/>
          </w:tcPr>
          <w:p w14:paraId="603A1D14" w14:textId="7CD8BF79" w:rsidR="00AE77DE" w:rsidRPr="005954E3" w:rsidRDefault="00AE77DE" w:rsidP="00AE77DE">
            <w:pPr>
              <w:pStyle w:val="tabletextleft"/>
              <w:jc w:val="right"/>
              <w:rPr>
                <w:szCs w:val="18"/>
              </w:rPr>
            </w:pPr>
            <w:r w:rsidRPr="00E27712">
              <w:rPr>
                <w:szCs w:val="18"/>
              </w:rPr>
              <w:t>22.8</w:t>
            </w:r>
          </w:p>
        </w:tc>
        <w:tc>
          <w:tcPr>
            <w:tcW w:w="883" w:type="dxa"/>
            <w:vAlign w:val="bottom"/>
          </w:tcPr>
          <w:p w14:paraId="307A7390" w14:textId="22367DAB" w:rsidR="00AE77DE" w:rsidRPr="005954E3" w:rsidRDefault="00AE77DE" w:rsidP="00AE77DE">
            <w:pPr>
              <w:pStyle w:val="tabletextleft"/>
              <w:jc w:val="right"/>
              <w:rPr>
                <w:szCs w:val="18"/>
              </w:rPr>
            </w:pPr>
            <w:r w:rsidRPr="00E27712">
              <w:rPr>
                <w:szCs w:val="18"/>
              </w:rPr>
              <w:t>-0.8</w:t>
            </w:r>
          </w:p>
        </w:tc>
        <w:tc>
          <w:tcPr>
            <w:tcW w:w="882" w:type="dxa"/>
            <w:vAlign w:val="bottom"/>
          </w:tcPr>
          <w:p w14:paraId="64B03958" w14:textId="1F7FD494" w:rsidR="00AE77DE" w:rsidRPr="005954E3" w:rsidRDefault="00AE77DE" w:rsidP="00AE77DE">
            <w:pPr>
              <w:pStyle w:val="tabletextleft"/>
              <w:jc w:val="right"/>
              <w:rPr>
                <w:szCs w:val="18"/>
              </w:rPr>
            </w:pPr>
            <w:r w:rsidRPr="00E27712">
              <w:rPr>
                <w:szCs w:val="18"/>
              </w:rPr>
              <w:t>2.4</w:t>
            </w:r>
          </w:p>
        </w:tc>
        <w:tc>
          <w:tcPr>
            <w:tcW w:w="882" w:type="dxa"/>
            <w:vAlign w:val="bottom"/>
          </w:tcPr>
          <w:p w14:paraId="5794E399" w14:textId="060AE1E0" w:rsidR="00AE77DE" w:rsidRPr="005954E3" w:rsidRDefault="00AE77DE" w:rsidP="00AE77DE">
            <w:pPr>
              <w:pStyle w:val="tabletextleft"/>
              <w:jc w:val="right"/>
              <w:rPr>
                <w:szCs w:val="18"/>
              </w:rPr>
            </w:pPr>
            <w:r w:rsidRPr="00E27712">
              <w:rPr>
                <w:szCs w:val="18"/>
              </w:rPr>
              <w:t>1.7</w:t>
            </w:r>
          </w:p>
        </w:tc>
        <w:tc>
          <w:tcPr>
            <w:tcW w:w="883" w:type="dxa"/>
            <w:vAlign w:val="bottom"/>
          </w:tcPr>
          <w:p w14:paraId="05EC3D60" w14:textId="6A87F303" w:rsidR="00AE77DE" w:rsidRPr="005954E3" w:rsidRDefault="00AE77DE" w:rsidP="00AE77DE">
            <w:pPr>
              <w:pStyle w:val="tabletextleft"/>
              <w:jc w:val="right"/>
              <w:rPr>
                <w:szCs w:val="18"/>
              </w:rPr>
            </w:pPr>
            <w:r w:rsidRPr="00E27712">
              <w:rPr>
                <w:szCs w:val="18"/>
              </w:rPr>
              <w:t>1.2</w:t>
            </w:r>
          </w:p>
        </w:tc>
      </w:tr>
      <w:tr w:rsidR="00AE77DE" w:rsidRPr="005954E3" w14:paraId="05A75EFC" w14:textId="77777777" w:rsidTr="006D2755">
        <w:trPr>
          <w:trHeight w:val="454"/>
          <w:jc w:val="center"/>
        </w:trPr>
        <w:tc>
          <w:tcPr>
            <w:tcW w:w="2978" w:type="dxa"/>
            <w:vAlign w:val="center"/>
            <w:hideMark/>
          </w:tcPr>
          <w:p w14:paraId="0D218134" w14:textId="77777777" w:rsidR="00AE77DE" w:rsidRPr="005954E3" w:rsidRDefault="00AE77DE" w:rsidP="00AE77DE">
            <w:pPr>
              <w:pStyle w:val="tabletextleft"/>
              <w:rPr>
                <w:szCs w:val="18"/>
              </w:rPr>
            </w:pPr>
            <w:r w:rsidRPr="005954E3">
              <w:rPr>
                <w:szCs w:val="18"/>
              </w:rPr>
              <w:t xml:space="preserve">Дефлатор на цените на вноса </w:t>
            </w:r>
            <w:r w:rsidRPr="005954E3">
              <w:rPr>
                <w:szCs w:val="18"/>
              </w:rPr>
              <w:br/>
              <w:t>(стоки и услуги)</w:t>
            </w:r>
          </w:p>
        </w:tc>
        <w:tc>
          <w:tcPr>
            <w:tcW w:w="661" w:type="dxa"/>
            <w:vAlign w:val="center"/>
          </w:tcPr>
          <w:p w14:paraId="596670DF" w14:textId="77777777" w:rsidR="00AE77DE" w:rsidRPr="005954E3" w:rsidRDefault="00AE77DE" w:rsidP="00AE77DE">
            <w:pPr>
              <w:pStyle w:val="tabletextleft"/>
              <w:rPr>
                <w:szCs w:val="18"/>
              </w:rPr>
            </w:pPr>
          </w:p>
        </w:tc>
        <w:tc>
          <w:tcPr>
            <w:tcW w:w="848" w:type="dxa"/>
            <w:vAlign w:val="center"/>
          </w:tcPr>
          <w:p w14:paraId="4A04F1B4" w14:textId="77777777" w:rsidR="00AE77DE" w:rsidRPr="005954E3" w:rsidRDefault="00AE77DE" w:rsidP="00AE77DE">
            <w:pPr>
              <w:pStyle w:val="tabletextleft"/>
              <w:jc w:val="right"/>
              <w:rPr>
                <w:szCs w:val="18"/>
              </w:rPr>
            </w:pPr>
            <w:r w:rsidRPr="005954E3">
              <w:rPr>
                <w:szCs w:val="18"/>
              </w:rPr>
              <w:t>100</w:t>
            </w:r>
          </w:p>
        </w:tc>
        <w:tc>
          <w:tcPr>
            <w:tcW w:w="1055" w:type="dxa"/>
            <w:vAlign w:val="bottom"/>
          </w:tcPr>
          <w:p w14:paraId="3AB9664D" w14:textId="7C82B378" w:rsidR="00AE77DE" w:rsidRPr="005954E3" w:rsidRDefault="00AE77DE" w:rsidP="00AE77DE">
            <w:pPr>
              <w:pStyle w:val="tabletextleft"/>
              <w:jc w:val="right"/>
              <w:rPr>
                <w:szCs w:val="18"/>
              </w:rPr>
            </w:pPr>
            <w:r w:rsidRPr="00E27712">
              <w:rPr>
                <w:szCs w:val="18"/>
              </w:rPr>
              <w:t>22.2</w:t>
            </w:r>
          </w:p>
        </w:tc>
        <w:tc>
          <w:tcPr>
            <w:tcW w:w="883" w:type="dxa"/>
            <w:vAlign w:val="bottom"/>
          </w:tcPr>
          <w:p w14:paraId="75965EA1" w14:textId="3D2C0CB0" w:rsidR="00AE77DE" w:rsidRPr="005954E3" w:rsidRDefault="00AE77DE" w:rsidP="00AE77DE">
            <w:pPr>
              <w:pStyle w:val="tabletextleft"/>
              <w:jc w:val="right"/>
              <w:rPr>
                <w:szCs w:val="18"/>
              </w:rPr>
            </w:pPr>
            <w:r w:rsidRPr="00E27712">
              <w:rPr>
                <w:szCs w:val="18"/>
              </w:rPr>
              <w:t>-2.6</w:t>
            </w:r>
          </w:p>
        </w:tc>
        <w:tc>
          <w:tcPr>
            <w:tcW w:w="882" w:type="dxa"/>
            <w:vAlign w:val="bottom"/>
          </w:tcPr>
          <w:p w14:paraId="24B92B58" w14:textId="5DEF8CC9" w:rsidR="00AE77DE" w:rsidRPr="005954E3" w:rsidRDefault="00AE77DE" w:rsidP="00AE77DE">
            <w:pPr>
              <w:pStyle w:val="tabletextleft"/>
              <w:jc w:val="right"/>
              <w:rPr>
                <w:szCs w:val="18"/>
              </w:rPr>
            </w:pPr>
            <w:r w:rsidRPr="00E27712">
              <w:rPr>
                <w:szCs w:val="18"/>
              </w:rPr>
              <w:t>2.1</w:t>
            </w:r>
          </w:p>
        </w:tc>
        <w:tc>
          <w:tcPr>
            <w:tcW w:w="882" w:type="dxa"/>
            <w:vAlign w:val="bottom"/>
          </w:tcPr>
          <w:p w14:paraId="6EC09553" w14:textId="49F8D47C" w:rsidR="00AE77DE" w:rsidRPr="005954E3" w:rsidRDefault="00AE77DE" w:rsidP="00AE77DE">
            <w:pPr>
              <w:pStyle w:val="tabletextleft"/>
              <w:jc w:val="right"/>
              <w:rPr>
                <w:szCs w:val="18"/>
              </w:rPr>
            </w:pPr>
            <w:r w:rsidRPr="00E27712">
              <w:rPr>
                <w:szCs w:val="18"/>
              </w:rPr>
              <w:t>1.1</w:t>
            </w:r>
          </w:p>
        </w:tc>
        <w:tc>
          <w:tcPr>
            <w:tcW w:w="883" w:type="dxa"/>
            <w:vAlign w:val="bottom"/>
          </w:tcPr>
          <w:p w14:paraId="6D2D807E" w14:textId="69FC6E3D" w:rsidR="00AE77DE" w:rsidRPr="005954E3" w:rsidRDefault="00AE77DE" w:rsidP="00AE77DE">
            <w:pPr>
              <w:pStyle w:val="tabletextleft"/>
              <w:jc w:val="right"/>
              <w:rPr>
                <w:szCs w:val="18"/>
              </w:rPr>
            </w:pPr>
            <w:r w:rsidRPr="00E27712">
              <w:rPr>
                <w:szCs w:val="18"/>
              </w:rPr>
              <w:t>0.6</w:t>
            </w:r>
          </w:p>
        </w:tc>
      </w:tr>
    </w:tbl>
    <w:p w14:paraId="265F1EAC" w14:textId="77777777" w:rsidR="00B37A86" w:rsidRDefault="00B37A86" w:rsidP="00B37A86">
      <w:bookmarkStart w:id="165" w:name="_Toc417566027"/>
      <w:bookmarkStart w:id="166" w:name="_Toc448227313"/>
      <w:bookmarkStart w:id="167" w:name="_Toc479332464"/>
    </w:p>
    <w:p w14:paraId="00F38ABF" w14:textId="017FFED0" w:rsidR="006D2755" w:rsidRPr="005954E3" w:rsidRDefault="006D2755" w:rsidP="00DF033D">
      <w:pPr>
        <w:pStyle w:val="Heading2"/>
        <w:numPr>
          <w:ilvl w:val="0"/>
          <w:numId w:val="0"/>
        </w:numPr>
        <w:spacing w:before="480"/>
      </w:pPr>
      <w:bookmarkStart w:id="168" w:name="_Toc133597295"/>
      <w:r w:rsidRPr="005954E3">
        <w:t>Табл. 1в: Развитие на пазара на труда</w:t>
      </w:r>
      <w:bookmarkEnd w:id="165"/>
      <w:bookmarkEnd w:id="166"/>
      <w:bookmarkEnd w:id="167"/>
      <w:bookmarkEnd w:id="168"/>
    </w:p>
    <w:tbl>
      <w:tblPr>
        <w:tblStyle w:val="Style19"/>
        <w:tblW w:w="9072" w:type="dxa"/>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CellMar>
          <w:left w:w="85" w:type="dxa"/>
          <w:right w:w="85" w:type="dxa"/>
        </w:tblCellMar>
        <w:tblLook w:val="0620" w:firstRow="1" w:lastRow="0" w:firstColumn="0" w:lastColumn="0" w:noHBand="1" w:noVBand="1"/>
      </w:tblPr>
      <w:tblGrid>
        <w:gridCol w:w="2927"/>
        <w:gridCol w:w="708"/>
        <w:gridCol w:w="907"/>
        <w:gridCol w:w="906"/>
        <w:gridCol w:w="906"/>
        <w:gridCol w:w="906"/>
        <w:gridCol w:w="906"/>
        <w:gridCol w:w="906"/>
      </w:tblGrid>
      <w:tr w:rsidR="006D2755" w:rsidRPr="005954E3" w14:paraId="46D80FBE" w14:textId="77777777" w:rsidTr="006D2755">
        <w:trPr>
          <w:trHeight w:val="510"/>
          <w:jc w:val="center"/>
        </w:trPr>
        <w:tc>
          <w:tcPr>
            <w:tcW w:w="2927" w:type="dxa"/>
            <w:vMerge w:val="restart"/>
            <w:shd w:val="clear" w:color="auto" w:fill="auto"/>
            <w:vAlign w:val="center"/>
            <w:hideMark/>
          </w:tcPr>
          <w:p w14:paraId="1A1E6069" w14:textId="77777777" w:rsidR="006D2755" w:rsidRPr="005954E3" w:rsidRDefault="006D2755" w:rsidP="006D2755">
            <w:pPr>
              <w:pStyle w:val="tabletextleft"/>
              <w:rPr>
                <w:szCs w:val="18"/>
              </w:rPr>
            </w:pPr>
            <w:r w:rsidRPr="005954E3">
              <w:rPr>
                <w:szCs w:val="18"/>
              </w:rPr>
              <w:t> </w:t>
            </w:r>
          </w:p>
        </w:tc>
        <w:tc>
          <w:tcPr>
            <w:tcW w:w="708" w:type="dxa"/>
            <w:vMerge w:val="restart"/>
            <w:shd w:val="clear" w:color="auto" w:fill="auto"/>
            <w:vAlign w:val="center"/>
            <w:hideMark/>
          </w:tcPr>
          <w:p w14:paraId="1A655744" w14:textId="77777777" w:rsidR="006D2755" w:rsidRPr="005954E3" w:rsidRDefault="006D2755" w:rsidP="006D2755">
            <w:pPr>
              <w:pStyle w:val="tabletextleft"/>
              <w:rPr>
                <w:szCs w:val="18"/>
              </w:rPr>
            </w:pPr>
            <w:r w:rsidRPr="005954E3">
              <w:rPr>
                <w:szCs w:val="18"/>
              </w:rPr>
              <w:t>Код по ЕСС 2010</w:t>
            </w:r>
          </w:p>
        </w:tc>
        <w:tc>
          <w:tcPr>
            <w:tcW w:w="907" w:type="dxa"/>
            <w:shd w:val="clear" w:color="auto" w:fill="auto"/>
            <w:vAlign w:val="center"/>
          </w:tcPr>
          <w:p w14:paraId="3CD196BF" w14:textId="77777777" w:rsidR="006D2755" w:rsidRPr="005954E3" w:rsidRDefault="006D2755" w:rsidP="006D2755">
            <w:pPr>
              <w:pStyle w:val="tabletextleft"/>
              <w:jc w:val="right"/>
              <w:rPr>
                <w:b/>
                <w:szCs w:val="18"/>
              </w:rPr>
            </w:pPr>
            <w:r w:rsidRPr="005954E3">
              <w:rPr>
                <w:b/>
                <w:szCs w:val="18"/>
              </w:rPr>
              <w:t>2022</w:t>
            </w:r>
          </w:p>
        </w:tc>
        <w:tc>
          <w:tcPr>
            <w:tcW w:w="906" w:type="dxa"/>
            <w:shd w:val="clear" w:color="auto" w:fill="auto"/>
            <w:vAlign w:val="center"/>
          </w:tcPr>
          <w:p w14:paraId="4F90E0B6" w14:textId="77777777" w:rsidR="006D2755" w:rsidRPr="005954E3" w:rsidRDefault="006D2755" w:rsidP="006D2755">
            <w:pPr>
              <w:pStyle w:val="tabletextleft"/>
              <w:jc w:val="right"/>
              <w:rPr>
                <w:b/>
                <w:szCs w:val="18"/>
              </w:rPr>
            </w:pPr>
            <w:r w:rsidRPr="005954E3">
              <w:rPr>
                <w:b/>
                <w:szCs w:val="18"/>
              </w:rPr>
              <w:t>2022</w:t>
            </w:r>
          </w:p>
        </w:tc>
        <w:tc>
          <w:tcPr>
            <w:tcW w:w="906" w:type="dxa"/>
            <w:shd w:val="clear" w:color="auto" w:fill="auto"/>
            <w:vAlign w:val="center"/>
          </w:tcPr>
          <w:p w14:paraId="040974A5" w14:textId="77777777" w:rsidR="006D2755" w:rsidRPr="005954E3" w:rsidRDefault="006D2755" w:rsidP="006D2755">
            <w:pPr>
              <w:pStyle w:val="tabletextleft"/>
              <w:jc w:val="right"/>
              <w:rPr>
                <w:b/>
                <w:szCs w:val="18"/>
              </w:rPr>
            </w:pPr>
            <w:r w:rsidRPr="005954E3">
              <w:rPr>
                <w:b/>
                <w:szCs w:val="18"/>
              </w:rPr>
              <w:t>2023</w:t>
            </w:r>
          </w:p>
        </w:tc>
        <w:tc>
          <w:tcPr>
            <w:tcW w:w="906" w:type="dxa"/>
            <w:shd w:val="clear" w:color="auto" w:fill="auto"/>
            <w:vAlign w:val="center"/>
          </w:tcPr>
          <w:p w14:paraId="79CC9F33" w14:textId="77777777" w:rsidR="006D2755" w:rsidRPr="005954E3" w:rsidRDefault="006D2755" w:rsidP="006D2755">
            <w:pPr>
              <w:pStyle w:val="tabletextleft"/>
              <w:jc w:val="right"/>
              <w:rPr>
                <w:b/>
                <w:szCs w:val="18"/>
              </w:rPr>
            </w:pPr>
            <w:r w:rsidRPr="005954E3">
              <w:rPr>
                <w:b/>
                <w:szCs w:val="18"/>
              </w:rPr>
              <w:t>2024</w:t>
            </w:r>
          </w:p>
        </w:tc>
        <w:tc>
          <w:tcPr>
            <w:tcW w:w="906" w:type="dxa"/>
            <w:shd w:val="clear" w:color="auto" w:fill="auto"/>
            <w:vAlign w:val="center"/>
          </w:tcPr>
          <w:p w14:paraId="3A046FBF" w14:textId="77777777" w:rsidR="006D2755" w:rsidRPr="005954E3" w:rsidRDefault="006D2755" w:rsidP="006D2755">
            <w:pPr>
              <w:pStyle w:val="tabletextleft"/>
              <w:jc w:val="right"/>
              <w:rPr>
                <w:b/>
                <w:szCs w:val="18"/>
              </w:rPr>
            </w:pPr>
            <w:r w:rsidRPr="005954E3">
              <w:rPr>
                <w:b/>
                <w:szCs w:val="18"/>
              </w:rPr>
              <w:t>2025</w:t>
            </w:r>
          </w:p>
        </w:tc>
        <w:tc>
          <w:tcPr>
            <w:tcW w:w="906" w:type="dxa"/>
            <w:shd w:val="clear" w:color="auto" w:fill="auto"/>
            <w:vAlign w:val="center"/>
          </w:tcPr>
          <w:p w14:paraId="573FD4EB" w14:textId="77777777" w:rsidR="006D2755" w:rsidRPr="005954E3" w:rsidRDefault="006D2755" w:rsidP="006D2755">
            <w:pPr>
              <w:pStyle w:val="tabletextleft"/>
              <w:jc w:val="right"/>
              <w:rPr>
                <w:b/>
                <w:szCs w:val="18"/>
              </w:rPr>
            </w:pPr>
            <w:r w:rsidRPr="005954E3">
              <w:rPr>
                <w:b/>
                <w:szCs w:val="18"/>
              </w:rPr>
              <w:t>2026</w:t>
            </w:r>
          </w:p>
        </w:tc>
      </w:tr>
      <w:tr w:rsidR="006D2755" w:rsidRPr="005954E3" w14:paraId="78C3B43E" w14:textId="77777777" w:rsidTr="006D2755">
        <w:trPr>
          <w:trHeight w:val="510"/>
          <w:jc w:val="center"/>
        </w:trPr>
        <w:tc>
          <w:tcPr>
            <w:tcW w:w="2927" w:type="dxa"/>
            <w:vMerge/>
            <w:shd w:val="clear" w:color="auto" w:fill="auto"/>
            <w:vAlign w:val="center"/>
            <w:hideMark/>
          </w:tcPr>
          <w:p w14:paraId="69E0B3BA" w14:textId="77777777" w:rsidR="006D2755" w:rsidRPr="005954E3" w:rsidRDefault="006D2755" w:rsidP="006D2755">
            <w:pPr>
              <w:pStyle w:val="tabletextleft"/>
              <w:rPr>
                <w:szCs w:val="18"/>
              </w:rPr>
            </w:pPr>
          </w:p>
        </w:tc>
        <w:tc>
          <w:tcPr>
            <w:tcW w:w="708" w:type="dxa"/>
            <w:vMerge/>
            <w:shd w:val="clear" w:color="auto" w:fill="auto"/>
            <w:vAlign w:val="center"/>
            <w:hideMark/>
          </w:tcPr>
          <w:p w14:paraId="6C5BE040" w14:textId="77777777" w:rsidR="006D2755" w:rsidRPr="005954E3" w:rsidRDefault="006D2755" w:rsidP="006D2755">
            <w:pPr>
              <w:pStyle w:val="tabletextleft"/>
              <w:rPr>
                <w:szCs w:val="18"/>
              </w:rPr>
            </w:pPr>
          </w:p>
        </w:tc>
        <w:tc>
          <w:tcPr>
            <w:tcW w:w="907" w:type="dxa"/>
            <w:shd w:val="clear" w:color="auto" w:fill="auto"/>
            <w:vAlign w:val="center"/>
            <w:hideMark/>
          </w:tcPr>
          <w:p w14:paraId="1BB6F6DB" w14:textId="77777777" w:rsidR="006D2755" w:rsidRPr="005954E3" w:rsidRDefault="006D2755" w:rsidP="006D2755">
            <w:pPr>
              <w:pStyle w:val="tabletextleft"/>
              <w:jc w:val="right"/>
              <w:rPr>
                <w:szCs w:val="18"/>
              </w:rPr>
            </w:pPr>
            <w:r w:rsidRPr="005954E3">
              <w:rPr>
                <w:szCs w:val="18"/>
              </w:rPr>
              <w:t>Равнище</w:t>
            </w:r>
          </w:p>
        </w:tc>
        <w:tc>
          <w:tcPr>
            <w:tcW w:w="906" w:type="dxa"/>
            <w:shd w:val="clear" w:color="auto" w:fill="auto"/>
            <w:vAlign w:val="center"/>
            <w:hideMark/>
          </w:tcPr>
          <w:p w14:paraId="5528EFEC" w14:textId="77777777" w:rsidR="006D2755" w:rsidRPr="005954E3" w:rsidRDefault="006D2755" w:rsidP="006D2755">
            <w:pPr>
              <w:pStyle w:val="tabletextleft"/>
              <w:jc w:val="right"/>
              <w:rPr>
                <w:szCs w:val="18"/>
              </w:rPr>
            </w:pPr>
            <w:r w:rsidRPr="005954E3">
              <w:rPr>
                <w:szCs w:val="18"/>
              </w:rPr>
              <w:t>Промяна</w:t>
            </w:r>
          </w:p>
        </w:tc>
        <w:tc>
          <w:tcPr>
            <w:tcW w:w="906" w:type="dxa"/>
            <w:shd w:val="clear" w:color="auto" w:fill="auto"/>
            <w:vAlign w:val="center"/>
            <w:hideMark/>
          </w:tcPr>
          <w:p w14:paraId="1E890BB3" w14:textId="77777777" w:rsidR="006D2755" w:rsidRPr="005954E3" w:rsidRDefault="006D2755" w:rsidP="006D2755">
            <w:pPr>
              <w:pStyle w:val="tabletextleft"/>
              <w:jc w:val="right"/>
              <w:rPr>
                <w:szCs w:val="18"/>
              </w:rPr>
            </w:pPr>
            <w:r w:rsidRPr="005954E3">
              <w:rPr>
                <w:szCs w:val="18"/>
              </w:rPr>
              <w:t>Промяна</w:t>
            </w:r>
          </w:p>
        </w:tc>
        <w:tc>
          <w:tcPr>
            <w:tcW w:w="906" w:type="dxa"/>
            <w:shd w:val="clear" w:color="auto" w:fill="auto"/>
            <w:vAlign w:val="center"/>
            <w:hideMark/>
          </w:tcPr>
          <w:p w14:paraId="0A929923" w14:textId="77777777" w:rsidR="006D2755" w:rsidRPr="005954E3" w:rsidRDefault="006D2755" w:rsidP="006D2755">
            <w:pPr>
              <w:pStyle w:val="tabletextleft"/>
              <w:jc w:val="right"/>
              <w:rPr>
                <w:szCs w:val="18"/>
              </w:rPr>
            </w:pPr>
            <w:r w:rsidRPr="005954E3">
              <w:rPr>
                <w:szCs w:val="18"/>
              </w:rPr>
              <w:t>Промяна</w:t>
            </w:r>
          </w:p>
        </w:tc>
        <w:tc>
          <w:tcPr>
            <w:tcW w:w="906" w:type="dxa"/>
            <w:shd w:val="clear" w:color="auto" w:fill="auto"/>
            <w:vAlign w:val="center"/>
            <w:hideMark/>
          </w:tcPr>
          <w:p w14:paraId="350995A7" w14:textId="77777777" w:rsidR="006D2755" w:rsidRPr="005954E3" w:rsidRDefault="006D2755" w:rsidP="006D2755">
            <w:pPr>
              <w:pStyle w:val="tabletextleft"/>
              <w:jc w:val="right"/>
              <w:rPr>
                <w:szCs w:val="18"/>
              </w:rPr>
            </w:pPr>
            <w:r w:rsidRPr="005954E3">
              <w:rPr>
                <w:szCs w:val="18"/>
              </w:rPr>
              <w:t>Промяна</w:t>
            </w:r>
          </w:p>
        </w:tc>
        <w:tc>
          <w:tcPr>
            <w:tcW w:w="906" w:type="dxa"/>
            <w:shd w:val="clear" w:color="auto" w:fill="auto"/>
            <w:vAlign w:val="center"/>
            <w:hideMark/>
          </w:tcPr>
          <w:p w14:paraId="4BBEFB83" w14:textId="77777777" w:rsidR="006D2755" w:rsidRPr="005954E3" w:rsidRDefault="006D2755" w:rsidP="006D2755">
            <w:pPr>
              <w:pStyle w:val="tabletextleft"/>
              <w:jc w:val="right"/>
              <w:rPr>
                <w:szCs w:val="18"/>
              </w:rPr>
            </w:pPr>
            <w:r w:rsidRPr="005954E3">
              <w:rPr>
                <w:szCs w:val="18"/>
              </w:rPr>
              <w:t>Промяна</w:t>
            </w:r>
          </w:p>
        </w:tc>
      </w:tr>
      <w:tr w:rsidR="00AE77DE" w:rsidRPr="005954E3" w14:paraId="1A9D2B97" w14:textId="77777777" w:rsidTr="00777E7B">
        <w:trPr>
          <w:trHeight w:val="510"/>
          <w:jc w:val="center"/>
        </w:trPr>
        <w:tc>
          <w:tcPr>
            <w:tcW w:w="2927" w:type="dxa"/>
            <w:vAlign w:val="center"/>
            <w:hideMark/>
          </w:tcPr>
          <w:p w14:paraId="06E69EB2" w14:textId="77777777" w:rsidR="00AE77DE" w:rsidRPr="005954E3" w:rsidRDefault="00AE77DE" w:rsidP="00AE77DE">
            <w:pPr>
              <w:pStyle w:val="tabletextleft"/>
              <w:rPr>
                <w:szCs w:val="18"/>
              </w:rPr>
            </w:pPr>
            <w:r w:rsidRPr="005954E3">
              <w:rPr>
                <w:szCs w:val="18"/>
              </w:rPr>
              <w:t>Заетост (хил. души)</w:t>
            </w:r>
            <w:r w:rsidRPr="005954E3">
              <w:rPr>
                <w:szCs w:val="18"/>
                <w:vertAlign w:val="superscript"/>
              </w:rPr>
              <w:footnoteReference w:id="37"/>
            </w:r>
          </w:p>
        </w:tc>
        <w:tc>
          <w:tcPr>
            <w:tcW w:w="708" w:type="dxa"/>
            <w:vAlign w:val="center"/>
            <w:hideMark/>
          </w:tcPr>
          <w:p w14:paraId="5862C2FE" w14:textId="77777777" w:rsidR="00AE77DE" w:rsidRPr="005954E3" w:rsidRDefault="00AE77DE" w:rsidP="00AE77DE">
            <w:pPr>
              <w:pStyle w:val="tabletextleft"/>
              <w:rPr>
                <w:szCs w:val="18"/>
              </w:rPr>
            </w:pPr>
          </w:p>
        </w:tc>
        <w:tc>
          <w:tcPr>
            <w:tcW w:w="907" w:type="dxa"/>
            <w:noWrap/>
            <w:vAlign w:val="bottom"/>
          </w:tcPr>
          <w:p w14:paraId="5FDF6A2E" w14:textId="64504A51" w:rsidR="00AE77DE" w:rsidRPr="005954E3" w:rsidRDefault="00AE77DE" w:rsidP="00AE77DE">
            <w:pPr>
              <w:pStyle w:val="tabletextleft"/>
              <w:jc w:val="right"/>
              <w:rPr>
                <w:szCs w:val="18"/>
              </w:rPr>
            </w:pPr>
            <w:r w:rsidRPr="00E27712">
              <w:rPr>
                <w:rFonts w:ascii="Times New Roman CYR" w:hAnsi="Times New Roman CYR" w:cs="Times New Roman CYR"/>
                <w:szCs w:val="18"/>
              </w:rPr>
              <w:t>3 502</w:t>
            </w:r>
          </w:p>
        </w:tc>
        <w:tc>
          <w:tcPr>
            <w:tcW w:w="906" w:type="dxa"/>
            <w:vAlign w:val="bottom"/>
          </w:tcPr>
          <w:p w14:paraId="18F953BC" w14:textId="773FE1BC" w:rsidR="00AE77DE" w:rsidRPr="005954E3" w:rsidRDefault="00AE77DE" w:rsidP="00AE77DE">
            <w:pPr>
              <w:pStyle w:val="tabletextleft"/>
              <w:jc w:val="right"/>
              <w:rPr>
                <w:szCs w:val="18"/>
              </w:rPr>
            </w:pPr>
            <w:r w:rsidRPr="00E27712">
              <w:rPr>
                <w:rFonts w:ascii="Times New Roman CYR" w:hAnsi="Times New Roman CYR" w:cs="Times New Roman CYR"/>
                <w:szCs w:val="18"/>
              </w:rPr>
              <w:t>1.3</w:t>
            </w:r>
          </w:p>
        </w:tc>
        <w:tc>
          <w:tcPr>
            <w:tcW w:w="906" w:type="dxa"/>
            <w:vAlign w:val="bottom"/>
          </w:tcPr>
          <w:p w14:paraId="300E11CA" w14:textId="68C3E11B" w:rsidR="00AE77DE" w:rsidRPr="005954E3" w:rsidRDefault="00AE77DE" w:rsidP="00AE77DE">
            <w:pPr>
              <w:pStyle w:val="tabletextleft"/>
              <w:jc w:val="right"/>
              <w:rPr>
                <w:szCs w:val="18"/>
              </w:rPr>
            </w:pPr>
            <w:r w:rsidRPr="00E27712">
              <w:rPr>
                <w:rFonts w:ascii="Times New Roman CYR" w:hAnsi="Times New Roman CYR" w:cs="Times New Roman CYR"/>
                <w:szCs w:val="18"/>
              </w:rPr>
              <w:t>0.4</w:t>
            </w:r>
          </w:p>
        </w:tc>
        <w:tc>
          <w:tcPr>
            <w:tcW w:w="906" w:type="dxa"/>
            <w:vAlign w:val="bottom"/>
          </w:tcPr>
          <w:p w14:paraId="26CD3898" w14:textId="3D9FB3BB" w:rsidR="00AE77DE" w:rsidRPr="005954E3" w:rsidRDefault="00AE77DE" w:rsidP="00AE77DE">
            <w:pPr>
              <w:pStyle w:val="tabletextleft"/>
              <w:jc w:val="right"/>
              <w:rPr>
                <w:szCs w:val="18"/>
              </w:rPr>
            </w:pPr>
            <w:r w:rsidRPr="00E27712">
              <w:rPr>
                <w:rFonts w:ascii="Times New Roman CYR" w:hAnsi="Times New Roman CYR" w:cs="Times New Roman CYR"/>
                <w:szCs w:val="18"/>
              </w:rPr>
              <w:t>0.7</w:t>
            </w:r>
          </w:p>
        </w:tc>
        <w:tc>
          <w:tcPr>
            <w:tcW w:w="906" w:type="dxa"/>
            <w:vAlign w:val="bottom"/>
          </w:tcPr>
          <w:p w14:paraId="2A00DA44" w14:textId="32BEEE7E" w:rsidR="00AE77DE" w:rsidRPr="005954E3" w:rsidRDefault="00AE77DE" w:rsidP="00AE77DE">
            <w:pPr>
              <w:pStyle w:val="tabletextleft"/>
              <w:jc w:val="right"/>
              <w:rPr>
                <w:szCs w:val="18"/>
              </w:rPr>
            </w:pPr>
            <w:r w:rsidRPr="00E27712">
              <w:rPr>
                <w:rFonts w:ascii="Times New Roman CYR" w:hAnsi="Times New Roman CYR" w:cs="Times New Roman CYR"/>
                <w:szCs w:val="18"/>
              </w:rPr>
              <w:t>0.5</w:t>
            </w:r>
          </w:p>
        </w:tc>
        <w:tc>
          <w:tcPr>
            <w:tcW w:w="906" w:type="dxa"/>
            <w:vAlign w:val="bottom"/>
          </w:tcPr>
          <w:p w14:paraId="7DC21B45" w14:textId="61D01E47" w:rsidR="00AE77DE" w:rsidRPr="005954E3" w:rsidRDefault="00AE77DE" w:rsidP="00AE77DE">
            <w:pPr>
              <w:pStyle w:val="tabletextleft"/>
              <w:jc w:val="right"/>
              <w:rPr>
                <w:szCs w:val="18"/>
              </w:rPr>
            </w:pPr>
            <w:r w:rsidRPr="00E27712">
              <w:rPr>
                <w:rFonts w:ascii="Times New Roman CYR" w:hAnsi="Times New Roman CYR" w:cs="Times New Roman CYR"/>
                <w:szCs w:val="18"/>
              </w:rPr>
              <w:t>0.3</w:t>
            </w:r>
          </w:p>
        </w:tc>
      </w:tr>
      <w:tr w:rsidR="00AE77DE" w:rsidRPr="005954E3" w14:paraId="53F97DB7" w14:textId="77777777" w:rsidTr="00777E7B">
        <w:trPr>
          <w:trHeight w:val="510"/>
          <w:jc w:val="center"/>
        </w:trPr>
        <w:tc>
          <w:tcPr>
            <w:tcW w:w="2927" w:type="dxa"/>
            <w:vAlign w:val="center"/>
            <w:hideMark/>
          </w:tcPr>
          <w:p w14:paraId="1A9E0DB5" w14:textId="77777777" w:rsidR="00AE77DE" w:rsidRPr="005954E3" w:rsidRDefault="00AE77DE" w:rsidP="00AE77DE">
            <w:pPr>
              <w:pStyle w:val="tabletextleft"/>
              <w:rPr>
                <w:szCs w:val="18"/>
              </w:rPr>
            </w:pPr>
            <w:r w:rsidRPr="005954E3">
              <w:rPr>
                <w:szCs w:val="18"/>
              </w:rPr>
              <w:t xml:space="preserve">Заетост </w:t>
            </w:r>
            <w:r w:rsidRPr="005954E3">
              <w:rPr>
                <w:szCs w:val="18"/>
              </w:rPr>
              <w:br/>
              <w:t>(млн. отработени часове)</w:t>
            </w:r>
            <w:r w:rsidRPr="005954E3">
              <w:rPr>
                <w:szCs w:val="18"/>
                <w:vertAlign w:val="superscript"/>
              </w:rPr>
              <w:footnoteReference w:id="38"/>
            </w:r>
          </w:p>
        </w:tc>
        <w:tc>
          <w:tcPr>
            <w:tcW w:w="708" w:type="dxa"/>
            <w:vAlign w:val="center"/>
          </w:tcPr>
          <w:p w14:paraId="3C80A807" w14:textId="77777777" w:rsidR="00AE77DE" w:rsidRPr="005954E3" w:rsidRDefault="00AE77DE" w:rsidP="00AE77DE">
            <w:pPr>
              <w:pStyle w:val="tabletextleft"/>
              <w:rPr>
                <w:szCs w:val="18"/>
              </w:rPr>
            </w:pPr>
          </w:p>
        </w:tc>
        <w:tc>
          <w:tcPr>
            <w:tcW w:w="907" w:type="dxa"/>
            <w:vAlign w:val="bottom"/>
          </w:tcPr>
          <w:p w14:paraId="2EBAF520" w14:textId="08268714" w:rsidR="00AE77DE" w:rsidRPr="005954E3" w:rsidRDefault="00AE77DE" w:rsidP="00AE77DE">
            <w:pPr>
              <w:pStyle w:val="tabletextleft"/>
              <w:jc w:val="right"/>
              <w:rPr>
                <w:szCs w:val="18"/>
              </w:rPr>
            </w:pPr>
            <w:r w:rsidRPr="00E27712">
              <w:rPr>
                <w:rFonts w:ascii="Times New Roman CYR" w:hAnsi="Times New Roman CYR" w:cs="Times New Roman CYR"/>
                <w:szCs w:val="18"/>
              </w:rPr>
              <w:t>5 669</w:t>
            </w:r>
          </w:p>
        </w:tc>
        <w:tc>
          <w:tcPr>
            <w:tcW w:w="906" w:type="dxa"/>
            <w:vAlign w:val="bottom"/>
          </w:tcPr>
          <w:p w14:paraId="555AABA2" w14:textId="4918B25A" w:rsidR="00AE77DE" w:rsidRPr="005954E3" w:rsidRDefault="00AE77DE" w:rsidP="00AE77DE">
            <w:pPr>
              <w:pStyle w:val="tabletextleft"/>
              <w:jc w:val="right"/>
              <w:rPr>
                <w:szCs w:val="18"/>
              </w:rPr>
            </w:pPr>
            <w:r w:rsidRPr="00E27712">
              <w:rPr>
                <w:rFonts w:ascii="Times New Roman CYR" w:hAnsi="Times New Roman CYR" w:cs="Times New Roman CYR"/>
                <w:szCs w:val="18"/>
              </w:rPr>
              <w:t>1.2</w:t>
            </w:r>
          </w:p>
        </w:tc>
        <w:tc>
          <w:tcPr>
            <w:tcW w:w="906" w:type="dxa"/>
            <w:vAlign w:val="bottom"/>
          </w:tcPr>
          <w:p w14:paraId="12774BFB" w14:textId="537F075A" w:rsidR="00AE77DE" w:rsidRPr="005954E3" w:rsidRDefault="00AE77DE" w:rsidP="00AE77DE">
            <w:pPr>
              <w:pStyle w:val="tabletextleft"/>
              <w:jc w:val="right"/>
              <w:rPr>
                <w:szCs w:val="18"/>
              </w:rPr>
            </w:pPr>
            <w:r w:rsidRPr="00E27712">
              <w:rPr>
                <w:rFonts w:ascii="Times New Roman CYR" w:hAnsi="Times New Roman CYR" w:cs="Times New Roman CYR"/>
                <w:szCs w:val="18"/>
              </w:rPr>
              <w:t>0.8</w:t>
            </w:r>
          </w:p>
        </w:tc>
        <w:tc>
          <w:tcPr>
            <w:tcW w:w="906" w:type="dxa"/>
            <w:vAlign w:val="bottom"/>
          </w:tcPr>
          <w:p w14:paraId="05AAA5C4" w14:textId="4B49EDAC" w:rsidR="00AE77DE" w:rsidRPr="005954E3" w:rsidRDefault="00AE77DE" w:rsidP="00AE77DE">
            <w:pPr>
              <w:pStyle w:val="tabletextleft"/>
              <w:jc w:val="right"/>
              <w:rPr>
                <w:szCs w:val="18"/>
              </w:rPr>
            </w:pPr>
            <w:r w:rsidRPr="00E27712">
              <w:rPr>
                <w:rFonts w:ascii="Times New Roman CYR" w:hAnsi="Times New Roman CYR" w:cs="Times New Roman CYR"/>
                <w:szCs w:val="18"/>
              </w:rPr>
              <w:t>1.1</w:t>
            </w:r>
          </w:p>
        </w:tc>
        <w:tc>
          <w:tcPr>
            <w:tcW w:w="906" w:type="dxa"/>
            <w:vAlign w:val="bottom"/>
          </w:tcPr>
          <w:p w14:paraId="7EA611E9" w14:textId="6E2FC17D" w:rsidR="00AE77DE" w:rsidRPr="005954E3" w:rsidRDefault="00AE77DE" w:rsidP="00AE77DE">
            <w:pPr>
              <w:pStyle w:val="tabletextleft"/>
              <w:jc w:val="right"/>
              <w:rPr>
                <w:szCs w:val="18"/>
              </w:rPr>
            </w:pPr>
            <w:r w:rsidRPr="00E27712">
              <w:rPr>
                <w:rFonts w:ascii="Times New Roman CYR" w:hAnsi="Times New Roman CYR" w:cs="Times New Roman CYR"/>
                <w:szCs w:val="18"/>
              </w:rPr>
              <w:t>1.0</w:t>
            </w:r>
          </w:p>
        </w:tc>
        <w:tc>
          <w:tcPr>
            <w:tcW w:w="906" w:type="dxa"/>
            <w:vAlign w:val="bottom"/>
          </w:tcPr>
          <w:p w14:paraId="440A2350" w14:textId="391EC8BA" w:rsidR="00AE77DE" w:rsidRPr="005954E3" w:rsidRDefault="00AE77DE" w:rsidP="00AE77DE">
            <w:pPr>
              <w:pStyle w:val="tabletextleft"/>
              <w:jc w:val="right"/>
              <w:rPr>
                <w:szCs w:val="18"/>
              </w:rPr>
            </w:pPr>
            <w:r w:rsidRPr="00E27712">
              <w:rPr>
                <w:rFonts w:ascii="Times New Roman CYR" w:hAnsi="Times New Roman CYR" w:cs="Times New Roman CYR"/>
                <w:szCs w:val="18"/>
              </w:rPr>
              <w:t>0.5</w:t>
            </w:r>
          </w:p>
        </w:tc>
      </w:tr>
      <w:tr w:rsidR="00AE77DE" w:rsidRPr="005954E3" w14:paraId="15931727" w14:textId="77777777" w:rsidTr="00777E7B">
        <w:trPr>
          <w:trHeight w:val="510"/>
          <w:jc w:val="center"/>
        </w:trPr>
        <w:tc>
          <w:tcPr>
            <w:tcW w:w="2927" w:type="dxa"/>
            <w:vAlign w:val="center"/>
            <w:hideMark/>
          </w:tcPr>
          <w:p w14:paraId="2558C487" w14:textId="77777777" w:rsidR="00AE77DE" w:rsidRPr="005954E3" w:rsidRDefault="00AE77DE" w:rsidP="00AE77DE">
            <w:pPr>
              <w:pStyle w:val="tabletextleft"/>
              <w:rPr>
                <w:szCs w:val="18"/>
              </w:rPr>
            </w:pPr>
            <w:r w:rsidRPr="005954E3">
              <w:rPr>
                <w:szCs w:val="18"/>
              </w:rPr>
              <w:t>Безработица</w:t>
            </w:r>
            <w:r w:rsidRPr="005954E3">
              <w:rPr>
                <w:szCs w:val="18"/>
                <w:vertAlign w:val="superscript"/>
              </w:rPr>
              <w:footnoteReference w:id="39"/>
            </w:r>
          </w:p>
        </w:tc>
        <w:tc>
          <w:tcPr>
            <w:tcW w:w="708" w:type="dxa"/>
            <w:vAlign w:val="center"/>
          </w:tcPr>
          <w:p w14:paraId="597829DC" w14:textId="77777777" w:rsidR="00AE77DE" w:rsidRPr="005954E3" w:rsidRDefault="00AE77DE" w:rsidP="00AE77DE">
            <w:pPr>
              <w:pStyle w:val="tabletextleft"/>
              <w:rPr>
                <w:szCs w:val="18"/>
              </w:rPr>
            </w:pPr>
          </w:p>
        </w:tc>
        <w:tc>
          <w:tcPr>
            <w:tcW w:w="907" w:type="dxa"/>
            <w:vAlign w:val="bottom"/>
          </w:tcPr>
          <w:p w14:paraId="71EACD50" w14:textId="6D076C32" w:rsidR="00AE77DE" w:rsidRPr="005954E3" w:rsidRDefault="00AE77DE" w:rsidP="00AE77DE">
            <w:pPr>
              <w:pStyle w:val="tabletextleft"/>
              <w:jc w:val="right"/>
              <w:rPr>
                <w:szCs w:val="18"/>
              </w:rPr>
            </w:pPr>
            <w:r w:rsidRPr="00E27712">
              <w:rPr>
                <w:rFonts w:ascii="Times New Roman CYR" w:hAnsi="Times New Roman CYR" w:cs="Times New Roman CYR"/>
                <w:szCs w:val="18"/>
              </w:rPr>
              <w:t>4</w:t>
            </w:r>
            <w:r w:rsidRPr="00E27712">
              <w:rPr>
                <w:rFonts w:ascii="Times New Roman CYR" w:hAnsi="Times New Roman CYR" w:cs="Times New Roman CYR"/>
                <w:szCs w:val="18"/>
                <w:lang w:val="en-US"/>
              </w:rPr>
              <w:t>.3</w:t>
            </w:r>
          </w:p>
        </w:tc>
        <w:tc>
          <w:tcPr>
            <w:tcW w:w="906" w:type="dxa"/>
            <w:vAlign w:val="bottom"/>
          </w:tcPr>
          <w:p w14:paraId="57D36195" w14:textId="50CEB831" w:rsidR="00AE77DE" w:rsidRPr="005954E3" w:rsidRDefault="00AE77DE" w:rsidP="00AE77DE">
            <w:pPr>
              <w:pStyle w:val="tabletextleft"/>
              <w:jc w:val="right"/>
              <w:rPr>
                <w:szCs w:val="18"/>
              </w:rPr>
            </w:pPr>
            <w:r w:rsidRPr="00E27712">
              <w:rPr>
                <w:rFonts w:ascii="Times New Roman CYR" w:hAnsi="Times New Roman CYR" w:cs="Times New Roman CYR"/>
                <w:szCs w:val="18"/>
              </w:rPr>
              <w:t>4.3</w:t>
            </w:r>
          </w:p>
        </w:tc>
        <w:tc>
          <w:tcPr>
            <w:tcW w:w="906" w:type="dxa"/>
            <w:vAlign w:val="bottom"/>
          </w:tcPr>
          <w:p w14:paraId="63538424" w14:textId="257D1DB9" w:rsidR="00AE77DE" w:rsidRPr="005954E3" w:rsidRDefault="00AE77DE" w:rsidP="00AE77DE">
            <w:pPr>
              <w:pStyle w:val="tabletextleft"/>
              <w:jc w:val="right"/>
              <w:rPr>
                <w:szCs w:val="18"/>
              </w:rPr>
            </w:pPr>
            <w:r w:rsidRPr="00E27712">
              <w:rPr>
                <w:rFonts w:ascii="Times New Roman CYR" w:hAnsi="Times New Roman CYR" w:cs="Times New Roman CYR"/>
                <w:szCs w:val="18"/>
              </w:rPr>
              <w:t>4.1</w:t>
            </w:r>
          </w:p>
        </w:tc>
        <w:tc>
          <w:tcPr>
            <w:tcW w:w="906" w:type="dxa"/>
            <w:vAlign w:val="bottom"/>
          </w:tcPr>
          <w:p w14:paraId="16015251" w14:textId="4BEA0797" w:rsidR="00AE77DE" w:rsidRPr="005954E3" w:rsidRDefault="00AE77DE" w:rsidP="00AE77DE">
            <w:pPr>
              <w:pStyle w:val="tabletextleft"/>
              <w:jc w:val="right"/>
              <w:rPr>
                <w:szCs w:val="18"/>
              </w:rPr>
            </w:pPr>
            <w:r w:rsidRPr="00E27712">
              <w:rPr>
                <w:rFonts w:ascii="Times New Roman CYR" w:hAnsi="Times New Roman CYR" w:cs="Times New Roman CYR"/>
                <w:szCs w:val="18"/>
              </w:rPr>
              <w:t>3.9</w:t>
            </w:r>
          </w:p>
        </w:tc>
        <w:tc>
          <w:tcPr>
            <w:tcW w:w="906" w:type="dxa"/>
            <w:vAlign w:val="bottom"/>
          </w:tcPr>
          <w:p w14:paraId="4BBF9CDB" w14:textId="6C320D56" w:rsidR="00AE77DE" w:rsidRPr="005954E3" w:rsidRDefault="00AE77DE" w:rsidP="00AE77DE">
            <w:pPr>
              <w:pStyle w:val="tabletextleft"/>
              <w:jc w:val="right"/>
              <w:rPr>
                <w:szCs w:val="18"/>
              </w:rPr>
            </w:pPr>
            <w:r w:rsidRPr="00E27712">
              <w:rPr>
                <w:rFonts w:ascii="Times New Roman CYR" w:hAnsi="Times New Roman CYR" w:cs="Times New Roman CYR"/>
                <w:szCs w:val="18"/>
              </w:rPr>
              <w:t>3.8</w:t>
            </w:r>
          </w:p>
        </w:tc>
        <w:tc>
          <w:tcPr>
            <w:tcW w:w="906" w:type="dxa"/>
            <w:vAlign w:val="bottom"/>
          </w:tcPr>
          <w:p w14:paraId="10F15694" w14:textId="57368225" w:rsidR="00AE77DE" w:rsidRPr="005954E3" w:rsidRDefault="00AE77DE" w:rsidP="00AE77DE">
            <w:pPr>
              <w:pStyle w:val="tabletextleft"/>
              <w:jc w:val="right"/>
              <w:rPr>
                <w:szCs w:val="18"/>
              </w:rPr>
            </w:pPr>
            <w:r w:rsidRPr="00E27712">
              <w:rPr>
                <w:rFonts w:ascii="Times New Roman CYR" w:hAnsi="Times New Roman CYR" w:cs="Times New Roman CYR"/>
                <w:szCs w:val="18"/>
              </w:rPr>
              <w:t>3.8</w:t>
            </w:r>
          </w:p>
        </w:tc>
      </w:tr>
      <w:tr w:rsidR="00AE77DE" w:rsidRPr="005954E3" w14:paraId="0EDE4A2E" w14:textId="77777777" w:rsidTr="00777E7B">
        <w:trPr>
          <w:trHeight w:val="510"/>
          <w:jc w:val="center"/>
        </w:trPr>
        <w:tc>
          <w:tcPr>
            <w:tcW w:w="2927" w:type="dxa"/>
            <w:vAlign w:val="center"/>
            <w:hideMark/>
          </w:tcPr>
          <w:p w14:paraId="46EBED2A" w14:textId="77777777" w:rsidR="00AE77DE" w:rsidRPr="005954E3" w:rsidRDefault="00AE77DE" w:rsidP="00AE77DE">
            <w:pPr>
              <w:pStyle w:val="tabletextleft"/>
              <w:rPr>
                <w:szCs w:val="18"/>
              </w:rPr>
            </w:pPr>
            <w:r w:rsidRPr="005954E3">
              <w:rPr>
                <w:szCs w:val="18"/>
              </w:rPr>
              <w:t xml:space="preserve">Производителност на труда </w:t>
            </w:r>
            <w:r w:rsidRPr="005954E3">
              <w:rPr>
                <w:szCs w:val="18"/>
              </w:rPr>
              <w:br/>
              <w:t>(лв. на един зает)</w:t>
            </w:r>
            <w:r w:rsidRPr="005954E3">
              <w:rPr>
                <w:szCs w:val="18"/>
                <w:vertAlign w:val="superscript"/>
              </w:rPr>
              <w:footnoteReference w:id="40"/>
            </w:r>
          </w:p>
        </w:tc>
        <w:tc>
          <w:tcPr>
            <w:tcW w:w="708" w:type="dxa"/>
            <w:vAlign w:val="center"/>
            <w:hideMark/>
          </w:tcPr>
          <w:p w14:paraId="63F62E5C" w14:textId="77777777" w:rsidR="00AE77DE" w:rsidRPr="005954E3" w:rsidRDefault="00AE77DE" w:rsidP="00AE77DE">
            <w:pPr>
              <w:pStyle w:val="tabletextleft"/>
              <w:rPr>
                <w:szCs w:val="18"/>
              </w:rPr>
            </w:pPr>
          </w:p>
        </w:tc>
        <w:tc>
          <w:tcPr>
            <w:tcW w:w="907" w:type="dxa"/>
            <w:vAlign w:val="bottom"/>
          </w:tcPr>
          <w:p w14:paraId="765D71E9" w14:textId="612BA07A" w:rsidR="00AE77DE" w:rsidRPr="005954E3" w:rsidRDefault="00AE77DE" w:rsidP="00AE77DE">
            <w:pPr>
              <w:pStyle w:val="tabletextleft"/>
              <w:jc w:val="right"/>
              <w:rPr>
                <w:szCs w:val="18"/>
              </w:rPr>
            </w:pPr>
            <w:r w:rsidRPr="00E27712">
              <w:rPr>
                <w:rFonts w:ascii="Times New Roman CYR" w:hAnsi="Times New Roman CYR" w:cs="Times New Roman CYR"/>
                <w:szCs w:val="18"/>
              </w:rPr>
              <w:t>30 923</w:t>
            </w:r>
          </w:p>
        </w:tc>
        <w:tc>
          <w:tcPr>
            <w:tcW w:w="906" w:type="dxa"/>
            <w:vAlign w:val="bottom"/>
          </w:tcPr>
          <w:p w14:paraId="79E7E676" w14:textId="61B85CC2" w:rsidR="00AE77DE" w:rsidRPr="005954E3" w:rsidRDefault="00AE77DE" w:rsidP="00AE77DE">
            <w:pPr>
              <w:pStyle w:val="tabletextleft"/>
              <w:jc w:val="right"/>
              <w:rPr>
                <w:szCs w:val="18"/>
              </w:rPr>
            </w:pPr>
            <w:r w:rsidRPr="00E27712">
              <w:rPr>
                <w:rFonts w:ascii="Times New Roman CYR" w:hAnsi="Times New Roman CYR" w:cs="Times New Roman CYR"/>
                <w:szCs w:val="18"/>
              </w:rPr>
              <w:t>2.1</w:t>
            </w:r>
          </w:p>
        </w:tc>
        <w:tc>
          <w:tcPr>
            <w:tcW w:w="906" w:type="dxa"/>
            <w:vAlign w:val="bottom"/>
          </w:tcPr>
          <w:p w14:paraId="50812F95" w14:textId="78CB62A7" w:rsidR="00AE77DE" w:rsidRPr="005954E3" w:rsidRDefault="00AE77DE" w:rsidP="00AE77DE">
            <w:pPr>
              <w:pStyle w:val="tabletextleft"/>
              <w:jc w:val="right"/>
              <w:rPr>
                <w:szCs w:val="18"/>
              </w:rPr>
            </w:pPr>
            <w:r w:rsidRPr="00E27712">
              <w:rPr>
                <w:rFonts w:ascii="Times New Roman CYR" w:hAnsi="Times New Roman CYR" w:cs="Times New Roman CYR"/>
                <w:szCs w:val="18"/>
              </w:rPr>
              <w:t>1.4</w:t>
            </w:r>
          </w:p>
        </w:tc>
        <w:tc>
          <w:tcPr>
            <w:tcW w:w="906" w:type="dxa"/>
            <w:vAlign w:val="bottom"/>
          </w:tcPr>
          <w:p w14:paraId="070B4491" w14:textId="2D949B41" w:rsidR="00AE77DE" w:rsidRPr="005954E3" w:rsidRDefault="00AE77DE" w:rsidP="00AE77DE">
            <w:pPr>
              <w:pStyle w:val="tabletextleft"/>
              <w:jc w:val="right"/>
              <w:rPr>
                <w:szCs w:val="18"/>
              </w:rPr>
            </w:pPr>
            <w:r w:rsidRPr="00E27712">
              <w:rPr>
                <w:rFonts w:ascii="Times New Roman CYR" w:hAnsi="Times New Roman CYR" w:cs="Times New Roman CYR"/>
                <w:szCs w:val="18"/>
              </w:rPr>
              <w:t>2.5</w:t>
            </w:r>
          </w:p>
        </w:tc>
        <w:tc>
          <w:tcPr>
            <w:tcW w:w="906" w:type="dxa"/>
            <w:vAlign w:val="bottom"/>
          </w:tcPr>
          <w:p w14:paraId="5652358F" w14:textId="3914C662" w:rsidR="00AE77DE" w:rsidRPr="005954E3" w:rsidRDefault="00AE77DE" w:rsidP="00AE77DE">
            <w:pPr>
              <w:pStyle w:val="tabletextleft"/>
              <w:jc w:val="right"/>
              <w:rPr>
                <w:szCs w:val="18"/>
              </w:rPr>
            </w:pPr>
            <w:r w:rsidRPr="00E27712">
              <w:rPr>
                <w:rFonts w:ascii="Times New Roman CYR" w:hAnsi="Times New Roman CYR" w:cs="Times New Roman CYR"/>
                <w:szCs w:val="18"/>
              </w:rPr>
              <w:t>2.7</w:t>
            </w:r>
          </w:p>
        </w:tc>
        <w:tc>
          <w:tcPr>
            <w:tcW w:w="906" w:type="dxa"/>
            <w:vAlign w:val="bottom"/>
          </w:tcPr>
          <w:p w14:paraId="2ADD8259" w14:textId="6D0B7929" w:rsidR="00AE77DE" w:rsidRPr="005954E3" w:rsidRDefault="00AE77DE" w:rsidP="00AE77DE">
            <w:pPr>
              <w:pStyle w:val="tabletextleft"/>
              <w:jc w:val="right"/>
              <w:rPr>
                <w:szCs w:val="18"/>
              </w:rPr>
            </w:pPr>
            <w:r w:rsidRPr="00E27712">
              <w:rPr>
                <w:rFonts w:ascii="Times New Roman CYR" w:hAnsi="Times New Roman CYR" w:cs="Times New Roman CYR"/>
                <w:szCs w:val="18"/>
              </w:rPr>
              <w:t>2.7</w:t>
            </w:r>
          </w:p>
        </w:tc>
      </w:tr>
      <w:tr w:rsidR="00AE77DE" w:rsidRPr="005954E3" w14:paraId="78C71136" w14:textId="77777777" w:rsidTr="00777E7B">
        <w:trPr>
          <w:trHeight w:val="510"/>
          <w:jc w:val="center"/>
        </w:trPr>
        <w:tc>
          <w:tcPr>
            <w:tcW w:w="2927" w:type="dxa"/>
            <w:vAlign w:val="center"/>
            <w:hideMark/>
          </w:tcPr>
          <w:p w14:paraId="00D082E2" w14:textId="77777777" w:rsidR="00AE77DE" w:rsidRPr="005954E3" w:rsidRDefault="00AE77DE" w:rsidP="00AE77DE">
            <w:pPr>
              <w:pStyle w:val="tabletextleft"/>
              <w:rPr>
                <w:szCs w:val="18"/>
              </w:rPr>
            </w:pPr>
            <w:r w:rsidRPr="005954E3">
              <w:rPr>
                <w:szCs w:val="18"/>
              </w:rPr>
              <w:t xml:space="preserve">Производителност на труда </w:t>
            </w:r>
            <w:r w:rsidRPr="005954E3">
              <w:rPr>
                <w:szCs w:val="18"/>
              </w:rPr>
              <w:br/>
              <w:t>(лв. на отработен час)</w:t>
            </w:r>
            <w:r w:rsidRPr="005954E3">
              <w:rPr>
                <w:szCs w:val="18"/>
                <w:vertAlign w:val="superscript"/>
              </w:rPr>
              <w:footnoteReference w:id="41"/>
            </w:r>
          </w:p>
        </w:tc>
        <w:tc>
          <w:tcPr>
            <w:tcW w:w="708" w:type="dxa"/>
            <w:vAlign w:val="center"/>
            <w:hideMark/>
          </w:tcPr>
          <w:p w14:paraId="5A39C61B" w14:textId="77777777" w:rsidR="00AE77DE" w:rsidRPr="005954E3" w:rsidRDefault="00AE77DE" w:rsidP="00AE77DE">
            <w:pPr>
              <w:pStyle w:val="tabletextleft"/>
              <w:rPr>
                <w:szCs w:val="18"/>
              </w:rPr>
            </w:pPr>
          </w:p>
        </w:tc>
        <w:tc>
          <w:tcPr>
            <w:tcW w:w="907" w:type="dxa"/>
            <w:vAlign w:val="bottom"/>
          </w:tcPr>
          <w:p w14:paraId="7571E7E0" w14:textId="6C3418BF" w:rsidR="00AE77DE" w:rsidRPr="005954E3" w:rsidRDefault="00AE77DE" w:rsidP="00AE77DE">
            <w:pPr>
              <w:pStyle w:val="tabletextleft"/>
              <w:jc w:val="right"/>
              <w:rPr>
                <w:szCs w:val="18"/>
              </w:rPr>
            </w:pPr>
            <w:r w:rsidRPr="00E27712">
              <w:rPr>
                <w:rFonts w:ascii="Times New Roman CYR" w:hAnsi="Times New Roman CYR" w:cs="Times New Roman CYR"/>
                <w:szCs w:val="18"/>
              </w:rPr>
              <w:t>19</w:t>
            </w:r>
          </w:p>
        </w:tc>
        <w:tc>
          <w:tcPr>
            <w:tcW w:w="906" w:type="dxa"/>
            <w:vAlign w:val="bottom"/>
          </w:tcPr>
          <w:p w14:paraId="2DD98186" w14:textId="25A64529" w:rsidR="00AE77DE" w:rsidRPr="005954E3" w:rsidRDefault="00AE77DE" w:rsidP="00AE77DE">
            <w:pPr>
              <w:pStyle w:val="tabletextleft"/>
              <w:jc w:val="right"/>
              <w:rPr>
                <w:szCs w:val="18"/>
              </w:rPr>
            </w:pPr>
            <w:r w:rsidRPr="00E27712">
              <w:rPr>
                <w:rFonts w:ascii="Times New Roman CYR" w:hAnsi="Times New Roman CYR" w:cs="Times New Roman CYR"/>
                <w:szCs w:val="18"/>
              </w:rPr>
              <w:t>2.1</w:t>
            </w:r>
          </w:p>
        </w:tc>
        <w:tc>
          <w:tcPr>
            <w:tcW w:w="906" w:type="dxa"/>
            <w:vAlign w:val="bottom"/>
          </w:tcPr>
          <w:p w14:paraId="0C4AC2FB" w14:textId="76B7ED6A" w:rsidR="00AE77DE" w:rsidRPr="005954E3" w:rsidRDefault="00AE77DE" w:rsidP="00AE77DE">
            <w:pPr>
              <w:pStyle w:val="tabletextleft"/>
              <w:jc w:val="right"/>
              <w:rPr>
                <w:szCs w:val="18"/>
              </w:rPr>
            </w:pPr>
            <w:r w:rsidRPr="00E27712">
              <w:rPr>
                <w:rFonts w:ascii="Times New Roman CYR" w:hAnsi="Times New Roman CYR" w:cs="Times New Roman CYR"/>
                <w:szCs w:val="18"/>
              </w:rPr>
              <w:t>1.0</w:t>
            </w:r>
          </w:p>
        </w:tc>
        <w:tc>
          <w:tcPr>
            <w:tcW w:w="906" w:type="dxa"/>
            <w:vAlign w:val="bottom"/>
          </w:tcPr>
          <w:p w14:paraId="2B26CDBC" w14:textId="091BEC34" w:rsidR="00AE77DE" w:rsidRPr="005954E3" w:rsidRDefault="00AE77DE" w:rsidP="00AE77DE">
            <w:pPr>
              <w:pStyle w:val="tabletextleft"/>
              <w:jc w:val="right"/>
              <w:rPr>
                <w:szCs w:val="18"/>
              </w:rPr>
            </w:pPr>
            <w:r w:rsidRPr="00E27712">
              <w:rPr>
                <w:rFonts w:ascii="Times New Roman CYR" w:hAnsi="Times New Roman CYR" w:cs="Times New Roman CYR"/>
                <w:szCs w:val="18"/>
              </w:rPr>
              <w:t>2.2</w:t>
            </w:r>
          </w:p>
        </w:tc>
        <w:tc>
          <w:tcPr>
            <w:tcW w:w="906" w:type="dxa"/>
            <w:vAlign w:val="bottom"/>
          </w:tcPr>
          <w:p w14:paraId="0AAF61C5" w14:textId="0F414190" w:rsidR="00AE77DE" w:rsidRPr="005954E3" w:rsidRDefault="00AE77DE" w:rsidP="00AE77DE">
            <w:pPr>
              <w:pStyle w:val="tabletextleft"/>
              <w:jc w:val="right"/>
              <w:rPr>
                <w:szCs w:val="18"/>
              </w:rPr>
            </w:pPr>
            <w:r w:rsidRPr="00E27712">
              <w:rPr>
                <w:rFonts w:ascii="Times New Roman CYR" w:hAnsi="Times New Roman CYR" w:cs="Times New Roman CYR"/>
                <w:szCs w:val="18"/>
              </w:rPr>
              <w:t>2.2</w:t>
            </w:r>
          </w:p>
        </w:tc>
        <w:tc>
          <w:tcPr>
            <w:tcW w:w="906" w:type="dxa"/>
            <w:vAlign w:val="bottom"/>
          </w:tcPr>
          <w:p w14:paraId="05466616" w14:textId="557CED67" w:rsidR="00AE77DE" w:rsidRPr="005954E3" w:rsidRDefault="00AE77DE" w:rsidP="00AE77DE">
            <w:pPr>
              <w:pStyle w:val="tabletextleft"/>
              <w:jc w:val="right"/>
              <w:rPr>
                <w:szCs w:val="18"/>
              </w:rPr>
            </w:pPr>
            <w:r w:rsidRPr="00E27712">
              <w:rPr>
                <w:rFonts w:ascii="Times New Roman CYR" w:hAnsi="Times New Roman CYR" w:cs="Times New Roman CYR"/>
                <w:szCs w:val="18"/>
              </w:rPr>
              <w:t>2.5</w:t>
            </w:r>
          </w:p>
        </w:tc>
      </w:tr>
      <w:tr w:rsidR="00AE77DE" w:rsidRPr="005954E3" w14:paraId="3E65180A" w14:textId="77777777" w:rsidTr="00777E7B">
        <w:trPr>
          <w:trHeight w:val="510"/>
          <w:jc w:val="center"/>
        </w:trPr>
        <w:tc>
          <w:tcPr>
            <w:tcW w:w="2927" w:type="dxa"/>
            <w:vAlign w:val="center"/>
            <w:hideMark/>
          </w:tcPr>
          <w:p w14:paraId="07EC3FCE" w14:textId="77777777" w:rsidR="00AE77DE" w:rsidRPr="005954E3" w:rsidRDefault="00AE77DE" w:rsidP="00AE77DE">
            <w:pPr>
              <w:pStyle w:val="tabletextleft"/>
              <w:rPr>
                <w:szCs w:val="18"/>
              </w:rPr>
            </w:pPr>
            <w:r w:rsidRPr="005954E3">
              <w:rPr>
                <w:szCs w:val="18"/>
              </w:rPr>
              <w:t xml:space="preserve">Компенсации на наетите </w:t>
            </w:r>
            <w:r w:rsidRPr="005954E3">
              <w:rPr>
                <w:szCs w:val="18"/>
              </w:rPr>
              <w:br/>
              <w:t>(млн. лв.)</w:t>
            </w:r>
            <w:r w:rsidRPr="005954E3">
              <w:rPr>
                <w:szCs w:val="18"/>
                <w:vertAlign w:val="superscript"/>
              </w:rPr>
              <w:footnoteReference w:id="42"/>
            </w:r>
          </w:p>
        </w:tc>
        <w:tc>
          <w:tcPr>
            <w:tcW w:w="708" w:type="dxa"/>
            <w:vAlign w:val="center"/>
            <w:hideMark/>
          </w:tcPr>
          <w:p w14:paraId="0D5866A1" w14:textId="77777777" w:rsidR="00AE77DE" w:rsidRPr="005954E3" w:rsidRDefault="00AE77DE" w:rsidP="00AE77DE">
            <w:pPr>
              <w:pStyle w:val="tabletextleft"/>
              <w:rPr>
                <w:szCs w:val="18"/>
              </w:rPr>
            </w:pPr>
            <w:r w:rsidRPr="005954E3">
              <w:rPr>
                <w:szCs w:val="18"/>
              </w:rPr>
              <w:t>D.1</w:t>
            </w:r>
          </w:p>
        </w:tc>
        <w:tc>
          <w:tcPr>
            <w:tcW w:w="907" w:type="dxa"/>
            <w:vAlign w:val="bottom"/>
          </w:tcPr>
          <w:p w14:paraId="1365E916" w14:textId="34AC7C2F" w:rsidR="00AE77DE" w:rsidRPr="005954E3" w:rsidRDefault="00AE77DE" w:rsidP="00AE77DE">
            <w:pPr>
              <w:pStyle w:val="tabletextleft"/>
              <w:jc w:val="right"/>
              <w:rPr>
                <w:szCs w:val="18"/>
              </w:rPr>
            </w:pPr>
            <w:r w:rsidRPr="00E27712">
              <w:rPr>
                <w:rFonts w:ascii="Times New Roman CYR" w:hAnsi="Times New Roman CYR" w:cs="Times New Roman CYR"/>
                <w:szCs w:val="18"/>
              </w:rPr>
              <w:t>73 153</w:t>
            </w:r>
          </w:p>
        </w:tc>
        <w:tc>
          <w:tcPr>
            <w:tcW w:w="906" w:type="dxa"/>
            <w:vAlign w:val="bottom"/>
          </w:tcPr>
          <w:p w14:paraId="47ABA61E" w14:textId="5824E2E7" w:rsidR="00AE77DE" w:rsidRPr="005954E3" w:rsidRDefault="00AE77DE" w:rsidP="00AE77DE">
            <w:pPr>
              <w:pStyle w:val="tabletextleft"/>
              <w:jc w:val="right"/>
              <w:rPr>
                <w:szCs w:val="18"/>
              </w:rPr>
            </w:pPr>
            <w:r w:rsidRPr="00E27712">
              <w:rPr>
                <w:rFonts w:ascii="Times New Roman CYR" w:hAnsi="Times New Roman CYR" w:cs="Times New Roman CYR"/>
                <w:szCs w:val="18"/>
              </w:rPr>
              <w:t>19.3</w:t>
            </w:r>
          </w:p>
        </w:tc>
        <w:tc>
          <w:tcPr>
            <w:tcW w:w="906" w:type="dxa"/>
            <w:vAlign w:val="bottom"/>
          </w:tcPr>
          <w:p w14:paraId="1F109E6C" w14:textId="1A218ADE" w:rsidR="00AE77DE" w:rsidRPr="005954E3" w:rsidRDefault="00AE77DE" w:rsidP="00AE77DE">
            <w:pPr>
              <w:pStyle w:val="tabletextleft"/>
              <w:jc w:val="right"/>
              <w:rPr>
                <w:szCs w:val="18"/>
              </w:rPr>
            </w:pPr>
            <w:r w:rsidRPr="00E27712">
              <w:rPr>
                <w:rFonts w:ascii="Times New Roman CYR" w:hAnsi="Times New Roman CYR" w:cs="Times New Roman CYR"/>
                <w:szCs w:val="18"/>
              </w:rPr>
              <w:t>11.9</w:t>
            </w:r>
          </w:p>
        </w:tc>
        <w:tc>
          <w:tcPr>
            <w:tcW w:w="906" w:type="dxa"/>
            <w:vAlign w:val="bottom"/>
          </w:tcPr>
          <w:p w14:paraId="5B9A60B0" w14:textId="13D91D0D" w:rsidR="00AE77DE" w:rsidRPr="005954E3" w:rsidRDefault="00AE77DE" w:rsidP="00AE77DE">
            <w:pPr>
              <w:pStyle w:val="tabletextleft"/>
              <w:jc w:val="right"/>
              <w:rPr>
                <w:szCs w:val="18"/>
              </w:rPr>
            </w:pPr>
            <w:r w:rsidRPr="00E27712">
              <w:rPr>
                <w:rFonts w:ascii="Times New Roman CYR" w:hAnsi="Times New Roman CYR" w:cs="Times New Roman CYR"/>
                <w:szCs w:val="18"/>
              </w:rPr>
              <w:t>11.6</w:t>
            </w:r>
          </w:p>
        </w:tc>
        <w:tc>
          <w:tcPr>
            <w:tcW w:w="906" w:type="dxa"/>
            <w:vAlign w:val="bottom"/>
          </w:tcPr>
          <w:p w14:paraId="4C7C1668" w14:textId="0B3C2A42" w:rsidR="00AE77DE" w:rsidRPr="005954E3" w:rsidRDefault="00AE77DE" w:rsidP="00AE77DE">
            <w:pPr>
              <w:pStyle w:val="tabletextleft"/>
              <w:jc w:val="right"/>
              <w:rPr>
                <w:szCs w:val="18"/>
              </w:rPr>
            </w:pPr>
            <w:r w:rsidRPr="00E27712">
              <w:rPr>
                <w:rFonts w:ascii="Times New Roman CYR" w:hAnsi="Times New Roman CYR" w:cs="Times New Roman CYR"/>
                <w:szCs w:val="18"/>
              </w:rPr>
              <w:t>8.5</w:t>
            </w:r>
          </w:p>
        </w:tc>
        <w:tc>
          <w:tcPr>
            <w:tcW w:w="906" w:type="dxa"/>
            <w:vAlign w:val="bottom"/>
          </w:tcPr>
          <w:p w14:paraId="4F745EC9" w14:textId="1E2DD1BD" w:rsidR="00AE77DE" w:rsidRPr="005954E3" w:rsidRDefault="00AE77DE" w:rsidP="00AE77DE">
            <w:pPr>
              <w:pStyle w:val="tabletextleft"/>
              <w:jc w:val="right"/>
              <w:rPr>
                <w:szCs w:val="18"/>
              </w:rPr>
            </w:pPr>
            <w:r w:rsidRPr="00E27712">
              <w:rPr>
                <w:rFonts w:ascii="Times New Roman CYR" w:hAnsi="Times New Roman CYR" w:cs="Times New Roman CYR"/>
                <w:szCs w:val="18"/>
              </w:rPr>
              <w:t>7.5</w:t>
            </w:r>
          </w:p>
        </w:tc>
      </w:tr>
      <w:tr w:rsidR="00AE77DE" w:rsidRPr="005954E3" w14:paraId="41B02A9E" w14:textId="77777777" w:rsidTr="00777E7B">
        <w:trPr>
          <w:trHeight w:val="510"/>
          <w:jc w:val="center"/>
        </w:trPr>
        <w:tc>
          <w:tcPr>
            <w:tcW w:w="2927" w:type="dxa"/>
            <w:vAlign w:val="center"/>
            <w:hideMark/>
          </w:tcPr>
          <w:p w14:paraId="47581B5D" w14:textId="77777777" w:rsidR="00AE77DE" w:rsidRPr="005954E3" w:rsidRDefault="00AE77DE" w:rsidP="00AE77DE">
            <w:pPr>
              <w:pStyle w:val="tabletextleft"/>
              <w:rPr>
                <w:szCs w:val="18"/>
              </w:rPr>
            </w:pPr>
            <w:r w:rsidRPr="005954E3">
              <w:rPr>
                <w:szCs w:val="18"/>
              </w:rPr>
              <w:t xml:space="preserve">Компенсация на един нает </w:t>
            </w:r>
          </w:p>
        </w:tc>
        <w:tc>
          <w:tcPr>
            <w:tcW w:w="708" w:type="dxa"/>
            <w:vAlign w:val="center"/>
          </w:tcPr>
          <w:p w14:paraId="1A1E8F8F" w14:textId="77777777" w:rsidR="00AE77DE" w:rsidRPr="005954E3" w:rsidRDefault="00AE77DE" w:rsidP="00AE77DE">
            <w:pPr>
              <w:pStyle w:val="tabletextleft"/>
              <w:rPr>
                <w:szCs w:val="18"/>
              </w:rPr>
            </w:pPr>
          </w:p>
        </w:tc>
        <w:tc>
          <w:tcPr>
            <w:tcW w:w="907" w:type="dxa"/>
            <w:vAlign w:val="bottom"/>
          </w:tcPr>
          <w:p w14:paraId="21763373" w14:textId="5ED3F622" w:rsidR="00AE77DE" w:rsidRPr="005954E3" w:rsidRDefault="00AE77DE" w:rsidP="00AE77DE">
            <w:pPr>
              <w:pStyle w:val="tabletextleft"/>
              <w:jc w:val="right"/>
              <w:rPr>
                <w:szCs w:val="18"/>
              </w:rPr>
            </w:pPr>
            <w:r w:rsidRPr="00E27712">
              <w:rPr>
                <w:rFonts w:ascii="Times New Roman CYR" w:hAnsi="Times New Roman CYR" w:cs="Times New Roman CYR"/>
                <w:szCs w:val="18"/>
              </w:rPr>
              <w:t>27 940</w:t>
            </w:r>
          </w:p>
        </w:tc>
        <w:tc>
          <w:tcPr>
            <w:tcW w:w="906" w:type="dxa"/>
            <w:vAlign w:val="bottom"/>
          </w:tcPr>
          <w:p w14:paraId="4EA075BA" w14:textId="04965238" w:rsidR="00AE77DE" w:rsidRPr="005954E3" w:rsidRDefault="00AE77DE" w:rsidP="00AE77DE">
            <w:pPr>
              <w:pStyle w:val="tabletextleft"/>
              <w:jc w:val="right"/>
              <w:rPr>
                <w:szCs w:val="18"/>
              </w:rPr>
            </w:pPr>
            <w:r w:rsidRPr="00E27712">
              <w:rPr>
                <w:rFonts w:ascii="Times New Roman CYR" w:hAnsi="Times New Roman CYR" w:cs="Times New Roman CYR"/>
                <w:szCs w:val="18"/>
              </w:rPr>
              <w:t>18.4</w:t>
            </w:r>
          </w:p>
        </w:tc>
        <w:tc>
          <w:tcPr>
            <w:tcW w:w="906" w:type="dxa"/>
            <w:vAlign w:val="bottom"/>
          </w:tcPr>
          <w:p w14:paraId="7CD14E30" w14:textId="15DCD5FC" w:rsidR="00AE77DE" w:rsidRPr="005954E3" w:rsidRDefault="00AE77DE" w:rsidP="00AE77DE">
            <w:pPr>
              <w:pStyle w:val="tabletextleft"/>
              <w:jc w:val="right"/>
              <w:rPr>
                <w:szCs w:val="18"/>
              </w:rPr>
            </w:pPr>
            <w:r w:rsidRPr="00E27712">
              <w:rPr>
                <w:rFonts w:ascii="Times New Roman CYR" w:hAnsi="Times New Roman CYR" w:cs="Times New Roman CYR"/>
                <w:szCs w:val="18"/>
              </w:rPr>
              <w:t>11.5</w:t>
            </w:r>
          </w:p>
        </w:tc>
        <w:tc>
          <w:tcPr>
            <w:tcW w:w="906" w:type="dxa"/>
            <w:vAlign w:val="bottom"/>
          </w:tcPr>
          <w:p w14:paraId="04B17DAE" w14:textId="5409DB65" w:rsidR="00AE77DE" w:rsidRPr="005954E3" w:rsidRDefault="00AE77DE" w:rsidP="00AE77DE">
            <w:pPr>
              <w:pStyle w:val="tabletextleft"/>
              <w:jc w:val="right"/>
              <w:rPr>
                <w:szCs w:val="18"/>
              </w:rPr>
            </w:pPr>
            <w:r w:rsidRPr="00E27712">
              <w:rPr>
                <w:rFonts w:ascii="Times New Roman CYR" w:hAnsi="Times New Roman CYR" w:cs="Times New Roman CYR"/>
                <w:szCs w:val="18"/>
              </w:rPr>
              <w:t>10.6</w:t>
            </w:r>
          </w:p>
        </w:tc>
        <w:tc>
          <w:tcPr>
            <w:tcW w:w="906" w:type="dxa"/>
            <w:vAlign w:val="bottom"/>
          </w:tcPr>
          <w:p w14:paraId="282F219A" w14:textId="19328A09" w:rsidR="00AE77DE" w:rsidRPr="005954E3" w:rsidRDefault="00AE77DE" w:rsidP="00AE77DE">
            <w:pPr>
              <w:pStyle w:val="tabletextleft"/>
              <w:jc w:val="right"/>
              <w:rPr>
                <w:szCs w:val="18"/>
              </w:rPr>
            </w:pPr>
            <w:r w:rsidRPr="00E27712">
              <w:rPr>
                <w:rFonts w:ascii="Times New Roman CYR" w:hAnsi="Times New Roman CYR" w:cs="Times New Roman CYR"/>
                <w:szCs w:val="18"/>
              </w:rPr>
              <w:t>7.7</w:t>
            </w:r>
          </w:p>
        </w:tc>
        <w:tc>
          <w:tcPr>
            <w:tcW w:w="906" w:type="dxa"/>
            <w:vAlign w:val="bottom"/>
          </w:tcPr>
          <w:p w14:paraId="3328DCEC" w14:textId="42E634AA" w:rsidR="00AE77DE" w:rsidRPr="005954E3" w:rsidRDefault="00AE77DE" w:rsidP="00AE77DE">
            <w:pPr>
              <w:pStyle w:val="tabletextleft"/>
              <w:jc w:val="right"/>
              <w:rPr>
                <w:szCs w:val="18"/>
              </w:rPr>
            </w:pPr>
            <w:r w:rsidRPr="00E27712">
              <w:rPr>
                <w:rFonts w:ascii="Times New Roman CYR" w:hAnsi="Times New Roman CYR" w:cs="Times New Roman CYR"/>
                <w:szCs w:val="18"/>
              </w:rPr>
              <w:t>7.1</w:t>
            </w:r>
          </w:p>
        </w:tc>
      </w:tr>
    </w:tbl>
    <w:p w14:paraId="1E5FC3EC" w14:textId="77777777" w:rsidR="006D2755" w:rsidRPr="005954E3" w:rsidRDefault="006D2755" w:rsidP="006D2755"/>
    <w:p w14:paraId="5AEBE403" w14:textId="77777777" w:rsidR="006D2755" w:rsidRPr="005954E3" w:rsidRDefault="006D2755" w:rsidP="00EE53B2">
      <w:pPr>
        <w:pStyle w:val="Heading2"/>
        <w:numPr>
          <w:ilvl w:val="0"/>
          <w:numId w:val="0"/>
        </w:numPr>
      </w:pPr>
      <w:bookmarkStart w:id="169" w:name="_Toc417566028"/>
      <w:bookmarkStart w:id="170" w:name="_Toc448227314"/>
      <w:bookmarkStart w:id="171" w:name="_Toc479332465"/>
      <w:bookmarkStart w:id="172" w:name="_Toc133597296"/>
      <w:r w:rsidRPr="005954E3">
        <w:lastRenderedPageBreak/>
        <w:t>Табл. 1г: Секторни баланси</w:t>
      </w:r>
      <w:bookmarkEnd w:id="169"/>
      <w:bookmarkEnd w:id="170"/>
      <w:bookmarkEnd w:id="171"/>
      <w:bookmarkEnd w:id="172"/>
    </w:p>
    <w:tbl>
      <w:tblPr>
        <w:tblStyle w:val="Style19"/>
        <w:tblW w:w="9072" w:type="dxa"/>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CellMar>
          <w:left w:w="85" w:type="dxa"/>
          <w:right w:w="85" w:type="dxa"/>
        </w:tblCellMar>
        <w:tblLook w:val="0620" w:firstRow="1" w:lastRow="0" w:firstColumn="0" w:lastColumn="0" w:noHBand="1" w:noVBand="1"/>
      </w:tblPr>
      <w:tblGrid>
        <w:gridCol w:w="2974"/>
        <w:gridCol w:w="709"/>
        <w:gridCol w:w="1077"/>
        <w:gridCol w:w="1078"/>
        <w:gridCol w:w="1078"/>
        <w:gridCol w:w="1078"/>
        <w:gridCol w:w="1078"/>
      </w:tblGrid>
      <w:tr w:rsidR="006D2755" w:rsidRPr="005954E3" w14:paraId="64355641" w14:textId="77777777" w:rsidTr="006D2755">
        <w:trPr>
          <w:trHeight w:val="340"/>
          <w:jc w:val="center"/>
        </w:trPr>
        <w:tc>
          <w:tcPr>
            <w:tcW w:w="2974" w:type="dxa"/>
            <w:shd w:val="clear" w:color="auto" w:fill="auto"/>
            <w:vAlign w:val="center"/>
            <w:hideMark/>
          </w:tcPr>
          <w:p w14:paraId="26973888" w14:textId="77777777" w:rsidR="006D2755" w:rsidRPr="005954E3" w:rsidRDefault="006D2755" w:rsidP="006D2755">
            <w:pPr>
              <w:pStyle w:val="tabletextleft"/>
              <w:rPr>
                <w:b/>
                <w:szCs w:val="18"/>
              </w:rPr>
            </w:pPr>
            <w:r w:rsidRPr="005954E3">
              <w:rPr>
                <w:b/>
                <w:szCs w:val="18"/>
              </w:rPr>
              <w:t>% от БВП</w:t>
            </w:r>
          </w:p>
        </w:tc>
        <w:tc>
          <w:tcPr>
            <w:tcW w:w="709" w:type="dxa"/>
            <w:shd w:val="clear" w:color="auto" w:fill="auto"/>
            <w:vAlign w:val="center"/>
            <w:hideMark/>
          </w:tcPr>
          <w:p w14:paraId="12609366" w14:textId="77777777" w:rsidR="006D2755" w:rsidRPr="005954E3" w:rsidRDefault="006D2755" w:rsidP="006D2755">
            <w:pPr>
              <w:pStyle w:val="tabletextleft"/>
              <w:rPr>
                <w:szCs w:val="18"/>
              </w:rPr>
            </w:pPr>
            <w:r w:rsidRPr="005954E3">
              <w:rPr>
                <w:szCs w:val="18"/>
              </w:rPr>
              <w:t>Код по ЕСС 2010</w:t>
            </w:r>
          </w:p>
        </w:tc>
        <w:tc>
          <w:tcPr>
            <w:tcW w:w="1077" w:type="dxa"/>
            <w:shd w:val="clear" w:color="auto" w:fill="auto"/>
            <w:vAlign w:val="center"/>
          </w:tcPr>
          <w:p w14:paraId="1E03694D" w14:textId="77777777" w:rsidR="006D2755" w:rsidRPr="005954E3" w:rsidRDefault="006D2755" w:rsidP="006D2755">
            <w:pPr>
              <w:pStyle w:val="tabletextleft"/>
              <w:jc w:val="right"/>
              <w:rPr>
                <w:b/>
                <w:szCs w:val="18"/>
              </w:rPr>
            </w:pPr>
            <w:r w:rsidRPr="005954E3">
              <w:rPr>
                <w:b/>
                <w:szCs w:val="18"/>
              </w:rPr>
              <w:t>2022</w:t>
            </w:r>
          </w:p>
        </w:tc>
        <w:tc>
          <w:tcPr>
            <w:tcW w:w="1078" w:type="dxa"/>
            <w:shd w:val="clear" w:color="auto" w:fill="auto"/>
            <w:vAlign w:val="center"/>
          </w:tcPr>
          <w:p w14:paraId="03EB8020" w14:textId="77777777" w:rsidR="006D2755" w:rsidRPr="005954E3" w:rsidRDefault="006D2755" w:rsidP="006D2755">
            <w:pPr>
              <w:pStyle w:val="tabletextleft"/>
              <w:jc w:val="right"/>
              <w:rPr>
                <w:b/>
                <w:szCs w:val="18"/>
              </w:rPr>
            </w:pPr>
            <w:r w:rsidRPr="005954E3">
              <w:rPr>
                <w:b/>
                <w:szCs w:val="18"/>
              </w:rPr>
              <w:t>2023</w:t>
            </w:r>
          </w:p>
        </w:tc>
        <w:tc>
          <w:tcPr>
            <w:tcW w:w="1078" w:type="dxa"/>
            <w:shd w:val="clear" w:color="auto" w:fill="auto"/>
            <w:vAlign w:val="center"/>
          </w:tcPr>
          <w:p w14:paraId="7C9EF43C" w14:textId="77777777" w:rsidR="006D2755" w:rsidRPr="005954E3" w:rsidRDefault="006D2755" w:rsidP="006D2755">
            <w:pPr>
              <w:pStyle w:val="tabletextleft"/>
              <w:jc w:val="right"/>
              <w:rPr>
                <w:b/>
                <w:szCs w:val="18"/>
              </w:rPr>
            </w:pPr>
            <w:r w:rsidRPr="005954E3">
              <w:rPr>
                <w:b/>
                <w:szCs w:val="18"/>
              </w:rPr>
              <w:t>2024</w:t>
            </w:r>
          </w:p>
        </w:tc>
        <w:tc>
          <w:tcPr>
            <w:tcW w:w="1078" w:type="dxa"/>
            <w:shd w:val="clear" w:color="auto" w:fill="auto"/>
            <w:vAlign w:val="center"/>
          </w:tcPr>
          <w:p w14:paraId="790C8CDE" w14:textId="77777777" w:rsidR="006D2755" w:rsidRPr="005954E3" w:rsidRDefault="006D2755" w:rsidP="006D2755">
            <w:pPr>
              <w:pStyle w:val="tabletextleft"/>
              <w:jc w:val="right"/>
              <w:rPr>
                <w:b/>
                <w:szCs w:val="18"/>
              </w:rPr>
            </w:pPr>
            <w:r w:rsidRPr="005954E3">
              <w:rPr>
                <w:b/>
                <w:szCs w:val="18"/>
              </w:rPr>
              <w:t>2025</w:t>
            </w:r>
          </w:p>
        </w:tc>
        <w:tc>
          <w:tcPr>
            <w:tcW w:w="1078" w:type="dxa"/>
            <w:shd w:val="clear" w:color="auto" w:fill="auto"/>
          </w:tcPr>
          <w:p w14:paraId="71851037" w14:textId="77777777" w:rsidR="006D2755" w:rsidRPr="005954E3" w:rsidRDefault="006D2755" w:rsidP="006D2755">
            <w:pPr>
              <w:pStyle w:val="tabletextleft"/>
              <w:jc w:val="center"/>
              <w:rPr>
                <w:b/>
                <w:szCs w:val="18"/>
              </w:rPr>
            </w:pPr>
          </w:p>
          <w:p w14:paraId="18CBF9A8" w14:textId="77777777" w:rsidR="006D2755" w:rsidRPr="005954E3" w:rsidRDefault="006D2755" w:rsidP="006D2755">
            <w:pPr>
              <w:pStyle w:val="tabletextleft"/>
              <w:jc w:val="center"/>
              <w:rPr>
                <w:b/>
                <w:szCs w:val="18"/>
              </w:rPr>
            </w:pPr>
            <w:r w:rsidRPr="005954E3">
              <w:rPr>
                <w:b/>
                <w:szCs w:val="18"/>
              </w:rPr>
              <w:t>2026</w:t>
            </w:r>
          </w:p>
        </w:tc>
      </w:tr>
      <w:tr w:rsidR="00AE77DE" w:rsidRPr="005954E3" w14:paraId="27F47812" w14:textId="77777777" w:rsidTr="00777E7B">
        <w:trPr>
          <w:trHeight w:val="510"/>
          <w:jc w:val="center"/>
        </w:trPr>
        <w:tc>
          <w:tcPr>
            <w:tcW w:w="2974" w:type="dxa"/>
            <w:vAlign w:val="center"/>
            <w:hideMark/>
          </w:tcPr>
          <w:p w14:paraId="6D3AEC9A" w14:textId="77777777" w:rsidR="00AE77DE" w:rsidRPr="005954E3" w:rsidRDefault="00AE77DE" w:rsidP="00AE77DE">
            <w:pPr>
              <w:pStyle w:val="tabletextleft"/>
              <w:rPr>
                <w:szCs w:val="18"/>
              </w:rPr>
            </w:pPr>
            <w:r w:rsidRPr="005954E3">
              <w:rPr>
                <w:szCs w:val="18"/>
              </w:rPr>
              <w:t>Нето предоставени/ получени заеми спрямо останалия свят, в това число:</w:t>
            </w:r>
          </w:p>
        </w:tc>
        <w:tc>
          <w:tcPr>
            <w:tcW w:w="709" w:type="dxa"/>
            <w:vAlign w:val="center"/>
            <w:hideMark/>
          </w:tcPr>
          <w:p w14:paraId="0893CCDB" w14:textId="77777777" w:rsidR="00AE77DE" w:rsidRPr="005954E3" w:rsidRDefault="00AE77DE" w:rsidP="00AE77DE">
            <w:pPr>
              <w:pStyle w:val="tabletextleft"/>
              <w:rPr>
                <w:szCs w:val="18"/>
              </w:rPr>
            </w:pPr>
            <w:r w:rsidRPr="005954E3">
              <w:rPr>
                <w:szCs w:val="18"/>
              </w:rPr>
              <w:t>B.9</w:t>
            </w:r>
          </w:p>
        </w:tc>
        <w:tc>
          <w:tcPr>
            <w:tcW w:w="1077" w:type="dxa"/>
            <w:vAlign w:val="bottom"/>
          </w:tcPr>
          <w:p w14:paraId="2926993E" w14:textId="0BE869E5" w:rsidR="00AE77DE" w:rsidRPr="005954E3" w:rsidRDefault="00AE77DE" w:rsidP="00AE77DE">
            <w:pPr>
              <w:pStyle w:val="tabletextleft"/>
              <w:jc w:val="right"/>
              <w:rPr>
                <w:szCs w:val="18"/>
              </w:rPr>
            </w:pPr>
            <w:r w:rsidRPr="00E27712">
              <w:rPr>
                <w:rFonts w:ascii="Times New Roman CYR" w:hAnsi="Times New Roman CYR" w:cs="Times New Roman CYR"/>
                <w:szCs w:val="18"/>
              </w:rPr>
              <w:t>0.3</w:t>
            </w:r>
          </w:p>
        </w:tc>
        <w:tc>
          <w:tcPr>
            <w:tcW w:w="1078" w:type="dxa"/>
            <w:vAlign w:val="bottom"/>
          </w:tcPr>
          <w:p w14:paraId="48D1B564" w14:textId="6E331EF3" w:rsidR="00AE77DE" w:rsidRPr="005954E3" w:rsidRDefault="00AE77DE" w:rsidP="00AE77DE">
            <w:pPr>
              <w:pStyle w:val="tabletextleft"/>
              <w:jc w:val="right"/>
              <w:rPr>
                <w:szCs w:val="18"/>
              </w:rPr>
            </w:pPr>
            <w:r w:rsidRPr="00E27712">
              <w:rPr>
                <w:rFonts w:ascii="Times New Roman CYR" w:hAnsi="Times New Roman CYR" w:cs="Times New Roman CYR"/>
                <w:szCs w:val="18"/>
              </w:rPr>
              <w:t>1.0</w:t>
            </w:r>
          </w:p>
        </w:tc>
        <w:tc>
          <w:tcPr>
            <w:tcW w:w="1078" w:type="dxa"/>
            <w:vAlign w:val="bottom"/>
          </w:tcPr>
          <w:p w14:paraId="30289D50" w14:textId="3A37494A" w:rsidR="00AE77DE" w:rsidRPr="005954E3" w:rsidRDefault="00AE77DE" w:rsidP="00AE77DE">
            <w:pPr>
              <w:pStyle w:val="tabletextleft"/>
              <w:jc w:val="right"/>
              <w:rPr>
                <w:szCs w:val="18"/>
              </w:rPr>
            </w:pPr>
            <w:r w:rsidRPr="00E27712">
              <w:rPr>
                <w:rFonts w:ascii="Times New Roman CYR" w:hAnsi="Times New Roman CYR" w:cs="Times New Roman CYR"/>
                <w:szCs w:val="18"/>
              </w:rPr>
              <w:t>0.9</w:t>
            </w:r>
          </w:p>
        </w:tc>
        <w:tc>
          <w:tcPr>
            <w:tcW w:w="1078" w:type="dxa"/>
            <w:vAlign w:val="bottom"/>
          </w:tcPr>
          <w:p w14:paraId="2127D3B1" w14:textId="76035CD8" w:rsidR="00AE77DE" w:rsidRPr="005954E3" w:rsidRDefault="00AE77DE" w:rsidP="00AE77DE">
            <w:pPr>
              <w:pStyle w:val="tabletextleft"/>
              <w:jc w:val="right"/>
              <w:rPr>
                <w:szCs w:val="18"/>
              </w:rPr>
            </w:pPr>
            <w:r w:rsidRPr="00E27712">
              <w:rPr>
                <w:rFonts w:ascii="Times New Roman CYR" w:hAnsi="Times New Roman CYR" w:cs="Times New Roman CYR"/>
                <w:szCs w:val="18"/>
              </w:rPr>
              <w:t>-0.3</w:t>
            </w:r>
          </w:p>
        </w:tc>
        <w:tc>
          <w:tcPr>
            <w:tcW w:w="1078" w:type="dxa"/>
            <w:vAlign w:val="bottom"/>
          </w:tcPr>
          <w:p w14:paraId="0FF0E7AC" w14:textId="7A0DB6D0" w:rsidR="00AE77DE" w:rsidRPr="005954E3" w:rsidRDefault="00AE77DE" w:rsidP="00AE77DE">
            <w:pPr>
              <w:pStyle w:val="tabletextleft"/>
              <w:jc w:val="right"/>
              <w:rPr>
                <w:szCs w:val="18"/>
              </w:rPr>
            </w:pPr>
            <w:r w:rsidRPr="00E27712">
              <w:rPr>
                <w:rFonts w:ascii="Times New Roman CYR" w:hAnsi="Times New Roman CYR" w:cs="Times New Roman CYR"/>
                <w:szCs w:val="18"/>
              </w:rPr>
              <w:t>0.0</w:t>
            </w:r>
          </w:p>
        </w:tc>
      </w:tr>
      <w:tr w:rsidR="00AE77DE" w:rsidRPr="005954E3" w14:paraId="6BFCB994" w14:textId="77777777" w:rsidTr="00777E7B">
        <w:trPr>
          <w:trHeight w:val="510"/>
          <w:jc w:val="center"/>
        </w:trPr>
        <w:tc>
          <w:tcPr>
            <w:tcW w:w="2974" w:type="dxa"/>
            <w:vAlign w:val="center"/>
            <w:hideMark/>
          </w:tcPr>
          <w:p w14:paraId="68AF020F" w14:textId="77777777" w:rsidR="00AE77DE" w:rsidRPr="005954E3" w:rsidRDefault="00AE77DE" w:rsidP="00AE77DE">
            <w:pPr>
              <w:pStyle w:val="tabletextleft"/>
              <w:rPr>
                <w:szCs w:val="18"/>
              </w:rPr>
            </w:pPr>
            <w:r w:rsidRPr="005954E3">
              <w:rPr>
                <w:szCs w:val="18"/>
              </w:rPr>
              <w:sym w:font="Symbol" w:char="F02D"/>
            </w:r>
            <w:r w:rsidRPr="005954E3">
              <w:rPr>
                <w:szCs w:val="18"/>
              </w:rPr>
              <w:t xml:space="preserve"> баланс на стоки и услуги</w:t>
            </w:r>
          </w:p>
        </w:tc>
        <w:tc>
          <w:tcPr>
            <w:tcW w:w="709" w:type="dxa"/>
            <w:vAlign w:val="center"/>
          </w:tcPr>
          <w:p w14:paraId="1CEEEA25" w14:textId="77777777" w:rsidR="00AE77DE" w:rsidRPr="005954E3" w:rsidRDefault="00AE77DE" w:rsidP="00AE77DE">
            <w:pPr>
              <w:pStyle w:val="tabletextleft"/>
              <w:rPr>
                <w:szCs w:val="18"/>
              </w:rPr>
            </w:pPr>
          </w:p>
        </w:tc>
        <w:tc>
          <w:tcPr>
            <w:tcW w:w="1077" w:type="dxa"/>
            <w:vAlign w:val="bottom"/>
          </w:tcPr>
          <w:p w14:paraId="1499481D" w14:textId="7B2B3C93" w:rsidR="00AE77DE" w:rsidRPr="005954E3" w:rsidRDefault="00AE77DE" w:rsidP="00AE77DE">
            <w:pPr>
              <w:pStyle w:val="tabletextleft"/>
              <w:jc w:val="right"/>
              <w:rPr>
                <w:szCs w:val="18"/>
              </w:rPr>
            </w:pPr>
            <w:r w:rsidRPr="00E27712">
              <w:rPr>
                <w:rFonts w:ascii="Times New Roman CYR" w:hAnsi="Times New Roman CYR" w:cs="Times New Roman CYR"/>
                <w:szCs w:val="18"/>
              </w:rPr>
              <w:t>0.5</w:t>
            </w:r>
          </w:p>
        </w:tc>
        <w:tc>
          <w:tcPr>
            <w:tcW w:w="1078" w:type="dxa"/>
            <w:vAlign w:val="bottom"/>
          </w:tcPr>
          <w:p w14:paraId="57703CA0" w14:textId="44BFCCB6" w:rsidR="00AE77DE" w:rsidRPr="005954E3" w:rsidRDefault="00AE77DE" w:rsidP="00AE77DE">
            <w:pPr>
              <w:pStyle w:val="tabletextleft"/>
              <w:jc w:val="right"/>
              <w:rPr>
                <w:szCs w:val="18"/>
              </w:rPr>
            </w:pPr>
            <w:r w:rsidRPr="00E27712">
              <w:rPr>
                <w:rFonts w:ascii="Times New Roman CYR" w:hAnsi="Times New Roman CYR" w:cs="Times New Roman CYR"/>
                <w:szCs w:val="18"/>
              </w:rPr>
              <w:t>0.5</w:t>
            </w:r>
          </w:p>
        </w:tc>
        <w:tc>
          <w:tcPr>
            <w:tcW w:w="1078" w:type="dxa"/>
            <w:vAlign w:val="bottom"/>
          </w:tcPr>
          <w:p w14:paraId="07D2B9E5" w14:textId="0D1D3EF5" w:rsidR="00AE77DE" w:rsidRPr="005954E3" w:rsidRDefault="00AE77DE" w:rsidP="00AE77DE">
            <w:pPr>
              <w:pStyle w:val="tabletextleft"/>
              <w:jc w:val="right"/>
              <w:rPr>
                <w:szCs w:val="18"/>
              </w:rPr>
            </w:pPr>
            <w:r w:rsidRPr="00E27712">
              <w:rPr>
                <w:rFonts w:ascii="Times New Roman CYR" w:hAnsi="Times New Roman CYR" w:cs="Times New Roman CYR"/>
                <w:szCs w:val="18"/>
              </w:rPr>
              <w:t>-0.6</w:t>
            </w:r>
          </w:p>
        </w:tc>
        <w:tc>
          <w:tcPr>
            <w:tcW w:w="1078" w:type="dxa"/>
            <w:vAlign w:val="bottom"/>
          </w:tcPr>
          <w:p w14:paraId="3A322BA8" w14:textId="3604F281" w:rsidR="00AE77DE" w:rsidRPr="005954E3" w:rsidRDefault="00AE77DE" w:rsidP="00AE77DE">
            <w:pPr>
              <w:pStyle w:val="tabletextleft"/>
              <w:jc w:val="right"/>
              <w:rPr>
                <w:szCs w:val="18"/>
              </w:rPr>
            </w:pPr>
            <w:r w:rsidRPr="00E27712">
              <w:rPr>
                <w:rFonts w:ascii="Times New Roman CYR" w:hAnsi="Times New Roman CYR" w:cs="Times New Roman CYR"/>
                <w:szCs w:val="18"/>
              </w:rPr>
              <w:t>-0.6</w:t>
            </w:r>
          </w:p>
        </w:tc>
        <w:tc>
          <w:tcPr>
            <w:tcW w:w="1078" w:type="dxa"/>
            <w:vAlign w:val="bottom"/>
          </w:tcPr>
          <w:p w14:paraId="31C19EFA" w14:textId="76D80CDC" w:rsidR="00AE77DE" w:rsidRPr="005954E3" w:rsidRDefault="00AE77DE" w:rsidP="00AE77DE">
            <w:pPr>
              <w:pStyle w:val="tabletextleft"/>
              <w:jc w:val="right"/>
              <w:rPr>
                <w:szCs w:val="18"/>
              </w:rPr>
            </w:pPr>
            <w:r w:rsidRPr="00E27712">
              <w:rPr>
                <w:rFonts w:ascii="Times New Roman CYR" w:hAnsi="Times New Roman CYR" w:cs="Times New Roman CYR"/>
                <w:szCs w:val="18"/>
              </w:rPr>
              <w:t>-0.6</w:t>
            </w:r>
          </w:p>
        </w:tc>
      </w:tr>
      <w:tr w:rsidR="00AE77DE" w:rsidRPr="005954E3" w14:paraId="3B14FEFB" w14:textId="77777777" w:rsidTr="00777E7B">
        <w:trPr>
          <w:trHeight w:val="510"/>
          <w:jc w:val="center"/>
        </w:trPr>
        <w:tc>
          <w:tcPr>
            <w:tcW w:w="2974" w:type="dxa"/>
            <w:vAlign w:val="center"/>
            <w:hideMark/>
          </w:tcPr>
          <w:p w14:paraId="59685E05" w14:textId="77777777" w:rsidR="00AE77DE" w:rsidRPr="005954E3" w:rsidRDefault="00AE77DE" w:rsidP="00AE77DE">
            <w:pPr>
              <w:pStyle w:val="tabletextleft"/>
              <w:rPr>
                <w:szCs w:val="18"/>
              </w:rPr>
            </w:pPr>
            <w:r w:rsidRPr="005954E3">
              <w:rPr>
                <w:szCs w:val="18"/>
              </w:rPr>
              <w:sym w:font="Symbol" w:char="F02D"/>
            </w:r>
            <w:r w:rsidRPr="005954E3">
              <w:rPr>
                <w:szCs w:val="18"/>
              </w:rPr>
              <w:t xml:space="preserve"> баланс на първични доходи и трансфери</w:t>
            </w:r>
          </w:p>
        </w:tc>
        <w:tc>
          <w:tcPr>
            <w:tcW w:w="709" w:type="dxa"/>
            <w:vAlign w:val="center"/>
          </w:tcPr>
          <w:p w14:paraId="13EBDE61" w14:textId="77777777" w:rsidR="00AE77DE" w:rsidRPr="005954E3" w:rsidRDefault="00AE77DE" w:rsidP="00AE77DE">
            <w:pPr>
              <w:pStyle w:val="tabletextleft"/>
              <w:rPr>
                <w:szCs w:val="18"/>
              </w:rPr>
            </w:pPr>
          </w:p>
        </w:tc>
        <w:tc>
          <w:tcPr>
            <w:tcW w:w="1077" w:type="dxa"/>
            <w:vAlign w:val="bottom"/>
          </w:tcPr>
          <w:p w14:paraId="5ABEECAE" w14:textId="5972577F" w:rsidR="00AE77DE" w:rsidRPr="005954E3" w:rsidRDefault="00AE77DE" w:rsidP="00AE77DE">
            <w:pPr>
              <w:pStyle w:val="tabletextleft"/>
              <w:jc w:val="right"/>
              <w:rPr>
                <w:szCs w:val="18"/>
              </w:rPr>
            </w:pPr>
            <w:r w:rsidRPr="00E27712">
              <w:rPr>
                <w:rFonts w:ascii="Times New Roman CYR" w:hAnsi="Times New Roman CYR" w:cs="Times New Roman CYR"/>
                <w:szCs w:val="18"/>
              </w:rPr>
              <w:t>-1.2</w:t>
            </w:r>
          </w:p>
        </w:tc>
        <w:tc>
          <w:tcPr>
            <w:tcW w:w="1078" w:type="dxa"/>
            <w:vAlign w:val="bottom"/>
          </w:tcPr>
          <w:p w14:paraId="698AA6F3" w14:textId="12937B7B" w:rsidR="00AE77DE" w:rsidRPr="005954E3" w:rsidRDefault="00AE77DE" w:rsidP="00AE77DE">
            <w:pPr>
              <w:pStyle w:val="tabletextleft"/>
              <w:jc w:val="right"/>
              <w:rPr>
                <w:szCs w:val="18"/>
              </w:rPr>
            </w:pPr>
            <w:r w:rsidRPr="00E27712">
              <w:rPr>
                <w:rFonts w:ascii="Times New Roman CYR" w:hAnsi="Times New Roman CYR" w:cs="Times New Roman CYR"/>
                <w:szCs w:val="18"/>
              </w:rPr>
              <w:t>-1.2</w:t>
            </w:r>
          </w:p>
        </w:tc>
        <w:tc>
          <w:tcPr>
            <w:tcW w:w="1078" w:type="dxa"/>
            <w:vAlign w:val="bottom"/>
          </w:tcPr>
          <w:p w14:paraId="0733AD05" w14:textId="3EF4D714" w:rsidR="00AE77DE" w:rsidRPr="005954E3" w:rsidRDefault="00AE77DE" w:rsidP="00AE77DE">
            <w:pPr>
              <w:pStyle w:val="tabletextleft"/>
              <w:jc w:val="right"/>
              <w:rPr>
                <w:szCs w:val="18"/>
              </w:rPr>
            </w:pPr>
            <w:r w:rsidRPr="00E27712">
              <w:rPr>
                <w:rFonts w:ascii="Times New Roman CYR" w:hAnsi="Times New Roman CYR" w:cs="Times New Roman CYR"/>
                <w:szCs w:val="18"/>
              </w:rPr>
              <w:t>-1.1</w:t>
            </w:r>
          </w:p>
        </w:tc>
        <w:tc>
          <w:tcPr>
            <w:tcW w:w="1078" w:type="dxa"/>
            <w:vAlign w:val="bottom"/>
          </w:tcPr>
          <w:p w14:paraId="64814C24" w14:textId="51EBF959" w:rsidR="00AE77DE" w:rsidRPr="005954E3" w:rsidRDefault="00AE77DE" w:rsidP="00AE77DE">
            <w:pPr>
              <w:pStyle w:val="tabletextleft"/>
              <w:jc w:val="right"/>
              <w:rPr>
                <w:szCs w:val="18"/>
              </w:rPr>
            </w:pPr>
            <w:r w:rsidRPr="00E27712">
              <w:rPr>
                <w:rFonts w:ascii="Times New Roman CYR" w:hAnsi="Times New Roman CYR" w:cs="Times New Roman CYR"/>
                <w:szCs w:val="18"/>
              </w:rPr>
              <w:t>-1.3</w:t>
            </w:r>
          </w:p>
        </w:tc>
        <w:tc>
          <w:tcPr>
            <w:tcW w:w="1078" w:type="dxa"/>
            <w:vAlign w:val="bottom"/>
          </w:tcPr>
          <w:p w14:paraId="4F52EB2D" w14:textId="64C9B86D" w:rsidR="00AE77DE" w:rsidRPr="005954E3" w:rsidRDefault="00AE77DE" w:rsidP="00AE77DE">
            <w:pPr>
              <w:pStyle w:val="tabletextleft"/>
              <w:jc w:val="right"/>
              <w:rPr>
                <w:szCs w:val="18"/>
              </w:rPr>
            </w:pPr>
            <w:r w:rsidRPr="00E27712">
              <w:rPr>
                <w:rFonts w:ascii="Times New Roman CYR" w:hAnsi="Times New Roman CYR" w:cs="Times New Roman CYR"/>
                <w:szCs w:val="18"/>
              </w:rPr>
              <w:t>-1.4</w:t>
            </w:r>
          </w:p>
        </w:tc>
      </w:tr>
      <w:tr w:rsidR="00AE77DE" w:rsidRPr="005954E3" w14:paraId="48C4E85E" w14:textId="77777777" w:rsidTr="00777E7B">
        <w:trPr>
          <w:trHeight w:val="510"/>
          <w:jc w:val="center"/>
        </w:trPr>
        <w:tc>
          <w:tcPr>
            <w:tcW w:w="2974" w:type="dxa"/>
            <w:vAlign w:val="center"/>
            <w:hideMark/>
          </w:tcPr>
          <w:p w14:paraId="2F86B0A9" w14:textId="77777777" w:rsidR="00AE77DE" w:rsidRPr="005954E3" w:rsidRDefault="00AE77DE" w:rsidP="00AE77DE">
            <w:pPr>
              <w:pStyle w:val="tabletextleft"/>
              <w:rPr>
                <w:szCs w:val="18"/>
              </w:rPr>
            </w:pPr>
            <w:r w:rsidRPr="005954E3">
              <w:rPr>
                <w:szCs w:val="18"/>
              </w:rPr>
              <w:sym w:font="Symbol" w:char="F02D"/>
            </w:r>
            <w:r w:rsidRPr="005954E3">
              <w:rPr>
                <w:szCs w:val="18"/>
              </w:rPr>
              <w:t xml:space="preserve"> капиталова сметка</w:t>
            </w:r>
          </w:p>
        </w:tc>
        <w:tc>
          <w:tcPr>
            <w:tcW w:w="709" w:type="dxa"/>
            <w:vAlign w:val="center"/>
          </w:tcPr>
          <w:p w14:paraId="5D341630" w14:textId="77777777" w:rsidR="00AE77DE" w:rsidRPr="005954E3" w:rsidRDefault="00AE77DE" w:rsidP="00AE77DE">
            <w:pPr>
              <w:pStyle w:val="tabletextleft"/>
              <w:rPr>
                <w:szCs w:val="18"/>
              </w:rPr>
            </w:pPr>
          </w:p>
        </w:tc>
        <w:tc>
          <w:tcPr>
            <w:tcW w:w="1077" w:type="dxa"/>
            <w:vAlign w:val="bottom"/>
          </w:tcPr>
          <w:p w14:paraId="324424A0" w14:textId="29B5196C" w:rsidR="00AE77DE" w:rsidRPr="005954E3" w:rsidRDefault="00AE77DE" w:rsidP="00AE77DE">
            <w:pPr>
              <w:pStyle w:val="tabletextleft"/>
              <w:jc w:val="right"/>
              <w:rPr>
                <w:szCs w:val="18"/>
              </w:rPr>
            </w:pPr>
            <w:r w:rsidRPr="00E27712">
              <w:rPr>
                <w:rFonts w:ascii="Times New Roman CYR" w:hAnsi="Times New Roman CYR" w:cs="Times New Roman CYR"/>
                <w:szCs w:val="18"/>
              </w:rPr>
              <w:t>0.9</w:t>
            </w:r>
          </w:p>
        </w:tc>
        <w:tc>
          <w:tcPr>
            <w:tcW w:w="1078" w:type="dxa"/>
            <w:vAlign w:val="bottom"/>
          </w:tcPr>
          <w:p w14:paraId="7B3DEB42" w14:textId="239D0653" w:rsidR="00AE77DE" w:rsidRPr="005954E3" w:rsidRDefault="00AE77DE" w:rsidP="00AE77DE">
            <w:pPr>
              <w:pStyle w:val="tabletextleft"/>
              <w:jc w:val="right"/>
              <w:rPr>
                <w:szCs w:val="18"/>
              </w:rPr>
            </w:pPr>
            <w:r w:rsidRPr="00E27712">
              <w:rPr>
                <w:rFonts w:ascii="Times New Roman CYR" w:hAnsi="Times New Roman CYR" w:cs="Times New Roman CYR"/>
                <w:szCs w:val="18"/>
              </w:rPr>
              <w:t>1.7</w:t>
            </w:r>
          </w:p>
        </w:tc>
        <w:tc>
          <w:tcPr>
            <w:tcW w:w="1078" w:type="dxa"/>
            <w:vAlign w:val="bottom"/>
          </w:tcPr>
          <w:p w14:paraId="11773AB7" w14:textId="5A085992" w:rsidR="00AE77DE" w:rsidRPr="005954E3" w:rsidRDefault="00AE77DE" w:rsidP="00AE77DE">
            <w:pPr>
              <w:pStyle w:val="tabletextleft"/>
              <w:jc w:val="right"/>
              <w:rPr>
                <w:szCs w:val="18"/>
              </w:rPr>
            </w:pPr>
            <w:r w:rsidRPr="00E27712">
              <w:rPr>
                <w:rFonts w:ascii="Times New Roman CYR" w:hAnsi="Times New Roman CYR" w:cs="Times New Roman CYR"/>
                <w:szCs w:val="18"/>
              </w:rPr>
              <w:t>2.6</w:t>
            </w:r>
          </w:p>
        </w:tc>
        <w:tc>
          <w:tcPr>
            <w:tcW w:w="1078" w:type="dxa"/>
            <w:vAlign w:val="bottom"/>
          </w:tcPr>
          <w:p w14:paraId="26143C26" w14:textId="0D611174" w:rsidR="00AE77DE" w:rsidRPr="005954E3" w:rsidRDefault="00AE77DE" w:rsidP="00AE77DE">
            <w:pPr>
              <w:pStyle w:val="tabletextleft"/>
              <w:jc w:val="right"/>
              <w:rPr>
                <w:szCs w:val="18"/>
              </w:rPr>
            </w:pPr>
            <w:r w:rsidRPr="00E27712">
              <w:rPr>
                <w:rFonts w:ascii="Times New Roman CYR" w:hAnsi="Times New Roman CYR" w:cs="Times New Roman CYR"/>
                <w:szCs w:val="18"/>
              </w:rPr>
              <w:t>1.7</w:t>
            </w:r>
          </w:p>
        </w:tc>
        <w:tc>
          <w:tcPr>
            <w:tcW w:w="1078" w:type="dxa"/>
            <w:vAlign w:val="bottom"/>
          </w:tcPr>
          <w:p w14:paraId="71544416" w14:textId="5FE759B1" w:rsidR="00AE77DE" w:rsidRPr="005954E3" w:rsidRDefault="00AE77DE" w:rsidP="00AE77DE">
            <w:pPr>
              <w:pStyle w:val="tabletextleft"/>
              <w:jc w:val="right"/>
              <w:rPr>
                <w:szCs w:val="18"/>
              </w:rPr>
            </w:pPr>
            <w:r w:rsidRPr="00E27712">
              <w:rPr>
                <w:rFonts w:ascii="Times New Roman CYR" w:hAnsi="Times New Roman CYR" w:cs="Times New Roman CYR"/>
                <w:szCs w:val="18"/>
              </w:rPr>
              <w:t>2.0</w:t>
            </w:r>
          </w:p>
        </w:tc>
      </w:tr>
      <w:tr w:rsidR="00D96E2C" w:rsidRPr="005954E3" w14:paraId="793B965A" w14:textId="77777777" w:rsidTr="001B3937">
        <w:trPr>
          <w:trHeight w:val="510"/>
          <w:jc w:val="center"/>
        </w:trPr>
        <w:tc>
          <w:tcPr>
            <w:tcW w:w="2974" w:type="dxa"/>
            <w:vAlign w:val="center"/>
            <w:hideMark/>
          </w:tcPr>
          <w:p w14:paraId="45133909" w14:textId="77777777" w:rsidR="00D96E2C" w:rsidRPr="005954E3" w:rsidRDefault="00D96E2C" w:rsidP="00D96E2C">
            <w:pPr>
              <w:pStyle w:val="tabletextleft"/>
              <w:rPr>
                <w:szCs w:val="18"/>
              </w:rPr>
            </w:pPr>
            <w:r w:rsidRPr="005954E3">
              <w:rPr>
                <w:szCs w:val="18"/>
              </w:rPr>
              <w:t>Нето предоставени/ получени заеми на частния сектор</w:t>
            </w:r>
          </w:p>
        </w:tc>
        <w:tc>
          <w:tcPr>
            <w:tcW w:w="709" w:type="dxa"/>
            <w:vAlign w:val="center"/>
            <w:hideMark/>
          </w:tcPr>
          <w:p w14:paraId="0D7FF4C6" w14:textId="77777777" w:rsidR="00D96E2C" w:rsidRPr="005954E3" w:rsidRDefault="00D96E2C" w:rsidP="00D96E2C">
            <w:pPr>
              <w:pStyle w:val="tabletextleft"/>
              <w:rPr>
                <w:szCs w:val="18"/>
              </w:rPr>
            </w:pPr>
            <w:r w:rsidRPr="005954E3">
              <w:rPr>
                <w:szCs w:val="18"/>
              </w:rPr>
              <w:t>B.9</w:t>
            </w:r>
          </w:p>
        </w:tc>
        <w:tc>
          <w:tcPr>
            <w:tcW w:w="1077" w:type="dxa"/>
            <w:vAlign w:val="bottom"/>
          </w:tcPr>
          <w:p w14:paraId="00DE15FE" w14:textId="3D890462" w:rsidR="00D96E2C" w:rsidRPr="005954E3" w:rsidRDefault="00D96E2C" w:rsidP="00D96E2C">
            <w:pPr>
              <w:pStyle w:val="tabletextleft"/>
              <w:jc w:val="right"/>
              <w:rPr>
                <w:szCs w:val="18"/>
              </w:rPr>
            </w:pPr>
            <w:r w:rsidRPr="007B0598">
              <w:rPr>
                <w:rFonts w:ascii="Times New Roman CYR" w:hAnsi="Times New Roman CYR" w:cs="Times New Roman CYR"/>
                <w:szCs w:val="18"/>
              </w:rPr>
              <w:t>3.1</w:t>
            </w:r>
          </w:p>
        </w:tc>
        <w:tc>
          <w:tcPr>
            <w:tcW w:w="1078" w:type="dxa"/>
            <w:vAlign w:val="bottom"/>
          </w:tcPr>
          <w:p w14:paraId="62FE5E61" w14:textId="4C7A0289" w:rsidR="00D96E2C" w:rsidRPr="005954E3" w:rsidRDefault="00D96E2C" w:rsidP="00D96E2C">
            <w:pPr>
              <w:pStyle w:val="tabletextleft"/>
              <w:jc w:val="right"/>
              <w:rPr>
                <w:szCs w:val="18"/>
              </w:rPr>
            </w:pPr>
            <w:r w:rsidRPr="007B0598">
              <w:rPr>
                <w:rFonts w:ascii="Times New Roman CYR" w:hAnsi="Times New Roman CYR" w:cs="Times New Roman CYR"/>
                <w:szCs w:val="18"/>
              </w:rPr>
              <w:t>7.1</w:t>
            </w:r>
          </w:p>
        </w:tc>
        <w:tc>
          <w:tcPr>
            <w:tcW w:w="1078" w:type="dxa"/>
            <w:vAlign w:val="bottom"/>
          </w:tcPr>
          <w:p w14:paraId="5377966A" w14:textId="7FC020ED" w:rsidR="00D96E2C" w:rsidRPr="005954E3" w:rsidRDefault="00D96E2C" w:rsidP="00D96E2C">
            <w:pPr>
              <w:pStyle w:val="tabletextleft"/>
              <w:jc w:val="right"/>
              <w:rPr>
                <w:szCs w:val="18"/>
              </w:rPr>
            </w:pPr>
            <w:r w:rsidRPr="007B0598">
              <w:rPr>
                <w:rFonts w:ascii="Times New Roman CYR" w:hAnsi="Times New Roman CYR" w:cs="Times New Roman CYR"/>
                <w:szCs w:val="18"/>
              </w:rPr>
              <w:t>5.6</w:t>
            </w:r>
          </w:p>
        </w:tc>
        <w:tc>
          <w:tcPr>
            <w:tcW w:w="1078" w:type="dxa"/>
            <w:vAlign w:val="bottom"/>
          </w:tcPr>
          <w:p w14:paraId="2DD24A62" w14:textId="08BC182A" w:rsidR="00D96E2C" w:rsidRPr="005954E3" w:rsidRDefault="00D96E2C" w:rsidP="00D96E2C">
            <w:pPr>
              <w:pStyle w:val="tabletextleft"/>
              <w:jc w:val="right"/>
              <w:rPr>
                <w:szCs w:val="18"/>
              </w:rPr>
            </w:pPr>
            <w:r w:rsidRPr="007B0598">
              <w:rPr>
                <w:rFonts w:ascii="Times New Roman CYR" w:hAnsi="Times New Roman CYR" w:cs="Times New Roman CYR"/>
                <w:szCs w:val="18"/>
              </w:rPr>
              <w:t>4.7</w:t>
            </w:r>
          </w:p>
        </w:tc>
        <w:tc>
          <w:tcPr>
            <w:tcW w:w="1078" w:type="dxa"/>
            <w:vAlign w:val="bottom"/>
          </w:tcPr>
          <w:p w14:paraId="777C5E53" w14:textId="32F7C4AC" w:rsidR="00D96E2C" w:rsidRPr="005954E3" w:rsidRDefault="00D96E2C" w:rsidP="00D96E2C">
            <w:pPr>
              <w:pStyle w:val="tabletextleft"/>
              <w:jc w:val="right"/>
              <w:rPr>
                <w:szCs w:val="18"/>
              </w:rPr>
            </w:pPr>
            <w:r w:rsidRPr="007B0598">
              <w:rPr>
                <w:rFonts w:ascii="Times New Roman CYR" w:hAnsi="Times New Roman CYR" w:cs="Times New Roman CYR"/>
                <w:szCs w:val="18"/>
              </w:rPr>
              <w:t>5.1</w:t>
            </w:r>
          </w:p>
        </w:tc>
      </w:tr>
      <w:tr w:rsidR="00D96E2C" w:rsidRPr="005954E3" w14:paraId="532FA302" w14:textId="77777777" w:rsidTr="001B3937">
        <w:trPr>
          <w:trHeight w:val="510"/>
          <w:jc w:val="center"/>
        </w:trPr>
        <w:tc>
          <w:tcPr>
            <w:tcW w:w="2974" w:type="dxa"/>
            <w:vAlign w:val="center"/>
            <w:hideMark/>
          </w:tcPr>
          <w:p w14:paraId="7E03F2CD" w14:textId="77777777" w:rsidR="00D96E2C" w:rsidRPr="005954E3" w:rsidRDefault="00D96E2C" w:rsidP="00D96E2C">
            <w:pPr>
              <w:pStyle w:val="tabletextleft"/>
              <w:rPr>
                <w:szCs w:val="18"/>
              </w:rPr>
            </w:pPr>
            <w:r w:rsidRPr="005954E3">
              <w:rPr>
                <w:szCs w:val="18"/>
              </w:rPr>
              <w:t>Нето предоставени/ получени заеми на консолидираното правителство</w:t>
            </w:r>
          </w:p>
        </w:tc>
        <w:tc>
          <w:tcPr>
            <w:tcW w:w="709" w:type="dxa"/>
            <w:vAlign w:val="center"/>
            <w:hideMark/>
          </w:tcPr>
          <w:p w14:paraId="7886A944" w14:textId="77777777" w:rsidR="00D96E2C" w:rsidRPr="005954E3" w:rsidRDefault="00D96E2C" w:rsidP="00D96E2C">
            <w:pPr>
              <w:pStyle w:val="tabletextleft"/>
              <w:rPr>
                <w:szCs w:val="18"/>
              </w:rPr>
            </w:pPr>
            <w:r w:rsidRPr="005954E3">
              <w:rPr>
                <w:szCs w:val="18"/>
              </w:rPr>
              <w:t>EDP B.9</w:t>
            </w:r>
          </w:p>
        </w:tc>
        <w:tc>
          <w:tcPr>
            <w:tcW w:w="1077" w:type="dxa"/>
            <w:vAlign w:val="bottom"/>
          </w:tcPr>
          <w:p w14:paraId="61188D36" w14:textId="6640C3E9" w:rsidR="00D96E2C" w:rsidRPr="005954E3" w:rsidRDefault="00D96E2C" w:rsidP="00D96E2C">
            <w:pPr>
              <w:pStyle w:val="tabletextleft"/>
              <w:jc w:val="right"/>
              <w:rPr>
                <w:szCs w:val="18"/>
              </w:rPr>
            </w:pPr>
            <w:r w:rsidRPr="007B0598">
              <w:rPr>
                <w:rFonts w:ascii="Times New Roman CYR" w:hAnsi="Times New Roman CYR" w:cs="Times New Roman CYR"/>
                <w:szCs w:val="18"/>
              </w:rPr>
              <w:t>-2.8</w:t>
            </w:r>
          </w:p>
        </w:tc>
        <w:tc>
          <w:tcPr>
            <w:tcW w:w="1078" w:type="dxa"/>
            <w:vAlign w:val="bottom"/>
          </w:tcPr>
          <w:p w14:paraId="05EE4609" w14:textId="5DA8C225" w:rsidR="00D96E2C" w:rsidRPr="005954E3" w:rsidRDefault="00D96E2C" w:rsidP="00D96E2C">
            <w:pPr>
              <w:pStyle w:val="tabletextleft"/>
              <w:jc w:val="right"/>
              <w:rPr>
                <w:szCs w:val="18"/>
              </w:rPr>
            </w:pPr>
            <w:r w:rsidRPr="007B0598">
              <w:rPr>
                <w:rFonts w:ascii="Times New Roman CYR" w:hAnsi="Times New Roman CYR" w:cs="Times New Roman CYR"/>
                <w:szCs w:val="18"/>
              </w:rPr>
              <w:t>-6.1</w:t>
            </w:r>
          </w:p>
        </w:tc>
        <w:tc>
          <w:tcPr>
            <w:tcW w:w="1078" w:type="dxa"/>
            <w:vAlign w:val="bottom"/>
          </w:tcPr>
          <w:p w14:paraId="21016C96" w14:textId="2E2CF2FD" w:rsidR="00D96E2C" w:rsidRPr="005954E3" w:rsidRDefault="00D96E2C" w:rsidP="00D96E2C">
            <w:pPr>
              <w:pStyle w:val="tabletextleft"/>
              <w:jc w:val="right"/>
              <w:rPr>
                <w:szCs w:val="18"/>
              </w:rPr>
            </w:pPr>
            <w:r w:rsidRPr="007B0598">
              <w:rPr>
                <w:rFonts w:ascii="Times New Roman CYR" w:hAnsi="Times New Roman CYR" w:cs="Times New Roman CYR"/>
                <w:szCs w:val="18"/>
              </w:rPr>
              <w:t>-4.7</w:t>
            </w:r>
          </w:p>
        </w:tc>
        <w:tc>
          <w:tcPr>
            <w:tcW w:w="1078" w:type="dxa"/>
            <w:vAlign w:val="bottom"/>
          </w:tcPr>
          <w:p w14:paraId="4EAF7B80" w14:textId="0D729CD2" w:rsidR="00D96E2C" w:rsidRPr="005954E3" w:rsidRDefault="00D96E2C" w:rsidP="00D96E2C">
            <w:pPr>
              <w:pStyle w:val="tabletextleft"/>
              <w:jc w:val="right"/>
              <w:rPr>
                <w:szCs w:val="18"/>
              </w:rPr>
            </w:pPr>
            <w:r w:rsidRPr="007B0598">
              <w:rPr>
                <w:rFonts w:ascii="Times New Roman CYR" w:hAnsi="Times New Roman CYR" w:cs="Times New Roman CYR"/>
                <w:szCs w:val="18"/>
              </w:rPr>
              <w:t>-4.9</w:t>
            </w:r>
          </w:p>
        </w:tc>
        <w:tc>
          <w:tcPr>
            <w:tcW w:w="1078" w:type="dxa"/>
            <w:vAlign w:val="bottom"/>
          </w:tcPr>
          <w:p w14:paraId="3D21C281" w14:textId="00F6CDA7" w:rsidR="00D96E2C" w:rsidRPr="005954E3" w:rsidRDefault="00D96E2C" w:rsidP="00D96E2C">
            <w:pPr>
              <w:pStyle w:val="tabletextleft"/>
              <w:jc w:val="right"/>
              <w:rPr>
                <w:szCs w:val="18"/>
              </w:rPr>
            </w:pPr>
            <w:r w:rsidRPr="007B0598">
              <w:rPr>
                <w:rFonts w:ascii="Times New Roman CYR" w:hAnsi="Times New Roman CYR" w:cs="Times New Roman CYR"/>
                <w:szCs w:val="18"/>
              </w:rPr>
              <w:t>-5.0</w:t>
            </w:r>
          </w:p>
        </w:tc>
      </w:tr>
      <w:tr w:rsidR="00AE77DE" w:rsidRPr="005954E3" w14:paraId="2C5B84FE" w14:textId="77777777" w:rsidTr="006D2755">
        <w:trPr>
          <w:trHeight w:val="510"/>
          <w:jc w:val="center"/>
        </w:trPr>
        <w:tc>
          <w:tcPr>
            <w:tcW w:w="2974" w:type="dxa"/>
            <w:vAlign w:val="center"/>
            <w:hideMark/>
          </w:tcPr>
          <w:p w14:paraId="658D5CE4" w14:textId="77777777" w:rsidR="00AE77DE" w:rsidRPr="005954E3" w:rsidRDefault="00AE77DE" w:rsidP="00AE77DE">
            <w:pPr>
              <w:pStyle w:val="tabletextleft"/>
              <w:rPr>
                <w:szCs w:val="18"/>
                <w:highlight w:val="yellow"/>
              </w:rPr>
            </w:pPr>
            <w:r w:rsidRPr="005954E3">
              <w:rPr>
                <w:szCs w:val="18"/>
              </w:rPr>
              <w:t>Статистическа разлика</w:t>
            </w:r>
          </w:p>
        </w:tc>
        <w:tc>
          <w:tcPr>
            <w:tcW w:w="709" w:type="dxa"/>
            <w:vAlign w:val="center"/>
          </w:tcPr>
          <w:p w14:paraId="7B317682" w14:textId="77777777" w:rsidR="00AE77DE" w:rsidRPr="005954E3" w:rsidRDefault="00AE77DE" w:rsidP="00AE77DE">
            <w:pPr>
              <w:pStyle w:val="tabletextleft"/>
              <w:rPr>
                <w:szCs w:val="18"/>
                <w:highlight w:val="yellow"/>
              </w:rPr>
            </w:pPr>
          </w:p>
        </w:tc>
        <w:tc>
          <w:tcPr>
            <w:tcW w:w="1077" w:type="dxa"/>
            <w:vAlign w:val="center"/>
          </w:tcPr>
          <w:p w14:paraId="339C57B5" w14:textId="77777777" w:rsidR="00AE77DE" w:rsidRPr="005954E3" w:rsidRDefault="00AE77DE" w:rsidP="00AE77DE">
            <w:pPr>
              <w:pStyle w:val="tabletextleft"/>
              <w:jc w:val="right"/>
              <w:rPr>
                <w:szCs w:val="18"/>
                <w:highlight w:val="yellow"/>
              </w:rPr>
            </w:pPr>
          </w:p>
        </w:tc>
        <w:tc>
          <w:tcPr>
            <w:tcW w:w="1078" w:type="dxa"/>
            <w:vAlign w:val="center"/>
          </w:tcPr>
          <w:p w14:paraId="0FDD859C" w14:textId="77777777" w:rsidR="00AE77DE" w:rsidRPr="005954E3" w:rsidRDefault="00AE77DE" w:rsidP="00AE77DE">
            <w:pPr>
              <w:pStyle w:val="tabletextleft"/>
              <w:jc w:val="right"/>
              <w:rPr>
                <w:szCs w:val="18"/>
                <w:highlight w:val="yellow"/>
              </w:rPr>
            </w:pPr>
          </w:p>
        </w:tc>
        <w:tc>
          <w:tcPr>
            <w:tcW w:w="1078" w:type="dxa"/>
            <w:vAlign w:val="center"/>
          </w:tcPr>
          <w:p w14:paraId="405B76C2" w14:textId="77777777" w:rsidR="00AE77DE" w:rsidRPr="005954E3" w:rsidRDefault="00AE77DE" w:rsidP="00AE77DE">
            <w:pPr>
              <w:pStyle w:val="tabletextleft"/>
              <w:jc w:val="right"/>
              <w:rPr>
                <w:szCs w:val="18"/>
                <w:highlight w:val="yellow"/>
              </w:rPr>
            </w:pPr>
          </w:p>
        </w:tc>
        <w:tc>
          <w:tcPr>
            <w:tcW w:w="1078" w:type="dxa"/>
            <w:vAlign w:val="center"/>
          </w:tcPr>
          <w:p w14:paraId="0FE7B617" w14:textId="77777777" w:rsidR="00AE77DE" w:rsidRPr="005954E3" w:rsidRDefault="00AE77DE" w:rsidP="00AE77DE">
            <w:pPr>
              <w:pStyle w:val="tabletextleft"/>
              <w:jc w:val="right"/>
              <w:rPr>
                <w:szCs w:val="18"/>
                <w:highlight w:val="yellow"/>
              </w:rPr>
            </w:pPr>
          </w:p>
        </w:tc>
        <w:tc>
          <w:tcPr>
            <w:tcW w:w="1078" w:type="dxa"/>
            <w:vAlign w:val="center"/>
          </w:tcPr>
          <w:p w14:paraId="47413A04" w14:textId="77777777" w:rsidR="00AE77DE" w:rsidRPr="005954E3" w:rsidRDefault="00AE77DE" w:rsidP="00AE77DE">
            <w:pPr>
              <w:pStyle w:val="tabletextleft"/>
              <w:jc w:val="right"/>
              <w:rPr>
                <w:szCs w:val="18"/>
              </w:rPr>
            </w:pPr>
          </w:p>
        </w:tc>
      </w:tr>
    </w:tbl>
    <w:p w14:paraId="4E09E06F" w14:textId="04A18069" w:rsidR="006D2755" w:rsidRDefault="006D2755" w:rsidP="006D2755">
      <w:bookmarkStart w:id="173" w:name="_Toc448227315"/>
      <w:bookmarkStart w:id="174" w:name="_Toc479332466"/>
    </w:p>
    <w:p w14:paraId="42C7F338" w14:textId="77777777" w:rsidR="00B206D1" w:rsidRPr="005954E3" w:rsidRDefault="00B206D1" w:rsidP="006D2755"/>
    <w:p w14:paraId="6BF3EC32" w14:textId="77777777" w:rsidR="006D2755" w:rsidRPr="005954E3" w:rsidRDefault="006D2755" w:rsidP="00EE53B2">
      <w:pPr>
        <w:pStyle w:val="Heading2"/>
        <w:numPr>
          <w:ilvl w:val="0"/>
          <w:numId w:val="0"/>
        </w:numPr>
      </w:pPr>
      <w:bookmarkStart w:id="175" w:name="_Toc133597297"/>
      <w:r w:rsidRPr="005954E3">
        <w:t>Табл. 2a: Бюджетни прогнози на сектор „Държавно управление”</w:t>
      </w:r>
      <w:bookmarkEnd w:id="173"/>
      <w:bookmarkEnd w:id="174"/>
      <w:bookmarkEnd w:id="175"/>
    </w:p>
    <w:tbl>
      <w:tblPr>
        <w:tblStyle w:val="Style19"/>
        <w:tblW w:w="4908"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CellMar>
          <w:left w:w="85" w:type="dxa"/>
          <w:right w:w="85" w:type="dxa"/>
        </w:tblCellMar>
        <w:tblLook w:val="06A0" w:firstRow="1" w:lastRow="0" w:firstColumn="1" w:lastColumn="0" w:noHBand="1" w:noVBand="1"/>
      </w:tblPr>
      <w:tblGrid>
        <w:gridCol w:w="3269"/>
        <w:gridCol w:w="840"/>
        <w:gridCol w:w="869"/>
        <w:gridCol w:w="795"/>
        <w:gridCol w:w="795"/>
        <w:gridCol w:w="790"/>
        <w:gridCol w:w="773"/>
        <w:gridCol w:w="766"/>
      </w:tblGrid>
      <w:tr w:rsidR="006D2755" w:rsidRPr="005954E3" w14:paraId="17F4B2ED" w14:textId="77777777" w:rsidTr="009C744C">
        <w:trPr>
          <w:trHeight w:val="329"/>
          <w:tblHeader/>
          <w:jc w:val="center"/>
        </w:trPr>
        <w:tc>
          <w:tcPr>
            <w:tcW w:w="3269" w:type="dxa"/>
            <w:vMerge w:val="restart"/>
            <w:shd w:val="clear" w:color="auto" w:fill="auto"/>
            <w:vAlign w:val="center"/>
          </w:tcPr>
          <w:p w14:paraId="07B92D42" w14:textId="77777777" w:rsidR="006D2755" w:rsidRPr="005954E3" w:rsidRDefault="006D2755" w:rsidP="006D2755">
            <w:pPr>
              <w:pStyle w:val="tabletextleft"/>
              <w:spacing w:before="60" w:afterLines="60" w:after="144"/>
            </w:pPr>
          </w:p>
        </w:tc>
        <w:tc>
          <w:tcPr>
            <w:tcW w:w="840" w:type="dxa"/>
            <w:vMerge w:val="restart"/>
            <w:shd w:val="clear" w:color="auto" w:fill="auto"/>
            <w:vAlign w:val="center"/>
            <w:hideMark/>
          </w:tcPr>
          <w:p w14:paraId="6609F073" w14:textId="77777777" w:rsidR="006D2755" w:rsidRPr="005954E3" w:rsidRDefault="006D2755" w:rsidP="006D2755">
            <w:pPr>
              <w:pStyle w:val="tabletextleft"/>
              <w:spacing w:before="60" w:afterLines="60" w:after="144"/>
            </w:pPr>
            <w:r w:rsidRPr="005954E3">
              <w:t>EСС 2010</w:t>
            </w:r>
          </w:p>
        </w:tc>
        <w:tc>
          <w:tcPr>
            <w:tcW w:w="869" w:type="dxa"/>
            <w:shd w:val="clear" w:color="auto" w:fill="auto"/>
            <w:vAlign w:val="center"/>
          </w:tcPr>
          <w:p w14:paraId="265A63D0" w14:textId="77777777" w:rsidR="006D2755" w:rsidRPr="005954E3" w:rsidRDefault="006D2755" w:rsidP="006D2755">
            <w:pPr>
              <w:pStyle w:val="tabletextleft"/>
              <w:spacing w:before="60" w:afterLines="60" w:after="144"/>
              <w:jc w:val="center"/>
              <w:rPr>
                <w:b/>
              </w:rPr>
            </w:pPr>
            <w:r w:rsidRPr="005954E3">
              <w:rPr>
                <w:b/>
              </w:rPr>
              <w:t>2022</w:t>
            </w:r>
          </w:p>
        </w:tc>
        <w:tc>
          <w:tcPr>
            <w:tcW w:w="795" w:type="dxa"/>
            <w:shd w:val="clear" w:color="auto" w:fill="auto"/>
            <w:vAlign w:val="center"/>
          </w:tcPr>
          <w:p w14:paraId="74B3FBF3" w14:textId="77777777" w:rsidR="006D2755" w:rsidRPr="005954E3" w:rsidRDefault="006D2755" w:rsidP="006D2755">
            <w:pPr>
              <w:pStyle w:val="tabletextleft"/>
              <w:spacing w:before="60" w:afterLines="60" w:after="144"/>
              <w:jc w:val="center"/>
              <w:rPr>
                <w:b/>
              </w:rPr>
            </w:pPr>
            <w:r w:rsidRPr="005954E3">
              <w:rPr>
                <w:b/>
              </w:rPr>
              <w:t>2022</w:t>
            </w:r>
          </w:p>
        </w:tc>
        <w:tc>
          <w:tcPr>
            <w:tcW w:w="795" w:type="dxa"/>
            <w:shd w:val="clear" w:color="auto" w:fill="auto"/>
            <w:vAlign w:val="center"/>
          </w:tcPr>
          <w:p w14:paraId="37D58DDE" w14:textId="77777777" w:rsidR="006D2755" w:rsidRPr="005954E3" w:rsidRDefault="006D2755" w:rsidP="006D2755">
            <w:pPr>
              <w:pStyle w:val="tabletextleft"/>
              <w:spacing w:before="60" w:afterLines="60" w:after="144"/>
              <w:jc w:val="center"/>
              <w:rPr>
                <w:b/>
              </w:rPr>
            </w:pPr>
            <w:r w:rsidRPr="005954E3">
              <w:rPr>
                <w:b/>
              </w:rPr>
              <w:t>2023</w:t>
            </w:r>
          </w:p>
        </w:tc>
        <w:tc>
          <w:tcPr>
            <w:tcW w:w="790" w:type="dxa"/>
            <w:shd w:val="clear" w:color="auto" w:fill="auto"/>
            <w:vAlign w:val="center"/>
          </w:tcPr>
          <w:p w14:paraId="16B04967" w14:textId="77777777" w:rsidR="006D2755" w:rsidRPr="005954E3" w:rsidRDefault="006D2755" w:rsidP="006D2755">
            <w:pPr>
              <w:pStyle w:val="tabletextleft"/>
              <w:spacing w:before="60" w:afterLines="60" w:after="144"/>
              <w:jc w:val="center"/>
              <w:rPr>
                <w:b/>
              </w:rPr>
            </w:pPr>
            <w:r w:rsidRPr="005954E3">
              <w:rPr>
                <w:b/>
              </w:rPr>
              <w:t>2024</w:t>
            </w:r>
          </w:p>
        </w:tc>
        <w:tc>
          <w:tcPr>
            <w:tcW w:w="773" w:type="dxa"/>
            <w:shd w:val="clear" w:color="auto" w:fill="auto"/>
            <w:vAlign w:val="center"/>
          </w:tcPr>
          <w:p w14:paraId="03FCC066" w14:textId="77777777" w:rsidR="006D2755" w:rsidRPr="005954E3" w:rsidRDefault="006D2755" w:rsidP="006D2755">
            <w:pPr>
              <w:pStyle w:val="tabletextleft"/>
              <w:spacing w:before="60" w:afterLines="60" w:after="144"/>
              <w:jc w:val="center"/>
              <w:rPr>
                <w:b/>
              </w:rPr>
            </w:pPr>
            <w:r w:rsidRPr="005954E3">
              <w:rPr>
                <w:b/>
              </w:rPr>
              <w:t>2025</w:t>
            </w:r>
          </w:p>
        </w:tc>
        <w:tc>
          <w:tcPr>
            <w:tcW w:w="766" w:type="dxa"/>
            <w:shd w:val="clear" w:color="auto" w:fill="auto"/>
            <w:vAlign w:val="center"/>
          </w:tcPr>
          <w:p w14:paraId="126DC394" w14:textId="77777777" w:rsidR="006D2755" w:rsidRPr="005954E3" w:rsidRDefault="006D2755" w:rsidP="006D2755">
            <w:pPr>
              <w:pStyle w:val="tabletextleft"/>
              <w:spacing w:before="60" w:afterLines="60" w:after="144"/>
              <w:jc w:val="center"/>
              <w:rPr>
                <w:b/>
              </w:rPr>
            </w:pPr>
            <w:r w:rsidRPr="005954E3">
              <w:rPr>
                <w:b/>
              </w:rPr>
              <w:t>2026</w:t>
            </w:r>
          </w:p>
        </w:tc>
      </w:tr>
      <w:tr w:rsidR="006D2755" w:rsidRPr="005954E3" w14:paraId="527806D4" w14:textId="77777777" w:rsidTr="009C744C">
        <w:trPr>
          <w:trHeight w:val="329"/>
          <w:tblHeader/>
          <w:jc w:val="center"/>
        </w:trPr>
        <w:tc>
          <w:tcPr>
            <w:tcW w:w="3269" w:type="dxa"/>
            <w:vMerge/>
            <w:shd w:val="clear" w:color="auto" w:fill="auto"/>
            <w:vAlign w:val="center"/>
            <w:hideMark/>
          </w:tcPr>
          <w:p w14:paraId="2180DD61" w14:textId="77777777" w:rsidR="006D2755" w:rsidRPr="005954E3" w:rsidRDefault="006D2755" w:rsidP="006D2755">
            <w:pPr>
              <w:pStyle w:val="tabletextleft"/>
              <w:spacing w:before="60" w:afterLines="60" w:after="144"/>
            </w:pPr>
          </w:p>
        </w:tc>
        <w:tc>
          <w:tcPr>
            <w:tcW w:w="840" w:type="dxa"/>
            <w:vMerge/>
            <w:shd w:val="clear" w:color="auto" w:fill="auto"/>
            <w:vAlign w:val="center"/>
            <w:hideMark/>
          </w:tcPr>
          <w:p w14:paraId="67B99D50" w14:textId="77777777" w:rsidR="006D2755" w:rsidRPr="005954E3" w:rsidRDefault="006D2755" w:rsidP="006D2755">
            <w:pPr>
              <w:pStyle w:val="tabletextleft"/>
              <w:spacing w:before="60" w:afterLines="60" w:after="144"/>
            </w:pPr>
          </w:p>
        </w:tc>
        <w:tc>
          <w:tcPr>
            <w:tcW w:w="869" w:type="dxa"/>
            <w:shd w:val="clear" w:color="auto" w:fill="auto"/>
            <w:vAlign w:val="center"/>
            <w:hideMark/>
          </w:tcPr>
          <w:p w14:paraId="56D5066A" w14:textId="77777777" w:rsidR="006D2755" w:rsidRPr="005954E3" w:rsidRDefault="006D2755" w:rsidP="006D2755">
            <w:pPr>
              <w:pStyle w:val="tabletextleft"/>
              <w:jc w:val="center"/>
            </w:pPr>
            <w:r w:rsidRPr="005954E3">
              <w:t>Равнище</w:t>
            </w:r>
          </w:p>
          <w:p w14:paraId="4563F01E" w14:textId="77777777" w:rsidR="006D2755" w:rsidRPr="005954E3" w:rsidRDefault="006D2755" w:rsidP="006D2755">
            <w:pPr>
              <w:pStyle w:val="tabletextleft"/>
              <w:spacing w:before="60" w:afterLines="60" w:after="144"/>
              <w:jc w:val="center"/>
            </w:pPr>
            <w:r w:rsidRPr="005954E3">
              <w:rPr>
                <w:sz w:val="16"/>
              </w:rPr>
              <w:t>(млн. лв.)</w:t>
            </w:r>
          </w:p>
        </w:tc>
        <w:tc>
          <w:tcPr>
            <w:tcW w:w="795" w:type="dxa"/>
            <w:shd w:val="clear" w:color="auto" w:fill="auto"/>
            <w:vAlign w:val="center"/>
            <w:hideMark/>
          </w:tcPr>
          <w:p w14:paraId="25FF800C" w14:textId="77777777" w:rsidR="006D2755" w:rsidRPr="005954E3" w:rsidRDefault="006D2755" w:rsidP="006D2755">
            <w:pPr>
              <w:pStyle w:val="tabletextleft"/>
              <w:spacing w:before="60" w:afterLines="60" w:after="144"/>
              <w:jc w:val="center"/>
            </w:pPr>
            <w:r w:rsidRPr="005954E3">
              <w:t>% от БВП</w:t>
            </w:r>
          </w:p>
        </w:tc>
        <w:tc>
          <w:tcPr>
            <w:tcW w:w="795" w:type="dxa"/>
            <w:shd w:val="clear" w:color="auto" w:fill="auto"/>
            <w:vAlign w:val="center"/>
            <w:hideMark/>
          </w:tcPr>
          <w:p w14:paraId="55E01B55" w14:textId="77777777" w:rsidR="006D2755" w:rsidRPr="005954E3" w:rsidRDefault="006D2755" w:rsidP="006D2755">
            <w:pPr>
              <w:pStyle w:val="tabletextleft"/>
              <w:spacing w:before="60" w:afterLines="60" w:after="144"/>
              <w:jc w:val="center"/>
            </w:pPr>
            <w:r w:rsidRPr="005954E3">
              <w:t>% от БВП</w:t>
            </w:r>
          </w:p>
        </w:tc>
        <w:tc>
          <w:tcPr>
            <w:tcW w:w="790" w:type="dxa"/>
            <w:shd w:val="clear" w:color="auto" w:fill="auto"/>
            <w:vAlign w:val="center"/>
            <w:hideMark/>
          </w:tcPr>
          <w:p w14:paraId="118576F4" w14:textId="77777777" w:rsidR="006D2755" w:rsidRPr="005954E3" w:rsidRDefault="006D2755" w:rsidP="006D2755">
            <w:pPr>
              <w:pStyle w:val="tabletextleft"/>
              <w:spacing w:before="60" w:afterLines="60" w:after="144"/>
              <w:jc w:val="center"/>
            </w:pPr>
            <w:r w:rsidRPr="005954E3">
              <w:t>% от БВП</w:t>
            </w:r>
          </w:p>
        </w:tc>
        <w:tc>
          <w:tcPr>
            <w:tcW w:w="773" w:type="dxa"/>
            <w:shd w:val="clear" w:color="auto" w:fill="auto"/>
            <w:vAlign w:val="center"/>
            <w:hideMark/>
          </w:tcPr>
          <w:p w14:paraId="483137C5" w14:textId="77777777" w:rsidR="006D2755" w:rsidRPr="005954E3" w:rsidRDefault="006D2755" w:rsidP="006D2755">
            <w:pPr>
              <w:pStyle w:val="tabletextleft"/>
              <w:spacing w:before="60" w:afterLines="60" w:after="144"/>
              <w:jc w:val="center"/>
            </w:pPr>
            <w:r w:rsidRPr="005954E3">
              <w:t>% от БВП</w:t>
            </w:r>
          </w:p>
        </w:tc>
        <w:tc>
          <w:tcPr>
            <w:tcW w:w="766" w:type="dxa"/>
            <w:shd w:val="clear" w:color="auto" w:fill="auto"/>
            <w:vAlign w:val="center"/>
          </w:tcPr>
          <w:p w14:paraId="23356532" w14:textId="77777777" w:rsidR="006D2755" w:rsidRPr="005954E3" w:rsidRDefault="006D2755" w:rsidP="006D2755">
            <w:pPr>
              <w:pStyle w:val="tabletextleft"/>
              <w:spacing w:before="60" w:afterLines="60" w:after="144"/>
              <w:jc w:val="center"/>
            </w:pPr>
            <w:r w:rsidRPr="005954E3">
              <w:t>% от БВП</w:t>
            </w:r>
          </w:p>
        </w:tc>
      </w:tr>
      <w:tr w:rsidR="00171525" w:rsidRPr="005954E3" w14:paraId="4D5E6B48" w14:textId="77777777" w:rsidTr="001B3937">
        <w:trPr>
          <w:trHeight w:val="549"/>
          <w:jc w:val="center"/>
        </w:trPr>
        <w:tc>
          <w:tcPr>
            <w:tcW w:w="3269" w:type="dxa"/>
            <w:noWrap/>
            <w:vAlign w:val="center"/>
            <w:hideMark/>
          </w:tcPr>
          <w:p w14:paraId="61AAE0C9" w14:textId="77777777" w:rsidR="00171525" w:rsidRPr="005954E3" w:rsidRDefault="00171525" w:rsidP="00171525">
            <w:pPr>
              <w:pStyle w:val="tabletextleft"/>
              <w:spacing w:before="0" w:after="0"/>
              <w:rPr>
                <w:szCs w:val="18"/>
              </w:rPr>
            </w:pPr>
            <w:r w:rsidRPr="005954E3">
              <w:rPr>
                <w:szCs w:val="18"/>
              </w:rPr>
              <w:t>1. Консолидирано правителство</w:t>
            </w:r>
          </w:p>
        </w:tc>
        <w:tc>
          <w:tcPr>
            <w:tcW w:w="840" w:type="dxa"/>
            <w:vAlign w:val="center"/>
            <w:hideMark/>
          </w:tcPr>
          <w:p w14:paraId="737E5CD4" w14:textId="77777777" w:rsidR="00171525" w:rsidRPr="005954E3" w:rsidRDefault="00171525" w:rsidP="00171525">
            <w:pPr>
              <w:pStyle w:val="tabletextleft"/>
              <w:spacing w:before="0" w:after="0"/>
              <w:rPr>
                <w:szCs w:val="18"/>
              </w:rPr>
            </w:pPr>
            <w:r w:rsidRPr="005954E3">
              <w:rPr>
                <w:szCs w:val="18"/>
              </w:rPr>
              <w:t>S.13</w:t>
            </w:r>
          </w:p>
        </w:tc>
        <w:tc>
          <w:tcPr>
            <w:tcW w:w="869" w:type="dxa"/>
            <w:vAlign w:val="center"/>
          </w:tcPr>
          <w:p w14:paraId="51BC1ABD" w14:textId="71E85C49" w:rsidR="00171525" w:rsidRPr="005954E3" w:rsidRDefault="00171525" w:rsidP="00171525">
            <w:pPr>
              <w:pStyle w:val="tabletextleft"/>
              <w:spacing w:before="0" w:after="0"/>
              <w:jc w:val="right"/>
              <w:rPr>
                <w:szCs w:val="18"/>
              </w:rPr>
            </w:pPr>
            <w:r w:rsidRPr="00E85AEC">
              <w:rPr>
                <w:rFonts w:asciiTheme="majorHAnsi" w:hAnsiTheme="majorHAnsi" w:cstheme="majorHAnsi"/>
              </w:rPr>
              <w:t>-4 647</w:t>
            </w:r>
            <w:r>
              <w:rPr>
                <w:rFonts w:asciiTheme="majorHAnsi" w:hAnsiTheme="majorHAnsi" w:cstheme="majorHAnsi"/>
              </w:rPr>
              <w:t>.</w:t>
            </w:r>
            <w:r w:rsidRPr="00E85AEC">
              <w:rPr>
                <w:rFonts w:asciiTheme="majorHAnsi" w:hAnsiTheme="majorHAnsi" w:cstheme="majorHAnsi"/>
              </w:rPr>
              <w:t>6</w:t>
            </w:r>
          </w:p>
        </w:tc>
        <w:tc>
          <w:tcPr>
            <w:tcW w:w="795" w:type="dxa"/>
            <w:vAlign w:val="center"/>
          </w:tcPr>
          <w:p w14:paraId="385AA9E4" w14:textId="1D02978C" w:rsidR="00171525" w:rsidRPr="005954E3" w:rsidRDefault="00171525" w:rsidP="00171525">
            <w:pPr>
              <w:pStyle w:val="tabletextleft"/>
              <w:spacing w:before="0" w:after="0"/>
              <w:jc w:val="right"/>
              <w:rPr>
                <w:szCs w:val="18"/>
              </w:rPr>
            </w:pPr>
            <w:r w:rsidRPr="00E85AEC">
              <w:rPr>
                <w:rFonts w:asciiTheme="majorHAnsi" w:hAnsiTheme="majorHAnsi" w:cstheme="majorHAnsi"/>
              </w:rPr>
              <w:t>-2</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09345285" w14:textId="5111E9E0" w:rsidR="00171525" w:rsidRPr="005954E3" w:rsidRDefault="00171525" w:rsidP="00171525">
            <w:pPr>
              <w:pStyle w:val="tabletextleft"/>
              <w:spacing w:before="0" w:after="0"/>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1</w:t>
            </w:r>
          </w:p>
        </w:tc>
        <w:tc>
          <w:tcPr>
            <w:tcW w:w="790" w:type="dxa"/>
            <w:vAlign w:val="center"/>
          </w:tcPr>
          <w:p w14:paraId="374E5EC1" w14:textId="19BFF36D"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7</w:t>
            </w:r>
          </w:p>
        </w:tc>
        <w:tc>
          <w:tcPr>
            <w:tcW w:w="773" w:type="dxa"/>
            <w:vAlign w:val="center"/>
          </w:tcPr>
          <w:p w14:paraId="5495F2EB" w14:textId="007EAA06"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9</w:t>
            </w:r>
          </w:p>
        </w:tc>
        <w:tc>
          <w:tcPr>
            <w:tcW w:w="766" w:type="dxa"/>
            <w:vAlign w:val="center"/>
          </w:tcPr>
          <w:p w14:paraId="1795154A" w14:textId="32267DAB"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0</w:t>
            </w:r>
          </w:p>
        </w:tc>
      </w:tr>
      <w:tr w:rsidR="00171525" w:rsidRPr="005954E3" w14:paraId="025BE467" w14:textId="77777777" w:rsidTr="001B3937">
        <w:trPr>
          <w:trHeight w:val="549"/>
          <w:jc w:val="center"/>
        </w:trPr>
        <w:tc>
          <w:tcPr>
            <w:tcW w:w="3269" w:type="dxa"/>
            <w:vAlign w:val="center"/>
            <w:hideMark/>
          </w:tcPr>
          <w:p w14:paraId="3A469A39" w14:textId="77777777" w:rsidR="00171525" w:rsidRPr="005954E3" w:rsidRDefault="00171525" w:rsidP="00171525">
            <w:pPr>
              <w:pStyle w:val="tabletextleft"/>
              <w:spacing w:before="0" w:after="0"/>
              <w:rPr>
                <w:szCs w:val="18"/>
              </w:rPr>
            </w:pPr>
            <w:r w:rsidRPr="005954E3">
              <w:rPr>
                <w:szCs w:val="18"/>
              </w:rPr>
              <w:t>2. Централно правителство</w:t>
            </w:r>
          </w:p>
        </w:tc>
        <w:tc>
          <w:tcPr>
            <w:tcW w:w="840" w:type="dxa"/>
            <w:vAlign w:val="center"/>
            <w:hideMark/>
          </w:tcPr>
          <w:p w14:paraId="41975A38" w14:textId="77777777" w:rsidR="00171525" w:rsidRPr="005954E3" w:rsidRDefault="00171525" w:rsidP="00171525">
            <w:pPr>
              <w:pStyle w:val="tabletextleft"/>
              <w:spacing w:before="0" w:after="0"/>
              <w:rPr>
                <w:szCs w:val="18"/>
              </w:rPr>
            </w:pPr>
            <w:r w:rsidRPr="005954E3">
              <w:rPr>
                <w:szCs w:val="18"/>
              </w:rPr>
              <w:t>S.1311</w:t>
            </w:r>
          </w:p>
        </w:tc>
        <w:tc>
          <w:tcPr>
            <w:tcW w:w="869" w:type="dxa"/>
            <w:vAlign w:val="center"/>
          </w:tcPr>
          <w:p w14:paraId="666CE431" w14:textId="3B735B2C" w:rsidR="00171525" w:rsidRPr="005954E3" w:rsidRDefault="00171525" w:rsidP="00171525">
            <w:pPr>
              <w:pStyle w:val="tabletextleft"/>
              <w:spacing w:before="0" w:after="0"/>
              <w:jc w:val="right"/>
              <w:rPr>
                <w:szCs w:val="18"/>
              </w:rPr>
            </w:pPr>
            <w:r w:rsidRPr="00E85AEC">
              <w:rPr>
                <w:rFonts w:asciiTheme="majorHAnsi" w:hAnsiTheme="majorHAnsi" w:cstheme="majorHAnsi"/>
              </w:rPr>
              <w:t>-4 457</w:t>
            </w:r>
            <w:r>
              <w:rPr>
                <w:rFonts w:asciiTheme="majorHAnsi" w:hAnsiTheme="majorHAnsi" w:cstheme="majorHAnsi"/>
              </w:rPr>
              <w:t>.</w:t>
            </w:r>
            <w:r w:rsidRPr="00E85AEC">
              <w:rPr>
                <w:rFonts w:asciiTheme="majorHAnsi" w:hAnsiTheme="majorHAnsi" w:cstheme="majorHAnsi"/>
              </w:rPr>
              <w:t>0</w:t>
            </w:r>
          </w:p>
        </w:tc>
        <w:tc>
          <w:tcPr>
            <w:tcW w:w="795" w:type="dxa"/>
            <w:vAlign w:val="center"/>
          </w:tcPr>
          <w:p w14:paraId="7A7B216F" w14:textId="1243AF1A" w:rsidR="00171525" w:rsidRPr="005954E3" w:rsidRDefault="00171525" w:rsidP="00171525">
            <w:pPr>
              <w:pStyle w:val="tabletextleft"/>
              <w:spacing w:before="0" w:after="0"/>
              <w:jc w:val="right"/>
              <w:rPr>
                <w:szCs w:val="18"/>
              </w:rPr>
            </w:pPr>
            <w:r w:rsidRPr="00E85AEC">
              <w:rPr>
                <w:rFonts w:asciiTheme="majorHAnsi" w:hAnsiTheme="majorHAnsi" w:cstheme="majorHAnsi"/>
              </w:rPr>
              <w:t>-2</w:t>
            </w:r>
            <w:r>
              <w:rPr>
                <w:rFonts w:asciiTheme="majorHAnsi" w:hAnsiTheme="majorHAnsi" w:cstheme="majorHAnsi"/>
              </w:rPr>
              <w:t>.</w:t>
            </w:r>
            <w:r w:rsidRPr="00E85AEC">
              <w:rPr>
                <w:rFonts w:asciiTheme="majorHAnsi" w:hAnsiTheme="majorHAnsi" w:cstheme="majorHAnsi"/>
              </w:rPr>
              <w:t>7</w:t>
            </w:r>
          </w:p>
        </w:tc>
        <w:tc>
          <w:tcPr>
            <w:tcW w:w="795" w:type="dxa"/>
            <w:vAlign w:val="center"/>
          </w:tcPr>
          <w:p w14:paraId="60BEA645" w14:textId="459D9FBC" w:rsidR="00171525" w:rsidRPr="005954E3" w:rsidRDefault="00171525" w:rsidP="00171525">
            <w:pPr>
              <w:pStyle w:val="tabletextleft"/>
              <w:spacing w:before="0" w:after="0"/>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4</w:t>
            </w:r>
          </w:p>
        </w:tc>
        <w:tc>
          <w:tcPr>
            <w:tcW w:w="790" w:type="dxa"/>
            <w:vAlign w:val="center"/>
          </w:tcPr>
          <w:p w14:paraId="0CFD8427" w14:textId="3A357C0A"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2</w:t>
            </w:r>
          </w:p>
        </w:tc>
        <w:tc>
          <w:tcPr>
            <w:tcW w:w="773" w:type="dxa"/>
            <w:vAlign w:val="center"/>
          </w:tcPr>
          <w:p w14:paraId="74C392E6" w14:textId="44B3E907"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5</w:t>
            </w:r>
          </w:p>
        </w:tc>
        <w:tc>
          <w:tcPr>
            <w:tcW w:w="766" w:type="dxa"/>
            <w:vAlign w:val="center"/>
          </w:tcPr>
          <w:p w14:paraId="0DE76D61" w14:textId="18821812"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5</w:t>
            </w:r>
          </w:p>
        </w:tc>
      </w:tr>
      <w:tr w:rsidR="00171525" w:rsidRPr="005954E3" w14:paraId="6988969C" w14:textId="77777777" w:rsidTr="001B3937">
        <w:trPr>
          <w:trHeight w:val="549"/>
          <w:jc w:val="center"/>
        </w:trPr>
        <w:tc>
          <w:tcPr>
            <w:tcW w:w="3269" w:type="dxa"/>
            <w:vAlign w:val="center"/>
            <w:hideMark/>
          </w:tcPr>
          <w:p w14:paraId="1A5605CF" w14:textId="77777777" w:rsidR="00171525" w:rsidRPr="005954E3" w:rsidRDefault="00171525" w:rsidP="00171525">
            <w:pPr>
              <w:pStyle w:val="tabletextleft"/>
              <w:spacing w:before="0" w:after="0"/>
              <w:rPr>
                <w:szCs w:val="18"/>
              </w:rPr>
            </w:pPr>
            <w:r w:rsidRPr="005954E3">
              <w:rPr>
                <w:szCs w:val="18"/>
              </w:rPr>
              <w:t>3. Регионално правителство</w:t>
            </w:r>
          </w:p>
        </w:tc>
        <w:tc>
          <w:tcPr>
            <w:tcW w:w="840" w:type="dxa"/>
            <w:vAlign w:val="center"/>
            <w:hideMark/>
          </w:tcPr>
          <w:p w14:paraId="71298721" w14:textId="77777777" w:rsidR="00171525" w:rsidRPr="005954E3" w:rsidRDefault="00171525" w:rsidP="00171525">
            <w:pPr>
              <w:pStyle w:val="tabletextleft"/>
              <w:spacing w:before="0" w:after="0"/>
              <w:rPr>
                <w:szCs w:val="18"/>
              </w:rPr>
            </w:pPr>
            <w:r w:rsidRPr="005954E3">
              <w:rPr>
                <w:szCs w:val="18"/>
              </w:rPr>
              <w:t>S.1312</w:t>
            </w:r>
          </w:p>
        </w:tc>
        <w:tc>
          <w:tcPr>
            <w:tcW w:w="869" w:type="dxa"/>
            <w:vAlign w:val="center"/>
          </w:tcPr>
          <w:p w14:paraId="6131DEEB" w14:textId="6EFBDF34" w:rsidR="00171525" w:rsidRPr="005954E3" w:rsidRDefault="00171525" w:rsidP="00171525">
            <w:pPr>
              <w:pStyle w:val="tabletextleft"/>
              <w:spacing w:before="0" w:after="0"/>
              <w:jc w:val="right"/>
              <w:rPr>
                <w:szCs w:val="18"/>
              </w:rPr>
            </w:pPr>
            <w:r w:rsidRPr="00E85AEC">
              <w:rPr>
                <w:rFonts w:asciiTheme="majorHAnsi" w:hAnsiTheme="majorHAnsi" w:cstheme="majorHAnsi"/>
              </w:rPr>
              <w:t> </w:t>
            </w:r>
          </w:p>
        </w:tc>
        <w:tc>
          <w:tcPr>
            <w:tcW w:w="795" w:type="dxa"/>
            <w:vAlign w:val="center"/>
          </w:tcPr>
          <w:p w14:paraId="5141C6CB" w14:textId="7D67E005" w:rsidR="00171525" w:rsidRPr="005954E3" w:rsidRDefault="00171525" w:rsidP="00171525">
            <w:pPr>
              <w:pStyle w:val="tabletextleft"/>
              <w:spacing w:before="0" w:after="0"/>
              <w:jc w:val="right"/>
              <w:rPr>
                <w:szCs w:val="18"/>
              </w:rPr>
            </w:pPr>
            <w:r w:rsidRPr="00E85AEC">
              <w:rPr>
                <w:rFonts w:asciiTheme="majorHAnsi" w:hAnsiTheme="majorHAnsi" w:cstheme="majorHAnsi"/>
              </w:rPr>
              <w:t> </w:t>
            </w:r>
          </w:p>
        </w:tc>
        <w:tc>
          <w:tcPr>
            <w:tcW w:w="795" w:type="dxa"/>
            <w:vAlign w:val="center"/>
          </w:tcPr>
          <w:p w14:paraId="63744963" w14:textId="3CEBFAA3" w:rsidR="00171525" w:rsidRPr="005954E3" w:rsidRDefault="00171525" w:rsidP="00171525">
            <w:pPr>
              <w:pStyle w:val="tabletextleft"/>
              <w:spacing w:before="0" w:after="0"/>
              <w:jc w:val="right"/>
              <w:rPr>
                <w:szCs w:val="18"/>
              </w:rPr>
            </w:pPr>
            <w:r w:rsidRPr="00E85AEC">
              <w:rPr>
                <w:rFonts w:asciiTheme="majorHAnsi" w:hAnsiTheme="majorHAnsi" w:cstheme="majorHAnsi"/>
              </w:rPr>
              <w:t> </w:t>
            </w:r>
          </w:p>
        </w:tc>
        <w:tc>
          <w:tcPr>
            <w:tcW w:w="790" w:type="dxa"/>
            <w:vAlign w:val="center"/>
          </w:tcPr>
          <w:p w14:paraId="7F304D87" w14:textId="0F904735" w:rsidR="00171525" w:rsidRPr="005954E3" w:rsidRDefault="00171525" w:rsidP="00171525">
            <w:pPr>
              <w:pStyle w:val="tabletextleft"/>
              <w:spacing w:before="0" w:after="0"/>
              <w:jc w:val="right"/>
              <w:rPr>
                <w:szCs w:val="18"/>
              </w:rPr>
            </w:pPr>
            <w:r w:rsidRPr="00E85AEC">
              <w:rPr>
                <w:rFonts w:asciiTheme="majorHAnsi" w:hAnsiTheme="majorHAnsi" w:cstheme="majorHAnsi"/>
              </w:rPr>
              <w:t> </w:t>
            </w:r>
          </w:p>
        </w:tc>
        <w:tc>
          <w:tcPr>
            <w:tcW w:w="773" w:type="dxa"/>
            <w:vAlign w:val="center"/>
          </w:tcPr>
          <w:p w14:paraId="7B1B29D4" w14:textId="36461B08" w:rsidR="00171525" w:rsidRPr="005954E3" w:rsidRDefault="00171525" w:rsidP="00171525">
            <w:pPr>
              <w:pStyle w:val="tabletextleft"/>
              <w:spacing w:before="0" w:after="0"/>
              <w:jc w:val="right"/>
              <w:rPr>
                <w:szCs w:val="18"/>
              </w:rPr>
            </w:pPr>
            <w:r w:rsidRPr="00E85AEC">
              <w:rPr>
                <w:rFonts w:asciiTheme="majorHAnsi" w:hAnsiTheme="majorHAnsi" w:cstheme="majorHAnsi"/>
              </w:rPr>
              <w:t> </w:t>
            </w:r>
          </w:p>
        </w:tc>
        <w:tc>
          <w:tcPr>
            <w:tcW w:w="766" w:type="dxa"/>
            <w:vAlign w:val="center"/>
          </w:tcPr>
          <w:p w14:paraId="5C209889" w14:textId="06E6B881" w:rsidR="00171525" w:rsidRPr="005954E3" w:rsidRDefault="00171525" w:rsidP="00171525">
            <w:pPr>
              <w:pStyle w:val="tabletextleft"/>
              <w:spacing w:before="0" w:after="0"/>
              <w:jc w:val="right"/>
              <w:rPr>
                <w:szCs w:val="18"/>
              </w:rPr>
            </w:pPr>
            <w:r w:rsidRPr="00E85AEC">
              <w:rPr>
                <w:rFonts w:asciiTheme="majorHAnsi" w:hAnsiTheme="majorHAnsi" w:cstheme="majorHAnsi"/>
              </w:rPr>
              <w:t> </w:t>
            </w:r>
          </w:p>
        </w:tc>
      </w:tr>
      <w:tr w:rsidR="00171525" w:rsidRPr="005954E3" w14:paraId="416202D5" w14:textId="77777777" w:rsidTr="001B3937">
        <w:trPr>
          <w:trHeight w:val="549"/>
          <w:jc w:val="center"/>
        </w:trPr>
        <w:tc>
          <w:tcPr>
            <w:tcW w:w="3269" w:type="dxa"/>
            <w:vAlign w:val="center"/>
            <w:hideMark/>
          </w:tcPr>
          <w:p w14:paraId="3806CC84" w14:textId="77777777" w:rsidR="00171525" w:rsidRPr="005954E3" w:rsidRDefault="00171525" w:rsidP="00171525">
            <w:pPr>
              <w:pStyle w:val="tabletextleft"/>
              <w:spacing w:before="0" w:after="0"/>
              <w:rPr>
                <w:szCs w:val="18"/>
              </w:rPr>
            </w:pPr>
            <w:r w:rsidRPr="005954E3">
              <w:rPr>
                <w:szCs w:val="18"/>
              </w:rPr>
              <w:t>4. Местно правителство</w:t>
            </w:r>
          </w:p>
        </w:tc>
        <w:tc>
          <w:tcPr>
            <w:tcW w:w="840" w:type="dxa"/>
            <w:vAlign w:val="center"/>
            <w:hideMark/>
          </w:tcPr>
          <w:p w14:paraId="77E0C8BB" w14:textId="77777777" w:rsidR="00171525" w:rsidRPr="005954E3" w:rsidRDefault="00171525" w:rsidP="00171525">
            <w:pPr>
              <w:pStyle w:val="tabletextleft"/>
              <w:spacing w:before="0" w:after="0"/>
              <w:rPr>
                <w:szCs w:val="18"/>
              </w:rPr>
            </w:pPr>
            <w:r w:rsidRPr="005954E3">
              <w:rPr>
                <w:szCs w:val="18"/>
              </w:rPr>
              <w:t>S.1313</w:t>
            </w:r>
          </w:p>
        </w:tc>
        <w:tc>
          <w:tcPr>
            <w:tcW w:w="869" w:type="dxa"/>
            <w:vAlign w:val="center"/>
          </w:tcPr>
          <w:p w14:paraId="0581938A" w14:textId="41978802" w:rsidR="00171525" w:rsidRPr="005954E3" w:rsidRDefault="00171525" w:rsidP="00171525">
            <w:pPr>
              <w:pStyle w:val="tabletextleft"/>
              <w:spacing w:before="0" w:after="0"/>
              <w:jc w:val="right"/>
              <w:rPr>
                <w:szCs w:val="18"/>
              </w:rPr>
            </w:pPr>
            <w:r w:rsidRPr="00E85AEC">
              <w:rPr>
                <w:rFonts w:asciiTheme="majorHAnsi" w:hAnsiTheme="majorHAnsi" w:cstheme="majorHAnsi"/>
              </w:rPr>
              <w:t>423</w:t>
            </w:r>
            <w:r>
              <w:rPr>
                <w:rFonts w:asciiTheme="majorHAnsi" w:hAnsiTheme="majorHAnsi" w:cstheme="majorHAnsi"/>
              </w:rPr>
              <w:t>.</w:t>
            </w:r>
            <w:r w:rsidRPr="00E85AEC">
              <w:rPr>
                <w:rFonts w:asciiTheme="majorHAnsi" w:hAnsiTheme="majorHAnsi" w:cstheme="majorHAnsi"/>
              </w:rPr>
              <w:t>5</w:t>
            </w:r>
          </w:p>
        </w:tc>
        <w:tc>
          <w:tcPr>
            <w:tcW w:w="795" w:type="dxa"/>
            <w:vAlign w:val="center"/>
          </w:tcPr>
          <w:p w14:paraId="5705D44C" w14:textId="39D54383"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15AE462C" w14:textId="1FD55A7B"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3</w:t>
            </w:r>
          </w:p>
        </w:tc>
        <w:tc>
          <w:tcPr>
            <w:tcW w:w="790" w:type="dxa"/>
            <w:vAlign w:val="center"/>
          </w:tcPr>
          <w:p w14:paraId="59C6C24D" w14:textId="3E69634A"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5</w:t>
            </w:r>
          </w:p>
        </w:tc>
        <w:tc>
          <w:tcPr>
            <w:tcW w:w="773" w:type="dxa"/>
            <w:vAlign w:val="center"/>
          </w:tcPr>
          <w:p w14:paraId="3918E648" w14:textId="2A50CCE7"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5</w:t>
            </w:r>
          </w:p>
        </w:tc>
        <w:tc>
          <w:tcPr>
            <w:tcW w:w="766" w:type="dxa"/>
            <w:vAlign w:val="center"/>
          </w:tcPr>
          <w:p w14:paraId="0B4717A0" w14:textId="15FF8620"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5</w:t>
            </w:r>
          </w:p>
        </w:tc>
      </w:tr>
      <w:tr w:rsidR="00171525" w:rsidRPr="005954E3" w14:paraId="23197744" w14:textId="77777777" w:rsidTr="001B3937">
        <w:trPr>
          <w:trHeight w:val="549"/>
          <w:jc w:val="center"/>
        </w:trPr>
        <w:tc>
          <w:tcPr>
            <w:tcW w:w="3269" w:type="dxa"/>
            <w:vAlign w:val="center"/>
            <w:hideMark/>
          </w:tcPr>
          <w:p w14:paraId="68137793" w14:textId="77777777" w:rsidR="00171525" w:rsidRPr="005954E3" w:rsidRDefault="00171525" w:rsidP="00171525">
            <w:pPr>
              <w:pStyle w:val="tabletextleft"/>
              <w:spacing w:before="0" w:after="0"/>
              <w:rPr>
                <w:szCs w:val="18"/>
              </w:rPr>
            </w:pPr>
            <w:r w:rsidRPr="005954E3">
              <w:rPr>
                <w:szCs w:val="18"/>
              </w:rPr>
              <w:t>5. Фондове за социално осигуряване</w:t>
            </w:r>
          </w:p>
        </w:tc>
        <w:tc>
          <w:tcPr>
            <w:tcW w:w="840" w:type="dxa"/>
            <w:vAlign w:val="center"/>
            <w:hideMark/>
          </w:tcPr>
          <w:p w14:paraId="4DDF2635" w14:textId="77777777" w:rsidR="00171525" w:rsidRPr="005954E3" w:rsidRDefault="00171525" w:rsidP="00171525">
            <w:pPr>
              <w:pStyle w:val="tabletextleft"/>
              <w:spacing w:before="0" w:after="0"/>
              <w:rPr>
                <w:szCs w:val="18"/>
              </w:rPr>
            </w:pPr>
            <w:r w:rsidRPr="005954E3">
              <w:rPr>
                <w:szCs w:val="18"/>
              </w:rPr>
              <w:t>S.1314</w:t>
            </w:r>
          </w:p>
        </w:tc>
        <w:tc>
          <w:tcPr>
            <w:tcW w:w="869" w:type="dxa"/>
            <w:vAlign w:val="center"/>
          </w:tcPr>
          <w:p w14:paraId="04C99700" w14:textId="6EB191AB" w:rsidR="00171525" w:rsidRPr="005954E3" w:rsidRDefault="00171525" w:rsidP="00171525">
            <w:pPr>
              <w:pStyle w:val="tabletextleft"/>
              <w:spacing w:before="0" w:after="0"/>
              <w:jc w:val="right"/>
              <w:rPr>
                <w:szCs w:val="18"/>
              </w:rPr>
            </w:pPr>
            <w:r w:rsidRPr="00E85AEC">
              <w:rPr>
                <w:rFonts w:asciiTheme="majorHAnsi" w:hAnsiTheme="majorHAnsi" w:cstheme="majorHAnsi"/>
              </w:rPr>
              <w:t>-614</w:t>
            </w:r>
            <w:r>
              <w:rPr>
                <w:rFonts w:asciiTheme="majorHAnsi" w:hAnsiTheme="majorHAnsi" w:cstheme="majorHAnsi"/>
              </w:rPr>
              <w:t>.</w:t>
            </w:r>
            <w:r w:rsidRPr="00E85AEC">
              <w:rPr>
                <w:rFonts w:asciiTheme="majorHAnsi" w:hAnsiTheme="majorHAnsi" w:cstheme="majorHAnsi"/>
              </w:rPr>
              <w:t>2</w:t>
            </w:r>
          </w:p>
        </w:tc>
        <w:tc>
          <w:tcPr>
            <w:tcW w:w="795" w:type="dxa"/>
            <w:vAlign w:val="center"/>
          </w:tcPr>
          <w:p w14:paraId="44B28303" w14:textId="6031AABF"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4</w:t>
            </w:r>
          </w:p>
        </w:tc>
        <w:tc>
          <w:tcPr>
            <w:tcW w:w="795" w:type="dxa"/>
            <w:vAlign w:val="center"/>
          </w:tcPr>
          <w:p w14:paraId="0F58E3C8" w14:textId="2DE11517"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0</w:t>
            </w:r>
          </w:p>
        </w:tc>
        <w:tc>
          <w:tcPr>
            <w:tcW w:w="790" w:type="dxa"/>
            <w:vAlign w:val="center"/>
          </w:tcPr>
          <w:p w14:paraId="60273364" w14:textId="364382B4"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0</w:t>
            </w:r>
          </w:p>
        </w:tc>
        <w:tc>
          <w:tcPr>
            <w:tcW w:w="773" w:type="dxa"/>
            <w:vAlign w:val="center"/>
          </w:tcPr>
          <w:p w14:paraId="5AEB64F5" w14:textId="4ED24506"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0</w:t>
            </w:r>
          </w:p>
        </w:tc>
        <w:tc>
          <w:tcPr>
            <w:tcW w:w="766" w:type="dxa"/>
            <w:vAlign w:val="center"/>
          </w:tcPr>
          <w:p w14:paraId="138CFED9" w14:textId="1489FF02"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0</w:t>
            </w:r>
          </w:p>
        </w:tc>
      </w:tr>
      <w:tr w:rsidR="00171525" w:rsidRPr="005954E3" w14:paraId="44971FE1" w14:textId="77777777" w:rsidTr="001B3937">
        <w:trPr>
          <w:trHeight w:val="549"/>
          <w:jc w:val="center"/>
        </w:trPr>
        <w:tc>
          <w:tcPr>
            <w:tcW w:w="3269" w:type="dxa"/>
            <w:vAlign w:val="center"/>
            <w:hideMark/>
          </w:tcPr>
          <w:p w14:paraId="23013A88" w14:textId="77777777" w:rsidR="00171525" w:rsidRPr="005954E3" w:rsidRDefault="00171525" w:rsidP="00171525">
            <w:pPr>
              <w:pStyle w:val="tabletextleft"/>
              <w:spacing w:before="0" w:after="0"/>
              <w:rPr>
                <w:szCs w:val="18"/>
              </w:rPr>
            </w:pPr>
            <w:r w:rsidRPr="005954E3">
              <w:rPr>
                <w:szCs w:val="18"/>
              </w:rPr>
              <w:t>6. Общо приходи</w:t>
            </w:r>
          </w:p>
        </w:tc>
        <w:tc>
          <w:tcPr>
            <w:tcW w:w="840" w:type="dxa"/>
            <w:vAlign w:val="center"/>
            <w:hideMark/>
          </w:tcPr>
          <w:p w14:paraId="012F2A2F" w14:textId="77777777" w:rsidR="00171525" w:rsidRPr="005954E3" w:rsidRDefault="00171525" w:rsidP="00171525">
            <w:pPr>
              <w:pStyle w:val="tabletextleft"/>
              <w:spacing w:before="0" w:after="0"/>
              <w:rPr>
                <w:szCs w:val="18"/>
              </w:rPr>
            </w:pPr>
            <w:r w:rsidRPr="005954E3">
              <w:rPr>
                <w:szCs w:val="18"/>
              </w:rPr>
              <w:t>TR</w:t>
            </w:r>
          </w:p>
        </w:tc>
        <w:tc>
          <w:tcPr>
            <w:tcW w:w="869" w:type="dxa"/>
            <w:vAlign w:val="center"/>
          </w:tcPr>
          <w:p w14:paraId="0971F816" w14:textId="21D6B7A1" w:rsidR="00171525" w:rsidRPr="005954E3" w:rsidRDefault="00171525" w:rsidP="00171525">
            <w:pPr>
              <w:pStyle w:val="tabletextleft"/>
              <w:spacing w:before="0" w:after="0"/>
              <w:jc w:val="right"/>
              <w:rPr>
                <w:szCs w:val="18"/>
              </w:rPr>
            </w:pPr>
            <w:r w:rsidRPr="00E85AEC">
              <w:rPr>
                <w:rFonts w:asciiTheme="majorHAnsi" w:hAnsiTheme="majorHAnsi" w:cstheme="majorHAnsi"/>
              </w:rPr>
              <w:t>63 711</w:t>
            </w:r>
            <w:r>
              <w:rPr>
                <w:rFonts w:asciiTheme="majorHAnsi" w:hAnsiTheme="majorHAnsi" w:cstheme="majorHAnsi"/>
              </w:rPr>
              <w:t>.</w:t>
            </w:r>
            <w:r w:rsidRPr="00E85AEC">
              <w:rPr>
                <w:rFonts w:asciiTheme="majorHAnsi" w:hAnsiTheme="majorHAnsi" w:cstheme="majorHAnsi"/>
              </w:rPr>
              <w:t>2</w:t>
            </w:r>
          </w:p>
        </w:tc>
        <w:tc>
          <w:tcPr>
            <w:tcW w:w="795" w:type="dxa"/>
            <w:vAlign w:val="center"/>
          </w:tcPr>
          <w:p w14:paraId="74472182" w14:textId="1318B76B" w:rsidR="00171525" w:rsidRPr="005954E3" w:rsidRDefault="00171525" w:rsidP="00171525">
            <w:pPr>
              <w:pStyle w:val="tabletextleft"/>
              <w:spacing w:before="0" w:after="0"/>
              <w:jc w:val="right"/>
              <w:rPr>
                <w:szCs w:val="18"/>
              </w:rPr>
            </w:pPr>
            <w:r w:rsidRPr="00E85AEC">
              <w:rPr>
                <w:rFonts w:asciiTheme="majorHAnsi" w:hAnsiTheme="majorHAnsi" w:cstheme="majorHAnsi"/>
              </w:rPr>
              <w:t>38</w:t>
            </w:r>
            <w:r>
              <w:rPr>
                <w:rFonts w:asciiTheme="majorHAnsi" w:hAnsiTheme="majorHAnsi" w:cstheme="majorHAnsi"/>
              </w:rPr>
              <w:t>.</w:t>
            </w:r>
            <w:r w:rsidRPr="00E85AEC">
              <w:rPr>
                <w:rFonts w:asciiTheme="majorHAnsi" w:hAnsiTheme="majorHAnsi" w:cstheme="majorHAnsi"/>
              </w:rPr>
              <w:t>5</w:t>
            </w:r>
          </w:p>
        </w:tc>
        <w:tc>
          <w:tcPr>
            <w:tcW w:w="795" w:type="dxa"/>
            <w:vAlign w:val="center"/>
          </w:tcPr>
          <w:p w14:paraId="67DD626F" w14:textId="7DD5AFEF" w:rsidR="00171525" w:rsidRPr="005954E3" w:rsidRDefault="00171525" w:rsidP="00171525">
            <w:pPr>
              <w:pStyle w:val="tabletextleft"/>
              <w:spacing w:before="0" w:after="0"/>
              <w:jc w:val="right"/>
              <w:rPr>
                <w:szCs w:val="18"/>
              </w:rPr>
            </w:pPr>
            <w:r w:rsidRPr="00E85AEC">
              <w:rPr>
                <w:rFonts w:asciiTheme="majorHAnsi" w:hAnsiTheme="majorHAnsi" w:cstheme="majorHAnsi"/>
              </w:rPr>
              <w:t>35</w:t>
            </w:r>
            <w:r>
              <w:rPr>
                <w:rFonts w:asciiTheme="majorHAnsi" w:hAnsiTheme="majorHAnsi" w:cstheme="majorHAnsi"/>
              </w:rPr>
              <w:t>.</w:t>
            </w:r>
            <w:r w:rsidRPr="00E85AEC">
              <w:rPr>
                <w:rFonts w:asciiTheme="majorHAnsi" w:hAnsiTheme="majorHAnsi" w:cstheme="majorHAnsi"/>
              </w:rPr>
              <w:t>5</w:t>
            </w:r>
          </w:p>
        </w:tc>
        <w:tc>
          <w:tcPr>
            <w:tcW w:w="790" w:type="dxa"/>
            <w:vAlign w:val="center"/>
          </w:tcPr>
          <w:p w14:paraId="33163BA1" w14:textId="593C8423" w:rsidR="00171525" w:rsidRPr="005954E3" w:rsidRDefault="00171525" w:rsidP="00171525">
            <w:pPr>
              <w:pStyle w:val="tabletextleft"/>
              <w:spacing w:before="0" w:after="0"/>
              <w:jc w:val="right"/>
              <w:rPr>
                <w:szCs w:val="18"/>
              </w:rPr>
            </w:pPr>
            <w:r w:rsidRPr="00E85AEC">
              <w:rPr>
                <w:rFonts w:asciiTheme="majorHAnsi" w:hAnsiTheme="majorHAnsi" w:cstheme="majorHAnsi"/>
              </w:rPr>
              <w:t>36</w:t>
            </w:r>
            <w:r>
              <w:rPr>
                <w:rFonts w:asciiTheme="majorHAnsi" w:hAnsiTheme="majorHAnsi" w:cstheme="majorHAnsi"/>
              </w:rPr>
              <w:t>.</w:t>
            </w:r>
            <w:r w:rsidRPr="00E85AEC">
              <w:rPr>
                <w:rFonts w:asciiTheme="majorHAnsi" w:hAnsiTheme="majorHAnsi" w:cstheme="majorHAnsi"/>
              </w:rPr>
              <w:t>2</w:t>
            </w:r>
          </w:p>
        </w:tc>
        <w:tc>
          <w:tcPr>
            <w:tcW w:w="773" w:type="dxa"/>
            <w:vAlign w:val="center"/>
          </w:tcPr>
          <w:p w14:paraId="76FA5A44" w14:textId="5A33D5A5" w:rsidR="00171525" w:rsidRPr="005954E3" w:rsidRDefault="00171525" w:rsidP="00171525">
            <w:pPr>
              <w:pStyle w:val="tabletextleft"/>
              <w:spacing w:before="0" w:after="0"/>
              <w:jc w:val="right"/>
              <w:rPr>
                <w:szCs w:val="18"/>
              </w:rPr>
            </w:pPr>
            <w:r w:rsidRPr="00E85AEC">
              <w:rPr>
                <w:rFonts w:asciiTheme="majorHAnsi" w:hAnsiTheme="majorHAnsi" w:cstheme="majorHAnsi"/>
              </w:rPr>
              <w:t>35</w:t>
            </w:r>
            <w:r>
              <w:rPr>
                <w:rFonts w:asciiTheme="majorHAnsi" w:hAnsiTheme="majorHAnsi" w:cstheme="majorHAnsi"/>
              </w:rPr>
              <w:t>.</w:t>
            </w:r>
            <w:r w:rsidRPr="00E85AEC">
              <w:rPr>
                <w:rFonts w:asciiTheme="majorHAnsi" w:hAnsiTheme="majorHAnsi" w:cstheme="majorHAnsi"/>
              </w:rPr>
              <w:t>4</w:t>
            </w:r>
          </w:p>
        </w:tc>
        <w:tc>
          <w:tcPr>
            <w:tcW w:w="766" w:type="dxa"/>
            <w:vAlign w:val="center"/>
          </w:tcPr>
          <w:p w14:paraId="7D65C72E" w14:textId="0F5F853C" w:rsidR="00171525" w:rsidRPr="005954E3" w:rsidRDefault="00171525" w:rsidP="00171525">
            <w:pPr>
              <w:pStyle w:val="tabletextleft"/>
              <w:spacing w:before="0" w:after="0"/>
              <w:jc w:val="right"/>
              <w:rPr>
                <w:szCs w:val="18"/>
              </w:rPr>
            </w:pPr>
            <w:r w:rsidRPr="00E85AEC">
              <w:rPr>
                <w:rFonts w:asciiTheme="majorHAnsi" w:hAnsiTheme="majorHAnsi" w:cstheme="majorHAnsi"/>
              </w:rPr>
              <w:t>34</w:t>
            </w:r>
            <w:r>
              <w:rPr>
                <w:rFonts w:asciiTheme="majorHAnsi" w:hAnsiTheme="majorHAnsi" w:cstheme="majorHAnsi"/>
              </w:rPr>
              <w:t>.</w:t>
            </w:r>
            <w:r w:rsidRPr="00E85AEC">
              <w:rPr>
                <w:rFonts w:asciiTheme="majorHAnsi" w:hAnsiTheme="majorHAnsi" w:cstheme="majorHAnsi"/>
              </w:rPr>
              <w:t>3</w:t>
            </w:r>
          </w:p>
        </w:tc>
      </w:tr>
      <w:tr w:rsidR="00171525" w:rsidRPr="005954E3" w14:paraId="7698BC44" w14:textId="77777777" w:rsidTr="001B3937">
        <w:trPr>
          <w:trHeight w:val="549"/>
          <w:jc w:val="center"/>
        </w:trPr>
        <w:tc>
          <w:tcPr>
            <w:tcW w:w="3269" w:type="dxa"/>
            <w:vAlign w:val="center"/>
            <w:hideMark/>
          </w:tcPr>
          <w:p w14:paraId="74AED16D" w14:textId="77777777" w:rsidR="00171525" w:rsidRPr="005954E3" w:rsidRDefault="00171525" w:rsidP="00171525">
            <w:pPr>
              <w:pStyle w:val="tabletextleft"/>
              <w:spacing w:before="0" w:after="0"/>
              <w:rPr>
                <w:szCs w:val="18"/>
              </w:rPr>
            </w:pPr>
            <w:r w:rsidRPr="005954E3">
              <w:rPr>
                <w:szCs w:val="18"/>
              </w:rPr>
              <w:t>7. Общо разходи</w:t>
            </w:r>
          </w:p>
        </w:tc>
        <w:tc>
          <w:tcPr>
            <w:tcW w:w="840" w:type="dxa"/>
            <w:vAlign w:val="center"/>
            <w:hideMark/>
          </w:tcPr>
          <w:p w14:paraId="71A548DE" w14:textId="77777777" w:rsidR="00171525" w:rsidRPr="005954E3" w:rsidRDefault="00171525" w:rsidP="00171525">
            <w:pPr>
              <w:pStyle w:val="tabletextleft"/>
              <w:spacing w:before="0" w:after="0"/>
              <w:rPr>
                <w:szCs w:val="18"/>
              </w:rPr>
            </w:pPr>
            <w:r w:rsidRPr="005954E3">
              <w:rPr>
                <w:szCs w:val="18"/>
              </w:rPr>
              <w:t>TE</w:t>
            </w:r>
          </w:p>
        </w:tc>
        <w:tc>
          <w:tcPr>
            <w:tcW w:w="869" w:type="dxa"/>
            <w:vAlign w:val="center"/>
          </w:tcPr>
          <w:p w14:paraId="6CE959AB" w14:textId="7AB45D04" w:rsidR="00171525" w:rsidRPr="005954E3" w:rsidRDefault="00171525" w:rsidP="00171525">
            <w:pPr>
              <w:pStyle w:val="tabletextleft"/>
              <w:spacing w:before="0" w:after="0"/>
              <w:jc w:val="right"/>
              <w:rPr>
                <w:szCs w:val="18"/>
              </w:rPr>
            </w:pPr>
            <w:r w:rsidRPr="00E85AEC">
              <w:rPr>
                <w:rFonts w:asciiTheme="majorHAnsi" w:hAnsiTheme="majorHAnsi" w:cstheme="majorHAnsi"/>
              </w:rPr>
              <w:t>68 358</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4F21DA0D" w14:textId="5460B7D1" w:rsidR="00171525" w:rsidRPr="005954E3" w:rsidRDefault="00171525" w:rsidP="00171525">
            <w:pPr>
              <w:pStyle w:val="tabletextleft"/>
              <w:spacing w:before="0" w:after="0"/>
              <w:jc w:val="right"/>
              <w:rPr>
                <w:szCs w:val="18"/>
              </w:rPr>
            </w:pPr>
            <w:r w:rsidRPr="00E85AEC">
              <w:rPr>
                <w:rFonts w:asciiTheme="majorHAnsi" w:hAnsiTheme="majorHAnsi" w:cstheme="majorHAnsi"/>
              </w:rPr>
              <w:t>41</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60B6F1F9" w14:textId="385D81FB" w:rsidR="00171525" w:rsidRPr="005954E3" w:rsidRDefault="00171525" w:rsidP="00171525">
            <w:pPr>
              <w:pStyle w:val="tabletextleft"/>
              <w:spacing w:before="0" w:after="0"/>
              <w:jc w:val="right"/>
              <w:rPr>
                <w:szCs w:val="18"/>
              </w:rPr>
            </w:pPr>
            <w:r w:rsidRPr="00E85AEC">
              <w:rPr>
                <w:rFonts w:asciiTheme="majorHAnsi" w:hAnsiTheme="majorHAnsi" w:cstheme="majorHAnsi"/>
              </w:rPr>
              <w:t>41</w:t>
            </w:r>
            <w:r>
              <w:rPr>
                <w:rFonts w:asciiTheme="majorHAnsi" w:hAnsiTheme="majorHAnsi" w:cstheme="majorHAnsi"/>
              </w:rPr>
              <w:t>.</w:t>
            </w:r>
            <w:r w:rsidRPr="00E85AEC">
              <w:rPr>
                <w:rFonts w:asciiTheme="majorHAnsi" w:hAnsiTheme="majorHAnsi" w:cstheme="majorHAnsi"/>
              </w:rPr>
              <w:t>6</w:t>
            </w:r>
          </w:p>
        </w:tc>
        <w:tc>
          <w:tcPr>
            <w:tcW w:w="790" w:type="dxa"/>
            <w:vAlign w:val="center"/>
          </w:tcPr>
          <w:p w14:paraId="656DC1B6" w14:textId="00361891" w:rsidR="00171525" w:rsidRPr="005954E3" w:rsidRDefault="00171525" w:rsidP="00171525">
            <w:pPr>
              <w:pStyle w:val="tabletextleft"/>
              <w:spacing w:before="0" w:after="0"/>
              <w:jc w:val="right"/>
              <w:rPr>
                <w:szCs w:val="18"/>
              </w:rPr>
            </w:pPr>
            <w:r w:rsidRPr="00E85AEC">
              <w:rPr>
                <w:rFonts w:asciiTheme="majorHAnsi" w:hAnsiTheme="majorHAnsi" w:cstheme="majorHAnsi"/>
              </w:rPr>
              <w:t>40</w:t>
            </w:r>
            <w:r>
              <w:rPr>
                <w:rFonts w:asciiTheme="majorHAnsi" w:hAnsiTheme="majorHAnsi" w:cstheme="majorHAnsi"/>
              </w:rPr>
              <w:t>.</w:t>
            </w:r>
            <w:r w:rsidRPr="00E85AEC">
              <w:rPr>
                <w:rFonts w:asciiTheme="majorHAnsi" w:hAnsiTheme="majorHAnsi" w:cstheme="majorHAnsi"/>
              </w:rPr>
              <w:t>9</w:t>
            </w:r>
          </w:p>
        </w:tc>
        <w:tc>
          <w:tcPr>
            <w:tcW w:w="773" w:type="dxa"/>
            <w:vAlign w:val="center"/>
          </w:tcPr>
          <w:p w14:paraId="3EAD3E4E" w14:textId="142802B5" w:rsidR="00171525" w:rsidRPr="005954E3" w:rsidRDefault="00171525" w:rsidP="00171525">
            <w:pPr>
              <w:pStyle w:val="tabletextleft"/>
              <w:spacing w:before="0" w:after="0"/>
              <w:jc w:val="right"/>
              <w:rPr>
                <w:szCs w:val="18"/>
              </w:rPr>
            </w:pPr>
            <w:r w:rsidRPr="00E85AEC">
              <w:rPr>
                <w:rFonts w:asciiTheme="majorHAnsi" w:hAnsiTheme="majorHAnsi" w:cstheme="majorHAnsi"/>
              </w:rPr>
              <w:t>40</w:t>
            </w:r>
            <w:r>
              <w:rPr>
                <w:rFonts w:asciiTheme="majorHAnsi" w:hAnsiTheme="majorHAnsi" w:cstheme="majorHAnsi"/>
              </w:rPr>
              <w:t>.</w:t>
            </w:r>
            <w:r w:rsidRPr="00E85AEC">
              <w:rPr>
                <w:rFonts w:asciiTheme="majorHAnsi" w:hAnsiTheme="majorHAnsi" w:cstheme="majorHAnsi"/>
              </w:rPr>
              <w:t>4</w:t>
            </w:r>
          </w:p>
        </w:tc>
        <w:tc>
          <w:tcPr>
            <w:tcW w:w="766" w:type="dxa"/>
            <w:vAlign w:val="center"/>
          </w:tcPr>
          <w:p w14:paraId="173C125A" w14:textId="3EFC0880" w:rsidR="00171525" w:rsidRPr="005954E3" w:rsidRDefault="00171525" w:rsidP="00171525">
            <w:pPr>
              <w:pStyle w:val="tabletextleft"/>
              <w:spacing w:before="0" w:after="0"/>
              <w:jc w:val="right"/>
              <w:rPr>
                <w:szCs w:val="18"/>
              </w:rPr>
            </w:pPr>
            <w:r w:rsidRPr="00E85AEC">
              <w:rPr>
                <w:rFonts w:asciiTheme="majorHAnsi" w:hAnsiTheme="majorHAnsi" w:cstheme="majorHAnsi"/>
              </w:rPr>
              <w:t>39</w:t>
            </w:r>
            <w:r>
              <w:rPr>
                <w:rFonts w:asciiTheme="majorHAnsi" w:hAnsiTheme="majorHAnsi" w:cstheme="majorHAnsi"/>
              </w:rPr>
              <w:t>.</w:t>
            </w:r>
            <w:r w:rsidRPr="00E85AEC">
              <w:rPr>
                <w:rFonts w:asciiTheme="majorHAnsi" w:hAnsiTheme="majorHAnsi" w:cstheme="majorHAnsi"/>
              </w:rPr>
              <w:t>4</w:t>
            </w:r>
          </w:p>
        </w:tc>
      </w:tr>
      <w:tr w:rsidR="00171525" w:rsidRPr="005954E3" w14:paraId="228F7D36" w14:textId="77777777" w:rsidTr="001B3937">
        <w:trPr>
          <w:trHeight w:val="549"/>
          <w:jc w:val="center"/>
        </w:trPr>
        <w:tc>
          <w:tcPr>
            <w:tcW w:w="3269" w:type="dxa"/>
            <w:vAlign w:val="center"/>
            <w:hideMark/>
          </w:tcPr>
          <w:p w14:paraId="5C7B7809" w14:textId="77777777" w:rsidR="00171525" w:rsidRPr="005954E3" w:rsidRDefault="00171525" w:rsidP="00171525">
            <w:pPr>
              <w:pStyle w:val="tabletextleft"/>
              <w:spacing w:before="0" w:after="0"/>
              <w:rPr>
                <w:szCs w:val="18"/>
              </w:rPr>
            </w:pPr>
            <w:r w:rsidRPr="005954E3">
              <w:rPr>
                <w:szCs w:val="18"/>
              </w:rPr>
              <w:t>8. Нето предоставени/ получени заеми</w:t>
            </w:r>
          </w:p>
        </w:tc>
        <w:tc>
          <w:tcPr>
            <w:tcW w:w="840" w:type="dxa"/>
            <w:vAlign w:val="center"/>
            <w:hideMark/>
          </w:tcPr>
          <w:p w14:paraId="07B8CA83" w14:textId="77777777" w:rsidR="00171525" w:rsidRPr="005954E3" w:rsidRDefault="00171525" w:rsidP="00171525">
            <w:pPr>
              <w:pStyle w:val="tabletextleft"/>
              <w:spacing w:before="0" w:after="0"/>
              <w:rPr>
                <w:szCs w:val="18"/>
              </w:rPr>
            </w:pPr>
            <w:r w:rsidRPr="005954E3">
              <w:rPr>
                <w:szCs w:val="18"/>
              </w:rPr>
              <w:t>EDP B.9</w:t>
            </w:r>
          </w:p>
        </w:tc>
        <w:tc>
          <w:tcPr>
            <w:tcW w:w="869" w:type="dxa"/>
            <w:vAlign w:val="center"/>
          </w:tcPr>
          <w:p w14:paraId="573DC3E1" w14:textId="33191DE7" w:rsidR="00171525" w:rsidRPr="005954E3" w:rsidRDefault="00171525" w:rsidP="00171525">
            <w:pPr>
              <w:pStyle w:val="tabletextleft"/>
              <w:spacing w:before="0" w:after="0"/>
              <w:jc w:val="right"/>
              <w:rPr>
                <w:szCs w:val="18"/>
              </w:rPr>
            </w:pPr>
            <w:r w:rsidRPr="00E85AEC">
              <w:rPr>
                <w:rFonts w:asciiTheme="majorHAnsi" w:hAnsiTheme="majorHAnsi" w:cstheme="majorHAnsi"/>
              </w:rPr>
              <w:t>-4 647</w:t>
            </w:r>
            <w:r>
              <w:rPr>
                <w:rFonts w:asciiTheme="majorHAnsi" w:hAnsiTheme="majorHAnsi" w:cstheme="majorHAnsi"/>
              </w:rPr>
              <w:t>.</w:t>
            </w:r>
            <w:r w:rsidRPr="00E85AEC">
              <w:rPr>
                <w:rFonts w:asciiTheme="majorHAnsi" w:hAnsiTheme="majorHAnsi" w:cstheme="majorHAnsi"/>
              </w:rPr>
              <w:t>6</w:t>
            </w:r>
          </w:p>
        </w:tc>
        <w:tc>
          <w:tcPr>
            <w:tcW w:w="795" w:type="dxa"/>
            <w:vAlign w:val="center"/>
          </w:tcPr>
          <w:p w14:paraId="779062BB" w14:textId="5013C81A" w:rsidR="00171525" w:rsidRPr="005954E3" w:rsidRDefault="00171525" w:rsidP="00171525">
            <w:pPr>
              <w:pStyle w:val="tabletextleft"/>
              <w:spacing w:before="0" w:after="0"/>
              <w:jc w:val="right"/>
              <w:rPr>
                <w:szCs w:val="18"/>
              </w:rPr>
            </w:pPr>
            <w:r w:rsidRPr="00E85AEC">
              <w:rPr>
                <w:rFonts w:asciiTheme="majorHAnsi" w:hAnsiTheme="majorHAnsi" w:cstheme="majorHAnsi"/>
              </w:rPr>
              <w:t>-2</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79289186" w14:textId="1DDCB706" w:rsidR="00171525" w:rsidRPr="005954E3" w:rsidRDefault="00171525" w:rsidP="00171525">
            <w:pPr>
              <w:pStyle w:val="tabletextleft"/>
              <w:spacing w:before="0" w:after="0"/>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1</w:t>
            </w:r>
          </w:p>
        </w:tc>
        <w:tc>
          <w:tcPr>
            <w:tcW w:w="790" w:type="dxa"/>
            <w:vAlign w:val="center"/>
          </w:tcPr>
          <w:p w14:paraId="2463A99B" w14:textId="6313789D"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7</w:t>
            </w:r>
          </w:p>
        </w:tc>
        <w:tc>
          <w:tcPr>
            <w:tcW w:w="773" w:type="dxa"/>
            <w:vAlign w:val="center"/>
          </w:tcPr>
          <w:p w14:paraId="1E6E76C1" w14:textId="130752B3"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9</w:t>
            </w:r>
          </w:p>
        </w:tc>
        <w:tc>
          <w:tcPr>
            <w:tcW w:w="766" w:type="dxa"/>
            <w:vAlign w:val="center"/>
          </w:tcPr>
          <w:p w14:paraId="0ECE7C9E" w14:textId="5F6696FA"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0</w:t>
            </w:r>
          </w:p>
        </w:tc>
      </w:tr>
      <w:tr w:rsidR="00171525" w:rsidRPr="005954E3" w14:paraId="70AF3DB6" w14:textId="77777777" w:rsidTr="001B3937">
        <w:trPr>
          <w:trHeight w:val="549"/>
          <w:jc w:val="center"/>
        </w:trPr>
        <w:tc>
          <w:tcPr>
            <w:tcW w:w="3269" w:type="dxa"/>
            <w:vAlign w:val="center"/>
            <w:hideMark/>
          </w:tcPr>
          <w:p w14:paraId="75C342DA" w14:textId="77777777" w:rsidR="00171525" w:rsidRPr="005954E3" w:rsidRDefault="00171525" w:rsidP="00171525">
            <w:pPr>
              <w:pStyle w:val="tabletextleft"/>
              <w:spacing w:before="0" w:after="0"/>
              <w:rPr>
                <w:szCs w:val="18"/>
              </w:rPr>
            </w:pPr>
            <w:r w:rsidRPr="005954E3">
              <w:rPr>
                <w:szCs w:val="18"/>
              </w:rPr>
              <w:t>9. Лихвени разходи</w:t>
            </w:r>
          </w:p>
        </w:tc>
        <w:tc>
          <w:tcPr>
            <w:tcW w:w="840" w:type="dxa"/>
            <w:vAlign w:val="center"/>
            <w:hideMark/>
          </w:tcPr>
          <w:p w14:paraId="5EE894E9" w14:textId="77777777" w:rsidR="00171525" w:rsidRPr="005954E3" w:rsidRDefault="00171525" w:rsidP="00171525">
            <w:pPr>
              <w:pStyle w:val="tabletextleft"/>
              <w:spacing w:before="0" w:after="0"/>
              <w:rPr>
                <w:szCs w:val="18"/>
              </w:rPr>
            </w:pPr>
            <w:r w:rsidRPr="005954E3">
              <w:rPr>
                <w:szCs w:val="18"/>
              </w:rPr>
              <w:t>EDP D.41</w:t>
            </w:r>
          </w:p>
        </w:tc>
        <w:tc>
          <w:tcPr>
            <w:tcW w:w="869" w:type="dxa"/>
            <w:vAlign w:val="center"/>
          </w:tcPr>
          <w:p w14:paraId="1BA5A841" w14:textId="070F0799" w:rsidR="00171525" w:rsidRPr="005954E3" w:rsidRDefault="00171525" w:rsidP="00171525">
            <w:pPr>
              <w:pStyle w:val="tabletextleft"/>
              <w:spacing w:before="0" w:after="0"/>
              <w:jc w:val="right"/>
              <w:rPr>
                <w:szCs w:val="18"/>
              </w:rPr>
            </w:pPr>
            <w:r w:rsidRPr="00E85AEC">
              <w:rPr>
                <w:rFonts w:asciiTheme="majorHAnsi" w:hAnsiTheme="majorHAnsi" w:cstheme="majorHAnsi"/>
              </w:rPr>
              <w:t>770</w:t>
            </w:r>
            <w:r>
              <w:rPr>
                <w:rFonts w:asciiTheme="majorHAnsi" w:hAnsiTheme="majorHAnsi" w:cstheme="majorHAnsi"/>
              </w:rPr>
              <w:t>.</w:t>
            </w:r>
            <w:r w:rsidRPr="00E85AEC">
              <w:rPr>
                <w:rFonts w:asciiTheme="majorHAnsi" w:hAnsiTheme="majorHAnsi" w:cstheme="majorHAnsi"/>
              </w:rPr>
              <w:t>4</w:t>
            </w:r>
          </w:p>
        </w:tc>
        <w:tc>
          <w:tcPr>
            <w:tcW w:w="795" w:type="dxa"/>
            <w:vAlign w:val="center"/>
          </w:tcPr>
          <w:p w14:paraId="3D3497E3" w14:textId="1E36FD9B"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5</w:t>
            </w:r>
          </w:p>
        </w:tc>
        <w:tc>
          <w:tcPr>
            <w:tcW w:w="795" w:type="dxa"/>
            <w:vAlign w:val="center"/>
          </w:tcPr>
          <w:p w14:paraId="25B3A3E0" w14:textId="61EB6839"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6</w:t>
            </w:r>
          </w:p>
        </w:tc>
        <w:tc>
          <w:tcPr>
            <w:tcW w:w="790" w:type="dxa"/>
            <w:vAlign w:val="center"/>
          </w:tcPr>
          <w:p w14:paraId="77A29BFE" w14:textId="67E81FAA"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0</w:t>
            </w:r>
          </w:p>
        </w:tc>
        <w:tc>
          <w:tcPr>
            <w:tcW w:w="773" w:type="dxa"/>
            <w:vAlign w:val="center"/>
          </w:tcPr>
          <w:p w14:paraId="34475463" w14:textId="3DC47A69"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3</w:t>
            </w:r>
          </w:p>
        </w:tc>
        <w:tc>
          <w:tcPr>
            <w:tcW w:w="766" w:type="dxa"/>
            <w:vAlign w:val="center"/>
          </w:tcPr>
          <w:p w14:paraId="2F7D3035" w14:textId="43E0990D"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7</w:t>
            </w:r>
          </w:p>
        </w:tc>
      </w:tr>
      <w:tr w:rsidR="00171525" w:rsidRPr="005954E3" w14:paraId="24E910F6" w14:textId="77777777" w:rsidTr="001B3937">
        <w:trPr>
          <w:trHeight w:val="549"/>
          <w:jc w:val="center"/>
        </w:trPr>
        <w:tc>
          <w:tcPr>
            <w:tcW w:w="3269" w:type="dxa"/>
            <w:vAlign w:val="center"/>
            <w:hideMark/>
          </w:tcPr>
          <w:p w14:paraId="0DDF74DE" w14:textId="77777777" w:rsidR="00171525" w:rsidRPr="005954E3" w:rsidRDefault="00171525" w:rsidP="00171525">
            <w:pPr>
              <w:pStyle w:val="tabletextleft"/>
              <w:spacing w:before="0" w:after="0"/>
              <w:rPr>
                <w:szCs w:val="18"/>
              </w:rPr>
            </w:pPr>
            <w:r w:rsidRPr="005954E3">
              <w:rPr>
                <w:szCs w:val="18"/>
              </w:rPr>
              <w:t>10. Първичен баланс</w:t>
            </w:r>
          </w:p>
        </w:tc>
        <w:tc>
          <w:tcPr>
            <w:tcW w:w="840" w:type="dxa"/>
            <w:vAlign w:val="center"/>
          </w:tcPr>
          <w:p w14:paraId="509324F7" w14:textId="77777777" w:rsidR="00171525" w:rsidRPr="005954E3" w:rsidRDefault="00171525" w:rsidP="00171525">
            <w:pPr>
              <w:pStyle w:val="tabletextleft"/>
              <w:spacing w:before="0" w:after="0"/>
              <w:rPr>
                <w:szCs w:val="18"/>
              </w:rPr>
            </w:pPr>
          </w:p>
        </w:tc>
        <w:tc>
          <w:tcPr>
            <w:tcW w:w="869" w:type="dxa"/>
            <w:vAlign w:val="center"/>
          </w:tcPr>
          <w:p w14:paraId="37FDFA0A" w14:textId="62DE7C97" w:rsidR="00171525" w:rsidRPr="005954E3" w:rsidRDefault="00171525" w:rsidP="00171525">
            <w:pPr>
              <w:pStyle w:val="tabletextleft"/>
              <w:spacing w:before="0" w:after="0"/>
              <w:jc w:val="right"/>
              <w:rPr>
                <w:szCs w:val="18"/>
              </w:rPr>
            </w:pPr>
            <w:r w:rsidRPr="00E85AEC">
              <w:rPr>
                <w:rFonts w:asciiTheme="majorHAnsi" w:hAnsiTheme="majorHAnsi" w:cstheme="majorHAnsi"/>
              </w:rPr>
              <w:t>-3 877</w:t>
            </w:r>
            <w:r>
              <w:rPr>
                <w:rFonts w:asciiTheme="majorHAnsi" w:hAnsiTheme="majorHAnsi" w:cstheme="majorHAnsi"/>
              </w:rPr>
              <w:t>.</w:t>
            </w:r>
            <w:r w:rsidRPr="00E85AEC">
              <w:rPr>
                <w:rFonts w:asciiTheme="majorHAnsi" w:hAnsiTheme="majorHAnsi" w:cstheme="majorHAnsi"/>
              </w:rPr>
              <w:t>2</w:t>
            </w:r>
          </w:p>
        </w:tc>
        <w:tc>
          <w:tcPr>
            <w:tcW w:w="795" w:type="dxa"/>
            <w:vAlign w:val="center"/>
          </w:tcPr>
          <w:p w14:paraId="256E1119" w14:textId="22DD9B44" w:rsidR="00171525" w:rsidRPr="005954E3" w:rsidRDefault="00171525" w:rsidP="00171525">
            <w:pPr>
              <w:pStyle w:val="tabletextleft"/>
              <w:spacing w:before="0" w:after="0"/>
              <w:jc w:val="right"/>
              <w:rPr>
                <w:szCs w:val="18"/>
              </w:rPr>
            </w:pPr>
            <w:r w:rsidRPr="00E85AEC">
              <w:rPr>
                <w:rFonts w:asciiTheme="majorHAnsi" w:hAnsiTheme="majorHAnsi" w:cstheme="majorHAnsi"/>
              </w:rPr>
              <w:t>-2</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0A92C028" w14:textId="7D5047D7"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5</w:t>
            </w:r>
          </w:p>
        </w:tc>
        <w:tc>
          <w:tcPr>
            <w:tcW w:w="790" w:type="dxa"/>
            <w:vAlign w:val="center"/>
          </w:tcPr>
          <w:p w14:paraId="3AE26A5D" w14:textId="4F7FDF85"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6</w:t>
            </w:r>
          </w:p>
        </w:tc>
        <w:tc>
          <w:tcPr>
            <w:tcW w:w="773" w:type="dxa"/>
            <w:vAlign w:val="center"/>
          </w:tcPr>
          <w:p w14:paraId="1B175598" w14:textId="069DBBC0"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7</w:t>
            </w:r>
          </w:p>
        </w:tc>
        <w:tc>
          <w:tcPr>
            <w:tcW w:w="766" w:type="dxa"/>
            <w:vAlign w:val="center"/>
          </w:tcPr>
          <w:p w14:paraId="693B5998" w14:textId="4D5EEF95"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4</w:t>
            </w:r>
          </w:p>
        </w:tc>
      </w:tr>
      <w:tr w:rsidR="00171525" w:rsidRPr="005954E3" w14:paraId="476470F3" w14:textId="77777777" w:rsidTr="001B3937">
        <w:trPr>
          <w:trHeight w:val="549"/>
          <w:jc w:val="center"/>
        </w:trPr>
        <w:tc>
          <w:tcPr>
            <w:tcW w:w="3269" w:type="dxa"/>
            <w:vAlign w:val="center"/>
            <w:hideMark/>
          </w:tcPr>
          <w:p w14:paraId="1C3C60B2" w14:textId="77777777" w:rsidR="00171525" w:rsidRPr="005954E3" w:rsidRDefault="00171525" w:rsidP="00171525">
            <w:pPr>
              <w:pStyle w:val="tabletextleft"/>
              <w:spacing w:before="0" w:after="0"/>
              <w:rPr>
                <w:szCs w:val="18"/>
              </w:rPr>
            </w:pPr>
            <w:r w:rsidRPr="005954E3">
              <w:rPr>
                <w:szCs w:val="18"/>
              </w:rPr>
              <w:t>11. Еднократни и други временни мерки</w:t>
            </w:r>
          </w:p>
        </w:tc>
        <w:tc>
          <w:tcPr>
            <w:tcW w:w="840" w:type="dxa"/>
            <w:vAlign w:val="center"/>
          </w:tcPr>
          <w:p w14:paraId="53565066" w14:textId="77777777" w:rsidR="00171525" w:rsidRPr="005954E3" w:rsidRDefault="00171525" w:rsidP="00171525">
            <w:pPr>
              <w:pStyle w:val="tabletextleft"/>
              <w:spacing w:before="0" w:after="0"/>
              <w:rPr>
                <w:szCs w:val="18"/>
              </w:rPr>
            </w:pPr>
          </w:p>
        </w:tc>
        <w:tc>
          <w:tcPr>
            <w:tcW w:w="869" w:type="dxa"/>
            <w:vAlign w:val="center"/>
          </w:tcPr>
          <w:p w14:paraId="31573AB0" w14:textId="591C5F50" w:rsidR="00171525" w:rsidRPr="005954E3" w:rsidRDefault="00171525" w:rsidP="00171525">
            <w:pPr>
              <w:pStyle w:val="tabletextleft"/>
              <w:spacing w:before="0" w:after="0"/>
              <w:jc w:val="right"/>
              <w:rPr>
                <w:szCs w:val="18"/>
              </w:rPr>
            </w:pPr>
            <w:r w:rsidRPr="00E85AEC">
              <w:rPr>
                <w:rFonts w:asciiTheme="majorHAnsi" w:hAnsiTheme="majorHAnsi" w:cstheme="majorHAnsi"/>
              </w:rPr>
              <w:t>-2 917</w:t>
            </w:r>
            <w:r>
              <w:rPr>
                <w:rFonts w:asciiTheme="majorHAnsi" w:hAnsiTheme="majorHAnsi" w:cstheme="majorHAnsi"/>
              </w:rPr>
              <w:t>.</w:t>
            </w:r>
            <w:r w:rsidRPr="00E85AEC">
              <w:rPr>
                <w:rFonts w:asciiTheme="majorHAnsi" w:hAnsiTheme="majorHAnsi" w:cstheme="majorHAnsi"/>
              </w:rPr>
              <w:t>7</w:t>
            </w:r>
          </w:p>
        </w:tc>
        <w:tc>
          <w:tcPr>
            <w:tcW w:w="795" w:type="dxa"/>
            <w:vAlign w:val="center"/>
          </w:tcPr>
          <w:p w14:paraId="7A733F69" w14:textId="6F6DED0D"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3254984E" w14:textId="1C967A18"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4</w:t>
            </w:r>
          </w:p>
        </w:tc>
        <w:tc>
          <w:tcPr>
            <w:tcW w:w="790" w:type="dxa"/>
            <w:vAlign w:val="center"/>
          </w:tcPr>
          <w:p w14:paraId="7263B73C" w14:textId="6C1DCEB8"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0</w:t>
            </w:r>
          </w:p>
        </w:tc>
        <w:tc>
          <w:tcPr>
            <w:tcW w:w="773" w:type="dxa"/>
            <w:vAlign w:val="center"/>
          </w:tcPr>
          <w:p w14:paraId="76795CE6" w14:textId="15909DBB"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0</w:t>
            </w:r>
          </w:p>
        </w:tc>
        <w:tc>
          <w:tcPr>
            <w:tcW w:w="766" w:type="dxa"/>
            <w:vAlign w:val="center"/>
          </w:tcPr>
          <w:p w14:paraId="28EDD72C" w14:textId="5D2D8125"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0</w:t>
            </w:r>
          </w:p>
        </w:tc>
      </w:tr>
      <w:tr w:rsidR="00171525" w:rsidRPr="005954E3" w14:paraId="43D4FF01" w14:textId="77777777" w:rsidTr="001B3937">
        <w:trPr>
          <w:trHeight w:val="549"/>
          <w:jc w:val="center"/>
        </w:trPr>
        <w:tc>
          <w:tcPr>
            <w:tcW w:w="3269" w:type="dxa"/>
            <w:vAlign w:val="center"/>
            <w:hideMark/>
          </w:tcPr>
          <w:p w14:paraId="734DFC6E" w14:textId="77777777" w:rsidR="00171525" w:rsidRPr="005954E3" w:rsidRDefault="00171525" w:rsidP="00171525">
            <w:pPr>
              <w:pStyle w:val="tabletextleft"/>
              <w:spacing w:before="0" w:after="0"/>
              <w:rPr>
                <w:szCs w:val="18"/>
              </w:rPr>
            </w:pPr>
            <w:r w:rsidRPr="005954E3">
              <w:rPr>
                <w:szCs w:val="18"/>
              </w:rPr>
              <w:t>12. Общо данъци (12=12a+12b+12c)</w:t>
            </w:r>
          </w:p>
        </w:tc>
        <w:tc>
          <w:tcPr>
            <w:tcW w:w="840" w:type="dxa"/>
            <w:vAlign w:val="center"/>
          </w:tcPr>
          <w:p w14:paraId="11DA0638" w14:textId="77777777" w:rsidR="00171525" w:rsidRPr="005954E3" w:rsidRDefault="00171525" w:rsidP="00171525">
            <w:pPr>
              <w:pStyle w:val="tabletextleft"/>
              <w:spacing w:before="0" w:after="0"/>
              <w:rPr>
                <w:szCs w:val="18"/>
              </w:rPr>
            </w:pPr>
          </w:p>
        </w:tc>
        <w:tc>
          <w:tcPr>
            <w:tcW w:w="869" w:type="dxa"/>
            <w:vAlign w:val="center"/>
          </w:tcPr>
          <w:p w14:paraId="742D485D" w14:textId="30BABC48" w:rsidR="00171525" w:rsidRPr="005954E3" w:rsidRDefault="00171525" w:rsidP="00171525">
            <w:pPr>
              <w:pStyle w:val="tabletextleft"/>
              <w:spacing w:before="0" w:after="0"/>
              <w:jc w:val="right"/>
              <w:rPr>
                <w:szCs w:val="18"/>
              </w:rPr>
            </w:pPr>
            <w:r w:rsidRPr="00E85AEC">
              <w:rPr>
                <w:rFonts w:asciiTheme="majorHAnsi" w:hAnsiTheme="majorHAnsi" w:cstheme="majorHAnsi"/>
              </w:rPr>
              <w:t>37 314</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083E1691" w14:textId="53B6313D" w:rsidR="00171525" w:rsidRPr="005954E3" w:rsidRDefault="00171525" w:rsidP="00171525">
            <w:pPr>
              <w:pStyle w:val="tabletextleft"/>
              <w:spacing w:before="0" w:after="0"/>
              <w:jc w:val="right"/>
              <w:rPr>
                <w:szCs w:val="18"/>
              </w:rPr>
            </w:pPr>
            <w:r w:rsidRPr="00E85AEC">
              <w:rPr>
                <w:rFonts w:asciiTheme="majorHAnsi" w:hAnsiTheme="majorHAnsi" w:cstheme="majorHAnsi"/>
              </w:rPr>
              <w:t>22</w:t>
            </w:r>
            <w:r>
              <w:rPr>
                <w:rFonts w:asciiTheme="majorHAnsi" w:hAnsiTheme="majorHAnsi" w:cstheme="majorHAnsi"/>
              </w:rPr>
              <w:t>.</w:t>
            </w:r>
            <w:r w:rsidRPr="00E85AEC">
              <w:rPr>
                <w:rFonts w:asciiTheme="majorHAnsi" w:hAnsiTheme="majorHAnsi" w:cstheme="majorHAnsi"/>
              </w:rPr>
              <w:t>6</w:t>
            </w:r>
          </w:p>
        </w:tc>
        <w:tc>
          <w:tcPr>
            <w:tcW w:w="795" w:type="dxa"/>
            <w:vAlign w:val="center"/>
          </w:tcPr>
          <w:p w14:paraId="50F4790A" w14:textId="7FB87F06" w:rsidR="00171525" w:rsidRPr="005954E3" w:rsidRDefault="00171525" w:rsidP="00171525">
            <w:pPr>
              <w:pStyle w:val="tabletextleft"/>
              <w:spacing w:before="0" w:after="0"/>
              <w:jc w:val="right"/>
              <w:rPr>
                <w:szCs w:val="18"/>
              </w:rPr>
            </w:pPr>
            <w:r w:rsidRPr="00E85AEC">
              <w:rPr>
                <w:rFonts w:asciiTheme="majorHAnsi" w:hAnsiTheme="majorHAnsi" w:cstheme="majorHAnsi"/>
              </w:rPr>
              <w:t>21</w:t>
            </w:r>
            <w:r>
              <w:rPr>
                <w:rFonts w:asciiTheme="majorHAnsi" w:hAnsiTheme="majorHAnsi" w:cstheme="majorHAnsi"/>
              </w:rPr>
              <w:t>.</w:t>
            </w:r>
            <w:r w:rsidRPr="00E85AEC">
              <w:rPr>
                <w:rFonts w:asciiTheme="majorHAnsi" w:hAnsiTheme="majorHAnsi" w:cstheme="majorHAnsi"/>
              </w:rPr>
              <w:t>1</w:t>
            </w:r>
          </w:p>
        </w:tc>
        <w:tc>
          <w:tcPr>
            <w:tcW w:w="790" w:type="dxa"/>
            <w:vAlign w:val="center"/>
          </w:tcPr>
          <w:p w14:paraId="4DD44F98" w14:textId="3D696C3E" w:rsidR="00171525" w:rsidRPr="005954E3" w:rsidRDefault="00171525" w:rsidP="00171525">
            <w:pPr>
              <w:pStyle w:val="tabletextleft"/>
              <w:spacing w:before="0" w:after="0"/>
              <w:jc w:val="right"/>
              <w:rPr>
                <w:szCs w:val="18"/>
              </w:rPr>
            </w:pPr>
            <w:r w:rsidRPr="00E85AEC">
              <w:rPr>
                <w:rFonts w:asciiTheme="majorHAnsi" w:hAnsiTheme="majorHAnsi" w:cstheme="majorHAnsi"/>
              </w:rPr>
              <w:t>21</w:t>
            </w:r>
            <w:r>
              <w:rPr>
                <w:rFonts w:asciiTheme="majorHAnsi" w:hAnsiTheme="majorHAnsi" w:cstheme="majorHAnsi"/>
              </w:rPr>
              <w:t>.</w:t>
            </w:r>
            <w:r w:rsidRPr="00E85AEC">
              <w:rPr>
                <w:rFonts w:asciiTheme="majorHAnsi" w:hAnsiTheme="majorHAnsi" w:cstheme="majorHAnsi"/>
              </w:rPr>
              <w:t>1</w:t>
            </w:r>
          </w:p>
        </w:tc>
        <w:tc>
          <w:tcPr>
            <w:tcW w:w="773" w:type="dxa"/>
            <w:vAlign w:val="center"/>
          </w:tcPr>
          <w:p w14:paraId="64FE67B0" w14:textId="5D10B52B" w:rsidR="00171525" w:rsidRPr="005954E3" w:rsidRDefault="00171525" w:rsidP="00171525">
            <w:pPr>
              <w:pStyle w:val="tabletextleft"/>
              <w:spacing w:before="0" w:after="0"/>
              <w:jc w:val="right"/>
              <w:rPr>
                <w:szCs w:val="18"/>
              </w:rPr>
            </w:pPr>
            <w:r w:rsidRPr="00E85AEC">
              <w:rPr>
                <w:rFonts w:asciiTheme="majorHAnsi" w:hAnsiTheme="majorHAnsi" w:cstheme="majorHAnsi"/>
              </w:rPr>
              <w:t>20</w:t>
            </w:r>
            <w:r>
              <w:rPr>
                <w:rFonts w:asciiTheme="majorHAnsi" w:hAnsiTheme="majorHAnsi" w:cstheme="majorHAnsi"/>
              </w:rPr>
              <w:t>.</w:t>
            </w:r>
            <w:r w:rsidRPr="00E85AEC">
              <w:rPr>
                <w:rFonts w:asciiTheme="majorHAnsi" w:hAnsiTheme="majorHAnsi" w:cstheme="majorHAnsi"/>
              </w:rPr>
              <w:t>9</w:t>
            </w:r>
          </w:p>
        </w:tc>
        <w:tc>
          <w:tcPr>
            <w:tcW w:w="766" w:type="dxa"/>
            <w:vAlign w:val="center"/>
          </w:tcPr>
          <w:p w14:paraId="0EDCB33E" w14:textId="458288AE" w:rsidR="00171525" w:rsidRPr="005954E3" w:rsidRDefault="00171525" w:rsidP="00171525">
            <w:pPr>
              <w:pStyle w:val="tabletextleft"/>
              <w:spacing w:before="0" w:after="0"/>
              <w:jc w:val="right"/>
              <w:rPr>
                <w:szCs w:val="18"/>
              </w:rPr>
            </w:pPr>
            <w:r w:rsidRPr="00E85AEC">
              <w:rPr>
                <w:rFonts w:asciiTheme="majorHAnsi" w:hAnsiTheme="majorHAnsi" w:cstheme="majorHAnsi"/>
              </w:rPr>
              <w:t>20</w:t>
            </w:r>
            <w:r>
              <w:rPr>
                <w:rFonts w:asciiTheme="majorHAnsi" w:hAnsiTheme="majorHAnsi" w:cstheme="majorHAnsi"/>
              </w:rPr>
              <w:t>.</w:t>
            </w:r>
            <w:r w:rsidRPr="00E85AEC">
              <w:rPr>
                <w:rFonts w:asciiTheme="majorHAnsi" w:hAnsiTheme="majorHAnsi" w:cstheme="majorHAnsi"/>
              </w:rPr>
              <w:t>7</w:t>
            </w:r>
          </w:p>
        </w:tc>
      </w:tr>
      <w:tr w:rsidR="00171525" w:rsidRPr="005954E3" w14:paraId="0A69F6A6" w14:textId="77777777" w:rsidTr="001B3937">
        <w:trPr>
          <w:trHeight w:val="549"/>
          <w:jc w:val="center"/>
        </w:trPr>
        <w:tc>
          <w:tcPr>
            <w:tcW w:w="3269" w:type="dxa"/>
            <w:vAlign w:val="center"/>
            <w:hideMark/>
          </w:tcPr>
          <w:p w14:paraId="5D47AD04" w14:textId="77777777" w:rsidR="00171525" w:rsidRPr="005954E3" w:rsidRDefault="00171525" w:rsidP="00171525">
            <w:pPr>
              <w:pStyle w:val="tabletextleft"/>
              <w:spacing w:before="0" w:after="0"/>
              <w:rPr>
                <w:szCs w:val="18"/>
              </w:rPr>
            </w:pPr>
            <w:r w:rsidRPr="005954E3">
              <w:rPr>
                <w:szCs w:val="18"/>
              </w:rPr>
              <w:lastRenderedPageBreak/>
              <w:t>12a. Данъци върху производството и вноса</w:t>
            </w:r>
          </w:p>
        </w:tc>
        <w:tc>
          <w:tcPr>
            <w:tcW w:w="840" w:type="dxa"/>
            <w:vAlign w:val="center"/>
            <w:hideMark/>
          </w:tcPr>
          <w:p w14:paraId="21C5629F" w14:textId="77777777" w:rsidR="00171525" w:rsidRPr="005954E3" w:rsidRDefault="00171525" w:rsidP="00171525">
            <w:pPr>
              <w:pStyle w:val="tabletextleft"/>
              <w:spacing w:before="0" w:after="0"/>
              <w:rPr>
                <w:szCs w:val="18"/>
              </w:rPr>
            </w:pPr>
            <w:r w:rsidRPr="005954E3">
              <w:rPr>
                <w:szCs w:val="18"/>
              </w:rPr>
              <w:t>D.2</w:t>
            </w:r>
          </w:p>
        </w:tc>
        <w:tc>
          <w:tcPr>
            <w:tcW w:w="869" w:type="dxa"/>
            <w:vAlign w:val="center"/>
          </w:tcPr>
          <w:p w14:paraId="2C654461" w14:textId="51EBA4F7" w:rsidR="00171525" w:rsidRPr="005954E3" w:rsidRDefault="00171525" w:rsidP="00171525">
            <w:pPr>
              <w:pStyle w:val="tabletextleft"/>
              <w:spacing w:before="0" w:after="0"/>
              <w:jc w:val="right"/>
              <w:rPr>
                <w:szCs w:val="18"/>
              </w:rPr>
            </w:pPr>
            <w:r w:rsidRPr="00E85AEC">
              <w:rPr>
                <w:rFonts w:asciiTheme="majorHAnsi" w:hAnsiTheme="majorHAnsi" w:cstheme="majorHAnsi"/>
              </w:rPr>
              <w:t>26 164</w:t>
            </w:r>
            <w:r>
              <w:rPr>
                <w:rFonts w:asciiTheme="majorHAnsi" w:hAnsiTheme="majorHAnsi" w:cstheme="majorHAnsi"/>
              </w:rPr>
              <w:t>.</w:t>
            </w:r>
            <w:r w:rsidRPr="00E85AEC">
              <w:rPr>
                <w:rFonts w:asciiTheme="majorHAnsi" w:hAnsiTheme="majorHAnsi" w:cstheme="majorHAnsi"/>
              </w:rPr>
              <w:t>0</w:t>
            </w:r>
          </w:p>
        </w:tc>
        <w:tc>
          <w:tcPr>
            <w:tcW w:w="795" w:type="dxa"/>
            <w:vAlign w:val="center"/>
          </w:tcPr>
          <w:p w14:paraId="43FD162E" w14:textId="0CD4954C" w:rsidR="00171525" w:rsidRPr="005954E3" w:rsidRDefault="00171525" w:rsidP="00171525">
            <w:pPr>
              <w:pStyle w:val="tabletextleft"/>
              <w:spacing w:before="0" w:after="0"/>
              <w:jc w:val="right"/>
              <w:rPr>
                <w:szCs w:val="18"/>
              </w:rPr>
            </w:pPr>
            <w:r w:rsidRPr="00E85AEC">
              <w:rPr>
                <w:rFonts w:asciiTheme="majorHAnsi" w:hAnsiTheme="majorHAnsi" w:cstheme="majorHAnsi"/>
              </w:rPr>
              <w:t>15</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5F48AD7D" w14:textId="34BA45F6" w:rsidR="00171525" w:rsidRPr="005954E3" w:rsidRDefault="00171525" w:rsidP="00171525">
            <w:pPr>
              <w:pStyle w:val="tabletextleft"/>
              <w:spacing w:before="0" w:after="0"/>
              <w:jc w:val="right"/>
              <w:rPr>
                <w:szCs w:val="18"/>
              </w:rPr>
            </w:pPr>
            <w:r w:rsidRPr="00E85AEC">
              <w:rPr>
                <w:rFonts w:asciiTheme="majorHAnsi" w:hAnsiTheme="majorHAnsi" w:cstheme="majorHAnsi"/>
              </w:rPr>
              <w:t>14</w:t>
            </w:r>
            <w:r>
              <w:rPr>
                <w:rFonts w:asciiTheme="majorHAnsi" w:hAnsiTheme="majorHAnsi" w:cstheme="majorHAnsi"/>
              </w:rPr>
              <w:t>.</w:t>
            </w:r>
            <w:r w:rsidRPr="00E85AEC">
              <w:rPr>
                <w:rFonts w:asciiTheme="majorHAnsi" w:hAnsiTheme="majorHAnsi" w:cstheme="majorHAnsi"/>
              </w:rPr>
              <w:t>5</w:t>
            </w:r>
          </w:p>
        </w:tc>
        <w:tc>
          <w:tcPr>
            <w:tcW w:w="790" w:type="dxa"/>
            <w:vAlign w:val="center"/>
          </w:tcPr>
          <w:p w14:paraId="023478E5" w14:textId="40C20A7B" w:rsidR="00171525" w:rsidRPr="005954E3" w:rsidRDefault="00171525" w:rsidP="00171525">
            <w:pPr>
              <w:pStyle w:val="tabletextleft"/>
              <w:spacing w:before="0" w:after="0"/>
              <w:jc w:val="right"/>
              <w:rPr>
                <w:szCs w:val="18"/>
              </w:rPr>
            </w:pPr>
            <w:r w:rsidRPr="00E85AEC">
              <w:rPr>
                <w:rFonts w:asciiTheme="majorHAnsi" w:hAnsiTheme="majorHAnsi" w:cstheme="majorHAnsi"/>
              </w:rPr>
              <w:t>14</w:t>
            </w:r>
            <w:r>
              <w:rPr>
                <w:rFonts w:asciiTheme="majorHAnsi" w:hAnsiTheme="majorHAnsi" w:cstheme="majorHAnsi"/>
              </w:rPr>
              <w:t>.</w:t>
            </w:r>
            <w:r w:rsidRPr="00E85AEC">
              <w:rPr>
                <w:rFonts w:asciiTheme="majorHAnsi" w:hAnsiTheme="majorHAnsi" w:cstheme="majorHAnsi"/>
              </w:rPr>
              <w:t>3</w:t>
            </w:r>
          </w:p>
        </w:tc>
        <w:tc>
          <w:tcPr>
            <w:tcW w:w="773" w:type="dxa"/>
            <w:vAlign w:val="center"/>
          </w:tcPr>
          <w:p w14:paraId="320E8C8F" w14:textId="2B0F1B29" w:rsidR="00171525" w:rsidRPr="005954E3" w:rsidRDefault="00171525" w:rsidP="00171525">
            <w:pPr>
              <w:pStyle w:val="tabletextleft"/>
              <w:spacing w:before="0" w:after="0"/>
              <w:jc w:val="right"/>
              <w:rPr>
                <w:szCs w:val="18"/>
              </w:rPr>
            </w:pPr>
            <w:r w:rsidRPr="00E85AEC">
              <w:rPr>
                <w:rFonts w:asciiTheme="majorHAnsi" w:hAnsiTheme="majorHAnsi" w:cstheme="majorHAnsi"/>
              </w:rPr>
              <w:t>14</w:t>
            </w:r>
            <w:r>
              <w:rPr>
                <w:rFonts w:asciiTheme="majorHAnsi" w:hAnsiTheme="majorHAnsi" w:cstheme="majorHAnsi"/>
              </w:rPr>
              <w:t>.</w:t>
            </w:r>
            <w:r w:rsidRPr="00E85AEC">
              <w:rPr>
                <w:rFonts w:asciiTheme="majorHAnsi" w:hAnsiTheme="majorHAnsi" w:cstheme="majorHAnsi"/>
              </w:rPr>
              <w:t>1</w:t>
            </w:r>
          </w:p>
        </w:tc>
        <w:tc>
          <w:tcPr>
            <w:tcW w:w="766" w:type="dxa"/>
            <w:vAlign w:val="center"/>
          </w:tcPr>
          <w:p w14:paraId="73331999" w14:textId="5DBC74E6" w:rsidR="00171525" w:rsidRPr="005954E3" w:rsidRDefault="00171525" w:rsidP="00171525">
            <w:pPr>
              <w:pStyle w:val="tabletextleft"/>
              <w:spacing w:before="0" w:after="0"/>
              <w:jc w:val="right"/>
              <w:rPr>
                <w:szCs w:val="18"/>
              </w:rPr>
            </w:pPr>
            <w:r w:rsidRPr="00E85AEC">
              <w:rPr>
                <w:rFonts w:asciiTheme="majorHAnsi" w:hAnsiTheme="majorHAnsi" w:cstheme="majorHAnsi"/>
              </w:rPr>
              <w:t>13</w:t>
            </w:r>
            <w:r>
              <w:rPr>
                <w:rFonts w:asciiTheme="majorHAnsi" w:hAnsiTheme="majorHAnsi" w:cstheme="majorHAnsi"/>
              </w:rPr>
              <w:t>.</w:t>
            </w:r>
            <w:r w:rsidRPr="00E85AEC">
              <w:rPr>
                <w:rFonts w:asciiTheme="majorHAnsi" w:hAnsiTheme="majorHAnsi" w:cstheme="majorHAnsi"/>
              </w:rPr>
              <w:t>9</w:t>
            </w:r>
          </w:p>
        </w:tc>
      </w:tr>
      <w:tr w:rsidR="00171525" w:rsidRPr="005954E3" w14:paraId="389216F8" w14:textId="77777777" w:rsidTr="001B3937">
        <w:trPr>
          <w:trHeight w:val="549"/>
          <w:jc w:val="center"/>
        </w:trPr>
        <w:tc>
          <w:tcPr>
            <w:tcW w:w="3269" w:type="dxa"/>
            <w:vAlign w:val="center"/>
            <w:hideMark/>
          </w:tcPr>
          <w:p w14:paraId="1E27FFB8" w14:textId="77777777" w:rsidR="00171525" w:rsidRPr="005954E3" w:rsidRDefault="00171525" w:rsidP="00171525">
            <w:pPr>
              <w:pStyle w:val="tabletextleft"/>
              <w:spacing w:before="0" w:after="0"/>
              <w:rPr>
                <w:szCs w:val="18"/>
              </w:rPr>
            </w:pPr>
            <w:r w:rsidRPr="005954E3">
              <w:rPr>
                <w:szCs w:val="18"/>
              </w:rPr>
              <w:t>12b. Текущи данъци върху доходите.</w:t>
            </w:r>
          </w:p>
          <w:p w14:paraId="7F89FF45" w14:textId="77777777" w:rsidR="00171525" w:rsidRPr="005954E3" w:rsidRDefault="00171525" w:rsidP="00171525">
            <w:pPr>
              <w:pStyle w:val="tabletextleft"/>
              <w:spacing w:before="0" w:after="0"/>
              <w:rPr>
                <w:szCs w:val="18"/>
              </w:rPr>
            </w:pPr>
            <w:r w:rsidRPr="005954E3">
              <w:rPr>
                <w:szCs w:val="18"/>
              </w:rPr>
              <w:t>богатството и т.н.</w:t>
            </w:r>
          </w:p>
        </w:tc>
        <w:tc>
          <w:tcPr>
            <w:tcW w:w="840" w:type="dxa"/>
            <w:vAlign w:val="center"/>
            <w:hideMark/>
          </w:tcPr>
          <w:p w14:paraId="6C12FA91" w14:textId="77777777" w:rsidR="00171525" w:rsidRPr="005954E3" w:rsidRDefault="00171525" w:rsidP="00171525">
            <w:pPr>
              <w:pStyle w:val="tabletextleft"/>
              <w:spacing w:before="0" w:after="0"/>
              <w:rPr>
                <w:szCs w:val="18"/>
              </w:rPr>
            </w:pPr>
            <w:r w:rsidRPr="005954E3">
              <w:rPr>
                <w:szCs w:val="18"/>
              </w:rPr>
              <w:t>D.5</w:t>
            </w:r>
          </w:p>
        </w:tc>
        <w:tc>
          <w:tcPr>
            <w:tcW w:w="869" w:type="dxa"/>
            <w:vAlign w:val="center"/>
          </w:tcPr>
          <w:p w14:paraId="2F237A4C" w14:textId="497FE342" w:rsidR="00171525" w:rsidRPr="005954E3" w:rsidRDefault="00171525" w:rsidP="00171525">
            <w:pPr>
              <w:pStyle w:val="tabletextleft"/>
              <w:spacing w:before="0" w:after="0"/>
              <w:jc w:val="right"/>
              <w:rPr>
                <w:szCs w:val="18"/>
              </w:rPr>
            </w:pPr>
            <w:r w:rsidRPr="00E85AEC">
              <w:rPr>
                <w:rFonts w:asciiTheme="majorHAnsi" w:hAnsiTheme="majorHAnsi" w:cstheme="majorHAnsi"/>
              </w:rPr>
              <w:t>10 615</w:t>
            </w:r>
            <w:r>
              <w:rPr>
                <w:rFonts w:asciiTheme="majorHAnsi" w:hAnsiTheme="majorHAnsi" w:cstheme="majorHAnsi"/>
              </w:rPr>
              <w:t>.</w:t>
            </w:r>
            <w:r w:rsidRPr="00E85AEC">
              <w:rPr>
                <w:rFonts w:asciiTheme="majorHAnsi" w:hAnsiTheme="majorHAnsi" w:cstheme="majorHAnsi"/>
              </w:rPr>
              <w:t>1</w:t>
            </w:r>
          </w:p>
        </w:tc>
        <w:tc>
          <w:tcPr>
            <w:tcW w:w="795" w:type="dxa"/>
            <w:vAlign w:val="center"/>
          </w:tcPr>
          <w:p w14:paraId="7F17858E" w14:textId="4F324AF6" w:rsidR="00171525" w:rsidRPr="005954E3" w:rsidRDefault="00171525" w:rsidP="00171525">
            <w:pPr>
              <w:pStyle w:val="tabletextleft"/>
              <w:spacing w:before="0" w:after="0"/>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4</w:t>
            </w:r>
          </w:p>
        </w:tc>
        <w:tc>
          <w:tcPr>
            <w:tcW w:w="795" w:type="dxa"/>
            <w:vAlign w:val="center"/>
          </w:tcPr>
          <w:p w14:paraId="446B9185" w14:textId="612A6669" w:rsidR="00171525" w:rsidRPr="005954E3" w:rsidRDefault="00171525" w:rsidP="00171525">
            <w:pPr>
              <w:pStyle w:val="tabletextleft"/>
              <w:spacing w:before="0" w:after="0"/>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3</w:t>
            </w:r>
          </w:p>
        </w:tc>
        <w:tc>
          <w:tcPr>
            <w:tcW w:w="790" w:type="dxa"/>
            <w:vAlign w:val="center"/>
          </w:tcPr>
          <w:p w14:paraId="6DBA7BBF" w14:textId="64678AEC" w:rsidR="00171525" w:rsidRPr="005954E3" w:rsidRDefault="00171525" w:rsidP="00171525">
            <w:pPr>
              <w:pStyle w:val="tabletextleft"/>
              <w:spacing w:before="0" w:after="0"/>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6</w:t>
            </w:r>
          </w:p>
        </w:tc>
        <w:tc>
          <w:tcPr>
            <w:tcW w:w="773" w:type="dxa"/>
            <w:vAlign w:val="center"/>
          </w:tcPr>
          <w:p w14:paraId="262A45D3" w14:textId="653F718C" w:rsidR="00171525" w:rsidRPr="005954E3" w:rsidRDefault="00171525" w:rsidP="00171525">
            <w:pPr>
              <w:pStyle w:val="tabletextleft"/>
              <w:spacing w:before="0" w:after="0"/>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6</w:t>
            </w:r>
          </w:p>
        </w:tc>
        <w:tc>
          <w:tcPr>
            <w:tcW w:w="766" w:type="dxa"/>
            <w:vAlign w:val="center"/>
          </w:tcPr>
          <w:p w14:paraId="3EC577CF" w14:textId="2448321C" w:rsidR="00171525" w:rsidRPr="005954E3" w:rsidRDefault="00171525" w:rsidP="00171525">
            <w:pPr>
              <w:pStyle w:val="tabletextleft"/>
              <w:spacing w:before="0" w:after="0"/>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5</w:t>
            </w:r>
          </w:p>
        </w:tc>
      </w:tr>
      <w:tr w:rsidR="00171525" w:rsidRPr="005954E3" w14:paraId="3BE6EACE" w14:textId="77777777" w:rsidTr="001B3937">
        <w:trPr>
          <w:trHeight w:val="549"/>
          <w:jc w:val="center"/>
        </w:trPr>
        <w:tc>
          <w:tcPr>
            <w:tcW w:w="3269" w:type="dxa"/>
            <w:vAlign w:val="center"/>
            <w:hideMark/>
          </w:tcPr>
          <w:p w14:paraId="5787E89B" w14:textId="77777777" w:rsidR="00171525" w:rsidRPr="005954E3" w:rsidRDefault="00171525" w:rsidP="00171525">
            <w:pPr>
              <w:pStyle w:val="tabletextleft"/>
              <w:spacing w:before="0" w:after="0"/>
              <w:rPr>
                <w:szCs w:val="18"/>
              </w:rPr>
            </w:pPr>
            <w:r w:rsidRPr="005954E3">
              <w:rPr>
                <w:szCs w:val="18"/>
              </w:rPr>
              <w:t>12c. Данъци върху капитала</w:t>
            </w:r>
          </w:p>
        </w:tc>
        <w:tc>
          <w:tcPr>
            <w:tcW w:w="840" w:type="dxa"/>
            <w:vAlign w:val="center"/>
            <w:hideMark/>
          </w:tcPr>
          <w:p w14:paraId="13F36B36" w14:textId="77777777" w:rsidR="00171525" w:rsidRPr="005954E3" w:rsidRDefault="00171525" w:rsidP="00171525">
            <w:pPr>
              <w:pStyle w:val="tabletextleft"/>
              <w:spacing w:before="0" w:after="0"/>
              <w:rPr>
                <w:szCs w:val="18"/>
              </w:rPr>
            </w:pPr>
            <w:r w:rsidRPr="005954E3">
              <w:rPr>
                <w:szCs w:val="18"/>
              </w:rPr>
              <w:t>D.91</w:t>
            </w:r>
          </w:p>
        </w:tc>
        <w:tc>
          <w:tcPr>
            <w:tcW w:w="869" w:type="dxa"/>
            <w:vAlign w:val="center"/>
          </w:tcPr>
          <w:p w14:paraId="7C64B57B" w14:textId="0C80C6B8" w:rsidR="00171525" w:rsidRPr="005954E3" w:rsidRDefault="00171525" w:rsidP="00171525">
            <w:pPr>
              <w:pStyle w:val="tabletextleft"/>
              <w:spacing w:before="0" w:after="0"/>
              <w:jc w:val="right"/>
              <w:rPr>
                <w:szCs w:val="18"/>
              </w:rPr>
            </w:pPr>
            <w:r w:rsidRPr="00E85AEC">
              <w:rPr>
                <w:rFonts w:asciiTheme="majorHAnsi" w:hAnsiTheme="majorHAnsi" w:cstheme="majorHAnsi"/>
              </w:rPr>
              <w:t>535</w:t>
            </w:r>
            <w:r>
              <w:rPr>
                <w:rFonts w:asciiTheme="majorHAnsi" w:hAnsiTheme="majorHAnsi" w:cstheme="majorHAnsi"/>
              </w:rPr>
              <w:t>.</w:t>
            </w:r>
            <w:r w:rsidRPr="00E85AEC">
              <w:rPr>
                <w:rFonts w:asciiTheme="majorHAnsi" w:hAnsiTheme="majorHAnsi" w:cstheme="majorHAnsi"/>
              </w:rPr>
              <w:t>2</w:t>
            </w:r>
          </w:p>
        </w:tc>
        <w:tc>
          <w:tcPr>
            <w:tcW w:w="795" w:type="dxa"/>
            <w:vAlign w:val="center"/>
          </w:tcPr>
          <w:p w14:paraId="3E9318BC" w14:textId="0F8D94CB"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2C28B140" w14:textId="0BD79014"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3</w:t>
            </w:r>
          </w:p>
        </w:tc>
        <w:tc>
          <w:tcPr>
            <w:tcW w:w="790" w:type="dxa"/>
            <w:vAlign w:val="center"/>
          </w:tcPr>
          <w:p w14:paraId="3024ACA2" w14:textId="23E7BB12"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3</w:t>
            </w:r>
          </w:p>
        </w:tc>
        <w:tc>
          <w:tcPr>
            <w:tcW w:w="773" w:type="dxa"/>
            <w:vAlign w:val="center"/>
          </w:tcPr>
          <w:p w14:paraId="09FF882A" w14:textId="0714863C"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3</w:t>
            </w:r>
          </w:p>
        </w:tc>
        <w:tc>
          <w:tcPr>
            <w:tcW w:w="766" w:type="dxa"/>
            <w:vAlign w:val="center"/>
          </w:tcPr>
          <w:p w14:paraId="2B176769" w14:textId="5D3DD016"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3</w:t>
            </w:r>
          </w:p>
        </w:tc>
      </w:tr>
      <w:tr w:rsidR="00171525" w:rsidRPr="005954E3" w14:paraId="042F0301" w14:textId="77777777" w:rsidTr="001B3937">
        <w:trPr>
          <w:trHeight w:val="549"/>
          <w:jc w:val="center"/>
        </w:trPr>
        <w:tc>
          <w:tcPr>
            <w:tcW w:w="3269" w:type="dxa"/>
            <w:vAlign w:val="center"/>
            <w:hideMark/>
          </w:tcPr>
          <w:p w14:paraId="24CABB80" w14:textId="77777777" w:rsidR="00171525" w:rsidRPr="005954E3" w:rsidRDefault="00171525" w:rsidP="00171525">
            <w:pPr>
              <w:pStyle w:val="tabletextleft"/>
              <w:spacing w:before="0" w:after="0"/>
              <w:rPr>
                <w:szCs w:val="18"/>
              </w:rPr>
            </w:pPr>
            <w:r w:rsidRPr="005954E3">
              <w:rPr>
                <w:szCs w:val="18"/>
              </w:rPr>
              <w:t>13. Социално-осигурителни вноски</w:t>
            </w:r>
          </w:p>
        </w:tc>
        <w:tc>
          <w:tcPr>
            <w:tcW w:w="840" w:type="dxa"/>
            <w:vAlign w:val="center"/>
            <w:hideMark/>
          </w:tcPr>
          <w:p w14:paraId="1087EF1A" w14:textId="77777777" w:rsidR="00171525" w:rsidRPr="005954E3" w:rsidRDefault="00171525" w:rsidP="00171525">
            <w:pPr>
              <w:pStyle w:val="tabletextleft"/>
              <w:spacing w:before="0" w:after="0"/>
              <w:rPr>
                <w:szCs w:val="18"/>
              </w:rPr>
            </w:pPr>
            <w:r w:rsidRPr="005954E3">
              <w:rPr>
                <w:szCs w:val="18"/>
              </w:rPr>
              <w:t>D.61</w:t>
            </w:r>
          </w:p>
        </w:tc>
        <w:tc>
          <w:tcPr>
            <w:tcW w:w="869" w:type="dxa"/>
            <w:vAlign w:val="center"/>
          </w:tcPr>
          <w:p w14:paraId="49EC6481" w14:textId="61DC2D4B" w:rsidR="00171525" w:rsidRPr="005954E3" w:rsidRDefault="00171525" w:rsidP="00171525">
            <w:pPr>
              <w:pStyle w:val="tabletextleft"/>
              <w:spacing w:before="0" w:after="0"/>
              <w:jc w:val="right"/>
              <w:rPr>
                <w:szCs w:val="18"/>
              </w:rPr>
            </w:pPr>
            <w:r w:rsidRPr="00E85AEC">
              <w:rPr>
                <w:rFonts w:asciiTheme="majorHAnsi" w:hAnsiTheme="majorHAnsi" w:cstheme="majorHAnsi"/>
              </w:rPr>
              <w:t>13 890</w:t>
            </w:r>
            <w:r>
              <w:rPr>
                <w:rFonts w:asciiTheme="majorHAnsi" w:hAnsiTheme="majorHAnsi" w:cstheme="majorHAnsi"/>
              </w:rPr>
              <w:t>.</w:t>
            </w:r>
            <w:r w:rsidRPr="00E85AEC">
              <w:rPr>
                <w:rFonts w:asciiTheme="majorHAnsi" w:hAnsiTheme="majorHAnsi" w:cstheme="majorHAnsi"/>
              </w:rPr>
              <w:t>5</w:t>
            </w:r>
          </w:p>
        </w:tc>
        <w:tc>
          <w:tcPr>
            <w:tcW w:w="795" w:type="dxa"/>
            <w:vAlign w:val="center"/>
          </w:tcPr>
          <w:p w14:paraId="0CD87B37" w14:textId="7F244D33" w:rsidR="00171525" w:rsidRPr="005954E3" w:rsidRDefault="00171525" w:rsidP="00171525">
            <w:pPr>
              <w:pStyle w:val="tabletextleft"/>
              <w:spacing w:before="0" w:after="0"/>
              <w:jc w:val="right"/>
              <w:rPr>
                <w:szCs w:val="18"/>
              </w:rPr>
            </w:pPr>
            <w:r w:rsidRPr="00E85AEC">
              <w:rPr>
                <w:rFonts w:asciiTheme="majorHAnsi" w:hAnsiTheme="majorHAnsi" w:cstheme="majorHAnsi"/>
              </w:rPr>
              <w:t>8</w:t>
            </w:r>
            <w:r>
              <w:rPr>
                <w:rFonts w:asciiTheme="majorHAnsi" w:hAnsiTheme="majorHAnsi" w:cstheme="majorHAnsi"/>
              </w:rPr>
              <w:t>.</w:t>
            </w:r>
            <w:r w:rsidRPr="00E85AEC">
              <w:rPr>
                <w:rFonts w:asciiTheme="majorHAnsi" w:hAnsiTheme="majorHAnsi" w:cstheme="majorHAnsi"/>
              </w:rPr>
              <w:t>4</w:t>
            </w:r>
          </w:p>
        </w:tc>
        <w:tc>
          <w:tcPr>
            <w:tcW w:w="795" w:type="dxa"/>
            <w:vAlign w:val="center"/>
          </w:tcPr>
          <w:p w14:paraId="67FB91FE" w14:textId="157F3EED" w:rsidR="00171525" w:rsidRPr="005954E3" w:rsidRDefault="00171525" w:rsidP="00171525">
            <w:pPr>
              <w:pStyle w:val="tabletextleft"/>
              <w:spacing w:before="0" w:after="0"/>
              <w:jc w:val="right"/>
              <w:rPr>
                <w:szCs w:val="18"/>
              </w:rPr>
            </w:pPr>
            <w:r w:rsidRPr="00E85AEC">
              <w:rPr>
                <w:rFonts w:asciiTheme="majorHAnsi" w:hAnsiTheme="majorHAnsi" w:cstheme="majorHAnsi"/>
              </w:rPr>
              <w:t>8</w:t>
            </w:r>
            <w:r>
              <w:rPr>
                <w:rFonts w:asciiTheme="majorHAnsi" w:hAnsiTheme="majorHAnsi" w:cstheme="majorHAnsi"/>
              </w:rPr>
              <w:t>.</w:t>
            </w:r>
            <w:r w:rsidRPr="00E85AEC">
              <w:rPr>
                <w:rFonts w:asciiTheme="majorHAnsi" w:hAnsiTheme="majorHAnsi" w:cstheme="majorHAnsi"/>
              </w:rPr>
              <w:t>4</w:t>
            </w:r>
          </w:p>
        </w:tc>
        <w:tc>
          <w:tcPr>
            <w:tcW w:w="790" w:type="dxa"/>
            <w:vAlign w:val="center"/>
          </w:tcPr>
          <w:p w14:paraId="391CB323" w14:textId="3AE57AE4" w:rsidR="00171525" w:rsidRPr="005954E3" w:rsidRDefault="00171525" w:rsidP="00171525">
            <w:pPr>
              <w:pStyle w:val="tabletextleft"/>
              <w:spacing w:before="0" w:after="0"/>
              <w:jc w:val="right"/>
              <w:rPr>
                <w:szCs w:val="18"/>
              </w:rPr>
            </w:pPr>
            <w:r w:rsidRPr="00E85AEC">
              <w:rPr>
                <w:rFonts w:asciiTheme="majorHAnsi" w:hAnsiTheme="majorHAnsi" w:cstheme="majorHAnsi"/>
              </w:rPr>
              <w:t>8</w:t>
            </w:r>
            <w:r>
              <w:rPr>
                <w:rFonts w:asciiTheme="majorHAnsi" w:hAnsiTheme="majorHAnsi" w:cstheme="majorHAnsi"/>
              </w:rPr>
              <w:t>.</w:t>
            </w:r>
            <w:r w:rsidRPr="00E85AEC">
              <w:rPr>
                <w:rFonts w:asciiTheme="majorHAnsi" w:hAnsiTheme="majorHAnsi" w:cstheme="majorHAnsi"/>
              </w:rPr>
              <w:t>6</w:t>
            </w:r>
          </w:p>
        </w:tc>
        <w:tc>
          <w:tcPr>
            <w:tcW w:w="773" w:type="dxa"/>
            <w:vAlign w:val="center"/>
          </w:tcPr>
          <w:p w14:paraId="1D1114D7" w14:textId="21D8B4E9" w:rsidR="00171525" w:rsidRPr="005954E3" w:rsidRDefault="00171525" w:rsidP="00171525">
            <w:pPr>
              <w:pStyle w:val="tabletextleft"/>
              <w:spacing w:before="0" w:after="0"/>
              <w:jc w:val="right"/>
              <w:rPr>
                <w:szCs w:val="18"/>
              </w:rPr>
            </w:pPr>
            <w:r w:rsidRPr="00E85AEC">
              <w:rPr>
                <w:rFonts w:asciiTheme="majorHAnsi" w:hAnsiTheme="majorHAnsi" w:cstheme="majorHAnsi"/>
              </w:rPr>
              <w:t>8</w:t>
            </w:r>
            <w:r>
              <w:rPr>
                <w:rFonts w:asciiTheme="majorHAnsi" w:hAnsiTheme="majorHAnsi" w:cstheme="majorHAnsi"/>
              </w:rPr>
              <w:t>.</w:t>
            </w:r>
            <w:r w:rsidRPr="00E85AEC">
              <w:rPr>
                <w:rFonts w:asciiTheme="majorHAnsi" w:hAnsiTheme="majorHAnsi" w:cstheme="majorHAnsi"/>
              </w:rPr>
              <w:t>6</w:t>
            </w:r>
          </w:p>
        </w:tc>
        <w:tc>
          <w:tcPr>
            <w:tcW w:w="766" w:type="dxa"/>
            <w:vAlign w:val="center"/>
          </w:tcPr>
          <w:p w14:paraId="33594EC1" w14:textId="6D8F9ABE" w:rsidR="00171525" w:rsidRPr="005954E3" w:rsidRDefault="00171525" w:rsidP="00171525">
            <w:pPr>
              <w:pStyle w:val="tabletextleft"/>
              <w:spacing w:before="0" w:after="0"/>
              <w:jc w:val="right"/>
              <w:rPr>
                <w:szCs w:val="18"/>
              </w:rPr>
            </w:pPr>
            <w:r w:rsidRPr="00E85AEC">
              <w:rPr>
                <w:rFonts w:asciiTheme="majorHAnsi" w:hAnsiTheme="majorHAnsi" w:cstheme="majorHAnsi"/>
              </w:rPr>
              <w:t>8</w:t>
            </w:r>
            <w:r>
              <w:rPr>
                <w:rFonts w:asciiTheme="majorHAnsi" w:hAnsiTheme="majorHAnsi" w:cstheme="majorHAnsi"/>
              </w:rPr>
              <w:t>.</w:t>
            </w:r>
            <w:r w:rsidRPr="00E85AEC">
              <w:rPr>
                <w:rFonts w:asciiTheme="majorHAnsi" w:hAnsiTheme="majorHAnsi" w:cstheme="majorHAnsi"/>
              </w:rPr>
              <w:t>8</w:t>
            </w:r>
          </w:p>
        </w:tc>
      </w:tr>
      <w:tr w:rsidR="00171525" w:rsidRPr="005954E3" w14:paraId="0B4AE082" w14:textId="77777777" w:rsidTr="001B3937">
        <w:trPr>
          <w:trHeight w:val="549"/>
          <w:jc w:val="center"/>
        </w:trPr>
        <w:tc>
          <w:tcPr>
            <w:tcW w:w="3269" w:type="dxa"/>
            <w:vAlign w:val="center"/>
            <w:hideMark/>
          </w:tcPr>
          <w:p w14:paraId="1A92FC61" w14:textId="77777777" w:rsidR="00171525" w:rsidRPr="005954E3" w:rsidRDefault="00171525" w:rsidP="00171525">
            <w:pPr>
              <w:pStyle w:val="tabletextleft"/>
              <w:spacing w:before="0" w:after="0"/>
              <w:rPr>
                <w:szCs w:val="18"/>
              </w:rPr>
            </w:pPr>
            <w:r w:rsidRPr="005954E3">
              <w:rPr>
                <w:szCs w:val="18"/>
              </w:rPr>
              <w:t>14. Доход от собственост</w:t>
            </w:r>
          </w:p>
        </w:tc>
        <w:tc>
          <w:tcPr>
            <w:tcW w:w="840" w:type="dxa"/>
            <w:vAlign w:val="center"/>
            <w:hideMark/>
          </w:tcPr>
          <w:p w14:paraId="13E8E5DD" w14:textId="77777777" w:rsidR="00171525" w:rsidRPr="005954E3" w:rsidRDefault="00171525" w:rsidP="00171525">
            <w:pPr>
              <w:pStyle w:val="tabletextleft"/>
              <w:spacing w:before="0" w:after="0"/>
              <w:rPr>
                <w:szCs w:val="18"/>
              </w:rPr>
            </w:pPr>
            <w:r w:rsidRPr="005954E3">
              <w:rPr>
                <w:szCs w:val="18"/>
              </w:rPr>
              <w:t>D.4</w:t>
            </w:r>
          </w:p>
        </w:tc>
        <w:tc>
          <w:tcPr>
            <w:tcW w:w="869" w:type="dxa"/>
            <w:vAlign w:val="center"/>
          </w:tcPr>
          <w:p w14:paraId="68C713D8" w14:textId="116EC32B" w:rsidR="00171525" w:rsidRPr="005954E3" w:rsidRDefault="00171525" w:rsidP="00171525">
            <w:pPr>
              <w:pStyle w:val="tabletextleft"/>
              <w:spacing w:before="0" w:after="0"/>
              <w:jc w:val="right"/>
              <w:rPr>
                <w:szCs w:val="18"/>
              </w:rPr>
            </w:pPr>
            <w:r w:rsidRPr="00E85AEC">
              <w:rPr>
                <w:rFonts w:asciiTheme="majorHAnsi" w:hAnsiTheme="majorHAnsi" w:cstheme="majorHAnsi"/>
              </w:rPr>
              <w:t>1 743</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38512707" w14:textId="3C6B3181"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1</w:t>
            </w:r>
          </w:p>
        </w:tc>
        <w:tc>
          <w:tcPr>
            <w:tcW w:w="795" w:type="dxa"/>
            <w:vAlign w:val="center"/>
          </w:tcPr>
          <w:p w14:paraId="1C52FE0E" w14:textId="5CF4F1BA"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9</w:t>
            </w:r>
          </w:p>
        </w:tc>
        <w:tc>
          <w:tcPr>
            <w:tcW w:w="790" w:type="dxa"/>
            <w:vAlign w:val="center"/>
          </w:tcPr>
          <w:p w14:paraId="36E90FA4" w14:textId="295650E2"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9</w:t>
            </w:r>
          </w:p>
        </w:tc>
        <w:tc>
          <w:tcPr>
            <w:tcW w:w="773" w:type="dxa"/>
            <w:vAlign w:val="center"/>
          </w:tcPr>
          <w:p w14:paraId="2609D508" w14:textId="4445A6F8"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0</w:t>
            </w:r>
          </w:p>
        </w:tc>
        <w:tc>
          <w:tcPr>
            <w:tcW w:w="766" w:type="dxa"/>
            <w:vAlign w:val="center"/>
          </w:tcPr>
          <w:p w14:paraId="623E4E33" w14:textId="49F10526"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0</w:t>
            </w:r>
          </w:p>
        </w:tc>
      </w:tr>
      <w:tr w:rsidR="00171525" w:rsidRPr="005954E3" w14:paraId="3EFC25EC" w14:textId="77777777" w:rsidTr="001B3937">
        <w:trPr>
          <w:trHeight w:val="549"/>
          <w:jc w:val="center"/>
        </w:trPr>
        <w:tc>
          <w:tcPr>
            <w:tcW w:w="3269" w:type="dxa"/>
            <w:vAlign w:val="center"/>
            <w:hideMark/>
          </w:tcPr>
          <w:p w14:paraId="529396DE" w14:textId="77777777" w:rsidR="00171525" w:rsidRPr="005954E3" w:rsidRDefault="00171525" w:rsidP="00171525">
            <w:pPr>
              <w:pStyle w:val="tabletextleft"/>
              <w:spacing w:before="0" w:after="0"/>
              <w:rPr>
                <w:szCs w:val="18"/>
              </w:rPr>
            </w:pPr>
            <w:r w:rsidRPr="005954E3">
              <w:rPr>
                <w:szCs w:val="18"/>
              </w:rPr>
              <w:t>15. Други</w:t>
            </w:r>
          </w:p>
        </w:tc>
        <w:tc>
          <w:tcPr>
            <w:tcW w:w="840" w:type="dxa"/>
            <w:vAlign w:val="center"/>
          </w:tcPr>
          <w:p w14:paraId="030FB2F8" w14:textId="77777777" w:rsidR="00171525" w:rsidRPr="005954E3" w:rsidRDefault="00171525" w:rsidP="00171525">
            <w:pPr>
              <w:pStyle w:val="tabletextleft"/>
              <w:spacing w:before="0" w:after="0"/>
              <w:rPr>
                <w:szCs w:val="18"/>
              </w:rPr>
            </w:pPr>
          </w:p>
        </w:tc>
        <w:tc>
          <w:tcPr>
            <w:tcW w:w="869" w:type="dxa"/>
            <w:vAlign w:val="center"/>
          </w:tcPr>
          <w:p w14:paraId="0C51924A" w14:textId="6DB69D7D" w:rsidR="00171525" w:rsidRPr="005954E3" w:rsidRDefault="00171525" w:rsidP="00171525">
            <w:pPr>
              <w:pStyle w:val="tabletextleft"/>
              <w:spacing w:before="0" w:after="0"/>
              <w:jc w:val="right"/>
              <w:rPr>
                <w:szCs w:val="18"/>
              </w:rPr>
            </w:pPr>
            <w:r w:rsidRPr="00E85AEC">
              <w:rPr>
                <w:rFonts w:asciiTheme="majorHAnsi" w:hAnsiTheme="majorHAnsi" w:cstheme="majorHAnsi"/>
              </w:rPr>
              <w:t>10 762</w:t>
            </w:r>
            <w:r>
              <w:rPr>
                <w:rFonts w:asciiTheme="majorHAnsi" w:hAnsiTheme="majorHAnsi" w:cstheme="majorHAnsi"/>
              </w:rPr>
              <w:t>.</w:t>
            </w:r>
            <w:r w:rsidRPr="00E85AEC">
              <w:rPr>
                <w:rFonts w:asciiTheme="majorHAnsi" w:hAnsiTheme="majorHAnsi" w:cstheme="majorHAnsi"/>
              </w:rPr>
              <w:t>6</w:t>
            </w:r>
          </w:p>
        </w:tc>
        <w:tc>
          <w:tcPr>
            <w:tcW w:w="795" w:type="dxa"/>
            <w:vAlign w:val="center"/>
          </w:tcPr>
          <w:p w14:paraId="3065CB39" w14:textId="40A13BDB" w:rsidR="00171525" w:rsidRPr="005954E3" w:rsidRDefault="00171525" w:rsidP="00171525">
            <w:pPr>
              <w:pStyle w:val="tabletextleft"/>
              <w:spacing w:before="0" w:after="0"/>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5</w:t>
            </w:r>
          </w:p>
        </w:tc>
        <w:tc>
          <w:tcPr>
            <w:tcW w:w="795" w:type="dxa"/>
            <w:vAlign w:val="center"/>
          </w:tcPr>
          <w:p w14:paraId="4C3205DD" w14:textId="0FCB1AC1"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1</w:t>
            </w:r>
          </w:p>
        </w:tc>
        <w:tc>
          <w:tcPr>
            <w:tcW w:w="790" w:type="dxa"/>
            <w:vAlign w:val="center"/>
          </w:tcPr>
          <w:p w14:paraId="3617DAC5" w14:textId="65D8FBC6"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6</w:t>
            </w:r>
          </w:p>
        </w:tc>
        <w:tc>
          <w:tcPr>
            <w:tcW w:w="773" w:type="dxa"/>
            <w:vAlign w:val="center"/>
          </w:tcPr>
          <w:p w14:paraId="4C3093E1" w14:textId="3C0E814D"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8</w:t>
            </w:r>
          </w:p>
        </w:tc>
        <w:tc>
          <w:tcPr>
            <w:tcW w:w="766" w:type="dxa"/>
            <w:vAlign w:val="center"/>
          </w:tcPr>
          <w:p w14:paraId="7EA5F02F" w14:textId="2C91064A"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9</w:t>
            </w:r>
          </w:p>
        </w:tc>
      </w:tr>
      <w:tr w:rsidR="00171525" w:rsidRPr="005954E3" w14:paraId="47CD9673" w14:textId="77777777" w:rsidTr="001B3937">
        <w:trPr>
          <w:trHeight w:val="549"/>
          <w:jc w:val="center"/>
        </w:trPr>
        <w:tc>
          <w:tcPr>
            <w:tcW w:w="3269" w:type="dxa"/>
            <w:vAlign w:val="center"/>
            <w:hideMark/>
          </w:tcPr>
          <w:p w14:paraId="6A47A978" w14:textId="77777777" w:rsidR="00171525" w:rsidRPr="005954E3" w:rsidRDefault="00171525" w:rsidP="00171525">
            <w:pPr>
              <w:pStyle w:val="tabletextleft"/>
              <w:spacing w:before="0" w:after="0"/>
              <w:rPr>
                <w:szCs w:val="18"/>
              </w:rPr>
            </w:pPr>
            <w:r w:rsidRPr="005954E3">
              <w:rPr>
                <w:szCs w:val="18"/>
              </w:rPr>
              <w:t>16=6. Общо приходи</w:t>
            </w:r>
          </w:p>
        </w:tc>
        <w:tc>
          <w:tcPr>
            <w:tcW w:w="840" w:type="dxa"/>
            <w:vAlign w:val="center"/>
            <w:hideMark/>
          </w:tcPr>
          <w:p w14:paraId="5A3D5F85" w14:textId="77777777" w:rsidR="00171525" w:rsidRPr="005954E3" w:rsidRDefault="00171525" w:rsidP="00171525">
            <w:pPr>
              <w:pStyle w:val="tabletextleft"/>
              <w:spacing w:before="0" w:after="0"/>
              <w:rPr>
                <w:szCs w:val="18"/>
              </w:rPr>
            </w:pPr>
            <w:r w:rsidRPr="005954E3">
              <w:rPr>
                <w:szCs w:val="18"/>
              </w:rPr>
              <w:t>TR</w:t>
            </w:r>
          </w:p>
        </w:tc>
        <w:tc>
          <w:tcPr>
            <w:tcW w:w="869" w:type="dxa"/>
            <w:vAlign w:val="center"/>
          </w:tcPr>
          <w:p w14:paraId="7F8665FA" w14:textId="06F21179" w:rsidR="00171525" w:rsidRPr="005954E3" w:rsidRDefault="00171525" w:rsidP="00171525">
            <w:pPr>
              <w:pStyle w:val="tabletextleft"/>
              <w:spacing w:before="0" w:after="0"/>
              <w:jc w:val="right"/>
              <w:rPr>
                <w:szCs w:val="18"/>
              </w:rPr>
            </w:pPr>
            <w:r w:rsidRPr="00E85AEC">
              <w:rPr>
                <w:rFonts w:asciiTheme="majorHAnsi" w:hAnsiTheme="majorHAnsi" w:cstheme="majorHAnsi"/>
              </w:rPr>
              <w:t>63 711</w:t>
            </w:r>
            <w:r>
              <w:rPr>
                <w:rFonts w:asciiTheme="majorHAnsi" w:hAnsiTheme="majorHAnsi" w:cstheme="majorHAnsi"/>
              </w:rPr>
              <w:t>.</w:t>
            </w:r>
            <w:r w:rsidRPr="00E85AEC">
              <w:rPr>
                <w:rFonts w:asciiTheme="majorHAnsi" w:hAnsiTheme="majorHAnsi" w:cstheme="majorHAnsi"/>
              </w:rPr>
              <w:t>2</w:t>
            </w:r>
          </w:p>
        </w:tc>
        <w:tc>
          <w:tcPr>
            <w:tcW w:w="795" w:type="dxa"/>
            <w:vAlign w:val="center"/>
          </w:tcPr>
          <w:p w14:paraId="620320E7" w14:textId="62E16A1D" w:rsidR="00171525" w:rsidRPr="005954E3" w:rsidRDefault="00171525" w:rsidP="00171525">
            <w:pPr>
              <w:pStyle w:val="tabletextleft"/>
              <w:spacing w:before="0" w:after="0"/>
              <w:jc w:val="right"/>
              <w:rPr>
                <w:szCs w:val="18"/>
              </w:rPr>
            </w:pPr>
            <w:r w:rsidRPr="00E85AEC">
              <w:rPr>
                <w:rFonts w:asciiTheme="majorHAnsi" w:hAnsiTheme="majorHAnsi" w:cstheme="majorHAnsi"/>
              </w:rPr>
              <w:t>38</w:t>
            </w:r>
            <w:r>
              <w:rPr>
                <w:rFonts w:asciiTheme="majorHAnsi" w:hAnsiTheme="majorHAnsi" w:cstheme="majorHAnsi"/>
              </w:rPr>
              <w:t>.</w:t>
            </w:r>
            <w:r w:rsidRPr="00E85AEC">
              <w:rPr>
                <w:rFonts w:asciiTheme="majorHAnsi" w:hAnsiTheme="majorHAnsi" w:cstheme="majorHAnsi"/>
              </w:rPr>
              <w:t>5</w:t>
            </w:r>
          </w:p>
        </w:tc>
        <w:tc>
          <w:tcPr>
            <w:tcW w:w="795" w:type="dxa"/>
            <w:vAlign w:val="center"/>
          </w:tcPr>
          <w:p w14:paraId="2D122C24" w14:textId="266B65DA" w:rsidR="00171525" w:rsidRPr="005954E3" w:rsidRDefault="00171525" w:rsidP="00171525">
            <w:pPr>
              <w:pStyle w:val="tabletextleft"/>
              <w:spacing w:before="0" w:after="0"/>
              <w:jc w:val="right"/>
              <w:rPr>
                <w:szCs w:val="18"/>
              </w:rPr>
            </w:pPr>
            <w:r w:rsidRPr="00E85AEC">
              <w:rPr>
                <w:rFonts w:asciiTheme="majorHAnsi" w:hAnsiTheme="majorHAnsi" w:cstheme="majorHAnsi"/>
              </w:rPr>
              <w:t>35</w:t>
            </w:r>
            <w:r>
              <w:rPr>
                <w:rFonts w:asciiTheme="majorHAnsi" w:hAnsiTheme="majorHAnsi" w:cstheme="majorHAnsi"/>
              </w:rPr>
              <w:t>.</w:t>
            </w:r>
            <w:r w:rsidRPr="00E85AEC">
              <w:rPr>
                <w:rFonts w:asciiTheme="majorHAnsi" w:hAnsiTheme="majorHAnsi" w:cstheme="majorHAnsi"/>
              </w:rPr>
              <w:t>5</w:t>
            </w:r>
          </w:p>
        </w:tc>
        <w:tc>
          <w:tcPr>
            <w:tcW w:w="790" w:type="dxa"/>
            <w:vAlign w:val="center"/>
          </w:tcPr>
          <w:p w14:paraId="2D341BF9" w14:textId="0A8C50B4" w:rsidR="00171525" w:rsidRPr="005954E3" w:rsidRDefault="00171525" w:rsidP="00171525">
            <w:pPr>
              <w:pStyle w:val="tabletextleft"/>
              <w:spacing w:before="0" w:after="0"/>
              <w:jc w:val="right"/>
              <w:rPr>
                <w:szCs w:val="18"/>
              </w:rPr>
            </w:pPr>
            <w:r w:rsidRPr="00E85AEC">
              <w:rPr>
                <w:rFonts w:asciiTheme="majorHAnsi" w:hAnsiTheme="majorHAnsi" w:cstheme="majorHAnsi"/>
              </w:rPr>
              <w:t>36</w:t>
            </w:r>
            <w:r>
              <w:rPr>
                <w:rFonts w:asciiTheme="majorHAnsi" w:hAnsiTheme="majorHAnsi" w:cstheme="majorHAnsi"/>
              </w:rPr>
              <w:t>.</w:t>
            </w:r>
            <w:r w:rsidRPr="00E85AEC">
              <w:rPr>
                <w:rFonts w:asciiTheme="majorHAnsi" w:hAnsiTheme="majorHAnsi" w:cstheme="majorHAnsi"/>
              </w:rPr>
              <w:t>2</w:t>
            </w:r>
          </w:p>
        </w:tc>
        <w:tc>
          <w:tcPr>
            <w:tcW w:w="773" w:type="dxa"/>
            <w:vAlign w:val="center"/>
          </w:tcPr>
          <w:p w14:paraId="4321F074" w14:textId="6DD8911C" w:rsidR="00171525" w:rsidRPr="005954E3" w:rsidRDefault="00171525" w:rsidP="00171525">
            <w:pPr>
              <w:pStyle w:val="tabletextleft"/>
              <w:spacing w:before="0" w:after="0"/>
              <w:jc w:val="right"/>
              <w:rPr>
                <w:szCs w:val="18"/>
              </w:rPr>
            </w:pPr>
            <w:r w:rsidRPr="00E85AEC">
              <w:rPr>
                <w:rFonts w:asciiTheme="majorHAnsi" w:hAnsiTheme="majorHAnsi" w:cstheme="majorHAnsi"/>
              </w:rPr>
              <w:t>35</w:t>
            </w:r>
            <w:r>
              <w:rPr>
                <w:rFonts w:asciiTheme="majorHAnsi" w:hAnsiTheme="majorHAnsi" w:cstheme="majorHAnsi"/>
              </w:rPr>
              <w:t>.</w:t>
            </w:r>
            <w:r w:rsidRPr="00E85AEC">
              <w:rPr>
                <w:rFonts w:asciiTheme="majorHAnsi" w:hAnsiTheme="majorHAnsi" w:cstheme="majorHAnsi"/>
              </w:rPr>
              <w:t>4</w:t>
            </w:r>
          </w:p>
        </w:tc>
        <w:tc>
          <w:tcPr>
            <w:tcW w:w="766" w:type="dxa"/>
            <w:vAlign w:val="center"/>
          </w:tcPr>
          <w:p w14:paraId="0812798C" w14:textId="4C1CF762" w:rsidR="00171525" w:rsidRPr="005954E3" w:rsidRDefault="00171525" w:rsidP="00171525">
            <w:pPr>
              <w:pStyle w:val="tabletextleft"/>
              <w:spacing w:before="0" w:after="0"/>
              <w:jc w:val="right"/>
              <w:rPr>
                <w:szCs w:val="18"/>
              </w:rPr>
            </w:pPr>
            <w:r w:rsidRPr="00E85AEC">
              <w:rPr>
                <w:rFonts w:asciiTheme="majorHAnsi" w:hAnsiTheme="majorHAnsi" w:cstheme="majorHAnsi"/>
              </w:rPr>
              <w:t>34</w:t>
            </w:r>
            <w:r>
              <w:rPr>
                <w:rFonts w:asciiTheme="majorHAnsi" w:hAnsiTheme="majorHAnsi" w:cstheme="majorHAnsi"/>
              </w:rPr>
              <w:t>.</w:t>
            </w:r>
            <w:r w:rsidRPr="00E85AEC">
              <w:rPr>
                <w:rFonts w:asciiTheme="majorHAnsi" w:hAnsiTheme="majorHAnsi" w:cstheme="majorHAnsi"/>
              </w:rPr>
              <w:t>3</w:t>
            </w:r>
          </w:p>
        </w:tc>
      </w:tr>
      <w:tr w:rsidR="00171525" w:rsidRPr="005954E3" w14:paraId="6A06C3E5" w14:textId="77777777" w:rsidTr="001B3937">
        <w:trPr>
          <w:trHeight w:val="549"/>
          <w:jc w:val="center"/>
        </w:trPr>
        <w:tc>
          <w:tcPr>
            <w:tcW w:w="3269" w:type="dxa"/>
            <w:vAlign w:val="center"/>
            <w:hideMark/>
          </w:tcPr>
          <w:p w14:paraId="35118229" w14:textId="77777777" w:rsidR="00171525" w:rsidRPr="005954E3" w:rsidRDefault="00171525" w:rsidP="00171525">
            <w:pPr>
              <w:pStyle w:val="tabletextleft"/>
              <w:spacing w:before="0" w:after="0"/>
              <w:rPr>
                <w:szCs w:val="18"/>
              </w:rPr>
            </w:pPr>
            <w:r w:rsidRPr="005954E3">
              <w:rPr>
                <w:szCs w:val="18"/>
              </w:rPr>
              <w:t>Данъчно бреме (D.2+D.5+D.61+D.91-D.995)</w:t>
            </w:r>
          </w:p>
        </w:tc>
        <w:tc>
          <w:tcPr>
            <w:tcW w:w="840" w:type="dxa"/>
            <w:vAlign w:val="center"/>
          </w:tcPr>
          <w:p w14:paraId="7BBB2433" w14:textId="77777777" w:rsidR="00171525" w:rsidRPr="005954E3" w:rsidRDefault="00171525" w:rsidP="00171525">
            <w:pPr>
              <w:pStyle w:val="tabletextleft"/>
              <w:spacing w:before="0" w:after="0"/>
              <w:rPr>
                <w:szCs w:val="18"/>
              </w:rPr>
            </w:pPr>
          </w:p>
        </w:tc>
        <w:tc>
          <w:tcPr>
            <w:tcW w:w="869" w:type="dxa"/>
            <w:vAlign w:val="center"/>
          </w:tcPr>
          <w:p w14:paraId="5568B967" w14:textId="76A7AA93" w:rsidR="00171525" w:rsidRPr="005954E3" w:rsidRDefault="00171525" w:rsidP="00171525">
            <w:pPr>
              <w:pStyle w:val="tabletextleft"/>
              <w:spacing w:before="0" w:after="0"/>
              <w:jc w:val="right"/>
              <w:rPr>
                <w:szCs w:val="18"/>
              </w:rPr>
            </w:pPr>
            <w:r w:rsidRPr="00E85AEC">
              <w:rPr>
                <w:rFonts w:asciiTheme="majorHAnsi" w:hAnsiTheme="majorHAnsi" w:cstheme="majorHAnsi"/>
              </w:rPr>
              <w:t>51 204</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2D9D8E71" w14:textId="72DFE789" w:rsidR="00171525" w:rsidRPr="005954E3" w:rsidRDefault="00171525" w:rsidP="00171525">
            <w:pPr>
              <w:pStyle w:val="tabletextleft"/>
              <w:spacing w:before="0" w:after="0"/>
              <w:jc w:val="right"/>
              <w:rPr>
                <w:szCs w:val="18"/>
              </w:rPr>
            </w:pPr>
            <w:r w:rsidRPr="00E85AEC">
              <w:rPr>
                <w:rFonts w:asciiTheme="majorHAnsi" w:hAnsiTheme="majorHAnsi" w:cstheme="majorHAnsi"/>
              </w:rPr>
              <w:t>31</w:t>
            </w:r>
            <w:r>
              <w:rPr>
                <w:rFonts w:asciiTheme="majorHAnsi" w:hAnsiTheme="majorHAnsi" w:cstheme="majorHAnsi"/>
              </w:rPr>
              <w:t>.</w:t>
            </w:r>
            <w:r w:rsidRPr="00E85AEC">
              <w:rPr>
                <w:rFonts w:asciiTheme="majorHAnsi" w:hAnsiTheme="majorHAnsi" w:cstheme="majorHAnsi"/>
              </w:rPr>
              <w:t>0</w:t>
            </w:r>
          </w:p>
        </w:tc>
        <w:tc>
          <w:tcPr>
            <w:tcW w:w="795" w:type="dxa"/>
            <w:vAlign w:val="center"/>
          </w:tcPr>
          <w:p w14:paraId="106E5FB8" w14:textId="49992294" w:rsidR="00171525" w:rsidRPr="005954E3" w:rsidRDefault="00171525" w:rsidP="00171525">
            <w:pPr>
              <w:pStyle w:val="tabletextleft"/>
              <w:spacing w:before="0" w:after="0"/>
              <w:jc w:val="right"/>
              <w:rPr>
                <w:szCs w:val="18"/>
              </w:rPr>
            </w:pPr>
            <w:r w:rsidRPr="00E85AEC">
              <w:rPr>
                <w:rFonts w:asciiTheme="majorHAnsi" w:hAnsiTheme="majorHAnsi" w:cstheme="majorHAnsi"/>
              </w:rPr>
              <w:t>29</w:t>
            </w:r>
            <w:r>
              <w:rPr>
                <w:rFonts w:asciiTheme="majorHAnsi" w:hAnsiTheme="majorHAnsi" w:cstheme="majorHAnsi"/>
              </w:rPr>
              <w:t>.</w:t>
            </w:r>
            <w:r w:rsidRPr="00E85AEC">
              <w:rPr>
                <w:rFonts w:asciiTheme="majorHAnsi" w:hAnsiTheme="majorHAnsi" w:cstheme="majorHAnsi"/>
              </w:rPr>
              <w:t>5</w:t>
            </w:r>
          </w:p>
        </w:tc>
        <w:tc>
          <w:tcPr>
            <w:tcW w:w="790" w:type="dxa"/>
            <w:vAlign w:val="center"/>
          </w:tcPr>
          <w:p w14:paraId="755AC113" w14:textId="60EF5573" w:rsidR="00171525" w:rsidRPr="005954E3" w:rsidRDefault="00171525" w:rsidP="00171525">
            <w:pPr>
              <w:pStyle w:val="tabletextleft"/>
              <w:spacing w:before="0" w:after="0"/>
              <w:jc w:val="right"/>
              <w:rPr>
                <w:szCs w:val="18"/>
              </w:rPr>
            </w:pPr>
            <w:r w:rsidRPr="00E85AEC">
              <w:rPr>
                <w:rFonts w:asciiTheme="majorHAnsi" w:hAnsiTheme="majorHAnsi" w:cstheme="majorHAnsi"/>
              </w:rPr>
              <w:t>29</w:t>
            </w:r>
            <w:r>
              <w:rPr>
                <w:rFonts w:asciiTheme="majorHAnsi" w:hAnsiTheme="majorHAnsi" w:cstheme="majorHAnsi"/>
              </w:rPr>
              <w:t>.</w:t>
            </w:r>
            <w:r w:rsidRPr="00E85AEC">
              <w:rPr>
                <w:rFonts w:asciiTheme="majorHAnsi" w:hAnsiTheme="majorHAnsi" w:cstheme="majorHAnsi"/>
              </w:rPr>
              <w:t>7</w:t>
            </w:r>
          </w:p>
        </w:tc>
        <w:tc>
          <w:tcPr>
            <w:tcW w:w="773" w:type="dxa"/>
            <w:vAlign w:val="center"/>
          </w:tcPr>
          <w:p w14:paraId="35ADEEB0" w14:textId="29448A3F" w:rsidR="00171525" w:rsidRPr="005954E3" w:rsidRDefault="00171525" w:rsidP="00171525">
            <w:pPr>
              <w:pStyle w:val="tabletextleft"/>
              <w:spacing w:before="0" w:after="0"/>
              <w:jc w:val="right"/>
              <w:rPr>
                <w:szCs w:val="18"/>
              </w:rPr>
            </w:pPr>
            <w:r w:rsidRPr="00E85AEC">
              <w:rPr>
                <w:rFonts w:asciiTheme="majorHAnsi" w:hAnsiTheme="majorHAnsi" w:cstheme="majorHAnsi"/>
              </w:rPr>
              <w:t>29</w:t>
            </w:r>
            <w:r>
              <w:rPr>
                <w:rFonts w:asciiTheme="majorHAnsi" w:hAnsiTheme="majorHAnsi" w:cstheme="majorHAnsi"/>
              </w:rPr>
              <w:t>.</w:t>
            </w:r>
            <w:r w:rsidRPr="00E85AEC">
              <w:rPr>
                <w:rFonts w:asciiTheme="majorHAnsi" w:hAnsiTheme="majorHAnsi" w:cstheme="majorHAnsi"/>
              </w:rPr>
              <w:t>6</w:t>
            </w:r>
          </w:p>
        </w:tc>
        <w:tc>
          <w:tcPr>
            <w:tcW w:w="766" w:type="dxa"/>
            <w:vAlign w:val="center"/>
          </w:tcPr>
          <w:p w14:paraId="6CAAA848" w14:textId="369F9C60" w:rsidR="00171525" w:rsidRPr="005954E3" w:rsidRDefault="00171525" w:rsidP="00171525">
            <w:pPr>
              <w:pStyle w:val="tabletextleft"/>
              <w:spacing w:before="0" w:after="0"/>
              <w:jc w:val="right"/>
              <w:rPr>
                <w:szCs w:val="18"/>
              </w:rPr>
            </w:pPr>
            <w:r w:rsidRPr="00E85AEC">
              <w:rPr>
                <w:rFonts w:asciiTheme="majorHAnsi" w:hAnsiTheme="majorHAnsi" w:cstheme="majorHAnsi"/>
              </w:rPr>
              <w:t>29</w:t>
            </w:r>
            <w:r>
              <w:rPr>
                <w:rFonts w:asciiTheme="majorHAnsi" w:hAnsiTheme="majorHAnsi" w:cstheme="majorHAnsi"/>
              </w:rPr>
              <w:t>.</w:t>
            </w:r>
            <w:r w:rsidRPr="00E85AEC">
              <w:rPr>
                <w:rFonts w:asciiTheme="majorHAnsi" w:hAnsiTheme="majorHAnsi" w:cstheme="majorHAnsi"/>
              </w:rPr>
              <w:t>4</w:t>
            </w:r>
          </w:p>
        </w:tc>
      </w:tr>
      <w:tr w:rsidR="00171525" w:rsidRPr="005954E3" w14:paraId="2607AF1A" w14:textId="77777777" w:rsidTr="001B3937">
        <w:trPr>
          <w:trHeight w:val="549"/>
          <w:jc w:val="center"/>
        </w:trPr>
        <w:tc>
          <w:tcPr>
            <w:tcW w:w="3269" w:type="dxa"/>
            <w:vAlign w:val="center"/>
            <w:hideMark/>
          </w:tcPr>
          <w:p w14:paraId="20961E35" w14:textId="77777777" w:rsidR="00171525" w:rsidRPr="005954E3" w:rsidRDefault="00171525" w:rsidP="00171525">
            <w:pPr>
              <w:pStyle w:val="tabletextleft"/>
              <w:spacing w:before="0" w:after="0"/>
              <w:rPr>
                <w:szCs w:val="18"/>
              </w:rPr>
            </w:pPr>
            <w:r w:rsidRPr="005954E3">
              <w:rPr>
                <w:szCs w:val="18"/>
              </w:rPr>
              <w:t>17. Компенсация на наетите лица +</w:t>
            </w:r>
          </w:p>
          <w:p w14:paraId="3A118DF4" w14:textId="77777777" w:rsidR="00171525" w:rsidRPr="005954E3" w:rsidRDefault="00171525" w:rsidP="00171525">
            <w:pPr>
              <w:pStyle w:val="tabletextleft"/>
              <w:spacing w:before="0" w:after="0"/>
              <w:rPr>
                <w:szCs w:val="18"/>
              </w:rPr>
            </w:pPr>
            <w:r w:rsidRPr="005954E3">
              <w:rPr>
                <w:szCs w:val="18"/>
              </w:rPr>
              <w:t>междинно потребление</w:t>
            </w:r>
          </w:p>
        </w:tc>
        <w:tc>
          <w:tcPr>
            <w:tcW w:w="840" w:type="dxa"/>
            <w:vAlign w:val="center"/>
            <w:hideMark/>
          </w:tcPr>
          <w:p w14:paraId="4E7F940B" w14:textId="77777777" w:rsidR="00171525" w:rsidRPr="005954E3" w:rsidRDefault="00171525" w:rsidP="00171525">
            <w:pPr>
              <w:pStyle w:val="tabletextleft"/>
              <w:spacing w:before="0" w:after="0"/>
              <w:rPr>
                <w:szCs w:val="18"/>
              </w:rPr>
            </w:pPr>
            <w:r w:rsidRPr="005954E3">
              <w:rPr>
                <w:szCs w:val="18"/>
              </w:rPr>
              <w:t>D.1+P.2</w:t>
            </w:r>
          </w:p>
        </w:tc>
        <w:tc>
          <w:tcPr>
            <w:tcW w:w="869" w:type="dxa"/>
            <w:vAlign w:val="center"/>
          </w:tcPr>
          <w:p w14:paraId="0F5F5200" w14:textId="19E60383" w:rsidR="00171525" w:rsidRPr="005954E3" w:rsidRDefault="00171525" w:rsidP="00171525">
            <w:pPr>
              <w:pStyle w:val="tabletextleft"/>
              <w:spacing w:before="0" w:after="0"/>
              <w:jc w:val="right"/>
              <w:rPr>
                <w:szCs w:val="18"/>
              </w:rPr>
            </w:pPr>
            <w:r w:rsidRPr="00E85AEC">
              <w:rPr>
                <w:rFonts w:asciiTheme="majorHAnsi" w:hAnsiTheme="majorHAnsi" w:cstheme="majorHAnsi"/>
              </w:rPr>
              <w:t>25 346</w:t>
            </w:r>
            <w:r>
              <w:rPr>
                <w:rFonts w:asciiTheme="majorHAnsi" w:hAnsiTheme="majorHAnsi" w:cstheme="majorHAnsi"/>
              </w:rPr>
              <w:t>.</w:t>
            </w:r>
            <w:r w:rsidRPr="00E85AEC">
              <w:rPr>
                <w:rFonts w:asciiTheme="majorHAnsi" w:hAnsiTheme="majorHAnsi" w:cstheme="majorHAnsi"/>
              </w:rPr>
              <w:t>2</w:t>
            </w:r>
          </w:p>
        </w:tc>
        <w:tc>
          <w:tcPr>
            <w:tcW w:w="795" w:type="dxa"/>
            <w:vAlign w:val="center"/>
          </w:tcPr>
          <w:p w14:paraId="56D981F8" w14:textId="2760A126" w:rsidR="00171525" w:rsidRPr="005954E3" w:rsidRDefault="00171525" w:rsidP="00171525">
            <w:pPr>
              <w:pStyle w:val="tabletextleft"/>
              <w:spacing w:before="0" w:after="0"/>
              <w:jc w:val="right"/>
              <w:rPr>
                <w:szCs w:val="18"/>
              </w:rPr>
            </w:pPr>
            <w:r w:rsidRPr="00E85AEC">
              <w:rPr>
                <w:rFonts w:asciiTheme="majorHAnsi" w:hAnsiTheme="majorHAnsi" w:cstheme="majorHAnsi"/>
              </w:rPr>
              <w:t>15</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715BFB3B" w14:textId="0F3476AA" w:rsidR="00171525" w:rsidRPr="005954E3" w:rsidRDefault="00171525" w:rsidP="00171525">
            <w:pPr>
              <w:pStyle w:val="tabletextleft"/>
              <w:spacing w:before="0" w:after="0"/>
              <w:jc w:val="right"/>
              <w:rPr>
                <w:szCs w:val="18"/>
              </w:rPr>
            </w:pPr>
            <w:r w:rsidRPr="00E85AEC">
              <w:rPr>
                <w:rFonts w:asciiTheme="majorHAnsi" w:hAnsiTheme="majorHAnsi" w:cstheme="majorHAnsi"/>
              </w:rPr>
              <w:t>15</w:t>
            </w:r>
            <w:r>
              <w:rPr>
                <w:rFonts w:asciiTheme="majorHAnsi" w:hAnsiTheme="majorHAnsi" w:cstheme="majorHAnsi"/>
              </w:rPr>
              <w:t>.</w:t>
            </w:r>
            <w:r w:rsidRPr="00E85AEC">
              <w:rPr>
                <w:rFonts w:asciiTheme="majorHAnsi" w:hAnsiTheme="majorHAnsi" w:cstheme="majorHAnsi"/>
              </w:rPr>
              <w:t>8</w:t>
            </w:r>
          </w:p>
        </w:tc>
        <w:tc>
          <w:tcPr>
            <w:tcW w:w="790" w:type="dxa"/>
            <w:vAlign w:val="center"/>
          </w:tcPr>
          <w:p w14:paraId="70C1F51A" w14:textId="588367DF" w:rsidR="00171525" w:rsidRPr="005954E3" w:rsidRDefault="00171525" w:rsidP="00171525">
            <w:pPr>
              <w:pStyle w:val="tabletextleft"/>
              <w:spacing w:before="0" w:after="0"/>
              <w:jc w:val="right"/>
              <w:rPr>
                <w:szCs w:val="18"/>
              </w:rPr>
            </w:pPr>
            <w:r w:rsidRPr="00E85AEC">
              <w:rPr>
                <w:rFonts w:asciiTheme="majorHAnsi" w:hAnsiTheme="majorHAnsi" w:cstheme="majorHAnsi"/>
              </w:rPr>
              <w:t>14</w:t>
            </w:r>
            <w:r>
              <w:rPr>
                <w:rFonts w:asciiTheme="majorHAnsi" w:hAnsiTheme="majorHAnsi" w:cstheme="majorHAnsi"/>
              </w:rPr>
              <w:t>.</w:t>
            </w:r>
            <w:r w:rsidRPr="00E85AEC">
              <w:rPr>
                <w:rFonts w:asciiTheme="majorHAnsi" w:hAnsiTheme="majorHAnsi" w:cstheme="majorHAnsi"/>
              </w:rPr>
              <w:t>5</w:t>
            </w:r>
          </w:p>
        </w:tc>
        <w:tc>
          <w:tcPr>
            <w:tcW w:w="773" w:type="dxa"/>
            <w:vAlign w:val="center"/>
          </w:tcPr>
          <w:p w14:paraId="5BE4CB39" w14:textId="37394E1D" w:rsidR="00171525" w:rsidRPr="005954E3" w:rsidRDefault="00171525" w:rsidP="00171525">
            <w:pPr>
              <w:pStyle w:val="tabletextleft"/>
              <w:spacing w:before="0" w:after="0"/>
              <w:jc w:val="right"/>
              <w:rPr>
                <w:szCs w:val="18"/>
              </w:rPr>
            </w:pPr>
            <w:r w:rsidRPr="00E85AEC">
              <w:rPr>
                <w:rFonts w:asciiTheme="majorHAnsi" w:hAnsiTheme="majorHAnsi" w:cstheme="majorHAnsi"/>
              </w:rPr>
              <w:t>13</w:t>
            </w:r>
            <w:r>
              <w:rPr>
                <w:rFonts w:asciiTheme="majorHAnsi" w:hAnsiTheme="majorHAnsi" w:cstheme="majorHAnsi"/>
              </w:rPr>
              <w:t>.</w:t>
            </w:r>
            <w:r w:rsidRPr="00E85AEC">
              <w:rPr>
                <w:rFonts w:asciiTheme="majorHAnsi" w:hAnsiTheme="majorHAnsi" w:cstheme="majorHAnsi"/>
              </w:rPr>
              <w:t>7</w:t>
            </w:r>
          </w:p>
        </w:tc>
        <w:tc>
          <w:tcPr>
            <w:tcW w:w="766" w:type="dxa"/>
            <w:vAlign w:val="center"/>
          </w:tcPr>
          <w:p w14:paraId="73552F62" w14:textId="5A12BFC7" w:rsidR="00171525" w:rsidRPr="005954E3" w:rsidRDefault="00171525" w:rsidP="00171525">
            <w:pPr>
              <w:pStyle w:val="tabletextleft"/>
              <w:spacing w:before="0" w:after="0"/>
              <w:jc w:val="right"/>
              <w:rPr>
                <w:szCs w:val="18"/>
              </w:rPr>
            </w:pPr>
            <w:r w:rsidRPr="00E85AEC">
              <w:rPr>
                <w:rFonts w:asciiTheme="majorHAnsi" w:hAnsiTheme="majorHAnsi" w:cstheme="majorHAnsi"/>
              </w:rPr>
              <w:t>13</w:t>
            </w:r>
            <w:r>
              <w:rPr>
                <w:rFonts w:asciiTheme="majorHAnsi" w:hAnsiTheme="majorHAnsi" w:cstheme="majorHAnsi"/>
              </w:rPr>
              <w:t>.</w:t>
            </w:r>
            <w:r w:rsidRPr="00E85AEC">
              <w:rPr>
                <w:rFonts w:asciiTheme="majorHAnsi" w:hAnsiTheme="majorHAnsi" w:cstheme="majorHAnsi"/>
              </w:rPr>
              <w:t>5</w:t>
            </w:r>
          </w:p>
        </w:tc>
      </w:tr>
      <w:tr w:rsidR="00171525" w:rsidRPr="005954E3" w14:paraId="1FB87E20" w14:textId="77777777" w:rsidTr="001B3937">
        <w:trPr>
          <w:trHeight w:val="549"/>
          <w:jc w:val="center"/>
        </w:trPr>
        <w:tc>
          <w:tcPr>
            <w:tcW w:w="3269" w:type="dxa"/>
            <w:vAlign w:val="center"/>
            <w:hideMark/>
          </w:tcPr>
          <w:p w14:paraId="0FD52C86" w14:textId="77777777" w:rsidR="00171525" w:rsidRPr="005954E3" w:rsidRDefault="00171525" w:rsidP="00171525">
            <w:pPr>
              <w:pStyle w:val="tabletextleft"/>
              <w:spacing w:before="0" w:after="0"/>
              <w:rPr>
                <w:szCs w:val="18"/>
              </w:rPr>
            </w:pPr>
            <w:r w:rsidRPr="005954E3">
              <w:rPr>
                <w:szCs w:val="18"/>
              </w:rPr>
              <w:t>17a. Компенсация на наетите лица</w:t>
            </w:r>
          </w:p>
        </w:tc>
        <w:tc>
          <w:tcPr>
            <w:tcW w:w="840" w:type="dxa"/>
            <w:vAlign w:val="center"/>
            <w:hideMark/>
          </w:tcPr>
          <w:p w14:paraId="0019CD60" w14:textId="77777777" w:rsidR="00171525" w:rsidRPr="005954E3" w:rsidRDefault="00171525" w:rsidP="00171525">
            <w:pPr>
              <w:pStyle w:val="tabletextleft"/>
              <w:spacing w:before="0" w:after="0"/>
              <w:rPr>
                <w:szCs w:val="18"/>
              </w:rPr>
            </w:pPr>
            <w:r w:rsidRPr="005954E3">
              <w:rPr>
                <w:szCs w:val="18"/>
              </w:rPr>
              <w:t>D.1</w:t>
            </w:r>
          </w:p>
        </w:tc>
        <w:tc>
          <w:tcPr>
            <w:tcW w:w="869" w:type="dxa"/>
            <w:vAlign w:val="center"/>
          </w:tcPr>
          <w:p w14:paraId="78E8944B" w14:textId="63B51067" w:rsidR="00171525" w:rsidRPr="005954E3" w:rsidRDefault="00171525" w:rsidP="00171525">
            <w:pPr>
              <w:pStyle w:val="tabletextleft"/>
              <w:spacing w:before="0" w:after="0"/>
              <w:jc w:val="right"/>
              <w:rPr>
                <w:szCs w:val="18"/>
              </w:rPr>
            </w:pPr>
            <w:r w:rsidRPr="00E85AEC">
              <w:rPr>
                <w:rFonts w:asciiTheme="majorHAnsi" w:hAnsiTheme="majorHAnsi" w:cstheme="majorHAnsi"/>
              </w:rPr>
              <w:t>16 543</w:t>
            </w:r>
            <w:r>
              <w:rPr>
                <w:rFonts w:asciiTheme="majorHAnsi" w:hAnsiTheme="majorHAnsi" w:cstheme="majorHAnsi"/>
              </w:rPr>
              <w:t>.</w:t>
            </w:r>
            <w:r w:rsidRPr="00E85AEC">
              <w:rPr>
                <w:rFonts w:asciiTheme="majorHAnsi" w:hAnsiTheme="majorHAnsi" w:cstheme="majorHAnsi"/>
              </w:rPr>
              <w:t>9</w:t>
            </w:r>
          </w:p>
        </w:tc>
        <w:tc>
          <w:tcPr>
            <w:tcW w:w="795" w:type="dxa"/>
            <w:vAlign w:val="center"/>
          </w:tcPr>
          <w:p w14:paraId="0D8DF8D6" w14:textId="12822D39" w:rsidR="00171525" w:rsidRPr="005954E3" w:rsidRDefault="00171525" w:rsidP="00171525">
            <w:pPr>
              <w:pStyle w:val="tabletextleft"/>
              <w:spacing w:before="0" w:after="0"/>
              <w:jc w:val="right"/>
              <w:rPr>
                <w:szCs w:val="18"/>
              </w:rPr>
            </w:pPr>
            <w:r w:rsidRPr="00E85AEC">
              <w:rPr>
                <w:rFonts w:asciiTheme="majorHAnsi" w:hAnsiTheme="majorHAnsi" w:cstheme="majorHAnsi"/>
              </w:rPr>
              <w:t>10</w:t>
            </w:r>
            <w:r>
              <w:rPr>
                <w:rFonts w:asciiTheme="majorHAnsi" w:hAnsiTheme="majorHAnsi" w:cstheme="majorHAnsi"/>
              </w:rPr>
              <w:t>.</w:t>
            </w:r>
            <w:r w:rsidRPr="00E85AEC">
              <w:rPr>
                <w:rFonts w:asciiTheme="majorHAnsi" w:hAnsiTheme="majorHAnsi" w:cstheme="majorHAnsi"/>
              </w:rPr>
              <w:t>0</w:t>
            </w:r>
          </w:p>
        </w:tc>
        <w:tc>
          <w:tcPr>
            <w:tcW w:w="795" w:type="dxa"/>
            <w:vAlign w:val="center"/>
          </w:tcPr>
          <w:p w14:paraId="1A8FE71C" w14:textId="4F371A34" w:rsidR="00171525" w:rsidRPr="005954E3" w:rsidRDefault="00171525" w:rsidP="00171525">
            <w:pPr>
              <w:pStyle w:val="tabletextleft"/>
              <w:spacing w:before="0" w:after="0"/>
              <w:jc w:val="right"/>
              <w:rPr>
                <w:szCs w:val="18"/>
              </w:rPr>
            </w:pPr>
            <w:r w:rsidRPr="00E85AEC">
              <w:rPr>
                <w:rFonts w:asciiTheme="majorHAnsi" w:hAnsiTheme="majorHAnsi" w:cstheme="majorHAnsi"/>
              </w:rPr>
              <w:t>9</w:t>
            </w:r>
            <w:r>
              <w:rPr>
                <w:rFonts w:asciiTheme="majorHAnsi" w:hAnsiTheme="majorHAnsi" w:cstheme="majorHAnsi"/>
              </w:rPr>
              <w:t>.</w:t>
            </w:r>
            <w:r w:rsidRPr="00E85AEC">
              <w:rPr>
                <w:rFonts w:asciiTheme="majorHAnsi" w:hAnsiTheme="majorHAnsi" w:cstheme="majorHAnsi"/>
              </w:rPr>
              <w:t>9</w:t>
            </w:r>
          </w:p>
        </w:tc>
        <w:tc>
          <w:tcPr>
            <w:tcW w:w="790" w:type="dxa"/>
            <w:vAlign w:val="center"/>
          </w:tcPr>
          <w:p w14:paraId="1DA1EDF2" w14:textId="48A0F3AA" w:rsidR="00171525" w:rsidRPr="005954E3" w:rsidRDefault="00171525" w:rsidP="00171525">
            <w:pPr>
              <w:pStyle w:val="tabletextleft"/>
              <w:spacing w:before="0" w:after="0"/>
              <w:jc w:val="right"/>
              <w:rPr>
                <w:szCs w:val="18"/>
              </w:rPr>
            </w:pPr>
            <w:r w:rsidRPr="00E85AEC">
              <w:rPr>
                <w:rFonts w:asciiTheme="majorHAnsi" w:hAnsiTheme="majorHAnsi" w:cstheme="majorHAnsi"/>
              </w:rPr>
              <w:t>9</w:t>
            </w:r>
            <w:r>
              <w:rPr>
                <w:rFonts w:asciiTheme="majorHAnsi" w:hAnsiTheme="majorHAnsi" w:cstheme="majorHAnsi"/>
              </w:rPr>
              <w:t>.</w:t>
            </w:r>
            <w:r w:rsidRPr="00E85AEC">
              <w:rPr>
                <w:rFonts w:asciiTheme="majorHAnsi" w:hAnsiTheme="majorHAnsi" w:cstheme="majorHAnsi"/>
              </w:rPr>
              <w:t>7</w:t>
            </w:r>
          </w:p>
        </w:tc>
        <w:tc>
          <w:tcPr>
            <w:tcW w:w="773" w:type="dxa"/>
            <w:vAlign w:val="center"/>
          </w:tcPr>
          <w:p w14:paraId="68322F68" w14:textId="5152784B" w:rsidR="00171525" w:rsidRPr="005954E3" w:rsidRDefault="00171525" w:rsidP="00171525">
            <w:pPr>
              <w:pStyle w:val="tabletextleft"/>
              <w:spacing w:before="0" w:after="0"/>
              <w:jc w:val="right"/>
              <w:rPr>
                <w:szCs w:val="18"/>
              </w:rPr>
            </w:pPr>
            <w:r w:rsidRPr="00E85AEC">
              <w:rPr>
                <w:rFonts w:asciiTheme="majorHAnsi" w:hAnsiTheme="majorHAnsi" w:cstheme="majorHAnsi"/>
              </w:rPr>
              <w:t>9</w:t>
            </w:r>
            <w:r>
              <w:rPr>
                <w:rFonts w:asciiTheme="majorHAnsi" w:hAnsiTheme="majorHAnsi" w:cstheme="majorHAnsi"/>
              </w:rPr>
              <w:t>.</w:t>
            </w:r>
            <w:r w:rsidRPr="00E85AEC">
              <w:rPr>
                <w:rFonts w:asciiTheme="majorHAnsi" w:hAnsiTheme="majorHAnsi" w:cstheme="majorHAnsi"/>
              </w:rPr>
              <w:t>5</w:t>
            </w:r>
          </w:p>
        </w:tc>
        <w:tc>
          <w:tcPr>
            <w:tcW w:w="766" w:type="dxa"/>
            <w:vAlign w:val="center"/>
          </w:tcPr>
          <w:p w14:paraId="6851A875" w14:textId="4C0B3FB9" w:rsidR="00171525" w:rsidRPr="005954E3" w:rsidRDefault="00171525" w:rsidP="00171525">
            <w:pPr>
              <w:pStyle w:val="tabletextleft"/>
              <w:spacing w:before="0" w:after="0"/>
              <w:jc w:val="right"/>
              <w:rPr>
                <w:szCs w:val="18"/>
              </w:rPr>
            </w:pPr>
            <w:r w:rsidRPr="00E85AEC">
              <w:rPr>
                <w:rFonts w:asciiTheme="majorHAnsi" w:hAnsiTheme="majorHAnsi" w:cstheme="majorHAnsi"/>
              </w:rPr>
              <w:t>9</w:t>
            </w:r>
            <w:r>
              <w:rPr>
                <w:rFonts w:asciiTheme="majorHAnsi" w:hAnsiTheme="majorHAnsi" w:cstheme="majorHAnsi"/>
              </w:rPr>
              <w:t>.</w:t>
            </w:r>
            <w:r w:rsidRPr="00E85AEC">
              <w:rPr>
                <w:rFonts w:asciiTheme="majorHAnsi" w:hAnsiTheme="majorHAnsi" w:cstheme="majorHAnsi"/>
              </w:rPr>
              <w:t>3</w:t>
            </w:r>
          </w:p>
        </w:tc>
      </w:tr>
      <w:tr w:rsidR="00171525" w:rsidRPr="005954E3" w14:paraId="7F07C90A" w14:textId="77777777" w:rsidTr="001B3937">
        <w:trPr>
          <w:trHeight w:val="549"/>
          <w:jc w:val="center"/>
        </w:trPr>
        <w:tc>
          <w:tcPr>
            <w:tcW w:w="3269" w:type="dxa"/>
            <w:vAlign w:val="center"/>
            <w:hideMark/>
          </w:tcPr>
          <w:p w14:paraId="03CB6181" w14:textId="77777777" w:rsidR="00171525" w:rsidRPr="005954E3" w:rsidRDefault="00171525" w:rsidP="00171525">
            <w:pPr>
              <w:pStyle w:val="tabletextleft"/>
              <w:spacing w:before="0" w:after="0"/>
              <w:rPr>
                <w:szCs w:val="18"/>
              </w:rPr>
            </w:pPr>
            <w:r w:rsidRPr="005954E3">
              <w:rPr>
                <w:szCs w:val="18"/>
              </w:rPr>
              <w:t>17b. Междинно потребление</w:t>
            </w:r>
          </w:p>
        </w:tc>
        <w:tc>
          <w:tcPr>
            <w:tcW w:w="840" w:type="dxa"/>
            <w:vAlign w:val="center"/>
            <w:hideMark/>
          </w:tcPr>
          <w:p w14:paraId="2C68371B" w14:textId="77777777" w:rsidR="00171525" w:rsidRPr="005954E3" w:rsidRDefault="00171525" w:rsidP="00171525">
            <w:pPr>
              <w:pStyle w:val="tabletextleft"/>
              <w:spacing w:before="0" w:after="0"/>
              <w:rPr>
                <w:szCs w:val="18"/>
              </w:rPr>
            </w:pPr>
            <w:r w:rsidRPr="005954E3">
              <w:rPr>
                <w:szCs w:val="18"/>
              </w:rPr>
              <w:t>P.2</w:t>
            </w:r>
          </w:p>
        </w:tc>
        <w:tc>
          <w:tcPr>
            <w:tcW w:w="869" w:type="dxa"/>
            <w:vAlign w:val="center"/>
          </w:tcPr>
          <w:p w14:paraId="3516C4DA" w14:textId="0179E199" w:rsidR="00171525" w:rsidRPr="005954E3" w:rsidRDefault="00171525" w:rsidP="00171525">
            <w:pPr>
              <w:pStyle w:val="tabletextleft"/>
              <w:spacing w:before="0" w:after="0"/>
              <w:jc w:val="right"/>
              <w:rPr>
                <w:szCs w:val="18"/>
              </w:rPr>
            </w:pPr>
            <w:r w:rsidRPr="00E85AEC">
              <w:rPr>
                <w:rFonts w:asciiTheme="majorHAnsi" w:hAnsiTheme="majorHAnsi" w:cstheme="majorHAnsi"/>
              </w:rPr>
              <w:t>8 802</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458AA1F5" w14:textId="4173711E"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727407C5" w14:textId="6FE49D59"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9</w:t>
            </w:r>
          </w:p>
        </w:tc>
        <w:tc>
          <w:tcPr>
            <w:tcW w:w="790" w:type="dxa"/>
            <w:vAlign w:val="center"/>
          </w:tcPr>
          <w:p w14:paraId="685B139D" w14:textId="1FD973CC"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8</w:t>
            </w:r>
          </w:p>
        </w:tc>
        <w:tc>
          <w:tcPr>
            <w:tcW w:w="773" w:type="dxa"/>
            <w:vAlign w:val="center"/>
          </w:tcPr>
          <w:p w14:paraId="090C6267" w14:textId="41A426AB"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2</w:t>
            </w:r>
          </w:p>
        </w:tc>
        <w:tc>
          <w:tcPr>
            <w:tcW w:w="766" w:type="dxa"/>
            <w:vAlign w:val="center"/>
          </w:tcPr>
          <w:p w14:paraId="3B27C044" w14:textId="4308AEEB"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3</w:t>
            </w:r>
          </w:p>
        </w:tc>
      </w:tr>
      <w:tr w:rsidR="00171525" w:rsidRPr="005954E3" w14:paraId="2D5B22E3" w14:textId="77777777" w:rsidTr="001B3937">
        <w:trPr>
          <w:trHeight w:val="549"/>
          <w:jc w:val="center"/>
        </w:trPr>
        <w:tc>
          <w:tcPr>
            <w:tcW w:w="3269" w:type="dxa"/>
            <w:noWrap/>
            <w:vAlign w:val="center"/>
            <w:hideMark/>
          </w:tcPr>
          <w:p w14:paraId="68B88AC1" w14:textId="77777777" w:rsidR="00171525" w:rsidRPr="005954E3" w:rsidRDefault="00171525" w:rsidP="00171525">
            <w:pPr>
              <w:pStyle w:val="tabletextleft"/>
              <w:spacing w:before="0" w:after="0"/>
              <w:rPr>
                <w:szCs w:val="18"/>
              </w:rPr>
            </w:pPr>
            <w:r w:rsidRPr="005954E3">
              <w:rPr>
                <w:szCs w:val="18"/>
              </w:rPr>
              <w:t>18. Общо социални трансфери (18=18a+18b)</w:t>
            </w:r>
          </w:p>
        </w:tc>
        <w:tc>
          <w:tcPr>
            <w:tcW w:w="840" w:type="dxa"/>
            <w:vAlign w:val="center"/>
          </w:tcPr>
          <w:p w14:paraId="0AAFED5A" w14:textId="77777777" w:rsidR="00171525" w:rsidRPr="005954E3" w:rsidRDefault="00171525" w:rsidP="00171525">
            <w:pPr>
              <w:pStyle w:val="tabletextleft"/>
              <w:spacing w:before="0" w:after="0"/>
              <w:rPr>
                <w:szCs w:val="18"/>
              </w:rPr>
            </w:pPr>
          </w:p>
        </w:tc>
        <w:tc>
          <w:tcPr>
            <w:tcW w:w="869" w:type="dxa"/>
            <w:vAlign w:val="center"/>
          </w:tcPr>
          <w:p w14:paraId="1A314401" w14:textId="756C621A" w:rsidR="00171525" w:rsidRPr="005954E3" w:rsidRDefault="00DA2F80" w:rsidP="00171525">
            <w:pPr>
              <w:pStyle w:val="tabletextleft"/>
              <w:spacing w:before="0" w:after="0"/>
              <w:jc w:val="right"/>
              <w:rPr>
                <w:szCs w:val="18"/>
              </w:rPr>
            </w:pPr>
            <w:r w:rsidRPr="00E85AEC">
              <w:rPr>
                <w:rFonts w:asciiTheme="majorHAnsi" w:hAnsiTheme="majorHAnsi" w:cstheme="majorHAnsi"/>
              </w:rPr>
              <w:t>24</w:t>
            </w:r>
            <w:r>
              <w:rPr>
                <w:rFonts w:asciiTheme="majorHAnsi" w:hAnsiTheme="majorHAnsi" w:cstheme="majorHAnsi"/>
              </w:rPr>
              <w:t> </w:t>
            </w:r>
            <w:r w:rsidRPr="00E85AEC">
              <w:rPr>
                <w:rFonts w:asciiTheme="majorHAnsi" w:hAnsiTheme="majorHAnsi" w:cstheme="majorHAnsi"/>
              </w:rPr>
              <w:t>6</w:t>
            </w:r>
            <w:r>
              <w:rPr>
                <w:rFonts w:asciiTheme="majorHAnsi" w:hAnsiTheme="majorHAnsi" w:cstheme="majorHAnsi"/>
              </w:rPr>
              <w:t>8</w:t>
            </w:r>
            <w:r w:rsidRPr="00E85AEC">
              <w:rPr>
                <w:rFonts w:asciiTheme="majorHAnsi" w:hAnsiTheme="majorHAnsi" w:cstheme="majorHAnsi"/>
              </w:rPr>
              <w:t>9</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6F0A9794" w14:textId="7501B5C6" w:rsidR="00171525" w:rsidRPr="005954E3" w:rsidRDefault="00171525" w:rsidP="00171525">
            <w:pPr>
              <w:pStyle w:val="tabletextleft"/>
              <w:spacing w:before="0" w:after="0"/>
              <w:jc w:val="right"/>
              <w:rPr>
                <w:szCs w:val="18"/>
              </w:rPr>
            </w:pPr>
            <w:r w:rsidRPr="00E85AEC">
              <w:rPr>
                <w:rFonts w:asciiTheme="majorHAnsi" w:hAnsiTheme="majorHAnsi" w:cstheme="majorHAnsi"/>
              </w:rPr>
              <w:t>14</w:t>
            </w:r>
            <w:r>
              <w:rPr>
                <w:rFonts w:asciiTheme="majorHAnsi" w:hAnsiTheme="majorHAnsi" w:cstheme="majorHAnsi"/>
              </w:rPr>
              <w:t>.</w:t>
            </w:r>
            <w:r w:rsidRPr="00E85AEC">
              <w:rPr>
                <w:rFonts w:asciiTheme="majorHAnsi" w:hAnsiTheme="majorHAnsi" w:cstheme="majorHAnsi"/>
              </w:rPr>
              <w:t>9</w:t>
            </w:r>
          </w:p>
        </w:tc>
        <w:tc>
          <w:tcPr>
            <w:tcW w:w="795" w:type="dxa"/>
            <w:vAlign w:val="center"/>
          </w:tcPr>
          <w:p w14:paraId="0465F1F8" w14:textId="78945FCE" w:rsidR="00171525" w:rsidRPr="005954E3" w:rsidRDefault="00171525" w:rsidP="00171525">
            <w:pPr>
              <w:pStyle w:val="tabletextleft"/>
              <w:spacing w:before="0" w:after="0"/>
              <w:jc w:val="right"/>
              <w:rPr>
                <w:szCs w:val="18"/>
              </w:rPr>
            </w:pPr>
            <w:r w:rsidRPr="00E85AEC">
              <w:rPr>
                <w:rFonts w:asciiTheme="majorHAnsi" w:hAnsiTheme="majorHAnsi" w:cstheme="majorHAnsi"/>
              </w:rPr>
              <w:t>15</w:t>
            </w:r>
            <w:r>
              <w:rPr>
                <w:rFonts w:asciiTheme="majorHAnsi" w:hAnsiTheme="majorHAnsi" w:cstheme="majorHAnsi"/>
              </w:rPr>
              <w:t>.</w:t>
            </w:r>
            <w:r w:rsidRPr="00E85AEC">
              <w:rPr>
                <w:rFonts w:asciiTheme="majorHAnsi" w:hAnsiTheme="majorHAnsi" w:cstheme="majorHAnsi"/>
              </w:rPr>
              <w:t>7</w:t>
            </w:r>
          </w:p>
        </w:tc>
        <w:tc>
          <w:tcPr>
            <w:tcW w:w="790" w:type="dxa"/>
            <w:vAlign w:val="center"/>
          </w:tcPr>
          <w:p w14:paraId="56006B78" w14:textId="14D3CA25" w:rsidR="00171525" w:rsidRPr="005954E3" w:rsidRDefault="00171525" w:rsidP="00171525">
            <w:pPr>
              <w:pStyle w:val="tabletextleft"/>
              <w:spacing w:before="0" w:after="0"/>
              <w:jc w:val="right"/>
              <w:rPr>
                <w:szCs w:val="18"/>
              </w:rPr>
            </w:pPr>
            <w:r w:rsidRPr="00E85AEC">
              <w:rPr>
                <w:rFonts w:asciiTheme="majorHAnsi" w:hAnsiTheme="majorHAnsi" w:cstheme="majorHAnsi"/>
              </w:rPr>
              <w:t>16</w:t>
            </w:r>
            <w:r>
              <w:rPr>
                <w:rFonts w:asciiTheme="majorHAnsi" w:hAnsiTheme="majorHAnsi" w:cstheme="majorHAnsi"/>
              </w:rPr>
              <w:t>.</w:t>
            </w:r>
            <w:r w:rsidRPr="00E85AEC">
              <w:rPr>
                <w:rFonts w:asciiTheme="majorHAnsi" w:hAnsiTheme="majorHAnsi" w:cstheme="majorHAnsi"/>
              </w:rPr>
              <w:t>3</w:t>
            </w:r>
          </w:p>
        </w:tc>
        <w:tc>
          <w:tcPr>
            <w:tcW w:w="773" w:type="dxa"/>
            <w:vAlign w:val="center"/>
          </w:tcPr>
          <w:p w14:paraId="6927B328" w14:textId="1292A77E" w:rsidR="00171525" w:rsidRPr="005954E3" w:rsidRDefault="00171525" w:rsidP="00171525">
            <w:pPr>
              <w:pStyle w:val="tabletextleft"/>
              <w:spacing w:before="0" w:after="0"/>
              <w:jc w:val="right"/>
              <w:rPr>
                <w:szCs w:val="18"/>
              </w:rPr>
            </w:pPr>
            <w:r w:rsidRPr="00E85AEC">
              <w:rPr>
                <w:rFonts w:asciiTheme="majorHAnsi" w:hAnsiTheme="majorHAnsi" w:cstheme="majorHAnsi"/>
              </w:rPr>
              <w:t>16</w:t>
            </w:r>
            <w:r>
              <w:rPr>
                <w:rFonts w:asciiTheme="majorHAnsi" w:hAnsiTheme="majorHAnsi" w:cstheme="majorHAnsi"/>
              </w:rPr>
              <w:t>.</w:t>
            </w:r>
            <w:r w:rsidRPr="00E85AEC">
              <w:rPr>
                <w:rFonts w:asciiTheme="majorHAnsi" w:hAnsiTheme="majorHAnsi" w:cstheme="majorHAnsi"/>
              </w:rPr>
              <w:t>6</w:t>
            </w:r>
          </w:p>
        </w:tc>
        <w:tc>
          <w:tcPr>
            <w:tcW w:w="766" w:type="dxa"/>
            <w:vAlign w:val="center"/>
          </w:tcPr>
          <w:p w14:paraId="3310FA32" w14:textId="1D22BAA0" w:rsidR="00171525" w:rsidRPr="005954E3" w:rsidRDefault="00171525" w:rsidP="00171525">
            <w:pPr>
              <w:pStyle w:val="tabletextleft"/>
              <w:spacing w:before="0" w:after="0"/>
              <w:jc w:val="right"/>
              <w:rPr>
                <w:szCs w:val="18"/>
              </w:rPr>
            </w:pPr>
            <w:r w:rsidRPr="00E85AEC">
              <w:rPr>
                <w:rFonts w:asciiTheme="majorHAnsi" w:hAnsiTheme="majorHAnsi" w:cstheme="majorHAnsi"/>
              </w:rPr>
              <w:t>16</w:t>
            </w:r>
            <w:r>
              <w:rPr>
                <w:rFonts w:asciiTheme="majorHAnsi" w:hAnsiTheme="majorHAnsi" w:cstheme="majorHAnsi"/>
              </w:rPr>
              <w:t>.</w:t>
            </w:r>
            <w:r w:rsidRPr="00E85AEC">
              <w:rPr>
                <w:rFonts w:asciiTheme="majorHAnsi" w:hAnsiTheme="majorHAnsi" w:cstheme="majorHAnsi"/>
              </w:rPr>
              <w:t>7</w:t>
            </w:r>
          </w:p>
        </w:tc>
      </w:tr>
      <w:tr w:rsidR="00171525" w:rsidRPr="005954E3" w14:paraId="2DCC8E01" w14:textId="77777777" w:rsidTr="001B3937">
        <w:trPr>
          <w:trHeight w:val="549"/>
          <w:jc w:val="center"/>
        </w:trPr>
        <w:tc>
          <w:tcPr>
            <w:tcW w:w="3269" w:type="dxa"/>
            <w:vAlign w:val="center"/>
            <w:hideMark/>
          </w:tcPr>
          <w:p w14:paraId="1C562653" w14:textId="77777777" w:rsidR="00171525" w:rsidRPr="005954E3" w:rsidRDefault="00171525" w:rsidP="00171525">
            <w:pPr>
              <w:pStyle w:val="tabletextleft"/>
              <w:spacing w:before="0" w:after="0"/>
              <w:rPr>
                <w:szCs w:val="18"/>
              </w:rPr>
            </w:pPr>
            <w:r w:rsidRPr="005954E3">
              <w:rPr>
                <w:szCs w:val="18"/>
              </w:rPr>
              <w:t>В т.ч. обезщетения при безработица</w:t>
            </w:r>
          </w:p>
        </w:tc>
        <w:tc>
          <w:tcPr>
            <w:tcW w:w="840" w:type="dxa"/>
            <w:vAlign w:val="center"/>
            <w:hideMark/>
          </w:tcPr>
          <w:p w14:paraId="3008F90C" w14:textId="77777777" w:rsidR="00171525" w:rsidRPr="005954E3" w:rsidRDefault="00171525" w:rsidP="00171525">
            <w:pPr>
              <w:pStyle w:val="tabletextleft"/>
              <w:spacing w:before="0" w:after="0"/>
              <w:rPr>
                <w:szCs w:val="18"/>
              </w:rPr>
            </w:pPr>
            <w:r w:rsidRPr="005954E3">
              <w:rPr>
                <w:szCs w:val="18"/>
              </w:rPr>
              <w:t>D.621, D.624</w:t>
            </w:r>
          </w:p>
        </w:tc>
        <w:tc>
          <w:tcPr>
            <w:tcW w:w="869" w:type="dxa"/>
            <w:vAlign w:val="center"/>
          </w:tcPr>
          <w:p w14:paraId="6347125B" w14:textId="35C8A571" w:rsidR="00171525" w:rsidRPr="005954E3" w:rsidRDefault="00171525" w:rsidP="00171525">
            <w:pPr>
              <w:pStyle w:val="tabletextleft"/>
              <w:spacing w:before="0" w:after="0"/>
              <w:jc w:val="right"/>
              <w:rPr>
                <w:szCs w:val="18"/>
              </w:rPr>
            </w:pPr>
            <w:r w:rsidRPr="00E85AEC">
              <w:rPr>
                <w:rFonts w:asciiTheme="majorHAnsi" w:hAnsiTheme="majorHAnsi" w:cstheme="majorHAnsi"/>
              </w:rPr>
              <w:t>412</w:t>
            </w:r>
            <w:r>
              <w:rPr>
                <w:rFonts w:asciiTheme="majorHAnsi" w:hAnsiTheme="majorHAnsi" w:cstheme="majorHAnsi"/>
              </w:rPr>
              <w:t>.</w:t>
            </w:r>
            <w:r w:rsidRPr="00E85AEC">
              <w:rPr>
                <w:rFonts w:asciiTheme="majorHAnsi" w:hAnsiTheme="majorHAnsi" w:cstheme="majorHAnsi"/>
              </w:rPr>
              <w:t>6</w:t>
            </w:r>
          </w:p>
        </w:tc>
        <w:tc>
          <w:tcPr>
            <w:tcW w:w="795" w:type="dxa"/>
            <w:vAlign w:val="center"/>
          </w:tcPr>
          <w:p w14:paraId="38981476" w14:textId="56B800C2"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2</w:t>
            </w:r>
          </w:p>
        </w:tc>
        <w:tc>
          <w:tcPr>
            <w:tcW w:w="795" w:type="dxa"/>
            <w:vAlign w:val="center"/>
          </w:tcPr>
          <w:p w14:paraId="3D55BFD2" w14:textId="24A50521"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3</w:t>
            </w:r>
          </w:p>
        </w:tc>
        <w:tc>
          <w:tcPr>
            <w:tcW w:w="790" w:type="dxa"/>
            <w:vAlign w:val="center"/>
          </w:tcPr>
          <w:p w14:paraId="1DACA3AC" w14:textId="66F965DD"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2</w:t>
            </w:r>
          </w:p>
        </w:tc>
        <w:tc>
          <w:tcPr>
            <w:tcW w:w="773" w:type="dxa"/>
            <w:vAlign w:val="center"/>
          </w:tcPr>
          <w:p w14:paraId="030FC2CC" w14:textId="2326B497"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2</w:t>
            </w:r>
          </w:p>
        </w:tc>
        <w:tc>
          <w:tcPr>
            <w:tcW w:w="766" w:type="dxa"/>
            <w:vAlign w:val="center"/>
          </w:tcPr>
          <w:p w14:paraId="0EB0C043" w14:textId="3123BEB8"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2</w:t>
            </w:r>
          </w:p>
        </w:tc>
      </w:tr>
      <w:tr w:rsidR="00171525" w:rsidRPr="005954E3" w14:paraId="3C42F659" w14:textId="77777777" w:rsidTr="001B3937">
        <w:trPr>
          <w:trHeight w:val="549"/>
          <w:jc w:val="center"/>
        </w:trPr>
        <w:tc>
          <w:tcPr>
            <w:tcW w:w="3269" w:type="dxa"/>
            <w:vAlign w:val="center"/>
            <w:hideMark/>
          </w:tcPr>
          <w:p w14:paraId="1B7087AB" w14:textId="77777777" w:rsidR="00171525" w:rsidRPr="005954E3" w:rsidRDefault="00171525" w:rsidP="00171525">
            <w:pPr>
              <w:pStyle w:val="tabletextleft"/>
              <w:spacing w:before="0" w:after="0"/>
              <w:rPr>
                <w:szCs w:val="18"/>
              </w:rPr>
            </w:pPr>
            <w:r w:rsidRPr="005954E3">
              <w:rPr>
                <w:szCs w:val="18"/>
              </w:rPr>
              <w:t>18a. Социални трансфери в натура</w:t>
            </w:r>
          </w:p>
        </w:tc>
        <w:tc>
          <w:tcPr>
            <w:tcW w:w="840" w:type="dxa"/>
            <w:vAlign w:val="center"/>
            <w:hideMark/>
          </w:tcPr>
          <w:p w14:paraId="471173A7" w14:textId="77777777" w:rsidR="00171525" w:rsidRPr="005954E3" w:rsidRDefault="00171525" w:rsidP="00171525">
            <w:pPr>
              <w:pStyle w:val="tabletextleft"/>
              <w:spacing w:before="0" w:after="0"/>
              <w:rPr>
                <w:szCs w:val="18"/>
              </w:rPr>
            </w:pPr>
            <w:r w:rsidRPr="005954E3">
              <w:rPr>
                <w:szCs w:val="18"/>
              </w:rPr>
              <w:t>D.6311. D.63121. D.63131</w:t>
            </w:r>
          </w:p>
        </w:tc>
        <w:tc>
          <w:tcPr>
            <w:tcW w:w="869" w:type="dxa"/>
            <w:vAlign w:val="center"/>
          </w:tcPr>
          <w:p w14:paraId="038EA0EB" w14:textId="32A4BBB7" w:rsidR="00171525" w:rsidRPr="005954E3" w:rsidRDefault="00171525" w:rsidP="00171525">
            <w:pPr>
              <w:pStyle w:val="tabletextleft"/>
              <w:spacing w:before="0" w:after="0"/>
              <w:jc w:val="right"/>
              <w:rPr>
                <w:szCs w:val="18"/>
              </w:rPr>
            </w:pPr>
            <w:r w:rsidRPr="00E85AEC">
              <w:rPr>
                <w:rFonts w:asciiTheme="majorHAnsi" w:hAnsiTheme="majorHAnsi" w:cstheme="majorHAnsi"/>
              </w:rPr>
              <w:t>4 671</w:t>
            </w:r>
            <w:r>
              <w:rPr>
                <w:rFonts w:asciiTheme="majorHAnsi" w:hAnsiTheme="majorHAnsi" w:cstheme="majorHAnsi"/>
              </w:rPr>
              <w:t>.</w:t>
            </w:r>
            <w:r w:rsidRPr="00E85AEC">
              <w:rPr>
                <w:rFonts w:asciiTheme="majorHAnsi" w:hAnsiTheme="majorHAnsi" w:cstheme="majorHAnsi"/>
              </w:rPr>
              <w:t>2</w:t>
            </w:r>
          </w:p>
        </w:tc>
        <w:tc>
          <w:tcPr>
            <w:tcW w:w="795" w:type="dxa"/>
            <w:vAlign w:val="center"/>
          </w:tcPr>
          <w:p w14:paraId="11C00348" w14:textId="55D586E1" w:rsidR="00171525" w:rsidRPr="005954E3" w:rsidRDefault="00171525" w:rsidP="00171525">
            <w:pPr>
              <w:pStyle w:val="tabletextleft"/>
              <w:spacing w:before="0" w:after="0"/>
              <w:jc w:val="right"/>
              <w:rPr>
                <w:szCs w:val="18"/>
              </w:rPr>
            </w:pPr>
            <w:r w:rsidRPr="00E85AEC">
              <w:rPr>
                <w:rFonts w:asciiTheme="majorHAnsi" w:hAnsiTheme="majorHAnsi" w:cstheme="majorHAnsi"/>
              </w:rPr>
              <w:t>2</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0E4AA592" w14:textId="6875536F" w:rsidR="00171525" w:rsidRPr="005954E3" w:rsidRDefault="00171525" w:rsidP="00171525">
            <w:pPr>
              <w:pStyle w:val="tabletextleft"/>
              <w:spacing w:before="0" w:after="0"/>
              <w:jc w:val="right"/>
              <w:rPr>
                <w:szCs w:val="18"/>
              </w:rPr>
            </w:pPr>
            <w:r w:rsidRPr="00E85AEC">
              <w:rPr>
                <w:rFonts w:asciiTheme="majorHAnsi" w:hAnsiTheme="majorHAnsi" w:cstheme="majorHAnsi"/>
              </w:rPr>
              <w:t>2</w:t>
            </w:r>
            <w:r>
              <w:rPr>
                <w:rFonts w:asciiTheme="majorHAnsi" w:hAnsiTheme="majorHAnsi" w:cstheme="majorHAnsi"/>
              </w:rPr>
              <w:t>.</w:t>
            </w:r>
            <w:r w:rsidRPr="00E85AEC">
              <w:rPr>
                <w:rFonts w:asciiTheme="majorHAnsi" w:hAnsiTheme="majorHAnsi" w:cstheme="majorHAnsi"/>
              </w:rPr>
              <w:t>9</w:t>
            </w:r>
          </w:p>
        </w:tc>
        <w:tc>
          <w:tcPr>
            <w:tcW w:w="790" w:type="dxa"/>
            <w:vAlign w:val="center"/>
          </w:tcPr>
          <w:p w14:paraId="60BE7F4B" w14:textId="67A430C0"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1</w:t>
            </w:r>
          </w:p>
        </w:tc>
        <w:tc>
          <w:tcPr>
            <w:tcW w:w="773" w:type="dxa"/>
            <w:vAlign w:val="center"/>
          </w:tcPr>
          <w:p w14:paraId="0726555D" w14:textId="12A83251"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2</w:t>
            </w:r>
          </w:p>
        </w:tc>
        <w:tc>
          <w:tcPr>
            <w:tcW w:w="766" w:type="dxa"/>
            <w:vAlign w:val="center"/>
          </w:tcPr>
          <w:p w14:paraId="64A58096" w14:textId="468791D8"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3</w:t>
            </w:r>
          </w:p>
        </w:tc>
      </w:tr>
      <w:tr w:rsidR="00171525" w:rsidRPr="005954E3" w14:paraId="281ADA2C" w14:textId="77777777" w:rsidTr="001B3937">
        <w:trPr>
          <w:trHeight w:val="549"/>
          <w:jc w:val="center"/>
        </w:trPr>
        <w:tc>
          <w:tcPr>
            <w:tcW w:w="3269" w:type="dxa"/>
            <w:vAlign w:val="center"/>
            <w:hideMark/>
          </w:tcPr>
          <w:p w14:paraId="6FF197D6" w14:textId="77777777" w:rsidR="00171525" w:rsidRPr="005954E3" w:rsidRDefault="00171525" w:rsidP="00171525">
            <w:pPr>
              <w:pStyle w:val="tabletextleft"/>
              <w:spacing w:before="0" w:after="0"/>
              <w:rPr>
                <w:szCs w:val="18"/>
              </w:rPr>
            </w:pPr>
            <w:r w:rsidRPr="005954E3">
              <w:rPr>
                <w:szCs w:val="18"/>
              </w:rPr>
              <w:t>18b. Социални трансфери без тези в натура</w:t>
            </w:r>
          </w:p>
        </w:tc>
        <w:tc>
          <w:tcPr>
            <w:tcW w:w="840" w:type="dxa"/>
            <w:vAlign w:val="center"/>
            <w:hideMark/>
          </w:tcPr>
          <w:p w14:paraId="225ACEFA" w14:textId="77777777" w:rsidR="00171525" w:rsidRPr="005954E3" w:rsidRDefault="00171525" w:rsidP="00171525">
            <w:pPr>
              <w:pStyle w:val="tabletextleft"/>
              <w:spacing w:before="0" w:after="0"/>
              <w:rPr>
                <w:szCs w:val="18"/>
              </w:rPr>
            </w:pPr>
            <w:r w:rsidRPr="005954E3">
              <w:rPr>
                <w:szCs w:val="18"/>
              </w:rPr>
              <w:t>D.62</w:t>
            </w:r>
          </w:p>
        </w:tc>
        <w:tc>
          <w:tcPr>
            <w:tcW w:w="869" w:type="dxa"/>
            <w:vAlign w:val="center"/>
          </w:tcPr>
          <w:p w14:paraId="10C30565" w14:textId="3B766248" w:rsidR="00171525" w:rsidRPr="005954E3" w:rsidRDefault="00DA2F80" w:rsidP="00171525">
            <w:pPr>
              <w:pStyle w:val="tabletextleft"/>
              <w:spacing w:before="0" w:after="0"/>
              <w:jc w:val="right"/>
              <w:rPr>
                <w:szCs w:val="18"/>
              </w:rPr>
            </w:pPr>
            <w:r w:rsidRPr="00E85AEC">
              <w:rPr>
                <w:rFonts w:asciiTheme="majorHAnsi" w:hAnsiTheme="majorHAnsi" w:cstheme="majorHAnsi"/>
              </w:rPr>
              <w:t>20 0</w:t>
            </w:r>
            <w:r>
              <w:rPr>
                <w:rFonts w:asciiTheme="majorHAnsi" w:hAnsiTheme="majorHAnsi" w:cstheme="majorHAnsi"/>
              </w:rPr>
              <w:t>18.1</w:t>
            </w:r>
          </w:p>
        </w:tc>
        <w:tc>
          <w:tcPr>
            <w:tcW w:w="795" w:type="dxa"/>
            <w:vAlign w:val="center"/>
          </w:tcPr>
          <w:p w14:paraId="24B2AC7D" w14:textId="6A1B8B57" w:rsidR="00171525" w:rsidRPr="005954E3" w:rsidRDefault="00171525" w:rsidP="00171525">
            <w:pPr>
              <w:pStyle w:val="tabletextleft"/>
              <w:spacing w:before="0" w:after="0"/>
              <w:jc w:val="right"/>
              <w:rPr>
                <w:szCs w:val="18"/>
              </w:rPr>
            </w:pPr>
            <w:r w:rsidRPr="00E85AEC">
              <w:rPr>
                <w:rFonts w:asciiTheme="majorHAnsi" w:hAnsiTheme="majorHAnsi" w:cstheme="majorHAnsi"/>
              </w:rPr>
              <w:t>12</w:t>
            </w:r>
            <w:r>
              <w:rPr>
                <w:rFonts w:asciiTheme="majorHAnsi" w:hAnsiTheme="majorHAnsi" w:cstheme="majorHAnsi"/>
              </w:rPr>
              <w:t>.</w:t>
            </w:r>
            <w:r w:rsidRPr="00E85AEC">
              <w:rPr>
                <w:rFonts w:asciiTheme="majorHAnsi" w:hAnsiTheme="majorHAnsi" w:cstheme="majorHAnsi"/>
              </w:rPr>
              <w:t>1</w:t>
            </w:r>
          </w:p>
        </w:tc>
        <w:tc>
          <w:tcPr>
            <w:tcW w:w="795" w:type="dxa"/>
            <w:vAlign w:val="center"/>
          </w:tcPr>
          <w:p w14:paraId="7590051C" w14:textId="27D7E5AC" w:rsidR="00171525" w:rsidRPr="005954E3" w:rsidRDefault="00171525" w:rsidP="00171525">
            <w:pPr>
              <w:pStyle w:val="tabletextleft"/>
              <w:spacing w:before="0" w:after="0"/>
              <w:jc w:val="right"/>
              <w:rPr>
                <w:szCs w:val="18"/>
              </w:rPr>
            </w:pPr>
            <w:r w:rsidRPr="00E85AEC">
              <w:rPr>
                <w:rFonts w:asciiTheme="majorHAnsi" w:hAnsiTheme="majorHAnsi" w:cstheme="majorHAnsi"/>
              </w:rPr>
              <w:t>12</w:t>
            </w:r>
            <w:r>
              <w:rPr>
                <w:rFonts w:asciiTheme="majorHAnsi" w:hAnsiTheme="majorHAnsi" w:cstheme="majorHAnsi"/>
              </w:rPr>
              <w:t>.</w:t>
            </w:r>
            <w:r w:rsidRPr="00E85AEC">
              <w:rPr>
                <w:rFonts w:asciiTheme="majorHAnsi" w:hAnsiTheme="majorHAnsi" w:cstheme="majorHAnsi"/>
              </w:rPr>
              <w:t>8</w:t>
            </w:r>
          </w:p>
        </w:tc>
        <w:tc>
          <w:tcPr>
            <w:tcW w:w="790" w:type="dxa"/>
            <w:vAlign w:val="center"/>
          </w:tcPr>
          <w:p w14:paraId="3120EAE0" w14:textId="36F1A2D0" w:rsidR="00171525" w:rsidRPr="005954E3" w:rsidRDefault="00171525" w:rsidP="00171525">
            <w:pPr>
              <w:pStyle w:val="tabletextleft"/>
              <w:spacing w:before="0" w:after="0"/>
              <w:jc w:val="right"/>
              <w:rPr>
                <w:szCs w:val="18"/>
              </w:rPr>
            </w:pPr>
            <w:r w:rsidRPr="00E85AEC">
              <w:rPr>
                <w:rFonts w:asciiTheme="majorHAnsi" w:hAnsiTheme="majorHAnsi" w:cstheme="majorHAnsi"/>
              </w:rPr>
              <w:t>13</w:t>
            </w:r>
            <w:r>
              <w:rPr>
                <w:rFonts w:asciiTheme="majorHAnsi" w:hAnsiTheme="majorHAnsi" w:cstheme="majorHAnsi"/>
              </w:rPr>
              <w:t>.</w:t>
            </w:r>
            <w:r w:rsidRPr="00E85AEC">
              <w:rPr>
                <w:rFonts w:asciiTheme="majorHAnsi" w:hAnsiTheme="majorHAnsi" w:cstheme="majorHAnsi"/>
              </w:rPr>
              <w:t>2</w:t>
            </w:r>
          </w:p>
        </w:tc>
        <w:tc>
          <w:tcPr>
            <w:tcW w:w="773" w:type="dxa"/>
            <w:vAlign w:val="center"/>
          </w:tcPr>
          <w:p w14:paraId="56DF55D6" w14:textId="6A2738B5" w:rsidR="00171525" w:rsidRPr="005954E3" w:rsidRDefault="00171525" w:rsidP="00171525">
            <w:pPr>
              <w:pStyle w:val="tabletextleft"/>
              <w:spacing w:before="0" w:after="0"/>
              <w:jc w:val="right"/>
              <w:rPr>
                <w:szCs w:val="18"/>
              </w:rPr>
            </w:pPr>
            <w:r w:rsidRPr="00E85AEC">
              <w:rPr>
                <w:rFonts w:asciiTheme="majorHAnsi" w:hAnsiTheme="majorHAnsi" w:cstheme="majorHAnsi"/>
              </w:rPr>
              <w:t>13</w:t>
            </w:r>
            <w:r>
              <w:rPr>
                <w:rFonts w:asciiTheme="majorHAnsi" w:hAnsiTheme="majorHAnsi" w:cstheme="majorHAnsi"/>
              </w:rPr>
              <w:t>.</w:t>
            </w:r>
            <w:r w:rsidRPr="00E85AEC">
              <w:rPr>
                <w:rFonts w:asciiTheme="majorHAnsi" w:hAnsiTheme="majorHAnsi" w:cstheme="majorHAnsi"/>
              </w:rPr>
              <w:t>3</w:t>
            </w:r>
          </w:p>
        </w:tc>
        <w:tc>
          <w:tcPr>
            <w:tcW w:w="766" w:type="dxa"/>
            <w:vAlign w:val="center"/>
          </w:tcPr>
          <w:p w14:paraId="50ECD100" w14:textId="7FDB6231" w:rsidR="00171525" w:rsidRPr="005954E3" w:rsidRDefault="00171525" w:rsidP="00171525">
            <w:pPr>
              <w:pStyle w:val="tabletextleft"/>
              <w:spacing w:before="0" w:after="0"/>
              <w:jc w:val="right"/>
              <w:rPr>
                <w:szCs w:val="18"/>
              </w:rPr>
            </w:pPr>
            <w:r w:rsidRPr="00E85AEC">
              <w:rPr>
                <w:rFonts w:asciiTheme="majorHAnsi" w:hAnsiTheme="majorHAnsi" w:cstheme="majorHAnsi"/>
              </w:rPr>
              <w:t>13</w:t>
            </w:r>
            <w:r>
              <w:rPr>
                <w:rFonts w:asciiTheme="majorHAnsi" w:hAnsiTheme="majorHAnsi" w:cstheme="majorHAnsi"/>
              </w:rPr>
              <w:t>.</w:t>
            </w:r>
            <w:r w:rsidRPr="00E85AEC">
              <w:rPr>
                <w:rFonts w:asciiTheme="majorHAnsi" w:hAnsiTheme="majorHAnsi" w:cstheme="majorHAnsi"/>
              </w:rPr>
              <w:t>4</w:t>
            </w:r>
          </w:p>
        </w:tc>
      </w:tr>
      <w:tr w:rsidR="00171525" w:rsidRPr="005954E3" w14:paraId="58422650" w14:textId="77777777" w:rsidTr="001B3937">
        <w:trPr>
          <w:trHeight w:val="549"/>
          <w:jc w:val="center"/>
        </w:trPr>
        <w:tc>
          <w:tcPr>
            <w:tcW w:w="3269" w:type="dxa"/>
            <w:vAlign w:val="center"/>
            <w:hideMark/>
          </w:tcPr>
          <w:p w14:paraId="2930966A" w14:textId="77777777" w:rsidR="00171525" w:rsidRPr="005954E3" w:rsidRDefault="00171525" w:rsidP="00171525">
            <w:pPr>
              <w:pStyle w:val="tabletextleft"/>
              <w:spacing w:before="0" w:after="0"/>
              <w:rPr>
                <w:szCs w:val="18"/>
              </w:rPr>
            </w:pPr>
            <w:r w:rsidRPr="005954E3">
              <w:rPr>
                <w:szCs w:val="18"/>
              </w:rPr>
              <w:t>19=9. Лихвени разходи</w:t>
            </w:r>
          </w:p>
        </w:tc>
        <w:tc>
          <w:tcPr>
            <w:tcW w:w="840" w:type="dxa"/>
            <w:vAlign w:val="center"/>
            <w:hideMark/>
          </w:tcPr>
          <w:p w14:paraId="48071E79" w14:textId="77777777" w:rsidR="00171525" w:rsidRPr="005954E3" w:rsidRDefault="00171525" w:rsidP="00171525">
            <w:pPr>
              <w:pStyle w:val="tabletextleft"/>
              <w:spacing w:before="0" w:after="0"/>
              <w:rPr>
                <w:szCs w:val="18"/>
              </w:rPr>
            </w:pPr>
            <w:r w:rsidRPr="005954E3">
              <w:rPr>
                <w:szCs w:val="18"/>
              </w:rPr>
              <w:t>EDP D.41</w:t>
            </w:r>
          </w:p>
        </w:tc>
        <w:tc>
          <w:tcPr>
            <w:tcW w:w="869" w:type="dxa"/>
            <w:vAlign w:val="center"/>
          </w:tcPr>
          <w:p w14:paraId="5428EA1D" w14:textId="7114CB59" w:rsidR="00171525" w:rsidRPr="005954E3" w:rsidRDefault="00171525" w:rsidP="00171525">
            <w:pPr>
              <w:pStyle w:val="tabletextleft"/>
              <w:spacing w:before="0" w:after="0"/>
              <w:jc w:val="right"/>
              <w:rPr>
                <w:szCs w:val="18"/>
              </w:rPr>
            </w:pPr>
            <w:r w:rsidRPr="00E85AEC">
              <w:rPr>
                <w:rFonts w:asciiTheme="majorHAnsi" w:hAnsiTheme="majorHAnsi" w:cstheme="majorHAnsi"/>
              </w:rPr>
              <w:t>770</w:t>
            </w:r>
            <w:r>
              <w:rPr>
                <w:rFonts w:asciiTheme="majorHAnsi" w:hAnsiTheme="majorHAnsi" w:cstheme="majorHAnsi"/>
              </w:rPr>
              <w:t>.</w:t>
            </w:r>
            <w:r w:rsidRPr="00E85AEC">
              <w:rPr>
                <w:rFonts w:asciiTheme="majorHAnsi" w:hAnsiTheme="majorHAnsi" w:cstheme="majorHAnsi"/>
              </w:rPr>
              <w:t>4</w:t>
            </w:r>
          </w:p>
        </w:tc>
        <w:tc>
          <w:tcPr>
            <w:tcW w:w="795" w:type="dxa"/>
            <w:vAlign w:val="center"/>
          </w:tcPr>
          <w:p w14:paraId="40AA326D" w14:textId="706D4B58"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5</w:t>
            </w:r>
          </w:p>
        </w:tc>
        <w:tc>
          <w:tcPr>
            <w:tcW w:w="795" w:type="dxa"/>
            <w:vAlign w:val="center"/>
          </w:tcPr>
          <w:p w14:paraId="5C5D5BE8" w14:textId="410866C4"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6</w:t>
            </w:r>
          </w:p>
        </w:tc>
        <w:tc>
          <w:tcPr>
            <w:tcW w:w="790" w:type="dxa"/>
            <w:vAlign w:val="center"/>
          </w:tcPr>
          <w:p w14:paraId="049BCB18" w14:textId="18967BA1"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0</w:t>
            </w:r>
          </w:p>
        </w:tc>
        <w:tc>
          <w:tcPr>
            <w:tcW w:w="773" w:type="dxa"/>
            <w:vAlign w:val="center"/>
          </w:tcPr>
          <w:p w14:paraId="67CB1C33" w14:textId="1F019F8E"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3</w:t>
            </w:r>
          </w:p>
        </w:tc>
        <w:tc>
          <w:tcPr>
            <w:tcW w:w="766" w:type="dxa"/>
            <w:vAlign w:val="center"/>
          </w:tcPr>
          <w:p w14:paraId="7605D17A" w14:textId="2EB6AD73"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7</w:t>
            </w:r>
          </w:p>
        </w:tc>
      </w:tr>
      <w:tr w:rsidR="00171525" w:rsidRPr="005954E3" w14:paraId="645A62E7" w14:textId="77777777" w:rsidTr="001B3937">
        <w:trPr>
          <w:trHeight w:val="549"/>
          <w:jc w:val="center"/>
        </w:trPr>
        <w:tc>
          <w:tcPr>
            <w:tcW w:w="3269" w:type="dxa"/>
            <w:vAlign w:val="center"/>
            <w:hideMark/>
          </w:tcPr>
          <w:p w14:paraId="7CC4A19A" w14:textId="77777777" w:rsidR="00171525" w:rsidRPr="005954E3" w:rsidRDefault="00171525" w:rsidP="00171525">
            <w:pPr>
              <w:pStyle w:val="tabletextleft"/>
              <w:spacing w:before="0" w:after="0"/>
              <w:rPr>
                <w:szCs w:val="18"/>
              </w:rPr>
            </w:pPr>
            <w:r w:rsidRPr="005954E3">
              <w:rPr>
                <w:szCs w:val="18"/>
              </w:rPr>
              <w:t>20. Субсидии</w:t>
            </w:r>
          </w:p>
        </w:tc>
        <w:tc>
          <w:tcPr>
            <w:tcW w:w="840" w:type="dxa"/>
            <w:vAlign w:val="center"/>
            <w:hideMark/>
          </w:tcPr>
          <w:p w14:paraId="1E788948" w14:textId="77777777" w:rsidR="00171525" w:rsidRPr="005954E3" w:rsidRDefault="00171525" w:rsidP="00171525">
            <w:pPr>
              <w:pStyle w:val="tabletextleft"/>
              <w:spacing w:before="0" w:after="0"/>
              <w:rPr>
                <w:szCs w:val="18"/>
              </w:rPr>
            </w:pPr>
            <w:r w:rsidRPr="005954E3">
              <w:rPr>
                <w:szCs w:val="18"/>
              </w:rPr>
              <w:t>D.3</w:t>
            </w:r>
          </w:p>
        </w:tc>
        <w:tc>
          <w:tcPr>
            <w:tcW w:w="869" w:type="dxa"/>
            <w:vAlign w:val="center"/>
          </w:tcPr>
          <w:p w14:paraId="11375E35" w14:textId="086E4B0F" w:rsidR="00171525" w:rsidRPr="005954E3" w:rsidRDefault="00171525" w:rsidP="00171525">
            <w:pPr>
              <w:pStyle w:val="tabletextleft"/>
              <w:spacing w:before="0" w:after="0"/>
              <w:jc w:val="right"/>
              <w:rPr>
                <w:szCs w:val="18"/>
              </w:rPr>
            </w:pPr>
            <w:r w:rsidRPr="00E85AEC">
              <w:rPr>
                <w:rFonts w:asciiTheme="majorHAnsi" w:hAnsiTheme="majorHAnsi" w:cstheme="majorHAnsi"/>
              </w:rPr>
              <w:t>8 362</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1425E2EF" w14:textId="29F21238" w:rsidR="00171525" w:rsidRPr="005954E3" w:rsidRDefault="00171525" w:rsidP="00171525">
            <w:pPr>
              <w:pStyle w:val="tabletextleft"/>
              <w:spacing w:before="0" w:after="0"/>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1</w:t>
            </w:r>
          </w:p>
        </w:tc>
        <w:tc>
          <w:tcPr>
            <w:tcW w:w="795" w:type="dxa"/>
            <w:vAlign w:val="center"/>
          </w:tcPr>
          <w:p w14:paraId="0C7FAFD6" w14:textId="28F8772F"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2</w:t>
            </w:r>
          </w:p>
        </w:tc>
        <w:tc>
          <w:tcPr>
            <w:tcW w:w="790" w:type="dxa"/>
            <w:vAlign w:val="center"/>
          </w:tcPr>
          <w:p w14:paraId="19896363" w14:textId="4885AD70" w:rsidR="00171525" w:rsidRPr="005954E3" w:rsidRDefault="00171525" w:rsidP="00171525">
            <w:pPr>
              <w:pStyle w:val="tabletextleft"/>
              <w:spacing w:before="0" w:after="0"/>
              <w:jc w:val="right"/>
              <w:rPr>
                <w:szCs w:val="18"/>
              </w:rPr>
            </w:pPr>
            <w:r w:rsidRPr="00E85AEC">
              <w:rPr>
                <w:rFonts w:asciiTheme="majorHAnsi" w:hAnsiTheme="majorHAnsi" w:cstheme="majorHAnsi"/>
              </w:rPr>
              <w:t>2</w:t>
            </w:r>
            <w:r>
              <w:rPr>
                <w:rFonts w:asciiTheme="majorHAnsi" w:hAnsiTheme="majorHAnsi" w:cstheme="majorHAnsi"/>
              </w:rPr>
              <w:t>.</w:t>
            </w:r>
            <w:r w:rsidRPr="00E85AEC">
              <w:rPr>
                <w:rFonts w:asciiTheme="majorHAnsi" w:hAnsiTheme="majorHAnsi" w:cstheme="majorHAnsi"/>
              </w:rPr>
              <w:t>0</w:t>
            </w:r>
          </w:p>
        </w:tc>
        <w:tc>
          <w:tcPr>
            <w:tcW w:w="773" w:type="dxa"/>
            <w:vAlign w:val="center"/>
          </w:tcPr>
          <w:p w14:paraId="46B67ABF" w14:textId="121CDF02"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9</w:t>
            </w:r>
          </w:p>
        </w:tc>
        <w:tc>
          <w:tcPr>
            <w:tcW w:w="766" w:type="dxa"/>
            <w:vAlign w:val="center"/>
          </w:tcPr>
          <w:p w14:paraId="618FCA8D" w14:textId="47EAAA40"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8</w:t>
            </w:r>
          </w:p>
        </w:tc>
      </w:tr>
      <w:tr w:rsidR="00171525" w:rsidRPr="005954E3" w14:paraId="193C5E44" w14:textId="77777777" w:rsidTr="001B3937">
        <w:trPr>
          <w:trHeight w:val="549"/>
          <w:jc w:val="center"/>
        </w:trPr>
        <w:tc>
          <w:tcPr>
            <w:tcW w:w="3269" w:type="dxa"/>
            <w:vAlign w:val="center"/>
            <w:hideMark/>
          </w:tcPr>
          <w:p w14:paraId="7A913665" w14:textId="77777777" w:rsidR="00171525" w:rsidRPr="005954E3" w:rsidRDefault="00171525" w:rsidP="00171525">
            <w:pPr>
              <w:pStyle w:val="tabletextleft"/>
              <w:spacing w:before="0" w:after="0"/>
              <w:rPr>
                <w:szCs w:val="18"/>
              </w:rPr>
            </w:pPr>
            <w:r w:rsidRPr="005954E3">
              <w:rPr>
                <w:szCs w:val="18"/>
              </w:rPr>
              <w:t>21. Бруто образуване на основен капитал</w:t>
            </w:r>
          </w:p>
        </w:tc>
        <w:tc>
          <w:tcPr>
            <w:tcW w:w="840" w:type="dxa"/>
            <w:vAlign w:val="center"/>
            <w:hideMark/>
          </w:tcPr>
          <w:p w14:paraId="2FE0B1E9" w14:textId="77777777" w:rsidR="00171525" w:rsidRPr="005954E3" w:rsidRDefault="00171525" w:rsidP="00171525">
            <w:pPr>
              <w:pStyle w:val="tabletextleft"/>
              <w:spacing w:before="0" w:after="0"/>
              <w:rPr>
                <w:szCs w:val="18"/>
              </w:rPr>
            </w:pPr>
            <w:r w:rsidRPr="005954E3">
              <w:rPr>
                <w:szCs w:val="18"/>
              </w:rPr>
              <w:t>P.51</w:t>
            </w:r>
          </w:p>
        </w:tc>
        <w:tc>
          <w:tcPr>
            <w:tcW w:w="869" w:type="dxa"/>
            <w:vAlign w:val="center"/>
          </w:tcPr>
          <w:p w14:paraId="5A15FCCD" w14:textId="553A39F5" w:rsidR="00171525" w:rsidRPr="005954E3" w:rsidRDefault="00171525" w:rsidP="00171525">
            <w:pPr>
              <w:pStyle w:val="tabletextleft"/>
              <w:spacing w:before="0" w:after="0"/>
              <w:jc w:val="right"/>
              <w:rPr>
                <w:szCs w:val="18"/>
              </w:rPr>
            </w:pPr>
            <w:r w:rsidRPr="00E85AEC">
              <w:rPr>
                <w:rFonts w:asciiTheme="majorHAnsi" w:hAnsiTheme="majorHAnsi" w:cstheme="majorHAnsi"/>
              </w:rPr>
              <w:t>5 035</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1890376A" w14:textId="44408DD1"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0</w:t>
            </w:r>
          </w:p>
        </w:tc>
        <w:tc>
          <w:tcPr>
            <w:tcW w:w="795" w:type="dxa"/>
            <w:vAlign w:val="center"/>
          </w:tcPr>
          <w:p w14:paraId="6FAAA968" w14:textId="7796A4F2"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0</w:t>
            </w:r>
          </w:p>
        </w:tc>
        <w:tc>
          <w:tcPr>
            <w:tcW w:w="790" w:type="dxa"/>
            <w:vAlign w:val="center"/>
          </w:tcPr>
          <w:p w14:paraId="0131FB10" w14:textId="424D60F5"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6</w:t>
            </w:r>
          </w:p>
        </w:tc>
        <w:tc>
          <w:tcPr>
            <w:tcW w:w="773" w:type="dxa"/>
            <w:vAlign w:val="center"/>
          </w:tcPr>
          <w:p w14:paraId="75794716" w14:textId="284867F5" w:rsidR="00171525" w:rsidRPr="005954E3" w:rsidRDefault="00171525" w:rsidP="00171525">
            <w:pPr>
              <w:pStyle w:val="tabletextleft"/>
              <w:spacing w:before="0" w:after="0"/>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7</w:t>
            </w:r>
          </w:p>
        </w:tc>
        <w:tc>
          <w:tcPr>
            <w:tcW w:w="766" w:type="dxa"/>
            <w:vAlign w:val="center"/>
          </w:tcPr>
          <w:p w14:paraId="48A912A0" w14:textId="44DFC5BC" w:rsidR="00171525" w:rsidRPr="005954E3" w:rsidRDefault="00171525" w:rsidP="00171525">
            <w:pPr>
              <w:pStyle w:val="tabletextleft"/>
              <w:spacing w:before="0" w:after="0"/>
              <w:jc w:val="right"/>
              <w:rPr>
                <w:szCs w:val="18"/>
              </w:rPr>
            </w:pPr>
            <w:r w:rsidRPr="00E85AEC">
              <w:rPr>
                <w:rFonts w:asciiTheme="majorHAnsi" w:hAnsiTheme="majorHAnsi" w:cstheme="majorHAnsi"/>
              </w:rPr>
              <w:t>3</w:t>
            </w:r>
            <w:r>
              <w:rPr>
                <w:rFonts w:asciiTheme="majorHAnsi" w:hAnsiTheme="majorHAnsi" w:cstheme="majorHAnsi"/>
              </w:rPr>
              <w:t>.</w:t>
            </w:r>
            <w:r w:rsidRPr="00E85AEC">
              <w:rPr>
                <w:rFonts w:asciiTheme="majorHAnsi" w:hAnsiTheme="majorHAnsi" w:cstheme="majorHAnsi"/>
              </w:rPr>
              <w:t>5</w:t>
            </w:r>
          </w:p>
        </w:tc>
      </w:tr>
      <w:tr w:rsidR="00171525" w:rsidRPr="005954E3" w14:paraId="51C45974" w14:textId="77777777" w:rsidTr="001B3937">
        <w:trPr>
          <w:trHeight w:val="549"/>
          <w:jc w:val="center"/>
        </w:trPr>
        <w:tc>
          <w:tcPr>
            <w:tcW w:w="3269" w:type="dxa"/>
            <w:vAlign w:val="center"/>
            <w:hideMark/>
          </w:tcPr>
          <w:p w14:paraId="3BF91DE3" w14:textId="77777777" w:rsidR="00171525" w:rsidRPr="005954E3" w:rsidRDefault="00171525" w:rsidP="00171525">
            <w:pPr>
              <w:pStyle w:val="tabletextleft"/>
              <w:spacing w:before="0" w:after="0"/>
              <w:rPr>
                <w:szCs w:val="18"/>
              </w:rPr>
            </w:pPr>
            <w:r w:rsidRPr="005954E3">
              <w:rPr>
                <w:szCs w:val="18"/>
              </w:rPr>
              <w:t>22. Капиталови трансфери</w:t>
            </w:r>
          </w:p>
        </w:tc>
        <w:tc>
          <w:tcPr>
            <w:tcW w:w="840" w:type="dxa"/>
            <w:vAlign w:val="center"/>
            <w:hideMark/>
          </w:tcPr>
          <w:p w14:paraId="5EFC565E" w14:textId="77777777" w:rsidR="00171525" w:rsidRPr="005954E3" w:rsidRDefault="00171525" w:rsidP="00171525">
            <w:pPr>
              <w:pStyle w:val="tabletextleft"/>
              <w:spacing w:before="0" w:after="0"/>
              <w:rPr>
                <w:szCs w:val="18"/>
              </w:rPr>
            </w:pPr>
            <w:r w:rsidRPr="005954E3">
              <w:rPr>
                <w:szCs w:val="18"/>
              </w:rPr>
              <w:t>D.9</w:t>
            </w:r>
          </w:p>
        </w:tc>
        <w:tc>
          <w:tcPr>
            <w:tcW w:w="869" w:type="dxa"/>
            <w:vAlign w:val="center"/>
          </w:tcPr>
          <w:p w14:paraId="118A4A3D" w14:textId="55B1CC59" w:rsidR="00171525" w:rsidRPr="005954E3" w:rsidRDefault="00171525" w:rsidP="00171525">
            <w:pPr>
              <w:pStyle w:val="tabletextleft"/>
              <w:spacing w:before="0" w:after="0"/>
              <w:jc w:val="right"/>
              <w:rPr>
                <w:szCs w:val="18"/>
              </w:rPr>
            </w:pPr>
            <w:r w:rsidRPr="00E85AEC">
              <w:rPr>
                <w:rFonts w:asciiTheme="majorHAnsi" w:hAnsiTheme="majorHAnsi" w:cstheme="majorHAnsi"/>
              </w:rPr>
              <w:t>817</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014EC3D5" w14:textId="181CB7F3"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5</w:t>
            </w:r>
          </w:p>
        </w:tc>
        <w:tc>
          <w:tcPr>
            <w:tcW w:w="795" w:type="dxa"/>
            <w:vAlign w:val="center"/>
          </w:tcPr>
          <w:p w14:paraId="45BB624C" w14:textId="746B4DF3"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6</w:t>
            </w:r>
          </w:p>
        </w:tc>
        <w:tc>
          <w:tcPr>
            <w:tcW w:w="790" w:type="dxa"/>
            <w:vAlign w:val="center"/>
          </w:tcPr>
          <w:p w14:paraId="40B6E5FC" w14:textId="64577DE5"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7</w:t>
            </w:r>
          </w:p>
        </w:tc>
        <w:tc>
          <w:tcPr>
            <w:tcW w:w="773" w:type="dxa"/>
            <w:vAlign w:val="center"/>
          </w:tcPr>
          <w:p w14:paraId="43A1DAD3" w14:textId="21A904C2"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6</w:t>
            </w:r>
          </w:p>
        </w:tc>
        <w:tc>
          <w:tcPr>
            <w:tcW w:w="766" w:type="dxa"/>
            <w:vAlign w:val="center"/>
          </w:tcPr>
          <w:p w14:paraId="3354A82B" w14:textId="5F9A27EC" w:rsidR="00171525" w:rsidRPr="005954E3" w:rsidRDefault="00171525" w:rsidP="00171525">
            <w:pPr>
              <w:pStyle w:val="tabletextleft"/>
              <w:spacing w:before="0" w:after="0"/>
              <w:jc w:val="right"/>
              <w:rPr>
                <w:szCs w:val="18"/>
              </w:rPr>
            </w:pPr>
            <w:r w:rsidRPr="00E85AEC">
              <w:rPr>
                <w:rFonts w:asciiTheme="majorHAnsi" w:hAnsiTheme="majorHAnsi" w:cstheme="majorHAnsi"/>
              </w:rPr>
              <w:t>0</w:t>
            </w:r>
            <w:r>
              <w:rPr>
                <w:rFonts w:asciiTheme="majorHAnsi" w:hAnsiTheme="majorHAnsi" w:cstheme="majorHAnsi"/>
              </w:rPr>
              <w:t>.</w:t>
            </w:r>
            <w:r w:rsidRPr="00E85AEC">
              <w:rPr>
                <w:rFonts w:asciiTheme="majorHAnsi" w:hAnsiTheme="majorHAnsi" w:cstheme="majorHAnsi"/>
              </w:rPr>
              <w:t>6</w:t>
            </w:r>
          </w:p>
        </w:tc>
      </w:tr>
      <w:tr w:rsidR="00171525" w:rsidRPr="005954E3" w14:paraId="2D6C9F43" w14:textId="77777777" w:rsidTr="001B3937">
        <w:trPr>
          <w:trHeight w:val="549"/>
          <w:jc w:val="center"/>
        </w:trPr>
        <w:tc>
          <w:tcPr>
            <w:tcW w:w="3269" w:type="dxa"/>
            <w:vAlign w:val="center"/>
            <w:hideMark/>
          </w:tcPr>
          <w:p w14:paraId="74A89D31" w14:textId="77777777" w:rsidR="00171525" w:rsidRPr="005954E3" w:rsidRDefault="00171525" w:rsidP="00171525">
            <w:pPr>
              <w:pStyle w:val="tabletextleft"/>
              <w:spacing w:before="0" w:after="0"/>
              <w:rPr>
                <w:szCs w:val="18"/>
              </w:rPr>
            </w:pPr>
            <w:r w:rsidRPr="005954E3">
              <w:rPr>
                <w:szCs w:val="18"/>
              </w:rPr>
              <w:t>23. Други</w:t>
            </w:r>
          </w:p>
        </w:tc>
        <w:tc>
          <w:tcPr>
            <w:tcW w:w="840" w:type="dxa"/>
            <w:vAlign w:val="center"/>
          </w:tcPr>
          <w:p w14:paraId="03A349C8" w14:textId="77777777" w:rsidR="00171525" w:rsidRPr="005954E3" w:rsidRDefault="00171525" w:rsidP="00171525">
            <w:pPr>
              <w:pStyle w:val="tabletextleft"/>
              <w:spacing w:before="0" w:after="0"/>
              <w:rPr>
                <w:szCs w:val="18"/>
              </w:rPr>
            </w:pPr>
          </w:p>
        </w:tc>
        <w:tc>
          <w:tcPr>
            <w:tcW w:w="869" w:type="dxa"/>
            <w:vAlign w:val="center"/>
          </w:tcPr>
          <w:p w14:paraId="2A521D34" w14:textId="49FCC25E" w:rsidR="00171525" w:rsidRPr="005954E3" w:rsidRDefault="00DA2F80" w:rsidP="00171525">
            <w:pPr>
              <w:pStyle w:val="tabletextleft"/>
              <w:spacing w:before="0" w:after="0"/>
              <w:jc w:val="right"/>
              <w:rPr>
                <w:szCs w:val="18"/>
              </w:rPr>
            </w:pPr>
            <w:r w:rsidRPr="00E85AEC">
              <w:rPr>
                <w:rFonts w:asciiTheme="majorHAnsi" w:hAnsiTheme="majorHAnsi" w:cstheme="majorHAnsi"/>
              </w:rPr>
              <w:t>3 33</w:t>
            </w:r>
            <w:r>
              <w:rPr>
                <w:rFonts w:asciiTheme="majorHAnsi" w:hAnsiTheme="majorHAnsi" w:cstheme="majorHAnsi"/>
              </w:rPr>
              <w:t>7.0</w:t>
            </w:r>
          </w:p>
        </w:tc>
        <w:tc>
          <w:tcPr>
            <w:tcW w:w="795" w:type="dxa"/>
            <w:vAlign w:val="center"/>
          </w:tcPr>
          <w:p w14:paraId="2B37196D" w14:textId="0BD635F8" w:rsidR="00171525" w:rsidRPr="005954E3" w:rsidRDefault="00171525" w:rsidP="00171525">
            <w:pPr>
              <w:pStyle w:val="tabletextleft"/>
              <w:spacing w:before="0" w:after="0"/>
              <w:jc w:val="right"/>
              <w:rPr>
                <w:szCs w:val="18"/>
              </w:rPr>
            </w:pPr>
            <w:r w:rsidRPr="00E85AEC">
              <w:rPr>
                <w:rFonts w:asciiTheme="majorHAnsi" w:hAnsiTheme="majorHAnsi" w:cstheme="majorHAnsi"/>
              </w:rPr>
              <w:t>2</w:t>
            </w:r>
            <w:r>
              <w:rPr>
                <w:rFonts w:asciiTheme="majorHAnsi" w:hAnsiTheme="majorHAnsi" w:cstheme="majorHAnsi"/>
              </w:rPr>
              <w:t>.</w:t>
            </w:r>
            <w:r w:rsidRPr="00E85AEC">
              <w:rPr>
                <w:rFonts w:asciiTheme="majorHAnsi" w:hAnsiTheme="majorHAnsi" w:cstheme="majorHAnsi"/>
              </w:rPr>
              <w:t>0</w:t>
            </w:r>
          </w:p>
        </w:tc>
        <w:tc>
          <w:tcPr>
            <w:tcW w:w="795" w:type="dxa"/>
            <w:vAlign w:val="center"/>
          </w:tcPr>
          <w:p w14:paraId="7BD733A6" w14:textId="5DCEDF2D"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7</w:t>
            </w:r>
          </w:p>
        </w:tc>
        <w:tc>
          <w:tcPr>
            <w:tcW w:w="790" w:type="dxa"/>
            <w:vAlign w:val="center"/>
          </w:tcPr>
          <w:p w14:paraId="09E56B55" w14:textId="1EE33A51"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9</w:t>
            </w:r>
          </w:p>
        </w:tc>
        <w:tc>
          <w:tcPr>
            <w:tcW w:w="773" w:type="dxa"/>
            <w:vAlign w:val="center"/>
          </w:tcPr>
          <w:p w14:paraId="41535174" w14:textId="6C7B68D8"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6</w:t>
            </w:r>
          </w:p>
        </w:tc>
        <w:tc>
          <w:tcPr>
            <w:tcW w:w="766" w:type="dxa"/>
            <w:vAlign w:val="center"/>
          </w:tcPr>
          <w:p w14:paraId="3468A41C" w14:textId="15C6F74E" w:rsidR="00171525" w:rsidRPr="005954E3" w:rsidRDefault="00171525" w:rsidP="00171525">
            <w:pPr>
              <w:pStyle w:val="tabletextleft"/>
              <w:spacing w:before="0" w:after="0"/>
              <w:jc w:val="right"/>
              <w:rPr>
                <w:szCs w:val="18"/>
              </w:rPr>
            </w:pPr>
            <w:r w:rsidRPr="00E85AEC">
              <w:rPr>
                <w:rFonts w:asciiTheme="majorHAnsi" w:hAnsiTheme="majorHAnsi" w:cstheme="majorHAnsi"/>
              </w:rPr>
              <w:t>1</w:t>
            </w:r>
            <w:r>
              <w:rPr>
                <w:rFonts w:asciiTheme="majorHAnsi" w:hAnsiTheme="majorHAnsi" w:cstheme="majorHAnsi"/>
              </w:rPr>
              <w:t>.</w:t>
            </w:r>
            <w:r w:rsidRPr="00E85AEC">
              <w:rPr>
                <w:rFonts w:asciiTheme="majorHAnsi" w:hAnsiTheme="majorHAnsi" w:cstheme="majorHAnsi"/>
              </w:rPr>
              <w:t>6</w:t>
            </w:r>
          </w:p>
        </w:tc>
      </w:tr>
      <w:tr w:rsidR="00171525" w:rsidRPr="005954E3" w14:paraId="0BE268F6" w14:textId="77777777" w:rsidTr="001B3937">
        <w:trPr>
          <w:trHeight w:val="549"/>
          <w:jc w:val="center"/>
        </w:trPr>
        <w:tc>
          <w:tcPr>
            <w:tcW w:w="3269" w:type="dxa"/>
            <w:vAlign w:val="center"/>
            <w:hideMark/>
          </w:tcPr>
          <w:p w14:paraId="3B26A60E" w14:textId="77777777" w:rsidR="00171525" w:rsidRPr="005954E3" w:rsidRDefault="00171525" w:rsidP="00171525">
            <w:pPr>
              <w:pStyle w:val="tabletextleft"/>
              <w:spacing w:before="0" w:after="0"/>
              <w:rPr>
                <w:szCs w:val="18"/>
              </w:rPr>
            </w:pPr>
            <w:r w:rsidRPr="005954E3">
              <w:rPr>
                <w:szCs w:val="18"/>
              </w:rPr>
              <w:t>24=7. Общо разходи</w:t>
            </w:r>
          </w:p>
        </w:tc>
        <w:tc>
          <w:tcPr>
            <w:tcW w:w="840" w:type="dxa"/>
            <w:vAlign w:val="center"/>
            <w:hideMark/>
          </w:tcPr>
          <w:p w14:paraId="54BD4352" w14:textId="77777777" w:rsidR="00171525" w:rsidRPr="005954E3" w:rsidRDefault="00171525" w:rsidP="00171525">
            <w:pPr>
              <w:pStyle w:val="tabletextleft"/>
              <w:spacing w:before="0" w:after="0"/>
              <w:rPr>
                <w:szCs w:val="18"/>
              </w:rPr>
            </w:pPr>
            <w:r w:rsidRPr="005954E3">
              <w:rPr>
                <w:szCs w:val="18"/>
              </w:rPr>
              <w:t>TE1</w:t>
            </w:r>
          </w:p>
        </w:tc>
        <w:tc>
          <w:tcPr>
            <w:tcW w:w="869" w:type="dxa"/>
            <w:vAlign w:val="center"/>
          </w:tcPr>
          <w:p w14:paraId="7BCC91A1" w14:textId="5A4F6C15" w:rsidR="00171525" w:rsidRPr="005954E3" w:rsidRDefault="00171525" w:rsidP="00171525">
            <w:pPr>
              <w:pStyle w:val="tabletextleft"/>
              <w:spacing w:before="0" w:after="0"/>
              <w:jc w:val="right"/>
              <w:rPr>
                <w:szCs w:val="18"/>
              </w:rPr>
            </w:pPr>
            <w:r w:rsidRPr="00E85AEC">
              <w:rPr>
                <w:rFonts w:asciiTheme="majorHAnsi" w:hAnsiTheme="majorHAnsi" w:cstheme="majorHAnsi"/>
              </w:rPr>
              <w:t>68 358</w:t>
            </w:r>
            <w:r>
              <w:rPr>
                <w:rFonts w:asciiTheme="majorHAnsi" w:hAnsiTheme="majorHAnsi" w:cstheme="majorHAnsi"/>
              </w:rPr>
              <w:t>.</w:t>
            </w:r>
            <w:r w:rsidRPr="00E85AEC">
              <w:rPr>
                <w:rFonts w:asciiTheme="majorHAnsi" w:hAnsiTheme="majorHAnsi" w:cstheme="majorHAnsi"/>
              </w:rPr>
              <w:t>8</w:t>
            </w:r>
          </w:p>
        </w:tc>
        <w:tc>
          <w:tcPr>
            <w:tcW w:w="795" w:type="dxa"/>
            <w:vAlign w:val="center"/>
          </w:tcPr>
          <w:p w14:paraId="71FBBC74" w14:textId="733E69F4" w:rsidR="00171525" w:rsidRPr="005954E3" w:rsidRDefault="00171525" w:rsidP="00171525">
            <w:pPr>
              <w:pStyle w:val="tabletextleft"/>
              <w:spacing w:before="0" w:after="0"/>
              <w:jc w:val="right"/>
              <w:rPr>
                <w:szCs w:val="18"/>
              </w:rPr>
            </w:pPr>
            <w:r w:rsidRPr="00E85AEC">
              <w:rPr>
                <w:rFonts w:asciiTheme="majorHAnsi" w:hAnsiTheme="majorHAnsi" w:cstheme="majorHAnsi"/>
              </w:rPr>
              <w:t>41</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6179AECA" w14:textId="3F3C03F8" w:rsidR="00171525" w:rsidRPr="005954E3" w:rsidRDefault="00171525" w:rsidP="00171525">
            <w:pPr>
              <w:pStyle w:val="tabletextleft"/>
              <w:spacing w:before="0" w:after="0"/>
              <w:jc w:val="right"/>
              <w:rPr>
                <w:szCs w:val="18"/>
              </w:rPr>
            </w:pPr>
            <w:r w:rsidRPr="00E85AEC">
              <w:rPr>
                <w:rFonts w:asciiTheme="majorHAnsi" w:hAnsiTheme="majorHAnsi" w:cstheme="majorHAnsi"/>
              </w:rPr>
              <w:t>41</w:t>
            </w:r>
            <w:r>
              <w:rPr>
                <w:rFonts w:asciiTheme="majorHAnsi" w:hAnsiTheme="majorHAnsi" w:cstheme="majorHAnsi"/>
              </w:rPr>
              <w:t>.</w:t>
            </w:r>
            <w:r w:rsidRPr="00E85AEC">
              <w:rPr>
                <w:rFonts w:asciiTheme="majorHAnsi" w:hAnsiTheme="majorHAnsi" w:cstheme="majorHAnsi"/>
              </w:rPr>
              <w:t>6</w:t>
            </w:r>
          </w:p>
        </w:tc>
        <w:tc>
          <w:tcPr>
            <w:tcW w:w="790" w:type="dxa"/>
            <w:vAlign w:val="center"/>
          </w:tcPr>
          <w:p w14:paraId="143376F1" w14:textId="1BC9A17D" w:rsidR="00171525" w:rsidRPr="005954E3" w:rsidRDefault="00171525" w:rsidP="00171525">
            <w:pPr>
              <w:pStyle w:val="tabletextleft"/>
              <w:spacing w:before="0" w:after="0"/>
              <w:jc w:val="right"/>
              <w:rPr>
                <w:szCs w:val="18"/>
              </w:rPr>
            </w:pPr>
            <w:r w:rsidRPr="00E85AEC">
              <w:rPr>
                <w:rFonts w:asciiTheme="majorHAnsi" w:hAnsiTheme="majorHAnsi" w:cstheme="majorHAnsi"/>
              </w:rPr>
              <w:t>40</w:t>
            </w:r>
            <w:r>
              <w:rPr>
                <w:rFonts w:asciiTheme="majorHAnsi" w:hAnsiTheme="majorHAnsi" w:cstheme="majorHAnsi"/>
              </w:rPr>
              <w:t>.</w:t>
            </w:r>
            <w:r w:rsidRPr="00E85AEC">
              <w:rPr>
                <w:rFonts w:asciiTheme="majorHAnsi" w:hAnsiTheme="majorHAnsi" w:cstheme="majorHAnsi"/>
              </w:rPr>
              <w:t>9</w:t>
            </w:r>
          </w:p>
        </w:tc>
        <w:tc>
          <w:tcPr>
            <w:tcW w:w="773" w:type="dxa"/>
            <w:vAlign w:val="center"/>
          </w:tcPr>
          <w:p w14:paraId="1566C32F" w14:textId="6D3F67F1" w:rsidR="00171525" w:rsidRPr="005954E3" w:rsidRDefault="00171525" w:rsidP="00171525">
            <w:pPr>
              <w:pStyle w:val="tabletextleft"/>
              <w:spacing w:before="0" w:after="0"/>
              <w:jc w:val="right"/>
              <w:rPr>
                <w:szCs w:val="18"/>
              </w:rPr>
            </w:pPr>
            <w:r w:rsidRPr="00E85AEC">
              <w:rPr>
                <w:rFonts w:asciiTheme="majorHAnsi" w:hAnsiTheme="majorHAnsi" w:cstheme="majorHAnsi"/>
              </w:rPr>
              <w:t>40</w:t>
            </w:r>
            <w:r>
              <w:rPr>
                <w:rFonts w:asciiTheme="majorHAnsi" w:hAnsiTheme="majorHAnsi" w:cstheme="majorHAnsi"/>
              </w:rPr>
              <w:t>.</w:t>
            </w:r>
            <w:r w:rsidRPr="00E85AEC">
              <w:rPr>
                <w:rFonts w:asciiTheme="majorHAnsi" w:hAnsiTheme="majorHAnsi" w:cstheme="majorHAnsi"/>
              </w:rPr>
              <w:t>4</w:t>
            </w:r>
          </w:p>
        </w:tc>
        <w:tc>
          <w:tcPr>
            <w:tcW w:w="766" w:type="dxa"/>
            <w:vAlign w:val="center"/>
          </w:tcPr>
          <w:p w14:paraId="225AAE6E" w14:textId="355023CB" w:rsidR="00171525" w:rsidRPr="005954E3" w:rsidRDefault="00171525" w:rsidP="00171525">
            <w:pPr>
              <w:pStyle w:val="tabletextleft"/>
              <w:spacing w:before="0" w:after="0"/>
              <w:jc w:val="right"/>
              <w:rPr>
                <w:szCs w:val="18"/>
              </w:rPr>
            </w:pPr>
            <w:r w:rsidRPr="00E85AEC">
              <w:rPr>
                <w:rFonts w:asciiTheme="majorHAnsi" w:hAnsiTheme="majorHAnsi" w:cstheme="majorHAnsi"/>
              </w:rPr>
              <w:t>39</w:t>
            </w:r>
            <w:r>
              <w:rPr>
                <w:rFonts w:asciiTheme="majorHAnsi" w:hAnsiTheme="majorHAnsi" w:cstheme="majorHAnsi"/>
              </w:rPr>
              <w:t>.</w:t>
            </w:r>
            <w:r w:rsidRPr="00E85AEC">
              <w:rPr>
                <w:rFonts w:asciiTheme="majorHAnsi" w:hAnsiTheme="majorHAnsi" w:cstheme="majorHAnsi"/>
              </w:rPr>
              <w:t>4</w:t>
            </w:r>
          </w:p>
        </w:tc>
      </w:tr>
      <w:tr w:rsidR="00171525" w:rsidRPr="005954E3" w14:paraId="2575299E" w14:textId="77777777" w:rsidTr="001B3937">
        <w:trPr>
          <w:trHeight w:val="549"/>
          <w:jc w:val="center"/>
        </w:trPr>
        <w:tc>
          <w:tcPr>
            <w:tcW w:w="3269" w:type="dxa"/>
            <w:vAlign w:val="center"/>
            <w:hideMark/>
          </w:tcPr>
          <w:p w14:paraId="07E16549" w14:textId="77777777" w:rsidR="00171525" w:rsidRPr="005954E3" w:rsidRDefault="00171525" w:rsidP="00171525">
            <w:pPr>
              <w:pStyle w:val="tabletextleft"/>
              <w:spacing w:before="0" w:after="0"/>
              <w:rPr>
                <w:szCs w:val="18"/>
              </w:rPr>
            </w:pPr>
            <w:r w:rsidRPr="005954E3">
              <w:rPr>
                <w:szCs w:val="18"/>
              </w:rPr>
              <w:t xml:space="preserve">Правителствено потребление </w:t>
            </w:r>
            <w:r w:rsidRPr="005954E3">
              <w:rPr>
                <w:szCs w:val="18"/>
              </w:rPr>
              <w:br/>
              <w:t>(в номинално изражение)</w:t>
            </w:r>
          </w:p>
        </w:tc>
        <w:tc>
          <w:tcPr>
            <w:tcW w:w="840" w:type="dxa"/>
            <w:vAlign w:val="center"/>
            <w:hideMark/>
          </w:tcPr>
          <w:p w14:paraId="6CF752AC" w14:textId="77777777" w:rsidR="00171525" w:rsidRPr="005954E3" w:rsidRDefault="00171525" w:rsidP="00171525">
            <w:pPr>
              <w:pStyle w:val="tabletextleft"/>
              <w:spacing w:before="0" w:after="0"/>
              <w:rPr>
                <w:szCs w:val="18"/>
              </w:rPr>
            </w:pPr>
            <w:r w:rsidRPr="005954E3">
              <w:rPr>
                <w:szCs w:val="18"/>
              </w:rPr>
              <w:t>P.3</w:t>
            </w:r>
          </w:p>
        </w:tc>
        <w:tc>
          <w:tcPr>
            <w:tcW w:w="869" w:type="dxa"/>
            <w:vAlign w:val="center"/>
          </w:tcPr>
          <w:p w14:paraId="672B7051" w14:textId="05B41C82" w:rsidR="00171525" w:rsidRPr="005954E3" w:rsidRDefault="00171525" w:rsidP="00171525">
            <w:pPr>
              <w:pStyle w:val="tabletextleft"/>
              <w:spacing w:before="0" w:after="0"/>
              <w:jc w:val="right"/>
              <w:rPr>
                <w:szCs w:val="18"/>
              </w:rPr>
            </w:pPr>
            <w:r w:rsidRPr="00E85AEC">
              <w:rPr>
                <w:rFonts w:asciiTheme="majorHAnsi" w:hAnsiTheme="majorHAnsi" w:cstheme="majorHAnsi"/>
              </w:rPr>
              <w:t>30 796</w:t>
            </w:r>
            <w:r>
              <w:rPr>
                <w:rFonts w:asciiTheme="majorHAnsi" w:hAnsiTheme="majorHAnsi" w:cstheme="majorHAnsi"/>
              </w:rPr>
              <w:t>.</w:t>
            </w:r>
            <w:r w:rsidRPr="00E85AEC">
              <w:rPr>
                <w:rFonts w:asciiTheme="majorHAnsi" w:hAnsiTheme="majorHAnsi" w:cstheme="majorHAnsi"/>
              </w:rPr>
              <w:t>3</w:t>
            </w:r>
          </w:p>
        </w:tc>
        <w:tc>
          <w:tcPr>
            <w:tcW w:w="795" w:type="dxa"/>
            <w:vAlign w:val="center"/>
          </w:tcPr>
          <w:p w14:paraId="0880B98F" w14:textId="14C2518E" w:rsidR="00171525" w:rsidRPr="005954E3" w:rsidRDefault="00171525" w:rsidP="00171525">
            <w:pPr>
              <w:pStyle w:val="tabletextleft"/>
              <w:spacing w:before="0" w:after="0"/>
              <w:jc w:val="right"/>
              <w:rPr>
                <w:szCs w:val="18"/>
              </w:rPr>
            </w:pPr>
            <w:r w:rsidRPr="00E85AEC">
              <w:rPr>
                <w:rFonts w:asciiTheme="majorHAnsi" w:hAnsiTheme="majorHAnsi" w:cstheme="majorHAnsi"/>
              </w:rPr>
              <w:t>18</w:t>
            </w:r>
            <w:r>
              <w:rPr>
                <w:rFonts w:asciiTheme="majorHAnsi" w:hAnsiTheme="majorHAnsi" w:cstheme="majorHAnsi"/>
              </w:rPr>
              <w:t>.</w:t>
            </w:r>
            <w:r w:rsidRPr="00E85AEC">
              <w:rPr>
                <w:rFonts w:asciiTheme="majorHAnsi" w:hAnsiTheme="majorHAnsi" w:cstheme="majorHAnsi"/>
              </w:rPr>
              <w:t>6</w:t>
            </w:r>
          </w:p>
        </w:tc>
        <w:tc>
          <w:tcPr>
            <w:tcW w:w="795" w:type="dxa"/>
            <w:vAlign w:val="center"/>
          </w:tcPr>
          <w:p w14:paraId="4D5B462A" w14:textId="357D832A" w:rsidR="00171525" w:rsidRPr="005954E3" w:rsidRDefault="00171525" w:rsidP="00171525">
            <w:pPr>
              <w:pStyle w:val="tabletextleft"/>
              <w:spacing w:before="0" w:after="0"/>
              <w:jc w:val="right"/>
              <w:rPr>
                <w:szCs w:val="18"/>
              </w:rPr>
            </w:pPr>
            <w:r w:rsidRPr="00E85AEC">
              <w:rPr>
                <w:rFonts w:asciiTheme="majorHAnsi" w:hAnsiTheme="majorHAnsi" w:cstheme="majorHAnsi"/>
              </w:rPr>
              <w:t>18</w:t>
            </w:r>
            <w:r>
              <w:rPr>
                <w:rFonts w:asciiTheme="majorHAnsi" w:hAnsiTheme="majorHAnsi" w:cstheme="majorHAnsi"/>
              </w:rPr>
              <w:t>.</w:t>
            </w:r>
            <w:r w:rsidRPr="00E85AEC">
              <w:rPr>
                <w:rFonts w:asciiTheme="majorHAnsi" w:hAnsiTheme="majorHAnsi" w:cstheme="majorHAnsi"/>
              </w:rPr>
              <w:t>5</w:t>
            </w:r>
          </w:p>
        </w:tc>
        <w:tc>
          <w:tcPr>
            <w:tcW w:w="790" w:type="dxa"/>
            <w:vAlign w:val="center"/>
          </w:tcPr>
          <w:p w14:paraId="419FA155" w14:textId="2BB24031" w:rsidR="00171525" w:rsidRPr="005954E3" w:rsidRDefault="00171525" w:rsidP="00171525">
            <w:pPr>
              <w:pStyle w:val="tabletextleft"/>
              <w:spacing w:before="0" w:after="0"/>
              <w:jc w:val="right"/>
              <w:rPr>
                <w:szCs w:val="18"/>
              </w:rPr>
            </w:pPr>
            <w:r w:rsidRPr="00E85AEC">
              <w:rPr>
                <w:rFonts w:asciiTheme="majorHAnsi" w:hAnsiTheme="majorHAnsi" w:cstheme="majorHAnsi"/>
              </w:rPr>
              <w:t>17</w:t>
            </w:r>
            <w:r>
              <w:rPr>
                <w:rFonts w:asciiTheme="majorHAnsi" w:hAnsiTheme="majorHAnsi" w:cstheme="majorHAnsi"/>
              </w:rPr>
              <w:t>.</w:t>
            </w:r>
            <w:r w:rsidRPr="00E85AEC">
              <w:rPr>
                <w:rFonts w:asciiTheme="majorHAnsi" w:hAnsiTheme="majorHAnsi" w:cstheme="majorHAnsi"/>
              </w:rPr>
              <w:t>8</w:t>
            </w:r>
          </w:p>
        </w:tc>
        <w:tc>
          <w:tcPr>
            <w:tcW w:w="773" w:type="dxa"/>
            <w:vAlign w:val="center"/>
          </w:tcPr>
          <w:p w14:paraId="23FD1F2F" w14:textId="15A29889" w:rsidR="00171525" w:rsidRPr="005954E3" w:rsidRDefault="00171525" w:rsidP="00171525">
            <w:pPr>
              <w:pStyle w:val="tabletextleft"/>
              <w:spacing w:before="0" w:after="0"/>
              <w:jc w:val="right"/>
              <w:rPr>
                <w:szCs w:val="18"/>
              </w:rPr>
            </w:pPr>
            <w:r w:rsidRPr="00E85AEC">
              <w:rPr>
                <w:rFonts w:asciiTheme="majorHAnsi" w:hAnsiTheme="majorHAnsi" w:cstheme="majorHAnsi"/>
              </w:rPr>
              <w:t>17</w:t>
            </w:r>
            <w:r>
              <w:rPr>
                <w:rFonts w:asciiTheme="majorHAnsi" w:hAnsiTheme="majorHAnsi" w:cstheme="majorHAnsi"/>
              </w:rPr>
              <w:t>.</w:t>
            </w:r>
            <w:r w:rsidRPr="00E85AEC">
              <w:rPr>
                <w:rFonts w:asciiTheme="majorHAnsi" w:hAnsiTheme="majorHAnsi" w:cstheme="majorHAnsi"/>
              </w:rPr>
              <w:t>3</w:t>
            </w:r>
          </w:p>
        </w:tc>
        <w:tc>
          <w:tcPr>
            <w:tcW w:w="766" w:type="dxa"/>
            <w:vAlign w:val="center"/>
          </w:tcPr>
          <w:p w14:paraId="40A217BB" w14:textId="52959786" w:rsidR="00171525" w:rsidRPr="005954E3" w:rsidRDefault="00171525" w:rsidP="00171525">
            <w:pPr>
              <w:pStyle w:val="tabletextleft"/>
              <w:spacing w:before="0" w:after="0"/>
              <w:jc w:val="right"/>
              <w:rPr>
                <w:szCs w:val="18"/>
              </w:rPr>
            </w:pPr>
            <w:r w:rsidRPr="00E85AEC">
              <w:rPr>
                <w:rFonts w:asciiTheme="majorHAnsi" w:hAnsiTheme="majorHAnsi" w:cstheme="majorHAnsi"/>
              </w:rPr>
              <w:t>17</w:t>
            </w:r>
            <w:r>
              <w:rPr>
                <w:rFonts w:asciiTheme="majorHAnsi" w:hAnsiTheme="majorHAnsi" w:cstheme="majorHAnsi"/>
              </w:rPr>
              <w:t>.</w:t>
            </w:r>
            <w:r w:rsidRPr="00E85AEC">
              <w:rPr>
                <w:rFonts w:asciiTheme="majorHAnsi" w:hAnsiTheme="majorHAnsi" w:cstheme="majorHAnsi"/>
              </w:rPr>
              <w:t>0</w:t>
            </w:r>
          </w:p>
        </w:tc>
      </w:tr>
    </w:tbl>
    <w:p w14:paraId="5E01275F" w14:textId="10FFD4D3" w:rsidR="006D2755" w:rsidRPr="005954E3" w:rsidRDefault="006D2755" w:rsidP="00EE53B2">
      <w:pPr>
        <w:pStyle w:val="Heading2"/>
        <w:numPr>
          <w:ilvl w:val="0"/>
          <w:numId w:val="0"/>
        </w:numPr>
      </w:pPr>
      <w:bookmarkStart w:id="176" w:name="_Toc448227316"/>
      <w:bookmarkStart w:id="177" w:name="_Toc479332467"/>
      <w:bookmarkStart w:id="178" w:name="_Toc133597298"/>
      <w:r w:rsidRPr="005954E3">
        <w:lastRenderedPageBreak/>
        <w:t>Табл. 2б: Прогнози при непроменени политики</w:t>
      </w:r>
      <w:bookmarkEnd w:id="176"/>
      <w:bookmarkEnd w:id="177"/>
      <w:bookmarkEnd w:id="178"/>
    </w:p>
    <w:tbl>
      <w:tblPr>
        <w:tblStyle w:val="Style19"/>
        <w:tblW w:w="5063"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CellMar>
          <w:left w:w="85" w:type="dxa"/>
          <w:right w:w="85" w:type="dxa"/>
        </w:tblCellMar>
        <w:tblLook w:val="0620" w:firstRow="1" w:lastRow="0" w:firstColumn="0" w:lastColumn="0" w:noHBand="1" w:noVBand="1"/>
      </w:tblPr>
      <w:tblGrid>
        <w:gridCol w:w="3831"/>
        <w:gridCol w:w="987"/>
        <w:gridCol w:w="872"/>
        <w:gridCol w:w="872"/>
        <w:gridCol w:w="872"/>
        <w:gridCol w:w="872"/>
        <w:gridCol w:w="872"/>
      </w:tblGrid>
      <w:tr w:rsidR="006D2755" w:rsidRPr="005954E3" w14:paraId="6FF03F74" w14:textId="77777777" w:rsidTr="006D2755">
        <w:trPr>
          <w:trHeight w:val="20"/>
          <w:jc w:val="center"/>
        </w:trPr>
        <w:tc>
          <w:tcPr>
            <w:tcW w:w="3831" w:type="dxa"/>
            <w:vMerge w:val="restart"/>
            <w:shd w:val="clear" w:color="auto" w:fill="auto"/>
            <w:noWrap/>
          </w:tcPr>
          <w:p w14:paraId="6D505308" w14:textId="77777777" w:rsidR="006D2755" w:rsidRPr="005954E3" w:rsidRDefault="006D2755" w:rsidP="006D2755">
            <w:pPr>
              <w:pStyle w:val="tabletextleft"/>
              <w:spacing w:before="40" w:after="40"/>
              <w:rPr>
                <w:szCs w:val="18"/>
              </w:rPr>
            </w:pPr>
          </w:p>
        </w:tc>
        <w:tc>
          <w:tcPr>
            <w:tcW w:w="987" w:type="dxa"/>
            <w:shd w:val="clear" w:color="auto" w:fill="auto"/>
            <w:noWrap/>
            <w:vAlign w:val="center"/>
          </w:tcPr>
          <w:p w14:paraId="3D8E4CD9" w14:textId="77777777" w:rsidR="006D2755" w:rsidRPr="005954E3" w:rsidRDefault="006D2755" w:rsidP="006D2755">
            <w:pPr>
              <w:pStyle w:val="tabletextleft"/>
              <w:spacing w:before="40" w:after="40"/>
              <w:jc w:val="center"/>
              <w:rPr>
                <w:b/>
                <w:szCs w:val="18"/>
              </w:rPr>
            </w:pPr>
            <w:r w:rsidRPr="005954E3">
              <w:rPr>
                <w:b/>
                <w:szCs w:val="18"/>
              </w:rPr>
              <w:t>2022</w:t>
            </w:r>
          </w:p>
        </w:tc>
        <w:tc>
          <w:tcPr>
            <w:tcW w:w="872" w:type="dxa"/>
            <w:shd w:val="clear" w:color="auto" w:fill="auto"/>
            <w:noWrap/>
            <w:vAlign w:val="center"/>
          </w:tcPr>
          <w:p w14:paraId="1726ECE3" w14:textId="77777777" w:rsidR="006D2755" w:rsidRPr="005954E3" w:rsidRDefault="006D2755" w:rsidP="006D2755">
            <w:pPr>
              <w:pStyle w:val="tabletextleft"/>
              <w:spacing w:before="40" w:after="40"/>
              <w:jc w:val="center"/>
              <w:rPr>
                <w:b/>
                <w:szCs w:val="18"/>
              </w:rPr>
            </w:pPr>
            <w:r w:rsidRPr="005954E3">
              <w:rPr>
                <w:b/>
                <w:szCs w:val="18"/>
              </w:rPr>
              <w:t>2022</w:t>
            </w:r>
          </w:p>
        </w:tc>
        <w:tc>
          <w:tcPr>
            <w:tcW w:w="872" w:type="dxa"/>
            <w:shd w:val="clear" w:color="auto" w:fill="auto"/>
            <w:noWrap/>
            <w:vAlign w:val="center"/>
          </w:tcPr>
          <w:p w14:paraId="4B5A81F4" w14:textId="77777777" w:rsidR="006D2755" w:rsidRPr="005954E3" w:rsidRDefault="006D2755" w:rsidP="006D2755">
            <w:pPr>
              <w:pStyle w:val="tabletextleft"/>
              <w:spacing w:before="40" w:after="40"/>
              <w:jc w:val="center"/>
              <w:rPr>
                <w:b/>
                <w:szCs w:val="18"/>
              </w:rPr>
            </w:pPr>
            <w:r w:rsidRPr="005954E3">
              <w:rPr>
                <w:b/>
                <w:szCs w:val="18"/>
              </w:rPr>
              <w:t>2023</w:t>
            </w:r>
          </w:p>
        </w:tc>
        <w:tc>
          <w:tcPr>
            <w:tcW w:w="872" w:type="dxa"/>
            <w:shd w:val="clear" w:color="auto" w:fill="auto"/>
            <w:noWrap/>
            <w:vAlign w:val="center"/>
          </w:tcPr>
          <w:p w14:paraId="6A383E09" w14:textId="77777777" w:rsidR="006D2755" w:rsidRPr="005954E3" w:rsidRDefault="006D2755" w:rsidP="006D2755">
            <w:pPr>
              <w:pStyle w:val="tabletextleft"/>
              <w:spacing w:before="40" w:after="40"/>
              <w:jc w:val="center"/>
              <w:rPr>
                <w:b/>
                <w:szCs w:val="18"/>
              </w:rPr>
            </w:pPr>
            <w:r w:rsidRPr="005954E3">
              <w:rPr>
                <w:b/>
                <w:szCs w:val="18"/>
              </w:rPr>
              <w:t>2024</w:t>
            </w:r>
          </w:p>
        </w:tc>
        <w:tc>
          <w:tcPr>
            <w:tcW w:w="872" w:type="dxa"/>
            <w:shd w:val="clear" w:color="auto" w:fill="auto"/>
            <w:noWrap/>
            <w:vAlign w:val="center"/>
          </w:tcPr>
          <w:p w14:paraId="0AB0DBA7" w14:textId="77777777" w:rsidR="006D2755" w:rsidRPr="005954E3" w:rsidRDefault="006D2755" w:rsidP="006D2755">
            <w:pPr>
              <w:pStyle w:val="tabletextleft"/>
              <w:spacing w:before="40" w:after="40"/>
              <w:jc w:val="center"/>
              <w:rPr>
                <w:b/>
                <w:szCs w:val="18"/>
              </w:rPr>
            </w:pPr>
            <w:r w:rsidRPr="005954E3">
              <w:rPr>
                <w:b/>
                <w:szCs w:val="18"/>
              </w:rPr>
              <w:t>2025</w:t>
            </w:r>
          </w:p>
        </w:tc>
        <w:tc>
          <w:tcPr>
            <w:tcW w:w="872" w:type="dxa"/>
            <w:shd w:val="clear" w:color="auto" w:fill="auto"/>
            <w:vAlign w:val="center"/>
          </w:tcPr>
          <w:p w14:paraId="3DE75D3A" w14:textId="77777777" w:rsidR="006D2755" w:rsidRPr="005954E3" w:rsidRDefault="006D2755" w:rsidP="006D2755">
            <w:pPr>
              <w:pStyle w:val="tabletextleft"/>
              <w:spacing w:before="40" w:after="40"/>
              <w:jc w:val="center"/>
              <w:rPr>
                <w:b/>
                <w:szCs w:val="18"/>
              </w:rPr>
            </w:pPr>
            <w:r w:rsidRPr="005954E3">
              <w:rPr>
                <w:b/>
                <w:szCs w:val="18"/>
              </w:rPr>
              <w:t>2026</w:t>
            </w:r>
          </w:p>
        </w:tc>
      </w:tr>
      <w:tr w:rsidR="006D2755" w:rsidRPr="005954E3" w14:paraId="4667164A" w14:textId="77777777" w:rsidTr="006D2755">
        <w:trPr>
          <w:trHeight w:val="20"/>
          <w:jc w:val="center"/>
        </w:trPr>
        <w:tc>
          <w:tcPr>
            <w:tcW w:w="3831" w:type="dxa"/>
            <w:vMerge/>
            <w:shd w:val="clear" w:color="auto" w:fill="auto"/>
            <w:vAlign w:val="center"/>
            <w:hideMark/>
          </w:tcPr>
          <w:p w14:paraId="6EBF269F" w14:textId="77777777" w:rsidR="006D2755" w:rsidRPr="005954E3" w:rsidRDefault="006D2755" w:rsidP="006D2755">
            <w:pPr>
              <w:pStyle w:val="tabletextleft"/>
              <w:spacing w:before="40" w:after="40"/>
              <w:rPr>
                <w:szCs w:val="18"/>
              </w:rPr>
            </w:pPr>
          </w:p>
        </w:tc>
        <w:tc>
          <w:tcPr>
            <w:tcW w:w="987" w:type="dxa"/>
            <w:shd w:val="clear" w:color="auto" w:fill="auto"/>
            <w:noWrap/>
            <w:vAlign w:val="center"/>
            <w:hideMark/>
          </w:tcPr>
          <w:p w14:paraId="363987BD" w14:textId="77777777" w:rsidR="006D2755" w:rsidRPr="005954E3" w:rsidRDefault="006D2755" w:rsidP="006D2755">
            <w:pPr>
              <w:pStyle w:val="tabletextleft"/>
              <w:spacing w:before="40" w:after="40"/>
              <w:jc w:val="center"/>
              <w:rPr>
                <w:szCs w:val="18"/>
              </w:rPr>
            </w:pPr>
            <w:r w:rsidRPr="005954E3">
              <w:rPr>
                <w:szCs w:val="18"/>
              </w:rPr>
              <w:t>Равнище (млн. лв.)</w:t>
            </w:r>
          </w:p>
        </w:tc>
        <w:tc>
          <w:tcPr>
            <w:tcW w:w="872" w:type="dxa"/>
            <w:shd w:val="clear" w:color="auto" w:fill="auto"/>
            <w:noWrap/>
            <w:vAlign w:val="center"/>
            <w:hideMark/>
          </w:tcPr>
          <w:p w14:paraId="58193FBD" w14:textId="77777777" w:rsidR="006D2755" w:rsidRPr="005954E3" w:rsidRDefault="006D2755" w:rsidP="006D2755">
            <w:pPr>
              <w:pStyle w:val="tabletextleft"/>
              <w:spacing w:before="40" w:after="40"/>
              <w:jc w:val="center"/>
              <w:rPr>
                <w:szCs w:val="18"/>
              </w:rPr>
            </w:pPr>
            <w:r w:rsidRPr="005954E3">
              <w:rPr>
                <w:szCs w:val="18"/>
              </w:rPr>
              <w:t>% от БВП</w:t>
            </w:r>
          </w:p>
        </w:tc>
        <w:tc>
          <w:tcPr>
            <w:tcW w:w="872" w:type="dxa"/>
            <w:shd w:val="clear" w:color="auto" w:fill="auto"/>
            <w:noWrap/>
            <w:vAlign w:val="center"/>
            <w:hideMark/>
          </w:tcPr>
          <w:p w14:paraId="5BAF2CF2" w14:textId="77777777" w:rsidR="006D2755" w:rsidRPr="005954E3" w:rsidRDefault="006D2755" w:rsidP="006D2755">
            <w:pPr>
              <w:pStyle w:val="tabletextleft"/>
              <w:spacing w:before="40" w:after="40"/>
              <w:jc w:val="center"/>
              <w:rPr>
                <w:szCs w:val="18"/>
              </w:rPr>
            </w:pPr>
            <w:r w:rsidRPr="005954E3">
              <w:rPr>
                <w:szCs w:val="18"/>
              </w:rPr>
              <w:t>% от БВП</w:t>
            </w:r>
          </w:p>
        </w:tc>
        <w:tc>
          <w:tcPr>
            <w:tcW w:w="872" w:type="dxa"/>
            <w:shd w:val="clear" w:color="auto" w:fill="auto"/>
            <w:noWrap/>
            <w:vAlign w:val="center"/>
            <w:hideMark/>
          </w:tcPr>
          <w:p w14:paraId="6A5C2058" w14:textId="77777777" w:rsidR="006D2755" w:rsidRPr="005954E3" w:rsidRDefault="006D2755" w:rsidP="006D2755">
            <w:pPr>
              <w:pStyle w:val="tabletextleft"/>
              <w:spacing w:before="40" w:after="40"/>
              <w:jc w:val="center"/>
              <w:rPr>
                <w:szCs w:val="18"/>
              </w:rPr>
            </w:pPr>
            <w:r w:rsidRPr="005954E3">
              <w:rPr>
                <w:szCs w:val="18"/>
              </w:rPr>
              <w:t>% от БВП</w:t>
            </w:r>
          </w:p>
        </w:tc>
        <w:tc>
          <w:tcPr>
            <w:tcW w:w="872" w:type="dxa"/>
            <w:shd w:val="clear" w:color="auto" w:fill="auto"/>
            <w:noWrap/>
            <w:vAlign w:val="center"/>
            <w:hideMark/>
          </w:tcPr>
          <w:p w14:paraId="6B51C767" w14:textId="77777777" w:rsidR="006D2755" w:rsidRPr="005954E3" w:rsidRDefault="006D2755" w:rsidP="006D2755">
            <w:pPr>
              <w:pStyle w:val="tabletextleft"/>
              <w:spacing w:before="40" w:after="40"/>
              <w:jc w:val="center"/>
              <w:rPr>
                <w:szCs w:val="18"/>
              </w:rPr>
            </w:pPr>
            <w:r w:rsidRPr="005954E3">
              <w:rPr>
                <w:szCs w:val="18"/>
              </w:rPr>
              <w:t>% от БВП</w:t>
            </w:r>
          </w:p>
        </w:tc>
        <w:tc>
          <w:tcPr>
            <w:tcW w:w="872" w:type="dxa"/>
            <w:shd w:val="clear" w:color="auto" w:fill="auto"/>
            <w:vAlign w:val="center"/>
          </w:tcPr>
          <w:p w14:paraId="3B5BA8CA" w14:textId="77777777" w:rsidR="006D2755" w:rsidRPr="005954E3" w:rsidRDefault="006D2755" w:rsidP="006D2755">
            <w:pPr>
              <w:pStyle w:val="tabletextleft"/>
              <w:spacing w:before="40" w:after="40"/>
              <w:jc w:val="center"/>
              <w:rPr>
                <w:szCs w:val="18"/>
              </w:rPr>
            </w:pPr>
            <w:r w:rsidRPr="005954E3">
              <w:rPr>
                <w:szCs w:val="18"/>
              </w:rPr>
              <w:t>% от БВП</w:t>
            </w:r>
          </w:p>
        </w:tc>
      </w:tr>
      <w:tr w:rsidR="00171525" w:rsidRPr="005954E3" w14:paraId="0E36EBDF" w14:textId="77777777" w:rsidTr="001B3937">
        <w:trPr>
          <w:trHeight w:val="20"/>
          <w:jc w:val="center"/>
        </w:trPr>
        <w:tc>
          <w:tcPr>
            <w:tcW w:w="3831" w:type="dxa"/>
            <w:noWrap/>
            <w:vAlign w:val="center"/>
            <w:hideMark/>
          </w:tcPr>
          <w:p w14:paraId="7BCEE49A" w14:textId="77777777" w:rsidR="00171525" w:rsidRPr="005954E3" w:rsidRDefault="00171525" w:rsidP="00171525">
            <w:pPr>
              <w:pStyle w:val="tabletextleft"/>
              <w:spacing w:before="40" w:after="40"/>
              <w:rPr>
                <w:szCs w:val="18"/>
              </w:rPr>
            </w:pPr>
            <w:r w:rsidRPr="005954E3">
              <w:rPr>
                <w:szCs w:val="18"/>
              </w:rPr>
              <w:t xml:space="preserve">1. Общо приходи при непроменени </w:t>
            </w:r>
            <w:r w:rsidRPr="005954E3">
              <w:rPr>
                <w:szCs w:val="18"/>
              </w:rPr>
              <w:br/>
              <w:t xml:space="preserve">политики </w:t>
            </w:r>
          </w:p>
        </w:tc>
        <w:tc>
          <w:tcPr>
            <w:tcW w:w="987" w:type="dxa"/>
            <w:noWrap/>
            <w:vAlign w:val="center"/>
          </w:tcPr>
          <w:p w14:paraId="4B24F256" w14:textId="59BE010E" w:rsidR="00171525" w:rsidRPr="005954E3" w:rsidRDefault="00171525" w:rsidP="00171525">
            <w:pPr>
              <w:pStyle w:val="tabletextleft"/>
              <w:spacing w:before="40" w:after="40"/>
              <w:jc w:val="right"/>
              <w:rPr>
                <w:color w:val="000000"/>
                <w:szCs w:val="18"/>
              </w:rPr>
            </w:pPr>
            <w:r w:rsidRPr="00E85AEC">
              <w:t>63 711</w:t>
            </w:r>
            <w:r>
              <w:t>.</w:t>
            </w:r>
            <w:r w:rsidRPr="00E85AEC">
              <w:t>2</w:t>
            </w:r>
          </w:p>
        </w:tc>
        <w:tc>
          <w:tcPr>
            <w:tcW w:w="872" w:type="dxa"/>
            <w:noWrap/>
            <w:vAlign w:val="center"/>
          </w:tcPr>
          <w:p w14:paraId="6371B9F6" w14:textId="27641B82" w:rsidR="00171525" w:rsidRPr="005954E3" w:rsidRDefault="00171525" w:rsidP="00171525">
            <w:pPr>
              <w:pStyle w:val="tabletextleft"/>
              <w:spacing w:before="40" w:after="40"/>
              <w:jc w:val="right"/>
              <w:rPr>
                <w:szCs w:val="18"/>
              </w:rPr>
            </w:pPr>
            <w:r w:rsidRPr="00E85AEC">
              <w:rPr>
                <w:color w:val="000000"/>
              </w:rPr>
              <w:t>36</w:t>
            </w:r>
            <w:r>
              <w:rPr>
                <w:color w:val="000000"/>
              </w:rPr>
              <w:t>.</w:t>
            </w:r>
            <w:r w:rsidRPr="00E85AEC">
              <w:rPr>
                <w:color w:val="000000"/>
              </w:rPr>
              <w:t>75</w:t>
            </w:r>
          </w:p>
        </w:tc>
        <w:tc>
          <w:tcPr>
            <w:tcW w:w="872" w:type="dxa"/>
            <w:noWrap/>
            <w:vAlign w:val="center"/>
          </w:tcPr>
          <w:p w14:paraId="1CF801B7" w14:textId="39739A33" w:rsidR="00171525" w:rsidRPr="005954E3" w:rsidRDefault="00171525" w:rsidP="00171525">
            <w:pPr>
              <w:pStyle w:val="tabletextleft"/>
              <w:spacing w:before="40" w:after="40"/>
              <w:jc w:val="right"/>
              <w:rPr>
                <w:szCs w:val="18"/>
              </w:rPr>
            </w:pPr>
            <w:r w:rsidRPr="00E85AEC">
              <w:t>37</w:t>
            </w:r>
            <w:r>
              <w:t>.</w:t>
            </w:r>
            <w:r w:rsidRPr="00E85AEC">
              <w:t>27</w:t>
            </w:r>
          </w:p>
        </w:tc>
        <w:tc>
          <w:tcPr>
            <w:tcW w:w="872" w:type="dxa"/>
            <w:noWrap/>
            <w:vAlign w:val="center"/>
          </w:tcPr>
          <w:p w14:paraId="716679CE" w14:textId="53DC78AB" w:rsidR="00171525" w:rsidRPr="005954E3" w:rsidRDefault="00171525" w:rsidP="00171525">
            <w:pPr>
              <w:pStyle w:val="tabletextleft"/>
              <w:spacing w:before="40" w:after="40"/>
              <w:jc w:val="right"/>
              <w:rPr>
                <w:szCs w:val="18"/>
              </w:rPr>
            </w:pPr>
            <w:r w:rsidRPr="00E85AEC">
              <w:t>36</w:t>
            </w:r>
            <w:r>
              <w:t>.</w:t>
            </w:r>
            <w:r w:rsidRPr="00E85AEC">
              <w:t>08</w:t>
            </w:r>
          </w:p>
        </w:tc>
        <w:tc>
          <w:tcPr>
            <w:tcW w:w="872" w:type="dxa"/>
            <w:noWrap/>
            <w:vAlign w:val="center"/>
          </w:tcPr>
          <w:p w14:paraId="035BDA1D" w14:textId="546649EF" w:rsidR="00171525" w:rsidRPr="005954E3" w:rsidRDefault="00171525" w:rsidP="00171525">
            <w:pPr>
              <w:pStyle w:val="tabletextleft"/>
              <w:spacing w:before="40" w:after="40"/>
              <w:jc w:val="right"/>
              <w:rPr>
                <w:szCs w:val="18"/>
              </w:rPr>
            </w:pPr>
            <w:r w:rsidRPr="00E85AEC">
              <w:t>35</w:t>
            </w:r>
            <w:r>
              <w:t>.</w:t>
            </w:r>
            <w:r w:rsidRPr="00E85AEC">
              <w:t>04</w:t>
            </w:r>
          </w:p>
        </w:tc>
        <w:tc>
          <w:tcPr>
            <w:tcW w:w="872" w:type="dxa"/>
            <w:vAlign w:val="center"/>
          </w:tcPr>
          <w:p w14:paraId="75CB2AD4" w14:textId="73F9A1CA" w:rsidR="00171525" w:rsidRPr="005954E3" w:rsidRDefault="00171525" w:rsidP="00171525">
            <w:pPr>
              <w:pStyle w:val="tabletextleft"/>
              <w:spacing w:before="40" w:after="40"/>
              <w:jc w:val="right"/>
              <w:rPr>
                <w:szCs w:val="18"/>
              </w:rPr>
            </w:pPr>
            <w:r w:rsidRPr="00E85AEC">
              <w:t>34</w:t>
            </w:r>
            <w:r>
              <w:t>.</w:t>
            </w:r>
            <w:r w:rsidRPr="00E85AEC">
              <w:t>02</w:t>
            </w:r>
          </w:p>
        </w:tc>
      </w:tr>
      <w:tr w:rsidR="00DA2F80" w:rsidRPr="005954E3" w14:paraId="01ADCA19" w14:textId="77777777" w:rsidTr="001B3937">
        <w:trPr>
          <w:trHeight w:val="20"/>
          <w:jc w:val="center"/>
        </w:trPr>
        <w:tc>
          <w:tcPr>
            <w:tcW w:w="3831" w:type="dxa"/>
            <w:noWrap/>
            <w:vAlign w:val="center"/>
            <w:hideMark/>
          </w:tcPr>
          <w:p w14:paraId="6C03905E" w14:textId="77777777" w:rsidR="00DA2F80" w:rsidRPr="005954E3" w:rsidRDefault="00DA2F80" w:rsidP="00DA2F80">
            <w:pPr>
              <w:pStyle w:val="tabletextleft"/>
              <w:spacing w:before="40" w:after="40"/>
              <w:rPr>
                <w:szCs w:val="18"/>
              </w:rPr>
            </w:pPr>
            <w:r w:rsidRPr="005954E3">
              <w:rPr>
                <w:szCs w:val="18"/>
              </w:rPr>
              <w:t xml:space="preserve">2. Общо разходи при непроменени </w:t>
            </w:r>
            <w:r w:rsidRPr="005954E3">
              <w:rPr>
                <w:szCs w:val="18"/>
              </w:rPr>
              <w:br/>
              <w:t>политики</w:t>
            </w:r>
          </w:p>
        </w:tc>
        <w:tc>
          <w:tcPr>
            <w:tcW w:w="987" w:type="dxa"/>
            <w:noWrap/>
            <w:vAlign w:val="center"/>
          </w:tcPr>
          <w:p w14:paraId="5FC6557E" w14:textId="5EB3D4B9" w:rsidR="00DA2F80" w:rsidRPr="005954E3" w:rsidRDefault="00DA2F80" w:rsidP="00DA2F80">
            <w:pPr>
              <w:pStyle w:val="tabletextleft"/>
              <w:spacing w:before="40" w:after="40"/>
              <w:jc w:val="right"/>
              <w:rPr>
                <w:color w:val="000000"/>
                <w:szCs w:val="18"/>
              </w:rPr>
            </w:pPr>
            <w:r w:rsidRPr="00E85AEC">
              <w:t>68 358</w:t>
            </w:r>
            <w:r>
              <w:t>.</w:t>
            </w:r>
            <w:r w:rsidRPr="00E85AEC">
              <w:t>8</w:t>
            </w:r>
          </w:p>
        </w:tc>
        <w:tc>
          <w:tcPr>
            <w:tcW w:w="872" w:type="dxa"/>
            <w:noWrap/>
            <w:vAlign w:val="center"/>
          </w:tcPr>
          <w:p w14:paraId="56CA999D" w14:textId="4A7B8BB6" w:rsidR="00DA2F80" w:rsidRPr="005954E3" w:rsidRDefault="00DA2F80" w:rsidP="00DA2F80">
            <w:pPr>
              <w:pStyle w:val="tabletextleft"/>
              <w:spacing w:before="40" w:after="40"/>
              <w:jc w:val="right"/>
              <w:rPr>
                <w:szCs w:val="18"/>
              </w:rPr>
            </w:pPr>
            <w:r w:rsidRPr="00E85AEC">
              <w:rPr>
                <w:color w:val="000000"/>
              </w:rPr>
              <w:t>38</w:t>
            </w:r>
            <w:r>
              <w:rPr>
                <w:color w:val="000000"/>
              </w:rPr>
              <w:t>.</w:t>
            </w:r>
            <w:r w:rsidRPr="00E85AEC">
              <w:rPr>
                <w:color w:val="000000"/>
              </w:rPr>
              <w:t>71</w:t>
            </w:r>
          </w:p>
        </w:tc>
        <w:tc>
          <w:tcPr>
            <w:tcW w:w="872" w:type="dxa"/>
            <w:noWrap/>
            <w:vAlign w:val="center"/>
          </w:tcPr>
          <w:p w14:paraId="357409E2" w14:textId="528DD3B8" w:rsidR="00DA2F80" w:rsidRPr="005954E3" w:rsidRDefault="00DA2F80" w:rsidP="00DA2F80">
            <w:pPr>
              <w:pStyle w:val="tabletextleft"/>
              <w:spacing w:before="40" w:after="40"/>
              <w:jc w:val="right"/>
              <w:rPr>
                <w:szCs w:val="18"/>
              </w:rPr>
            </w:pPr>
            <w:r w:rsidRPr="00E85AEC">
              <w:t>42</w:t>
            </w:r>
            <w:r>
              <w:t>.</w:t>
            </w:r>
            <w:r w:rsidRPr="00E85AEC">
              <w:t>43</w:t>
            </w:r>
          </w:p>
        </w:tc>
        <w:tc>
          <w:tcPr>
            <w:tcW w:w="872" w:type="dxa"/>
            <w:noWrap/>
            <w:vAlign w:val="center"/>
          </w:tcPr>
          <w:p w14:paraId="3FABE184" w14:textId="03A48FCF" w:rsidR="00DA2F80" w:rsidRPr="005954E3" w:rsidRDefault="00DA2F80" w:rsidP="00DA2F80">
            <w:pPr>
              <w:pStyle w:val="tabletextleft"/>
              <w:spacing w:before="40" w:after="40"/>
              <w:jc w:val="right"/>
              <w:rPr>
                <w:szCs w:val="18"/>
              </w:rPr>
            </w:pPr>
            <w:r w:rsidRPr="00E85AEC">
              <w:t>40</w:t>
            </w:r>
            <w:r>
              <w:t>.</w:t>
            </w:r>
            <w:r w:rsidRPr="00E85AEC">
              <w:t>5</w:t>
            </w:r>
            <w:r>
              <w:t>2</w:t>
            </w:r>
          </w:p>
        </w:tc>
        <w:tc>
          <w:tcPr>
            <w:tcW w:w="872" w:type="dxa"/>
            <w:noWrap/>
            <w:vAlign w:val="center"/>
          </w:tcPr>
          <w:p w14:paraId="3FF76A8E" w14:textId="01E6601C" w:rsidR="00DA2F80" w:rsidRPr="005954E3" w:rsidRDefault="00DA2F80" w:rsidP="00DA2F80">
            <w:pPr>
              <w:pStyle w:val="tabletextleft"/>
              <w:spacing w:before="40" w:after="40"/>
              <w:jc w:val="right"/>
              <w:rPr>
                <w:szCs w:val="18"/>
              </w:rPr>
            </w:pPr>
            <w:r w:rsidRPr="00E85AEC">
              <w:t>38</w:t>
            </w:r>
            <w:r>
              <w:t>.96</w:t>
            </w:r>
          </w:p>
        </w:tc>
        <w:tc>
          <w:tcPr>
            <w:tcW w:w="872" w:type="dxa"/>
            <w:vAlign w:val="center"/>
          </w:tcPr>
          <w:p w14:paraId="11BFAF1E" w14:textId="25D179EE" w:rsidR="00DA2F80" w:rsidRPr="005954E3" w:rsidRDefault="00DA2F80" w:rsidP="00DA2F80">
            <w:pPr>
              <w:pStyle w:val="tabletextleft"/>
              <w:spacing w:before="40" w:after="40"/>
              <w:jc w:val="right"/>
              <w:rPr>
                <w:szCs w:val="18"/>
              </w:rPr>
            </w:pPr>
            <w:r w:rsidRPr="00E85AEC">
              <w:t>38</w:t>
            </w:r>
            <w:r>
              <w:t>.5</w:t>
            </w:r>
            <w:r w:rsidRPr="00E85AEC">
              <w:t>9</w:t>
            </w:r>
          </w:p>
        </w:tc>
      </w:tr>
    </w:tbl>
    <w:p w14:paraId="032EDD67" w14:textId="77777777" w:rsidR="006D2755" w:rsidRPr="005954E3" w:rsidRDefault="006D2755" w:rsidP="006D2755"/>
    <w:p w14:paraId="37F0745D" w14:textId="77777777" w:rsidR="006D2755" w:rsidRPr="005954E3" w:rsidRDefault="006D2755" w:rsidP="006D2755"/>
    <w:p w14:paraId="1EACEA40" w14:textId="77777777" w:rsidR="006D2755" w:rsidRPr="005954E3" w:rsidRDefault="006D2755" w:rsidP="00EE53B2">
      <w:pPr>
        <w:pStyle w:val="Heading2"/>
        <w:numPr>
          <w:ilvl w:val="0"/>
          <w:numId w:val="0"/>
        </w:numPr>
      </w:pPr>
      <w:bookmarkStart w:id="179" w:name="_Toc448227317"/>
      <w:bookmarkStart w:id="180" w:name="_Toc479332468"/>
      <w:bookmarkStart w:id="181" w:name="_Toc133597299"/>
      <w:r w:rsidRPr="005954E3">
        <w:t>Табл. 2в: Разходи, които не се включват в бенчмарка за разходите</w:t>
      </w:r>
      <w:bookmarkEnd w:id="179"/>
      <w:bookmarkEnd w:id="180"/>
      <w:bookmarkEnd w:id="181"/>
    </w:p>
    <w:tbl>
      <w:tblPr>
        <w:tblStyle w:val="Style19"/>
        <w:tblW w:w="5000"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CellMar>
          <w:left w:w="85" w:type="dxa"/>
          <w:right w:w="85" w:type="dxa"/>
        </w:tblCellMar>
        <w:tblLook w:val="0620" w:firstRow="1" w:lastRow="0" w:firstColumn="0" w:lastColumn="0" w:noHBand="1" w:noVBand="1"/>
      </w:tblPr>
      <w:tblGrid>
        <w:gridCol w:w="3855"/>
        <w:gridCol w:w="868"/>
        <w:gridCol w:w="869"/>
        <w:gridCol w:w="868"/>
        <w:gridCol w:w="868"/>
        <w:gridCol w:w="868"/>
        <w:gridCol w:w="868"/>
      </w:tblGrid>
      <w:tr w:rsidR="006D2755" w:rsidRPr="005954E3" w14:paraId="4DFE125C" w14:textId="77777777" w:rsidTr="009C744C">
        <w:trPr>
          <w:trHeight w:val="340"/>
          <w:jc w:val="center"/>
        </w:trPr>
        <w:tc>
          <w:tcPr>
            <w:tcW w:w="3855" w:type="dxa"/>
            <w:vMerge w:val="restart"/>
            <w:shd w:val="clear" w:color="auto" w:fill="auto"/>
            <w:noWrap/>
            <w:vAlign w:val="center"/>
          </w:tcPr>
          <w:p w14:paraId="6AA35C9C" w14:textId="77777777" w:rsidR="006D2755" w:rsidRPr="005954E3" w:rsidRDefault="006D2755" w:rsidP="006D2755">
            <w:pPr>
              <w:pStyle w:val="tabletextleft"/>
              <w:spacing w:before="40" w:after="40"/>
              <w:rPr>
                <w:szCs w:val="18"/>
              </w:rPr>
            </w:pPr>
          </w:p>
        </w:tc>
        <w:tc>
          <w:tcPr>
            <w:tcW w:w="868" w:type="dxa"/>
            <w:shd w:val="clear" w:color="auto" w:fill="auto"/>
            <w:noWrap/>
            <w:vAlign w:val="center"/>
          </w:tcPr>
          <w:p w14:paraId="1824B1D4" w14:textId="77777777" w:rsidR="006D2755" w:rsidRPr="005954E3" w:rsidRDefault="006D2755" w:rsidP="006D2755">
            <w:pPr>
              <w:pStyle w:val="tabletextleft"/>
              <w:spacing w:before="40" w:after="40"/>
              <w:jc w:val="center"/>
              <w:rPr>
                <w:b/>
                <w:szCs w:val="18"/>
              </w:rPr>
            </w:pPr>
            <w:r w:rsidRPr="005954E3">
              <w:rPr>
                <w:b/>
                <w:szCs w:val="18"/>
              </w:rPr>
              <w:t>2022</w:t>
            </w:r>
          </w:p>
        </w:tc>
        <w:tc>
          <w:tcPr>
            <w:tcW w:w="869" w:type="dxa"/>
            <w:shd w:val="clear" w:color="auto" w:fill="auto"/>
            <w:noWrap/>
            <w:vAlign w:val="center"/>
          </w:tcPr>
          <w:p w14:paraId="52C6CDBC" w14:textId="77777777" w:rsidR="006D2755" w:rsidRPr="005954E3" w:rsidRDefault="006D2755" w:rsidP="006D2755">
            <w:pPr>
              <w:pStyle w:val="tabletextleft"/>
              <w:spacing w:before="40" w:after="40"/>
              <w:jc w:val="center"/>
              <w:rPr>
                <w:b/>
                <w:szCs w:val="18"/>
              </w:rPr>
            </w:pPr>
            <w:r w:rsidRPr="005954E3">
              <w:rPr>
                <w:b/>
                <w:szCs w:val="18"/>
              </w:rPr>
              <w:t>2022</w:t>
            </w:r>
          </w:p>
        </w:tc>
        <w:tc>
          <w:tcPr>
            <w:tcW w:w="868" w:type="dxa"/>
            <w:shd w:val="clear" w:color="auto" w:fill="auto"/>
            <w:noWrap/>
            <w:vAlign w:val="center"/>
          </w:tcPr>
          <w:p w14:paraId="2FCF7639" w14:textId="77777777" w:rsidR="006D2755" w:rsidRPr="005954E3" w:rsidRDefault="006D2755" w:rsidP="006D2755">
            <w:pPr>
              <w:pStyle w:val="tabletextleft"/>
              <w:spacing w:before="40" w:after="40"/>
              <w:jc w:val="center"/>
              <w:rPr>
                <w:b/>
                <w:szCs w:val="18"/>
              </w:rPr>
            </w:pPr>
            <w:r w:rsidRPr="005954E3">
              <w:rPr>
                <w:b/>
                <w:szCs w:val="18"/>
              </w:rPr>
              <w:t>2023</w:t>
            </w:r>
          </w:p>
        </w:tc>
        <w:tc>
          <w:tcPr>
            <w:tcW w:w="868" w:type="dxa"/>
            <w:shd w:val="clear" w:color="auto" w:fill="auto"/>
            <w:noWrap/>
            <w:vAlign w:val="center"/>
          </w:tcPr>
          <w:p w14:paraId="44F722C7" w14:textId="77777777" w:rsidR="006D2755" w:rsidRPr="005954E3" w:rsidRDefault="006D2755" w:rsidP="006D2755">
            <w:pPr>
              <w:pStyle w:val="tabletextleft"/>
              <w:spacing w:before="40" w:after="40"/>
              <w:jc w:val="center"/>
              <w:rPr>
                <w:b/>
                <w:szCs w:val="18"/>
              </w:rPr>
            </w:pPr>
            <w:r w:rsidRPr="005954E3">
              <w:rPr>
                <w:b/>
                <w:szCs w:val="18"/>
              </w:rPr>
              <w:t>2024</w:t>
            </w:r>
          </w:p>
        </w:tc>
        <w:tc>
          <w:tcPr>
            <w:tcW w:w="868" w:type="dxa"/>
            <w:shd w:val="clear" w:color="auto" w:fill="auto"/>
            <w:noWrap/>
            <w:vAlign w:val="center"/>
          </w:tcPr>
          <w:p w14:paraId="57FDFD5D" w14:textId="77777777" w:rsidR="006D2755" w:rsidRPr="005954E3" w:rsidRDefault="006D2755" w:rsidP="006D2755">
            <w:pPr>
              <w:pStyle w:val="tabletextleft"/>
              <w:spacing w:before="40" w:after="40"/>
              <w:jc w:val="center"/>
              <w:rPr>
                <w:b/>
                <w:szCs w:val="18"/>
              </w:rPr>
            </w:pPr>
            <w:r w:rsidRPr="005954E3">
              <w:rPr>
                <w:b/>
                <w:szCs w:val="18"/>
              </w:rPr>
              <w:t>2025</w:t>
            </w:r>
          </w:p>
        </w:tc>
        <w:tc>
          <w:tcPr>
            <w:tcW w:w="868" w:type="dxa"/>
            <w:shd w:val="clear" w:color="auto" w:fill="auto"/>
            <w:vAlign w:val="center"/>
          </w:tcPr>
          <w:p w14:paraId="45EDC728" w14:textId="77777777" w:rsidR="006D2755" w:rsidRPr="005954E3" w:rsidRDefault="006D2755" w:rsidP="006D2755">
            <w:pPr>
              <w:pStyle w:val="tabletextleft"/>
              <w:spacing w:before="40" w:after="40"/>
              <w:jc w:val="center"/>
              <w:rPr>
                <w:b/>
                <w:szCs w:val="18"/>
              </w:rPr>
            </w:pPr>
            <w:r w:rsidRPr="005954E3">
              <w:rPr>
                <w:b/>
                <w:szCs w:val="18"/>
              </w:rPr>
              <w:t>2026</w:t>
            </w:r>
          </w:p>
        </w:tc>
      </w:tr>
      <w:tr w:rsidR="006D2755" w:rsidRPr="005954E3" w14:paraId="0FA4B226" w14:textId="77777777" w:rsidTr="009C744C">
        <w:trPr>
          <w:trHeight w:val="340"/>
          <w:jc w:val="center"/>
        </w:trPr>
        <w:tc>
          <w:tcPr>
            <w:tcW w:w="3855" w:type="dxa"/>
            <w:vMerge/>
            <w:shd w:val="clear" w:color="auto" w:fill="auto"/>
            <w:vAlign w:val="center"/>
            <w:hideMark/>
          </w:tcPr>
          <w:p w14:paraId="2713428B" w14:textId="77777777" w:rsidR="006D2755" w:rsidRPr="005954E3" w:rsidRDefault="006D2755" w:rsidP="006D2755">
            <w:pPr>
              <w:pStyle w:val="tabletextleft"/>
              <w:spacing w:before="40" w:after="40"/>
              <w:rPr>
                <w:szCs w:val="18"/>
              </w:rPr>
            </w:pPr>
          </w:p>
        </w:tc>
        <w:tc>
          <w:tcPr>
            <w:tcW w:w="868" w:type="dxa"/>
            <w:shd w:val="clear" w:color="auto" w:fill="auto"/>
            <w:noWrap/>
            <w:vAlign w:val="center"/>
            <w:hideMark/>
          </w:tcPr>
          <w:p w14:paraId="28EC9049" w14:textId="77777777" w:rsidR="006D2755" w:rsidRPr="005954E3" w:rsidRDefault="006D2755" w:rsidP="006D2755">
            <w:pPr>
              <w:pStyle w:val="tabletextleft"/>
              <w:spacing w:before="40" w:after="40"/>
              <w:jc w:val="right"/>
              <w:rPr>
                <w:szCs w:val="18"/>
              </w:rPr>
            </w:pPr>
            <w:r w:rsidRPr="005954E3">
              <w:rPr>
                <w:szCs w:val="18"/>
              </w:rPr>
              <w:t>Равнище</w:t>
            </w:r>
          </w:p>
          <w:p w14:paraId="1668066E" w14:textId="77777777" w:rsidR="006D2755" w:rsidRPr="005954E3" w:rsidRDefault="006D2755" w:rsidP="006D2755">
            <w:pPr>
              <w:pStyle w:val="tabletextleft"/>
              <w:spacing w:before="40" w:after="40"/>
              <w:jc w:val="center"/>
              <w:rPr>
                <w:szCs w:val="18"/>
              </w:rPr>
            </w:pPr>
            <w:r w:rsidRPr="005954E3">
              <w:rPr>
                <w:sz w:val="16"/>
              </w:rPr>
              <w:t>(млн. лв.)</w:t>
            </w:r>
          </w:p>
        </w:tc>
        <w:tc>
          <w:tcPr>
            <w:tcW w:w="869" w:type="dxa"/>
            <w:shd w:val="clear" w:color="auto" w:fill="auto"/>
            <w:noWrap/>
            <w:vAlign w:val="center"/>
            <w:hideMark/>
          </w:tcPr>
          <w:p w14:paraId="2FCB6F7F" w14:textId="77777777" w:rsidR="006D2755" w:rsidRPr="005954E3" w:rsidRDefault="006D2755" w:rsidP="006D2755">
            <w:pPr>
              <w:pStyle w:val="tabletextleft"/>
              <w:spacing w:before="40" w:after="40"/>
              <w:jc w:val="right"/>
              <w:rPr>
                <w:szCs w:val="18"/>
              </w:rPr>
            </w:pPr>
            <w:r w:rsidRPr="005954E3">
              <w:rPr>
                <w:szCs w:val="18"/>
              </w:rPr>
              <w:t>% от БВП</w:t>
            </w:r>
          </w:p>
        </w:tc>
        <w:tc>
          <w:tcPr>
            <w:tcW w:w="868" w:type="dxa"/>
            <w:shd w:val="clear" w:color="auto" w:fill="auto"/>
            <w:noWrap/>
            <w:vAlign w:val="center"/>
            <w:hideMark/>
          </w:tcPr>
          <w:p w14:paraId="2A812432" w14:textId="77777777" w:rsidR="006D2755" w:rsidRPr="005954E3" w:rsidRDefault="006D2755" w:rsidP="006D2755">
            <w:pPr>
              <w:pStyle w:val="tabletextleft"/>
              <w:spacing w:before="40" w:after="40"/>
              <w:jc w:val="right"/>
              <w:rPr>
                <w:szCs w:val="18"/>
              </w:rPr>
            </w:pPr>
            <w:r w:rsidRPr="005954E3">
              <w:rPr>
                <w:szCs w:val="18"/>
              </w:rPr>
              <w:t>% от БВП</w:t>
            </w:r>
          </w:p>
        </w:tc>
        <w:tc>
          <w:tcPr>
            <w:tcW w:w="868" w:type="dxa"/>
            <w:shd w:val="clear" w:color="auto" w:fill="auto"/>
            <w:noWrap/>
            <w:vAlign w:val="center"/>
            <w:hideMark/>
          </w:tcPr>
          <w:p w14:paraId="37564976" w14:textId="77777777" w:rsidR="006D2755" w:rsidRPr="005954E3" w:rsidRDefault="006D2755" w:rsidP="006D2755">
            <w:pPr>
              <w:pStyle w:val="tabletextleft"/>
              <w:spacing w:before="40" w:after="40"/>
              <w:jc w:val="right"/>
              <w:rPr>
                <w:szCs w:val="18"/>
              </w:rPr>
            </w:pPr>
            <w:r w:rsidRPr="005954E3">
              <w:rPr>
                <w:szCs w:val="18"/>
              </w:rPr>
              <w:t>% от БВП</w:t>
            </w:r>
          </w:p>
        </w:tc>
        <w:tc>
          <w:tcPr>
            <w:tcW w:w="868" w:type="dxa"/>
            <w:shd w:val="clear" w:color="auto" w:fill="auto"/>
            <w:noWrap/>
            <w:vAlign w:val="center"/>
            <w:hideMark/>
          </w:tcPr>
          <w:p w14:paraId="044D0FA9" w14:textId="77777777" w:rsidR="006D2755" w:rsidRPr="005954E3" w:rsidRDefault="006D2755" w:rsidP="006D2755">
            <w:pPr>
              <w:pStyle w:val="tabletextleft"/>
              <w:spacing w:before="40" w:after="40"/>
              <w:jc w:val="right"/>
              <w:rPr>
                <w:szCs w:val="18"/>
              </w:rPr>
            </w:pPr>
            <w:r w:rsidRPr="005954E3">
              <w:rPr>
                <w:szCs w:val="18"/>
              </w:rPr>
              <w:t>% от БВП</w:t>
            </w:r>
          </w:p>
        </w:tc>
        <w:tc>
          <w:tcPr>
            <w:tcW w:w="868" w:type="dxa"/>
            <w:shd w:val="clear" w:color="auto" w:fill="auto"/>
            <w:vAlign w:val="center"/>
          </w:tcPr>
          <w:p w14:paraId="1B5E6711" w14:textId="77777777" w:rsidR="006D2755" w:rsidRPr="005954E3" w:rsidRDefault="006D2755" w:rsidP="006D2755">
            <w:pPr>
              <w:pStyle w:val="tabletextleft"/>
              <w:spacing w:before="40" w:after="40"/>
              <w:jc w:val="right"/>
              <w:rPr>
                <w:szCs w:val="18"/>
              </w:rPr>
            </w:pPr>
            <w:r w:rsidRPr="005954E3">
              <w:rPr>
                <w:szCs w:val="18"/>
              </w:rPr>
              <w:t>% от БВП</w:t>
            </w:r>
          </w:p>
        </w:tc>
      </w:tr>
      <w:tr w:rsidR="00171525" w:rsidRPr="005954E3" w14:paraId="45F2A31B" w14:textId="77777777" w:rsidTr="009C744C">
        <w:trPr>
          <w:trHeight w:val="340"/>
          <w:jc w:val="center"/>
        </w:trPr>
        <w:tc>
          <w:tcPr>
            <w:tcW w:w="3855" w:type="dxa"/>
            <w:noWrap/>
            <w:vAlign w:val="center"/>
            <w:hideMark/>
          </w:tcPr>
          <w:p w14:paraId="3C530D68" w14:textId="77777777" w:rsidR="00171525" w:rsidRPr="005954E3" w:rsidRDefault="00171525" w:rsidP="00171525">
            <w:pPr>
              <w:pStyle w:val="tabletextleft"/>
              <w:spacing w:before="40" w:after="40"/>
              <w:rPr>
                <w:szCs w:val="18"/>
              </w:rPr>
            </w:pPr>
            <w:r w:rsidRPr="005954E3">
              <w:rPr>
                <w:szCs w:val="18"/>
              </w:rPr>
              <w:t xml:space="preserve">1. Разходи по европейски програми, напълно обезпечени с приходи от европейските фондове </w:t>
            </w:r>
          </w:p>
        </w:tc>
        <w:tc>
          <w:tcPr>
            <w:tcW w:w="868" w:type="dxa"/>
            <w:noWrap/>
            <w:vAlign w:val="center"/>
          </w:tcPr>
          <w:p w14:paraId="5936320F" w14:textId="3972F291" w:rsidR="00171525" w:rsidRPr="005954E3" w:rsidRDefault="00171525" w:rsidP="00171525">
            <w:pPr>
              <w:pStyle w:val="tabletextleft"/>
              <w:spacing w:before="40" w:after="40"/>
              <w:jc w:val="right"/>
              <w:rPr>
                <w:szCs w:val="18"/>
              </w:rPr>
            </w:pPr>
            <w:r w:rsidRPr="00056CC8">
              <w:t>1</w:t>
            </w:r>
            <w:r>
              <w:rPr>
                <w:lang w:val="en-US"/>
              </w:rPr>
              <w:t> 432,2</w:t>
            </w:r>
          </w:p>
        </w:tc>
        <w:tc>
          <w:tcPr>
            <w:tcW w:w="869" w:type="dxa"/>
            <w:noWrap/>
            <w:vAlign w:val="center"/>
          </w:tcPr>
          <w:p w14:paraId="0F2B5D24" w14:textId="1FBA724F" w:rsidR="00171525" w:rsidRPr="005954E3" w:rsidRDefault="00171525" w:rsidP="00171525">
            <w:pPr>
              <w:pStyle w:val="tabletextleft"/>
              <w:spacing w:before="40" w:after="40"/>
              <w:jc w:val="right"/>
              <w:rPr>
                <w:szCs w:val="18"/>
              </w:rPr>
            </w:pPr>
            <w:r>
              <w:t>0,</w:t>
            </w:r>
            <w:r>
              <w:rPr>
                <w:lang w:val="en-US"/>
              </w:rPr>
              <w:t>9</w:t>
            </w:r>
          </w:p>
        </w:tc>
        <w:tc>
          <w:tcPr>
            <w:tcW w:w="868" w:type="dxa"/>
            <w:noWrap/>
            <w:vAlign w:val="center"/>
          </w:tcPr>
          <w:p w14:paraId="0DA0F2F1" w14:textId="34971910" w:rsidR="00171525" w:rsidRPr="005954E3" w:rsidRDefault="00171525" w:rsidP="00171525">
            <w:pPr>
              <w:pStyle w:val="tabletextleft"/>
              <w:spacing w:before="40" w:after="40"/>
              <w:jc w:val="right"/>
              <w:rPr>
                <w:szCs w:val="18"/>
              </w:rPr>
            </w:pPr>
            <w:r w:rsidRPr="00056CC8">
              <w:t>1,3</w:t>
            </w:r>
          </w:p>
        </w:tc>
        <w:tc>
          <w:tcPr>
            <w:tcW w:w="868" w:type="dxa"/>
            <w:noWrap/>
            <w:vAlign w:val="center"/>
          </w:tcPr>
          <w:p w14:paraId="7294B840" w14:textId="3326F092" w:rsidR="00171525" w:rsidRPr="005954E3" w:rsidRDefault="00171525" w:rsidP="00171525">
            <w:pPr>
              <w:pStyle w:val="tabletextleft"/>
              <w:spacing w:before="40" w:after="40"/>
              <w:jc w:val="right"/>
              <w:rPr>
                <w:szCs w:val="18"/>
              </w:rPr>
            </w:pPr>
            <w:r w:rsidRPr="00056CC8">
              <w:t>2,3</w:t>
            </w:r>
          </w:p>
        </w:tc>
        <w:tc>
          <w:tcPr>
            <w:tcW w:w="868" w:type="dxa"/>
            <w:noWrap/>
            <w:vAlign w:val="center"/>
          </w:tcPr>
          <w:p w14:paraId="4E6D7200" w14:textId="1863DD51" w:rsidR="00171525" w:rsidRPr="005954E3" w:rsidRDefault="00171525" w:rsidP="00171525">
            <w:pPr>
              <w:pStyle w:val="tabletextleft"/>
              <w:spacing w:before="40" w:after="40"/>
              <w:jc w:val="right"/>
              <w:rPr>
                <w:szCs w:val="18"/>
              </w:rPr>
            </w:pPr>
            <w:r w:rsidRPr="00056CC8">
              <w:t>1,9</w:t>
            </w:r>
          </w:p>
        </w:tc>
        <w:tc>
          <w:tcPr>
            <w:tcW w:w="868" w:type="dxa"/>
            <w:vAlign w:val="center"/>
          </w:tcPr>
          <w:p w14:paraId="57BB427D" w14:textId="68289FF7" w:rsidR="00171525" w:rsidRPr="005954E3" w:rsidRDefault="00171525" w:rsidP="00171525">
            <w:pPr>
              <w:pStyle w:val="tabletextleft"/>
              <w:spacing w:before="40" w:after="40"/>
              <w:jc w:val="right"/>
              <w:rPr>
                <w:szCs w:val="18"/>
              </w:rPr>
            </w:pPr>
            <w:r w:rsidRPr="00056CC8">
              <w:t>1,1</w:t>
            </w:r>
          </w:p>
        </w:tc>
      </w:tr>
      <w:tr w:rsidR="00171525" w:rsidRPr="005954E3" w14:paraId="59DEBC19" w14:textId="77777777" w:rsidTr="009C744C">
        <w:trPr>
          <w:trHeight w:val="340"/>
          <w:jc w:val="center"/>
        </w:trPr>
        <w:tc>
          <w:tcPr>
            <w:tcW w:w="3855" w:type="dxa"/>
            <w:noWrap/>
            <w:vAlign w:val="center"/>
            <w:hideMark/>
          </w:tcPr>
          <w:p w14:paraId="086819A7" w14:textId="77777777" w:rsidR="00171525" w:rsidRPr="005954E3" w:rsidRDefault="00171525" w:rsidP="00171525">
            <w:pPr>
              <w:pStyle w:val="tabletextleft"/>
              <w:spacing w:before="40" w:after="40"/>
              <w:rPr>
                <w:szCs w:val="18"/>
              </w:rPr>
            </w:pPr>
            <w:r w:rsidRPr="005954E3">
              <w:rPr>
                <w:szCs w:val="18"/>
              </w:rPr>
              <w:t>1а. Инвестиции, напълно обезпечени с приходи от европейските фондове</w:t>
            </w:r>
          </w:p>
        </w:tc>
        <w:tc>
          <w:tcPr>
            <w:tcW w:w="868" w:type="dxa"/>
            <w:noWrap/>
            <w:vAlign w:val="center"/>
          </w:tcPr>
          <w:p w14:paraId="1CACE327" w14:textId="4C52704F" w:rsidR="00171525" w:rsidRPr="005954E3" w:rsidRDefault="00171525" w:rsidP="00171525">
            <w:pPr>
              <w:pStyle w:val="tabletextleft"/>
              <w:spacing w:before="40" w:after="40"/>
              <w:jc w:val="right"/>
              <w:rPr>
                <w:szCs w:val="18"/>
              </w:rPr>
            </w:pPr>
            <w:r>
              <w:rPr>
                <w:lang w:val="en-US"/>
              </w:rPr>
              <w:t>739,1</w:t>
            </w:r>
          </w:p>
        </w:tc>
        <w:tc>
          <w:tcPr>
            <w:tcW w:w="869" w:type="dxa"/>
            <w:noWrap/>
            <w:vAlign w:val="center"/>
          </w:tcPr>
          <w:p w14:paraId="2F930D96" w14:textId="7904C462" w:rsidR="00171525" w:rsidRPr="005954E3" w:rsidRDefault="00171525" w:rsidP="00171525">
            <w:pPr>
              <w:pStyle w:val="tabletextleft"/>
              <w:spacing w:before="40" w:after="40"/>
              <w:jc w:val="right"/>
              <w:rPr>
                <w:szCs w:val="18"/>
              </w:rPr>
            </w:pPr>
            <w:r w:rsidRPr="00056CC8">
              <w:t>0,</w:t>
            </w:r>
            <w:r>
              <w:rPr>
                <w:lang w:val="en-US"/>
              </w:rPr>
              <w:t>4</w:t>
            </w:r>
          </w:p>
        </w:tc>
        <w:tc>
          <w:tcPr>
            <w:tcW w:w="868" w:type="dxa"/>
            <w:noWrap/>
            <w:vAlign w:val="center"/>
          </w:tcPr>
          <w:p w14:paraId="377CF2BC" w14:textId="56E2595B" w:rsidR="00171525" w:rsidRPr="005954E3" w:rsidRDefault="00171525" w:rsidP="00171525">
            <w:pPr>
              <w:pStyle w:val="tabletextleft"/>
              <w:spacing w:before="40" w:after="40"/>
              <w:jc w:val="right"/>
              <w:rPr>
                <w:szCs w:val="18"/>
              </w:rPr>
            </w:pPr>
            <w:r w:rsidRPr="00056CC8">
              <w:t>0,</w:t>
            </w:r>
            <w:r>
              <w:rPr>
                <w:lang w:val="en-US"/>
              </w:rPr>
              <w:t>7</w:t>
            </w:r>
          </w:p>
        </w:tc>
        <w:tc>
          <w:tcPr>
            <w:tcW w:w="868" w:type="dxa"/>
            <w:noWrap/>
            <w:vAlign w:val="center"/>
          </w:tcPr>
          <w:p w14:paraId="4F78D576" w14:textId="1EAB7ED2" w:rsidR="00171525" w:rsidRPr="005954E3" w:rsidRDefault="00171525" w:rsidP="00171525">
            <w:pPr>
              <w:pStyle w:val="tabletextleft"/>
              <w:spacing w:before="40" w:after="40"/>
              <w:jc w:val="right"/>
              <w:rPr>
                <w:szCs w:val="18"/>
              </w:rPr>
            </w:pPr>
            <w:r w:rsidRPr="00056CC8">
              <w:t>1,</w:t>
            </w:r>
            <w:r>
              <w:rPr>
                <w:lang w:val="en-US"/>
              </w:rPr>
              <w:t>9</w:t>
            </w:r>
          </w:p>
        </w:tc>
        <w:tc>
          <w:tcPr>
            <w:tcW w:w="868" w:type="dxa"/>
            <w:noWrap/>
            <w:vAlign w:val="center"/>
          </w:tcPr>
          <w:p w14:paraId="69A1EE6D" w14:textId="3E65B9CB" w:rsidR="00171525" w:rsidRPr="005954E3" w:rsidRDefault="00171525" w:rsidP="00171525">
            <w:pPr>
              <w:pStyle w:val="tabletextleft"/>
              <w:spacing w:before="40" w:after="40"/>
              <w:jc w:val="right"/>
              <w:rPr>
                <w:szCs w:val="18"/>
              </w:rPr>
            </w:pPr>
            <w:r w:rsidRPr="00056CC8">
              <w:t>1,</w:t>
            </w:r>
            <w:r>
              <w:rPr>
                <w:lang w:val="en-US"/>
              </w:rPr>
              <w:t>4</w:t>
            </w:r>
          </w:p>
        </w:tc>
        <w:tc>
          <w:tcPr>
            <w:tcW w:w="868" w:type="dxa"/>
            <w:vAlign w:val="center"/>
          </w:tcPr>
          <w:p w14:paraId="0444AE48" w14:textId="04A67D01" w:rsidR="00171525" w:rsidRPr="005954E3" w:rsidRDefault="00171525" w:rsidP="00171525">
            <w:pPr>
              <w:pStyle w:val="tabletextleft"/>
              <w:spacing w:before="40" w:after="40"/>
              <w:jc w:val="right"/>
              <w:rPr>
                <w:szCs w:val="18"/>
              </w:rPr>
            </w:pPr>
            <w:r w:rsidRPr="00056CC8">
              <w:t>0,</w:t>
            </w:r>
            <w:r>
              <w:rPr>
                <w:lang w:val="en-US"/>
              </w:rPr>
              <w:t>7</w:t>
            </w:r>
          </w:p>
        </w:tc>
      </w:tr>
      <w:tr w:rsidR="00171525" w:rsidRPr="005954E3" w14:paraId="1B44465B" w14:textId="77777777" w:rsidTr="009C744C">
        <w:trPr>
          <w:trHeight w:val="340"/>
          <w:jc w:val="center"/>
        </w:trPr>
        <w:tc>
          <w:tcPr>
            <w:tcW w:w="3855" w:type="dxa"/>
            <w:noWrap/>
            <w:vAlign w:val="center"/>
            <w:hideMark/>
          </w:tcPr>
          <w:p w14:paraId="50E2F0E9" w14:textId="77777777" w:rsidR="00171525" w:rsidRPr="005954E3" w:rsidRDefault="00171525" w:rsidP="00171525">
            <w:pPr>
              <w:pStyle w:val="tabletextleft"/>
              <w:spacing w:before="40" w:after="40"/>
              <w:rPr>
                <w:szCs w:val="18"/>
              </w:rPr>
            </w:pPr>
            <w:r w:rsidRPr="005954E3">
              <w:rPr>
                <w:szCs w:val="18"/>
              </w:rPr>
              <w:t xml:space="preserve">2. Циклична компонента на разходите за обезщетения при безработица </w:t>
            </w:r>
          </w:p>
        </w:tc>
        <w:tc>
          <w:tcPr>
            <w:tcW w:w="868" w:type="dxa"/>
            <w:noWrap/>
            <w:vAlign w:val="center"/>
          </w:tcPr>
          <w:p w14:paraId="2D40EEB7" w14:textId="2B2EA25B" w:rsidR="00171525" w:rsidRPr="005954E3" w:rsidRDefault="00171525" w:rsidP="00171525">
            <w:pPr>
              <w:pStyle w:val="tabletextleft"/>
              <w:spacing w:before="40" w:after="40"/>
              <w:jc w:val="right"/>
              <w:rPr>
                <w:szCs w:val="18"/>
              </w:rPr>
            </w:pPr>
            <w:r w:rsidRPr="00056CC8">
              <w:t>412,6</w:t>
            </w:r>
          </w:p>
        </w:tc>
        <w:tc>
          <w:tcPr>
            <w:tcW w:w="869" w:type="dxa"/>
            <w:noWrap/>
            <w:vAlign w:val="center"/>
          </w:tcPr>
          <w:p w14:paraId="2F12B4AE" w14:textId="14510B09" w:rsidR="00171525" w:rsidRPr="005954E3" w:rsidRDefault="00171525" w:rsidP="00171525">
            <w:pPr>
              <w:pStyle w:val="tabletextleft"/>
              <w:spacing w:before="40" w:after="40"/>
              <w:jc w:val="right"/>
              <w:rPr>
                <w:szCs w:val="18"/>
              </w:rPr>
            </w:pPr>
            <w:r w:rsidRPr="00056CC8">
              <w:t>0,2</w:t>
            </w:r>
          </w:p>
        </w:tc>
        <w:tc>
          <w:tcPr>
            <w:tcW w:w="868" w:type="dxa"/>
            <w:noWrap/>
            <w:vAlign w:val="center"/>
          </w:tcPr>
          <w:p w14:paraId="7BAA34A6" w14:textId="05059675" w:rsidR="00171525" w:rsidRPr="005954E3" w:rsidRDefault="00171525" w:rsidP="00171525">
            <w:pPr>
              <w:pStyle w:val="tabletextleft"/>
              <w:spacing w:before="40" w:after="40"/>
              <w:jc w:val="right"/>
              <w:rPr>
                <w:szCs w:val="18"/>
              </w:rPr>
            </w:pPr>
            <w:r w:rsidRPr="00056CC8">
              <w:t>0,3</w:t>
            </w:r>
          </w:p>
        </w:tc>
        <w:tc>
          <w:tcPr>
            <w:tcW w:w="868" w:type="dxa"/>
            <w:noWrap/>
            <w:vAlign w:val="center"/>
          </w:tcPr>
          <w:p w14:paraId="4BB2C269" w14:textId="6B72B67A" w:rsidR="00171525" w:rsidRPr="005954E3" w:rsidRDefault="00171525" w:rsidP="00171525">
            <w:pPr>
              <w:pStyle w:val="tabletextleft"/>
              <w:spacing w:before="40" w:after="40"/>
              <w:jc w:val="right"/>
              <w:rPr>
                <w:szCs w:val="18"/>
              </w:rPr>
            </w:pPr>
            <w:r w:rsidRPr="00056CC8">
              <w:t>0,2</w:t>
            </w:r>
          </w:p>
        </w:tc>
        <w:tc>
          <w:tcPr>
            <w:tcW w:w="868" w:type="dxa"/>
            <w:noWrap/>
            <w:vAlign w:val="center"/>
          </w:tcPr>
          <w:p w14:paraId="23D90499" w14:textId="6E7DD860" w:rsidR="00171525" w:rsidRPr="005954E3" w:rsidRDefault="00171525" w:rsidP="00171525">
            <w:pPr>
              <w:pStyle w:val="tabletextleft"/>
              <w:spacing w:before="40" w:after="40"/>
              <w:jc w:val="right"/>
              <w:rPr>
                <w:szCs w:val="18"/>
              </w:rPr>
            </w:pPr>
            <w:r w:rsidRPr="00056CC8">
              <w:t>0,2</w:t>
            </w:r>
          </w:p>
        </w:tc>
        <w:tc>
          <w:tcPr>
            <w:tcW w:w="868" w:type="dxa"/>
            <w:vAlign w:val="center"/>
          </w:tcPr>
          <w:p w14:paraId="57921BE0" w14:textId="562C3DBD" w:rsidR="00171525" w:rsidRPr="005954E3" w:rsidRDefault="00171525" w:rsidP="00171525">
            <w:pPr>
              <w:pStyle w:val="tabletextleft"/>
              <w:spacing w:before="40" w:after="40"/>
              <w:jc w:val="right"/>
              <w:rPr>
                <w:szCs w:val="18"/>
              </w:rPr>
            </w:pPr>
            <w:r w:rsidRPr="00056CC8">
              <w:t>0,2</w:t>
            </w:r>
          </w:p>
        </w:tc>
      </w:tr>
      <w:tr w:rsidR="00171525" w:rsidRPr="005954E3" w14:paraId="75FA3442" w14:textId="77777777" w:rsidTr="009C744C">
        <w:trPr>
          <w:trHeight w:val="340"/>
          <w:jc w:val="center"/>
        </w:trPr>
        <w:tc>
          <w:tcPr>
            <w:tcW w:w="3855" w:type="dxa"/>
            <w:noWrap/>
            <w:vAlign w:val="center"/>
            <w:hideMark/>
          </w:tcPr>
          <w:p w14:paraId="254BCCB4" w14:textId="77777777" w:rsidR="00171525" w:rsidRPr="005954E3" w:rsidRDefault="00171525" w:rsidP="00171525">
            <w:pPr>
              <w:pStyle w:val="tabletextleft"/>
              <w:spacing w:before="40" w:after="40"/>
              <w:rPr>
                <w:szCs w:val="18"/>
              </w:rPr>
            </w:pPr>
            <w:r w:rsidRPr="005954E3">
              <w:rPr>
                <w:szCs w:val="18"/>
              </w:rPr>
              <w:t xml:space="preserve">3. Ефект от дискреционни мерки в </w:t>
            </w:r>
            <w:r w:rsidRPr="005954E3">
              <w:rPr>
                <w:szCs w:val="18"/>
              </w:rPr>
              <w:br/>
              <w:t xml:space="preserve">приходната част </w:t>
            </w:r>
          </w:p>
        </w:tc>
        <w:tc>
          <w:tcPr>
            <w:tcW w:w="868" w:type="dxa"/>
            <w:noWrap/>
            <w:vAlign w:val="center"/>
          </w:tcPr>
          <w:p w14:paraId="67F8DF58" w14:textId="6B53564E" w:rsidR="00171525" w:rsidRPr="005954E3" w:rsidRDefault="00171525" w:rsidP="00171525">
            <w:pPr>
              <w:pStyle w:val="tabletextleft"/>
              <w:spacing w:before="40" w:after="40"/>
              <w:jc w:val="right"/>
              <w:rPr>
                <w:szCs w:val="18"/>
              </w:rPr>
            </w:pPr>
            <w:r w:rsidRPr="00056CC8">
              <w:t>3</w:t>
            </w:r>
            <w:r>
              <w:rPr>
                <w:lang w:val="en-US"/>
              </w:rPr>
              <w:t xml:space="preserve"> </w:t>
            </w:r>
            <w:r w:rsidRPr="00056CC8">
              <w:t>012,4</w:t>
            </w:r>
          </w:p>
        </w:tc>
        <w:tc>
          <w:tcPr>
            <w:tcW w:w="869" w:type="dxa"/>
            <w:noWrap/>
            <w:vAlign w:val="center"/>
          </w:tcPr>
          <w:p w14:paraId="519D1786" w14:textId="11F7F7F4" w:rsidR="00171525" w:rsidRPr="005954E3" w:rsidRDefault="00171525" w:rsidP="00171525">
            <w:pPr>
              <w:pStyle w:val="tabletextleft"/>
              <w:spacing w:before="40" w:after="40"/>
              <w:jc w:val="right"/>
              <w:rPr>
                <w:szCs w:val="18"/>
              </w:rPr>
            </w:pPr>
            <w:r w:rsidRPr="00056CC8">
              <w:t>1,8</w:t>
            </w:r>
          </w:p>
        </w:tc>
        <w:tc>
          <w:tcPr>
            <w:tcW w:w="868" w:type="dxa"/>
            <w:noWrap/>
            <w:vAlign w:val="center"/>
          </w:tcPr>
          <w:p w14:paraId="129C4061" w14:textId="4179FAD0" w:rsidR="00171525" w:rsidRPr="005954E3" w:rsidRDefault="00171525" w:rsidP="00171525">
            <w:pPr>
              <w:pStyle w:val="tabletextleft"/>
              <w:spacing w:before="40" w:after="40"/>
              <w:jc w:val="right"/>
              <w:rPr>
                <w:szCs w:val="18"/>
              </w:rPr>
            </w:pPr>
            <w:r w:rsidRPr="00056CC8">
              <w:t>-2,1</w:t>
            </w:r>
          </w:p>
        </w:tc>
        <w:tc>
          <w:tcPr>
            <w:tcW w:w="868" w:type="dxa"/>
            <w:noWrap/>
            <w:vAlign w:val="center"/>
          </w:tcPr>
          <w:p w14:paraId="0F5E94C5" w14:textId="7F3ADB92" w:rsidR="00171525" w:rsidRPr="005954E3" w:rsidRDefault="00171525" w:rsidP="00171525">
            <w:pPr>
              <w:pStyle w:val="tabletextleft"/>
              <w:spacing w:before="40" w:after="40"/>
              <w:jc w:val="right"/>
              <w:rPr>
                <w:szCs w:val="18"/>
              </w:rPr>
            </w:pPr>
            <w:r w:rsidRPr="00056CC8">
              <w:t>0,1</w:t>
            </w:r>
          </w:p>
        </w:tc>
        <w:tc>
          <w:tcPr>
            <w:tcW w:w="868" w:type="dxa"/>
            <w:noWrap/>
            <w:vAlign w:val="center"/>
          </w:tcPr>
          <w:p w14:paraId="3A7E00A4" w14:textId="5F88E93D" w:rsidR="00171525" w:rsidRPr="005954E3" w:rsidRDefault="00171525" w:rsidP="00171525">
            <w:pPr>
              <w:pStyle w:val="tabletextleft"/>
              <w:spacing w:before="40" w:after="40"/>
              <w:jc w:val="right"/>
              <w:rPr>
                <w:szCs w:val="18"/>
              </w:rPr>
            </w:pPr>
            <w:r w:rsidRPr="00056CC8">
              <w:t>0,4</w:t>
            </w:r>
          </w:p>
        </w:tc>
        <w:tc>
          <w:tcPr>
            <w:tcW w:w="868" w:type="dxa"/>
            <w:vAlign w:val="center"/>
          </w:tcPr>
          <w:p w14:paraId="0EEB5A77" w14:textId="24981949" w:rsidR="00171525" w:rsidRPr="005954E3" w:rsidRDefault="00171525" w:rsidP="00171525">
            <w:pPr>
              <w:pStyle w:val="tabletextleft"/>
              <w:spacing w:before="40" w:after="40"/>
              <w:jc w:val="right"/>
              <w:rPr>
                <w:szCs w:val="18"/>
              </w:rPr>
            </w:pPr>
            <w:r w:rsidRPr="00056CC8">
              <w:t>0,3</w:t>
            </w:r>
          </w:p>
        </w:tc>
      </w:tr>
      <w:tr w:rsidR="00171525" w:rsidRPr="005954E3" w14:paraId="73EBE461" w14:textId="77777777" w:rsidTr="009C744C">
        <w:trPr>
          <w:trHeight w:val="340"/>
          <w:jc w:val="center"/>
        </w:trPr>
        <w:tc>
          <w:tcPr>
            <w:tcW w:w="3855" w:type="dxa"/>
            <w:noWrap/>
            <w:vAlign w:val="center"/>
            <w:hideMark/>
          </w:tcPr>
          <w:p w14:paraId="1AB3CE8D" w14:textId="77777777" w:rsidR="00171525" w:rsidRPr="005954E3" w:rsidRDefault="00171525" w:rsidP="00171525">
            <w:pPr>
              <w:pStyle w:val="tabletextleft"/>
              <w:spacing w:before="40" w:after="40"/>
              <w:rPr>
                <w:szCs w:val="18"/>
              </w:rPr>
            </w:pPr>
            <w:r w:rsidRPr="005954E3">
              <w:rPr>
                <w:szCs w:val="18"/>
              </w:rPr>
              <w:t xml:space="preserve">4. Законово установени увеличения </w:t>
            </w:r>
            <w:r w:rsidRPr="005954E3">
              <w:rPr>
                <w:szCs w:val="18"/>
              </w:rPr>
              <w:br/>
              <w:t>на приходите</w:t>
            </w:r>
          </w:p>
        </w:tc>
        <w:tc>
          <w:tcPr>
            <w:tcW w:w="868" w:type="dxa"/>
            <w:noWrap/>
            <w:vAlign w:val="center"/>
          </w:tcPr>
          <w:p w14:paraId="7F07B363" w14:textId="402A865F" w:rsidR="00171525" w:rsidRPr="005954E3" w:rsidRDefault="00171525" w:rsidP="00171525">
            <w:pPr>
              <w:pStyle w:val="tabletextleft"/>
              <w:spacing w:before="40" w:after="40"/>
              <w:jc w:val="right"/>
              <w:rPr>
                <w:szCs w:val="18"/>
              </w:rPr>
            </w:pPr>
          </w:p>
        </w:tc>
        <w:tc>
          <w:tcPr>
            <w:tcW w:w="869" w:type="dxa"/>
            <w:noWrap/>
            <w:vAlign w:val="center"/>
          </w:tcPr>
          <w:p w14:paraId="6579D7B2" w14:textId="3A433A90" w:rsidR="00171525" w:rsidRPr="005954E3" w:rsidRDefault="00171525" w:rsidP="00171525">
            <w:pPr>
              <w:pStyle w:val="tabletextleft"/>
              <w:spacing w:before="40" w:after="40"/>
              <w:jc w:val="right"/>
              <w:rPr>
                <w:szCs w:val="18"/>
              </w:rPr>
            </w:pPr>
          </w:p>
        </w:tc>
        <w:tc>
          <w:tcPr>
            <w:tcW w:w="868" w:type="dxa"/>
            <w:noWrap/>
            <w:vAlign w:val="center"/>
          </w:tcPr>
          <w:p w14:paraId="0E54B5E3" w14:textId="2D97F949" w:rsidR="00171525" w:rsidRPr="005954E3" w:rsidRDefault="00171525" w:rsidP="00171525">
            <w:pPr>
              <w:pStyle w:val="tabletextleft"/>
              <w:spacing w:before="40" w:after="40"/>
              <w:jc w:val="right"/>
              <w:rPr>
                <w:szCs w:val="18"/>
              </w:rPr>
            </w:pPr>
          </w:p>
        </w:tc>
        <w:tc>
          <w:tcPr>
            <w:tcW w:w="868" w:type="dxa"/>
            <w:noWrap/>
            <w:vAlign w:val="center"/>
          </w:tcPr>
          <w:p w14:paraId="62D2805B" w14:textId="7DB1EB2C" w:rsidR="00171525" w:rsidRPr="005954E3" w:rsidRDefault="00171525" w:rsidP="00171525">
            <w:pPr>
              <w:pStyle w:val="tabletextleft"/>
              <w:spacing w:before="40" w:after="40"/>
              <w:jc w:val="right"/>
              <w:rPr>
                <w:szCs w:val="18"/>
              </w:rPr>
            </w:pPr>
          </w:p>
        </w:tc>
        <w:tc>
          <w:tcPr>
            <w:tcW w:w="868" w:type="dxa"/>
            <w:noWrap/>
            <w:vAlign w:val="center"/>
          </w:tcPr>
          <w:p w14:paraId="40931A6B" w14:textId="57F8C532" w:rsidR="00171525" w:rsidRPr="005954E3" w:rsidRDefault="00171525" w:rsidP="00171525">
            <w:pPr>
              <w:pStyle w:val="tabletextleft"/>
              <w:spacing w:before="40" w:after="40"/>
              <w:jc w:val="right"/>
              <w:rPr>
                <w:szCs w:val="18"/>
              </w:rPr>
            </w:pPr>
          </w:p>
        </w:tc>
        <w:tc>
          <w:tcPr>
            <w:tcW w:w="868" w:type="dxa"/>
            <w:vAlign w:val="center"/>
          </w:tcPr>
          <w:p w14:paraId="66696245" w14:textId="488CADEA" w:rsidR="00171525" w:rsidRPr="005954E3" w:rsidRDefault="00171525" w:rsidP="00171525">
            <w:pPr>
              <w:pStyle w:val="tabletextleft"/>
              <w:spacing w:before="40" w:after="40"/>
              <w:jc w:val="right"/>
              <w:rPr>
                <w:szCs w:val="18"/>
              </w:rPr>
            </w:pPr>
          </w:p>
        </w:tc>
      </w:tr>
    </w:tbl>
    <w:p w14:paraId="3BA54BFC" w14:textId="77777777" w:rsidR="006D2755" w:rsidRPr="005954E3" w:rsidRDefault="006D2755" w:rsidP="006D2755"/>
    <w:p w14:paraId="4F60C801" w14:textId="77777777" w:rsidR="006D2755" w:rsidRPr="005954E3" w:rsidRDefault="006D2755" w:rsidP="006D2755"/>
    <w:p w14:paraId="4EE5B6D0" w14:textId="77777777" w:rsidR="006D2755" w:rsidRPr="005954E3" w:rsidRDefault="006D2755" w:rsidP="00EE53B2">
      <w:pPr>
        <w:pStyle w:val="Heading2"/>
        <w:numPr>
          <w:ilvl w:val="0"/>
          <w:numId w:val="0"/>
        </w:numPr>
      </w:pPr>
      <w:bookmarkStart w:id="182" w:name="_Toc448227318"/>
      <w:bookmarkStart w:id="183" w:name="_Toc479332469"/>
      <w:bookmarkStart w:id="184" w:name="_Toc133597300"/>
      <w:r w:rsidRPr="005954E3">
        <w:t>Табл. 3: Държавни разходи по функции</w:t>
      </w:r>
      <w:bookmarkEnd w:id="182"/>
      <w:bookmarkEnd w:id="183"/>
      <w:bookmarkEnd w:id="184"/>
    </w:p>
    <w:tbl>
      <w:tblPr>
        <w:tblStyle w:val="Style1"/>
        <w:tblW w:w="5000"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CellMar>
          <w:top w:w="28" w:type="dxa"/>
          <w:left w:w="85" w:type="dxa"/>
          <w:bottom w:w="28" w:type="dxa"/>
          <w:right w:w="85" w:type="dxa"/>
        </w:tblCellMar>
        <w:tblLook w:val="0620" w:firstRow="1" w:lastRow="0" w:firstColumn="0" w:lastColumn="0" w:noHBand="1" w:noVBand="1"/>
      </w:tblPr>
      <w:tblGrid>
        <w:gridCol w:w="5195"/>
        <w:gridCol w:w="1248"/>
        <w:gridCol w:w="1248"/>
        <w:gridCol w:w="1373"/>
      </w:tblGrid>
      <w:tr w:rsidR="006D2755" w:rsidRPr="005954E3" w14:paraId="3CBBD3E7" w14:textId="77777777" w:rsidTr="006D2755">
        <w:trPr>
          <w:trHeight w:val="20"/>
          <w:jc w:val="center"/>
        </w:trPr>
        <w:tc>
          <w:tcPr>
            <w:tcW w:w="5195" w:type="dxa"/>
            <w:shd w:val="clear" w:color="auto" w:fill="auto"/>
            <w:vAlign w:val="center"/>
            <w:hideMark/>
          </w:tcPr>
          <w:p w14:paraId="5DA32B58" w14:textId="77777777" w:rsidR="006D2755" w:rsidRPr="005954E3" w:rsidRDefault="006D2755" w:rsidP="006D2755">
            <w:pPr>
              <w:pStyle w:val="tabletextleft"/>
              <w:rPr>
                <w:b/>
              </w:rPr>
            </w:pPr>
            <w:r w:rsidRPr="005954E3">
              <w:rPr>
                <w:b/>
              </w:rPr>
              <w:t>% от БВП</w:t>
            </w:r>
          </w:p>
        </w:tc>
        <w:tc>
          <w:tcPr>
            <w:tcW w:w="1248" w:type="dxa"/>
            <w:shd w:val="clear" w:color="auto" w:fill="auto"/>
            <w:vAlign w:val="center"/>
            <w:hideMark/>
          </w:tcPr>
          <w:p w14:paraId="57C2AA61" w14:textId="77777777" w:rsidR="006D2755" w:rsidRPr="005954E3" w:rsidRDefault="006D2755" w:rsidP="006D2755">
            <w:pPr>
              <w:pStyle w:val="tabletextleft"/>
              <w:jc w:val="center"/>
              <w:rPr>
                <w:b/>
              </w:rPr>
            </w:pPr>
            <w:r w:rsidRPr="005954E3">
              <w:rPr>
                <w:b/>
              </w:rPr>
              <w:t>Код по ЕСС 2010</w:t>
            </w:r>
          </w:p>
        </w:tc>
        <w:tc>
          <w:tcPr>
            <w:tcW w:w="1248" w:type="dxa"/>
            <w:shd w:val="clear" w:color="auto" w:fill="auto"/>
            <w:vAlign w:val="center"/>
            <w:hideMark/>
          </w:tcPr>
          <w:p w14:paraId="620F3C27" w14:textId="77777777" w:rsidR="006D2755" w:rsidRPr="005954E3" w:rsidRDefault="006D2755" w:rsidP="006D2755">
            <w:pPr>
              <w:pStyle w:val="tabletextleft"/>
              <w:jc w:val="center"/>
              <w:rPr>
                <w:b/>
              </w:rPr>
            </w:pPr>
            <w:r w:rsidRPr="005954E3">
              <w:rPr>
                <w:b/>
              </w:rPr>
              <w:t>2021</w:t>
            </w:r>
          </w:p>
        </w:tc>
        <w:tc>
          <w:tcPr>
            <w:tcW w:w="1373" w:type="dxa"/>
            <w:shd w:val="clear" w:color="auto" w:fill="auto"/>
            <w:vAlign w:val="center"/>
            <w:hideMark/>
          </w:tcPr>
          <w:p w14:paraId="7D839A1A" w14:textId="77777777" w:rsidR="006D2755" w:rsidRPr="005954E3" w:rsidRDefault="006D2755" w:rsidP="006D2755">
            <w:pPr>
              <w:pStyle w:val="tabletextleft"/>
              <w:jc w:val="center"/>
              <w:rPr>
                <w:b/>
              </w:rPr>
            </w:pPr>
            <w:r w:rsidRPr="005954E3">
              <w:rPr>
                <w:b/>
              </w:rPr>
              <w:t>2026</w:t>
            </w:r>
          </w:p>
        </w:tc>
      </w:tr>
      <w:tr w:rsidR="00171525" w:rsidRPr="005954E3" w14:paraId="251C47BC" w14:textId="77777777" w:rsidTr="00D258DC">
        <w:trPr>
          <w:trHeight w:val="20"/>
          <w:jc w:val="center"/>
        </w:trPr>
        <w:tc>
          <w:tcPr>
            <w:tcW w:w="5195" w:type="dxa"/>
            <w:vAlign w:val="center"/>
            <w:hideMark/>
          </w:tcPr>
          <w:p w14:paraId="0CBD1385" w14:textId="77777777" w:rsidR="00171525" w:rsidRPr="005954E3" w:rsidRDefault="00171525" w:rsidP="00171525">
            <w:pPr>
              <w:pStyle w:val="tabletextleft"/>
              <w:spacing w:before="40" w:after="40"/>
            </w:pPr>
            <w:r w:rsidRPr="005954E3">
              <w:t>1. Общи държавни служби</w:t>
            </w:r>
          </w:p>
        </w:tc>
        <w:tc>
          <w:tcPr>
            <w:tcW w:w="1248" w:type="dxa"/>
            <w:vAlign w:val="center"/>
            <w:hideMark/>
          </w:tcPr>
          <w:p w14:paraId="4CA29D8C" w14:textId="77777777" w:rsidR="00171525" w:rsidRPr="005954E3" w:rsidRDefault="00171525" w:rsidP="00171525">
            <w:pPr>
              <w:pStyle w:val="tabletextleft"/>
              <w:spacing w:before="40" w:after="40"/>
              <w:jc w:val="center"/>
            </w:pPr>
            <w:r w:rsidRPr="005954E3">
              <w:t>1</w:t>
            </w:r>
          </w:p>
        </w:tc>
        <w:tc>
          <w:tcPr>
            <w:tcW w:w="1248" w:type="dxa"/>
            <w:vAlign w:val="bottom"/>
          </w:tcPr>
          <w:p w14:paraId="1582E199" w14:textId="7A8450BA" w:rsidR="00171525" w:rsidRPr="005954E3" w:rsidRDefault="00171525" w:rsidP="00171525">
            <w:pPr>
              <w:pStyle w:val="tabletextleft"/>
              <w:spacing w:before="40" w:after="40"/>
              <w:jc w:val="center"/>
            </w:pPr>
            <w:r w:rsidRPr="00693BB7">
              <w:t>3,5</w:t>
            </w:r>
          </w:p>
        </w:tc>
        <w:tc>
          <w:tcPr>
            <w:tcW w:w="1373" w:type="dxa"/>
            <w:vAlign w:val="bottom"/>
          </w:tcPr>
          <w:p w14:paraId="591566F9" w14:textId="188F4D72" w:rsidR="00171525" w:rsidRPr="005954E3" w:rsidRDefault="00171525" w:rsidP="00171525">
            <w:pPr>
              <w:pStyle w:val="tabletextleft"/>
              <w:spacing w:before="40" w:after="40"/>
              <w:jc w:val="center"/>
            </w:pPr>
            <w:r w:rsidRPr="00693BB7">
              <w:t>4,2</w:t>
            </w:r>
          </w:p>
        </w:tc>
      </w:tr>
      <w:tr w:rsidR="00171525" w:rsidRPr="005954E3" w14:paraId="43C5BA17" w14:textId="77777777" w:rsidTr="00D258DC">
        <w:trPr>
          <w:trHeight w:val="20"/>
          <w:jc w:val="center"/>
        </w:trPr>
        <w:tc>
          <w:tcPr>
            <w:tcW w:w="5195" w:type="dxa"/>
            <w:vAlign w:val="center"/>
            <w:hideMark/>
          </w:tcPr>
          <w:p w14:paraId="48F8B2A4" w14:textId="77777777" w:rsidR="00171525" w:rsidRPr="005954E3" w:rsidRDefault="00171525" w:rsidP="00171525">
            <w:pPr>
              <w:pStyle w:val="tabletextleft"/>
              <w:spacing w:before="40" w:after="40"/>
            </w:pPr>
            <w:r w:rsidRPr="005954E3">
              <w:t>2. Отбрана</w:t>
            </w:r>
          </w:p>
        </w:tc>
        <w:tc>
          <w:tcPr>
            <w:tcW w:w="1248" w:type="dxa"/>
            <w:vAlign w:val="center"/>
            <w:hideMark/>
          </w:tcPr>
          <w:p w14:paraId="07EA1207" w14:textId="77777777" w:rsidR="00171525" w:rsidRPr="005954E3" w:rsidRDefault="00171525" w:rsidP="00171525">
            <w:pPr>
              <w:pStyle w:val="tabletextleft"/>
              <w:spacing w:before="40" w:after="40"/>
              <w:jc w:val="center"/>
            </w:pPr>
            <w:r w:rsidRPr="005954E3">
              <w:t>2</w:t>
            </w:r>
          </w:p>
        </w:tc>
        <w:tc>
          <w:tcPr>
            <w:tcW w:w="1248" w:type="dxa"/>
            <w:vAlign w:val="bottom"/>
          </w:tcPr>
          <w:p w14:paraId="39C23EDB" w14:textId="67B9BD40" w:rsidR="00171525" w:rsidRPr="005954E3" w:rsidRDefault="00171525" w:rsidP="00171525">
            <w:pPr>
              <w:pStyle w:val="tabletextleft"/>
              <w:spacing w:before="40" w:after="40"/>
              <w:jc w:val="center"/>
            </w:pPr>
            <w:r w:rsidRPr="00693BB7">
              <w:t>1,6</w:t>
            </w:r>
          </w:p>
        </w:tc>
        <w:tc>
          <w:tcPr>
            <w:tcW w:w="1373" w:type="dxa"/>
            <w:vAlign w:val="bottom"/>
          </w:tcPr>
          <w:p w14:paraId="6BF226C1" w14:textId="5BF40F2C" w:rsidR="00171525" w:rsidRPr="005954E3" w:rsidRDefault="00171525" w:rsidP="00171525">
            <w:pPr>
              <w:pStyle w:val="tabletextleft"/>
              <w:spacing w:before="40" w:after="40"/>
              <w:jc w:val="center"/>
            </w:pPr>
            <w:r w:rsidRPr="00693BB7">
              <w:t>1,7</w:t>
            </w:r>
          </w:p>
        </w:tc>
      </w:tr>
      <w:tr w:rsidR="00171525" w:rsidRPr="005954E3" w14:paraId="2B182546" w14:textId="77777777" w:rsidTr="00D258DC">
        <w:trPr>
          <w:trHeight w:val="20"/>
          <w:jc w:val="center"/>
        </w:trPr>
        <w:tc>
          <w:tcPr>
            <w:tcW w:w="5195" w:type="dxa"/>
            <w:vAlign w:val="center"/>
            <w:hideMark/>
          </w:tcPr>
          <w:p w14:paraId="1380E77D" w14:textId="77777777" w:rsidR="00171525" w:rsidRPr="005954E3" w:rsidRDefault="00171525" w:rsidP="00171525">
            <w:pPr>
              <w:pStyle w:val="tabletextleft"/>
              <w:spacing w:before="40" w:after="40"/>
            </w:pPr>
            <w:r w:rsidRPr="005954E3">
              <w:t>3. Обществен ред и сигурност</w:t>
            </w:r>
          </w:p>
        </w:tc>
        <w:tc>
          <w:tcPr>
            <w:tcW w:w="1248" w:type="dxa"/>
            <w:vAlign w:val="center"/>
            <w:hideMark/>
          </w:tcPr>
          <w:p w14:paraId="533D65CC" w14:textId="77777777" w:rsidR="00171525" w:rsidRPr="005954E3" w:rsidRDefault="00171525" w:rsidP="00171525">
            <w:pPr>
              <w:pStyle w:val="tabletextleft"/>
              <w:spacing w:before="40" w:after="40"/>
              <w:jc w:val="center"/>
            </w:pPr>
            <w:r w:rsidRPr="005954E3">
              <w:t>3</w:t>
            </w:r>
          </w:p>
        </w:tc>
        <w:tc>
          <w:tcPr>
            <w:tcW w:w="1248" w:type="dxa"/>
            <w:vAlign w:val="bottom"/>
          </w:tcPr>
          <w:p w14:paraId="75773692" w14:textId="686750CB" w:rsidR="00171525" w:rsidRPr="005954E3" w:rsidRDefault="00171525" w:rsidP="00171525">
            <w:pPr>
              <w:pStyle w:val="tabletextleft"/>
              <w:spacing w:before="40" w:after="40"/>
              <w:jc w:val="center"/>
            </w:pPr>
            <w:r w:rsidRPr="00693BB7">
              <w:t>2,7</w:t>
            </w:r>
          </w:p>
        </w:tc>
        <w:tc>
          <w:tcPr>
            <w:tcW w:w="1373" w:type="dxa"/>
            <w:vAlign w:val="bottom"/>
          </w:tcPr>
          <w:p w14:paraId="79757BB7" w14:textId="59B0DA56" w:rsidR="00171525" w:rsidRPr="005954E3" w:rsidRDefault="00171525" w:rsidP="00171525">
            <w:pPr>
              <w:pStyle w:val="tabletextleft"/>
              <w:spacing w:before="40" w:after="40"/>
              <w:jc w:val="center"/>
            </w:pPr>
            <w:r w:rsidRPr="00693BB7">
              <w:t>2,1</w:t>
            </w:r>
          </w:p>
        </w:tc>
      </w:tr>
      <w:tr w:rsidR="00171525" w:rsidRPr="005954E3" w14:paraId="70B66568" w14:textId="77777777" w:rsidTr="00D258DC">
        <w:trPr>
          <w:trHeight w:val="20"/>
          <w:jc w:val="center"/>
        </w:trPr>
        <w:tc>
          <w:tcPr>
            <w:tcW w:w="5195" w:type="dxa"/>
            <w:vAlign w:val="center"/>
            <w:hideMark/>
          </w:tcPr>
          <w:p w14:paraId="585AC9C4" w14:textId="77777777" w:rsidR="00171525" w:rsidRPr="005954E3" w:rsidRDefault="00171525" w:rsidP="00171525">
            <w:pPr>
              <w:pStyle w:val="tabletextleft"/>
              <w:spacing w:before="40" w:after="40"/>
            </w:pPr>
            <w:r w:rsidRPr="005954E3">
              <w:t>4. Икономически дейности</w:t>
            </w:r>
          </w:p>
        </w:tc>
        <w:tc>
          <w:tcPr>
            <w:tcW w:w="1248" w:type="dxa"/>
            <w:vAlign w:val="center"/>
            <w:hideMark/>
          </w:tcPr>
          <w:p w14:paraId="2DFB4E27" w14:textId="77777777" w:rsidR="00171525" w:rsidRPr="005954E3" w:rsidRDefault="00171525" w:rsidP="00171525">
            <w:pPr>
              <w:pStyle w:val="tabletextleft"/>
              <w:spacing w:before="40" w:after="40"/>
              <w:jc w:val="center"/>
            </w:pPr>
            <w:r w:rsidRPr="005954E3">
              <w:t>4</w:t>
            </w:r>
          </w:p>
        </w:tc>
        <w:tc>
          <w:tcPr>
            <w:tcW w:w="1248" w:type="dxa"/>
            <w:vAlign w:val="bottom"/>
          </w:tcPr>
          <w:p w14:paraId="1CF201DE" w14:textId="6CB43737" w:rsidR="00171525" w:rsidRPr="005954E3" w:rsidRDefault="00171525" w:rsidP="00171525">
            <w:pPr>
              <w:pStyle w:val="tabletextleft"/>
              <w:spacing w:before="40" w:after="40"/>
              <w:jc w:val="center"/>
            </w:pPr>
            <w:r w:rsidRPr="00693BB7">
              <w:t>6,7</w:t>
            </w:r>
          </w:p>
        </w:tc>
        <w:tc>
          <w:tcPr>
            <w:tcW w:w="1373" w:type="dxa"/>
            <w:vAlign w:val="bottom"/>
          </w:tcPr>
          <w:p w14:paraId="0B3E5102" w14:textId="058FEF0D" w:rsidR="00171525" w:rsidRPr="005954E3" w:rsidRDefault="00171525" w:rsidP="00171525">
            <w:pPr>
              <w:pStyle w:val="tabletextleft"/>
              <w:spacing w:before="40" w:after="40"/>
              <w:jc w:val="center"/>
            </w:pPr>
            <w:r w:rsidRPr="00693BB7">
              <w:t>5,9</w:t>
            </w:r>
          </w:p>
        </w:tc>
      </w:tr>
      <w:tr w:rsidR="00171525" w:rsidRPr="005954E3" w14:paraId="38D6B048" w14:textId="77777777" w:rsidTr="00D258DC">
        <w:trPr>
          <w:trHeight w:val="20"/>
          <w:jc w:val="center"/>
        </w:trPr>
        <w:tc>
          <w:tcPr>
            <w:tcW w:w="5195" w:type="dxa"/>
            <w:vAlign w:val="center"/>
            <w:hideMark/>
          </w:tcPr>
          <w:p w14:paraId="205D4304" w14:textId="77777777" w:rsidR="00171525" w:rsidRPr="005954E3" w:rsidRDefault="00171525" w:rsidP="00171525">
            <w:pPr>
              <w:pStyle w:val="tabletextleft"/>
              <w:spacing w:before="40" w:after="40"/>
            </w:pPr>
            <w:r w:rsidRPr="005954E3">
              <w:t>5. Опазване на околната среда</w:t>
            </w:r>
          </w:p>
        </w:tc>
        <w:tc>
          <w:tcPr>
            <w:tcW w:w="1248" w:type="dxa"/>
            <w:vAlign w:val="center"/>
            <w:hideMark/>
          </w:tcPr>
          <w:p w14:paraId="34E0AA39" w14:textId="77777777" w:rsidR="00171525" w:rsidRPr="005954E3" w:rsidRDefault="00171525" w:rsidP="00171525">
            <w:pPr>
              <w:pStyle w:val="tabletextleft"/>
              <w:spacing w:before="40" w:after="40"/>
              <w:jc w:val="center"/>
            </w:pPr>
            <w:r w:rsidRPr="005954E3">
              <w:t>5</w:t>
            </w:r>
          </w:p>
        </w:tc>
        <w:tc>
          <w:tcPr>
            <w:tcW w:w="1248" w:type="dxa"/>
            <w:vAlign w:val="bottom"/>
          </w:tcPr>
          <w:p w14:paraId="29EF2845" w14:textId="1112AD96" w:rsidR="00171525" w:rsidRPr="005954E3" w:rsidRDefault="00171525" w:rsidP="00171525">
            <w:pPr>
              <w:pStyle w:val="tabletextleft"/>
              <w:spacing w:before="40" w:after="40"/>
              <w:jc w:val="center"/>
            </w:pPr>
            <w:r w:rsidRPr="00693BB7">
              <w:t>0,8</w:t>
            </w:r>
          </w:p>
        </w:tc>
        <w:tc>
          <w:tcPr>
            <w:tcW w:w="1373" w:type="dxa"/>
            <w:vAlign w:val="bottom"/>
          </w:tcPr>
          <w:p w14:paraId="56E8B78E" w14:textId="76490FE6" w:rsidR="00171525" w:rsidRPr="005954E3" w:rsidRDefault="00171525" w:rsidP="00171525">
            <w:pPr>
              <w:pStyle w:val="tabletextleft"/>
              <w:spacing w:before="40" w:after="40"/>
              <w:jc w:val="center"/>
            </w:pPr>
            <w:r w:rsidRPr="00693BB7">
              <w:t>0,5</w:t>
            </w:r>
          </w:p>
        </w:tc>
      </w:tr>
      <w:tr w:rsidR="00171525" w:rsidRPr="005954E3" w14:paraId="07DC1420" w14:textId="77777777" w:rsidTr="00D258DC">
        <w:trPr>
          <w:trHeight w:val="20"/>
          <w:jc w:val="center"/>
        </w:trPr>
        <w:tc>
          <w:tcPr>
            <w:tcW w:w="5195" w:type="dxa"/>
            <w:vAlign w:val="center"/>
            <w:hideMark/>
          </w:tcPr>
          <w:p w14:paraId="1F359100" w14:textId="77777777" w:rsidR="00171525" w:rsidRPr="005954E3" w:rsidRDefault="00171525" w:rsidP="00171525">
            <w:pPr>
              <w:pStyle w:val="tabletextleft"/>
              <w:spacing w:before="40" w:after="40"/>
            </w:pPr>
            <w:r w:rsidRPr="005954E3">
              <w:t xml:space="preserve">6. Жилищно строителство. благоустройство и </w:t>
            </w:r>
            <w:r w:rsidRPr="005954E3">
              <w:br/>
              <w:t>комунално стопанство</w:t>
            </w:r>
          </w:p>
        </w:tc>
        <w:tc>
          <w:tcPr>
            <w:tcW w:w="1248" w:type="dxa"/>
            <w:vAlign w:val="center"/>
            <w:hideMark/>
          </w:tcPr>
          <w:p w14:paraId="6508747B" w14:textId="77777777" w:rsidR="00171525" w:rsidRPr="005954E3" w:rsidRDefault="00171525" w:rsidP="00171525">
            <w:pPr>
              <w:pStyle w:val="tabletextleft"/>
              <w:spacing w:before="40" w:after="40"/>
              <w:jc w:val="center"/>
            </w:pPr>
            <w:r w:rsidRPr="005954E3">
              <w:t>6</w:t>
            </w:r>
          </w:p>
        </w:tc>
        <w:tc>
          <w:tcPr>
            <w:tcW w:w="1248" w:type="dxa"/>
            <w:vAlign w:val="bottom"/>
          </w:tcPr>
          <w:p w14:paraId="10697777" w14:textId="04A7C713" w:rsidR="00171525" w:rsidRPr="005954E3" w:rsidRDefault="00171525" w:rsidP="00171525">
            <w:pPr>
              <w:pStyle w:val="tabletextleft"/>
              <w:spacing w:before="40" w:after="40"/>
              <w:jc w:val="center"/>
            </w:pPr>
            <w:r w:rsidRPr="00693BB7">
              <w:t>1,0</w:t>
            </w:r>
          </w:p>
        </w:tc>
        <w:tc>
          <w:tcPr>
            <w:tcW w:w="1373" w:type="dxa"/>
            <w:vAlign w:val="bottom"/>
          </w:tcPr>
          <w:p w14:paraId="3918CF78" w14:textId="3FD017A6" w:rsidR="00171525" w:rsidRPr="005954E3" w:rsidRDefault="00171525" w:rsidP="00171525">
            <w:pPr>
              <w:pStyle w:val="tabletextleft"/>
              <w:spacing w:before="40" w:after="40"/>
              <w:jc w:val="center"/>
            </w:pPr>
            <w:r w:rsidRPr="00693BB7">
              <w:t>0,7</w:t>
            </w:r>
          </w:p>
        </w:tc>
      </w:tr>
      <w:tr w:rsidR="00171525" w:rsidRPr="005954E3" w14:paraId="43040D2C" w14:textId="77777777" w:rsidTr="00D258DC">
        <w:trPr>
          <w:trHeight w:val="20"/>
          <w:jc w:val="center"/>
        </w:trPr>
        <w:tc>
          <w:tcPr>
            <w:tcW w:w="5195" w:type="dxa"/>
            <w:vAlign w:val="center"/>
            <w:hideMark/>
          </w:tcPr>
          <w:p w14:paraId="20FCC7D3" w14:textId="77777777" w:rsidR="00171525" w:rsidRPr="005954E3" w:rsidRDefault="00171525" w:rsidP="00171525">
            <w:pPr>
              <w:pStyle w:val="tabletextleft"/>
              <w:spacing w:before="40" w:after="40"/>
            </w:pPr>
            <w:r w:rsidRPr="005954E3">
              <w:t>7. Здравеопазване</w:t>
            </w:r>
          </w:p>
        </w:tc>
        <w:tc>
          <w:tcPr>
            <w:tcW w:w="1248" w:type="dxa"/>
            <w:vAlign w:val="center"/>
            <w:hideMark/>
          </w:tcPr>
          <w:p w14:paraId="1C8AA5F9" w14:textId="77777777" w:rsidR="00171525" w:rsidRPr="005954E3" w:rsidRDefault="00171525" w:rsidP="00171525">
            <w:pPr>
              <w:pStyle w:val="tabletextleft"/>
              <w:spacing w:before="40" w:after="40"/>
              <w:jc w:val="center"/>
            </w:pPr>
            <w:r w:rsidRPr="005954E3">
              <w:t>7</w:t>
            </w:r>
          </w:p>
        </w:tc>
        <w:tc>
          <w:tcPr>
            <w:tcW w:w="1248" w:type="dxa"/>
            <w:vAlign w:val="bottom"/>
          </w:tcPr>
          <w:p w14:paraId="0E0DFD67" w14:textId="74E587F0" w:rsidR="00171525" w:rsidRPr="005954E3" w:rsidRDefault="00171525" w:rsidP="00171525">
            <w:pPr>
              <w:pStyle w:val="tabletextleft"/>
              <w:spacing w:before="40" w:after="40"/>
              <w:jc w:val="center"/>
            </w:pPr>
            <w:r w:rsidRPr="00693BB7">
              <w:t>5,8</w:t>
            </w:r>
          </w:p>
        </w:tc>
        <w:tc>
          <w:tcPr>
            <w:tcW w:w="1373" w:type="dxa"/>
            <w:vAlign w:val="bottom"/>
          </w:tcPr>
          <w:p w14:paraId="49BF17E2" w14:textId="3751BDFD" w:rsidR="00171525" w:rsidRPr="005954E3" w:rsidRDefault="00171525" w:rsidP="00171525">
            <w:pPr>
              <w:pStyle w:val="tabletextleft"/>
              <w:spacing w:before="40" w:after="40"/>
              <w:jc w:val="center"/>
            </w:pPr>
            <w:r w:rsidRPr="00693BB7">
              <w:t>5,4</w:t>
            </w:r>
          </w:p>
        </w:tc>
      </w:tr>
      <w:tr w:rsidR="00171525" w:rsidRPr="005954E3" w14:paraId="30165A53" w14:textId="77777777" w:rsidTr="00D258DC">
        <w:trPr>
          <w:trHeight w:val="20"/>
          <w:jc w:val="center"/>
        </w:trPr>
        <w:tc>
          <w:tcPr>
            <w:tcW w:w="5195" w:type="dxa"/>
            <w:vAlign w:val="center"/>
            <w:hideMark/>
          </w:tcPr>
          <w:p w14:paraId="0D7A232F" w14:textId="77777777" w:rsidR="00171525" w:rsidRPr="005954E3" w:rsidRDefault="00171525" w:rsidP="00171525">
            <w:pPr>
              <w:pStyle w:val="tabletextleft"/>
              <w:spacing w:before="40" w:after="40"/>
            </w:pPr>
            <w:r w:rsidRPr="005954E3">
              <w:t>8. Почивно дело. култура и религия</w:t>
            </w:r>
          </w:p>
        </w:tc>
        <w:tc>
          <w:tcPr>
            <w:tcW w:w="1248" w:type="dxa"/>
            <w:vAlign w:val="center"/>
            <w:hideMark/>
          </w:tcPr>
          <w:p w14:paraId="21A47F85" w14:textId="77777777" w:rsidR="00171525" w:rsidRPr="005954E3" w:rsidRDefault="00171525" w:rsidP="00171525">
            <w:pPr>
              <w:pStyle w:val="tabletextleft"/>
              <w:spacing w:before="40" w:after="40"/>
              <w:jc w:val="center"/>
            </w:pPr>
            <w:r w:rsidRPr="005954E3">
              <w:t>8</w:t>
            </w:r>
          </w:p>
        </w:tc>
        <w:tc>
          <w:tcPr>
            <w:tcW w:w="1248" w:type="dxa"/>
            <w:vAlign w:val="bottom"/>
          </w:tcPr>
          <w:p w14:paraId="3EBCC2B2" w14:textId="4F0F4142" w:rsidR="00171525" w:rsidRPr="005954E3" w:rsidRDefault="00171525" w:rsidP="00171525">
            <w:pPr>
              <w:pStyle w:val="tabletextleft"/>
              <w:spacing w:before="40" w:after="40"/>
              <w:jc w:val="center"/>
            </w:pPr>
            <w:r w:rsidRPr="00693BB7">
              <w:t>0,9</w:t>
            </w:r>
          </w:p>
        </w:tc>
        <w:tc>
          <w:tcPr>
            <w:tcW w:w="1373" w:type="dxa"/>
            <w:vAlign w:val="bottom"/>
          </w:tcPr>
          <w:p w14:paraId="6A85F509" w14:textId="2A39D5A8" w:rsidR="00171525" w:rsidRPr="005954E3" w:rsidRDefault="00171525" w:rsidP="00171525">
            <w:pPr>
              <w:pStyle w:val="tabletextleft"/>
              <w:spacing w:before="40" w:after="40"/>
              <w:jc w:val="center"/>
            </w:pPr>
            <w:r w:rsidRPr="00693BB7">
              <w:t>0,6</w:t>
            </w:r>
          </w:p>
        </w:tc>
      </w:tr>
      <w:tr w:rsidR="00171525" w:rsidRPr="005954E3" w14:paraId="72F00D49" w14:textId="77777777" w:rsidTr="00D258DC">
        <w:trPr>
          <w:trHeight w:val="20"/>
          <w:jc w:val="center"/>
        </w:trPr>
        <w:tc>
          <w:tcPr>
            <w:tcW w:w="5195" w:type="dxa"/>
            <w:vAlign w:val="center"/>
            <w:hideMark/>
          </w:tcPr>
          <w:p w14:paraId="6493E5E3" w14:textId="77777777" w:rsidR="00171525" w:rsidRPr="005954E3" w:rsidRDefault="00171525" w:rsidP="00171525">
            <w:pPr>
              <w:pStyle w:val="tabletextleft"/>
              <w:spacing w:before="40" w:after="40"/>
            </w:pPr>
            <w:r w:rsidRPr="005954E3">
              <w:t>9. Образование</w:t>
            </w:r>
          </w:p>
        </w:tc>
        <w:tc>
          <w:tcPr>
            <w:tcW w:w="1248" w:type="dxa"/>
            <w:vAlign w:val="center"/>
            <w:hideMark/>
          </w:tcPr>
          <w:p w14:paraId="18E71719" w14:textId="77777777" w:rsidR="00171525" w:rsidRPr="005954E3" w:rsidRDefault="00171525" w:rsidP="00171525">
            <w:pPr>
              <w:pStyle w:val="tabletextleft"/>
              <w:spacing w:before="40" w:after="40"/>
              <w:jc w:val="center"/>
            </w:pPr>
            <w:r w:rsidRPr="005954E3">
              <w:t>9</w:t>
            </w:r>
          </w:p>
        </w:tc>
        <w:tc>
          <w:tcPr>
            <w:tcW w:w="1248" w:type="dxa"/>
            <w:vAlign w:val="bottom"/>
          </w:tcPr>
          <w:p w14:paraId="746DE78E" w14:textId="5E69ABC4" w:rsidR="00171525" w:rsidRPr="005954E3" w:rsidRDefault="00171525" w:rsidP="00171525">
            <w:pPr>
              <w:pStyle w:val="tabletextleft"/>
              <w:spacing w:before="40" w:after="40"/>
              <w:jc w:val="center"/>
            </w:pPr>
            <w:r w:rsidRPr="00693BB7">
              <w:t>4,3</w:t>
            </w:r>
          </w:p>
        </w:tc>
        <w:tc>
          <w:tcPr>
            <w:tcW w:w="1373" w:type="dxa"/>
            <w:vAlign w:val="bottom"/>
          </w:tcPr>
          <w:p w14:paraId="37592BBF" w14:textId="76D51261" w:rsidR="00171525" w:rsidRPr="005954E3" w:rsidRDefault="00171525" w:rsidP="00171525">
            <w:pPr>
              <w:pStyle w:val="tabletextleft"/>
              <w:spacing w:before="40" w:after="40"/>
              <w:jc w:val="center"/>
            </w:pPr>
            <w:r w:rsidRPr="00693BB7">
              <w:t>3,9</w:t>
            </w:r>
          </w:p>
        </w:tc>
      </w:tr>
      <w:tr w:rsidR="00171525" w:rsidRPr="005954E3" w14:paraId="6CCD3C66" w14:textId="77777777" w:rsidTr="00D258DC">
        <w:trPr>
          <w:trHeight w:val="20"/>
          <w:jc w:val="center"/>
        </w:trPr>
        <w:tc>
          <w:tcPr>
            <w:tcW w:w="5195" w:type="dxa"/>
            <w:vAlign w:val="center"/>
            <w:hideMark/>
          </w:tcPr>
          <w:p w14:paraId="7E3A8D9F" w14:textId="77777777" w:rsidR="00171525" w:rsidRPr="005954E3" w:rsidRDefault="00171525" w:rsidP="00171525">
            <w:pPr>
              <w:pStyle w:val="tabletextleft"/>
              <w:spacing w:before="40" w:after="40"/>
            </w:pPr>
            <w:r w:rsidRPr="005954E3">
              <w:t>10. Социална защита</w:t>
            </w:r>
          </w:p>
        </w:tc>
        <w:tc>
          <w:tcPr>
            <w:tcW w:w="1248" w:type="dxa"/>
            <w:vAlign w:val="center"/>
            <w:hideMark/>
          </w:tcPr>
          <w:p w14:paraId="27580061" w14:textId="77777777" w:rsidR="00171525" w:rsidRPr="005954E3" w:rsidRDefault="00171525" w:rsidP="00171525">
            <w:pPr>
              <w:pStyle w:val="tabletextleft"/>
              <w:spacing w:before="40" w:after="40"/>
              <w:jc w:val="center"/>
            </w:pPr>
            <w:r w:rsidRPr="005954E3">
              <w:t>10</w:t>
            </w:r>
          </w:p>
        </w:tc>
        <w:tc>
          <w:tcPr>
            <w:tcW w:w="1248" w:type="dxa"/>
            <w:vAlign w:val="bottom"/>
          </w:tcPr>
          <w:p w14:paraId="76134733" w14:textId="1570F78F" w:rsidR="00171525" w:rsidRPr="005954E3" w:rsidRDefault="00171525" w:rsidP="00171525">
            <w:pPr>
              <w:pStyle w:val="tabletextleft"/>
              <w:spacing w:before="40" w:after="40"/>
              <w:jc w:val="center"/>
            </w:pPr>
            <w:r w:rsidRPr="00693BB7">
              <w:t>13,4</w:t>
            </w:r>
          </w:p>
        </w:tc>
        <w:tc>
          <w:tcPr>
            <w:tcW w:w="1373" w:type="dxa"/>
            <w:vAlign w:val="bottom"/>
          </w:tcPr>
          <w:p w14:paraId="5C9F780C" w14:textId="0FAF0E28" w:rsidR="00171525" w:rsidRPr="005954E3" w:rsidRDefault="00171525" w:rsidP="00171525">
            <w:pPr>
              <w:pStyle w:val="tabletextleft"/>
              <w:spacing w:before="40" w:after="40"/>
              <w:jc w:val="center"/>
            </w:pPr>
            <w:r w:rsidRPr="00693BB7">
              <w:t>14,4</w:t>
            </w:r>
          </w:p>
        </w:tc>
      </w:tr>
      <w:tr w:rsidR="00171525" w:rsidRPr="005954E3" w14:paraId="47B858DF" w14:textId="77777777" w:rsidTr="00D258DC">
        <w:trPr>
          <w:trHeight w:val="20"/>
          <w:jc w:val="center"/>
        </w:trPr>
        <w:tc>
          <w:tcPr>
            <w:tcW w:w="5195" w:type="dxa"/>
            <w:vAlign w:val="center"/>
            <w:hideMark/>
          </w:tcPr>
          <w:p w14:paraId="1892FF4E" w14:textId="77777777" w:rsidR="00171525" w:rsidRPr="005954E3" w:rsidRDefault="00171525" w:rsidP="00171525">
            <w:pPr>
              <w:pStyle w:val="tabletextleft"/>
              <w:spacing w:before="40" w:after="40"/>
            </w:pPr>
            <w:r w:rsidRPr="005954E3">
              <w:t>11. Общо разходи (= точка 7 = 24 от Таблица 2)</w:t>
            </w:r>
          </w:p>
        </w:tc>
        <w:tc>
          <w:tcPr>
            <w:tcW w:w="1248" w:type="dxa"/>
            <w:vAlign w:val="center"/>
            <w:hideMark/>
          </w:tcPr>
          <w:p w14:paraId="5A591CB1" w14:textId="77777777" w:rsidR="00171525" w:rsidRPr="005954E3" w:rsidRDefault="00171525" w:rsidP="00171525">
            <w:pPr>
              <w:pStyle w:val="tabletextleft"/>
              <w:spacing w:before="40" w:after="40"/>
              <w:jc w:val="center"/>
            </w:pPr>
            <w:r w:rsidRPr="005954E3">
              <w:t>TE1</w:t>
            </w:r>
          </w:p>
        </w:tc>
        <w:tc>
          <w:tcPr>
            <w:tcW w:w="1248" w:type="dxa"/>
            <w:vAlign w:val="bottom"/>
          </w:tcPr>
          <w:p w14:paraId="27AE8579" w14:textId="37F49BEC" w:rsidR="00171525" w:rsidRPr="005954E3" w:rsidRDefault="00171525" w:rsidP="00171525">
            <w:pPr>
              <w:pStyle w:val="tabletextleft"/>
              <w:spacing w:before="40" w:after="40"/>
              <w:jc w:val="center"/>
              <w:rPr>
                <w:b/>
              </w:rPr>
            </w:pPr>
            <w:r w:rsidRPr="00693BB7">
              <w:rPr>
                <w:b/>
              </w:rPr>
              <w:t>40,6</w:t>
            </w:r>
          </w:p>
        </w:tc>
        <w:tc>
          <w:tcPr>
            <w:tcW w:w="1373" w:type="dxa"/>
            <w:vAlign w:val="bottom"/>
          </w:tcPr>
          <w:p w14:paraId="6D433E42" w14:textId="4FF41410" w:rsidR="00171525" w:rsidRPr="005954E3" w:rsidRDefault="00171525" w:rsidP="00171525">
            <w:pPr>
              <w:pStyle w:val="tabletextleft"/>
              <w:spacing w:before="40" w:after="40"/>
              <w:jc w:val="center"/>
            </w:pPr>
            <w:r w:rsidRPr="00693BB7">
              <w:rPr>
                <w:b/>
              </w:rPr>
              <w:t>39,4</w:t>
            </w:r>
          </w:p>
        </w:tc>
      </w:tr>
    </w:tbl>
    <w:p w14:paraId="06363643" w14:textId="77777777" w:rsidR="006D2755" w:rsidRPr="005954E3" w:rsidRDefault="006D2755" w:rsidP="006D2755">
      <w:bookmarkStart w:id="185" w:name="_Toc448227319"/>
      <w:bookmarkStart w:id="186" w:name="_Toc479332470"/>
    </w:p>
    <w:p w14:paraId="68CC543F" w14:textId="77777777" w:rsidR="006D2755" w:rsidRPr="005954E3" w:rsidRDefault="006D2755" w:rsidP="00EE53B2">
      <w:pPr>
        <w:pStyle w:val="Heading2"/>
        <w:numPr>
          <w:ilvl w:val="0"/>
          <w:numId w:val="0"/>
        </w:numPr>
      </w:pPr>
      <w:bookmarkStart w:id="187" w:name="_Toc133597301"/>
      <w:r w:rsidRPr="005954E3">
        <w:lastRenderedPageBreak/>
        <w:t>Табл. 4: Консолидиран правителствен дълг</w:t>
      </w:r>
      <w:bookmarkEnd w:id="185"/>
      <w:bookmarkEnd w:id="186"/>
      <w:bookmarkEnd w:id="187"/>
    </w:p>
    <w:tbl>
      <w:tblPr>
        <w:tblStyle w:val="Style191"/>
        <w:tblW w:w="9064" w:type="dxa"/>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CellMar>
          <w:top w:w="57" w:type="dxa"/>
          <w:left w:w="85" w:type="dxa"/>
          <w:bottom w:w="57" w:type="dxa"/>
          <w:right w:w="85" w:type="dxa"/>
        </w:tblCellMar>
        <w:tblLook w:val="0000" w:firstRow="0" w:lastRow="0" w:firstColumn="0" w:lastColumn="0" w:noHBand="0" w:noVBand="0"/>
      </w:tblPr>
      <w:tblGrid>
        <w:gridCol w:w="3227"/>
        <w:gridCol w:w="765"/>
        <w:gridCol w:w="1021"/>
        <w:gridCol w:w="1021"/>
        <w:gridCol w:w="1021"/>
        <w:gridCol w:w="1021"/>
        <w:gridCol w:w="988"/>
      </w:tblGrid>
      <w:tr w:rsidR="006D2755" w:rsidRPr="005954E3" w14:paraId="54ED7791" w14:textId="77777777" w:rsidTr="006D2755">
        <w:trPr>
          <w:trHeight w:val="380"/>
        </w:trPr>
        <w:tc>
          <w:tcPr>
            <w:tcW w:w="3227" w:type="dxa"/>
            <w:shd w:val="clear" w:color="auto" w:fill="auto"/>
          </w:tcPr>
          <w:p w14:paraId="01C8DFAA" w14:textId="77777777" w:rsidR="006D2755" w:rsidRPr="005954E3" w:rsidRDefault="006D2755" w:rsidP="006D2755">
            <w:pPr>
              <w:pStyle w:val="tabletextleft"/>
              <w:spacing w:before="40" w:after="40"/>
              <w:rPr>
                <w:b/>
                <w:szCs w:val="18"/>
              </w:rPr>
            </w:pPr>
            <w:r w:rsidRPr="005954E3">
              <w:rPr>
                <w:b/>
                <w:szCs w:val="18"/>
              </w:rPr>
              <w:t>% от БВП</w:t>
            </w:r>
          </w:p>
        </w:tc>
        <w:tc>
          <w:tcPr>
            <w:tcW w:w="765" w:type="dxa"/>
            <w:shd w:val="clear" w:color="auto" w:fill="auto"/>
          </w:tcPr>
          <w:p w14:paraId="12392A05" w14:textId="77777777" w:rsidR="006D2755" w:rsidRPr="005954E3" w:rsidRDefault="006D2755" w:rsidP="006D2755">
            <w:pPr>
              <w:pStyle w:val="tabletextleft"/>
              <w:spacing w:before="40" w:after="40"/>
              <w:rPr>
                <w:b/>
                <w:szCs w:val="18"/>
              </w:rPr>
            </w:pPr>
            <w:r w:rsidRPr="005954E3">
              <w:rPr>
                <w:b/>
                <w:szCs w:val="18"/>
              </w:rPr>
              <w:t>Код по ЕСС</w:t>
            </w:r>
          </w:p>
        </w:tc>
        <w:tc>
          <w:tcPr>
            <w:tcW w:w="1021" w:type="dxa"/>
            <w:shd w:val="clear" w:color="auto" w:fill="auto"/>
            <w:vAlign w:val="center"/>
          </w:tcPr>
          <w:p w14:paraId="360DAA35" w14:textId="77777777" w:rsidR="006D2755" w:rsidRPr="005954E3" w:rsidRDefault="006D2755" w:rsidP="006D2755">
            <w:pPr>
              <w:pStyle w:val="tabletextleft"/>
              <w:spacing w:before="40" w:after="40"/>
              <w:jc w:val="right"/>
              <w:rPr>
                <w:b/>
                <w:szCs w:val="18"/>
              </w:rPr>
            </w:pPr>
            <w:r w:rsidRPr="005954E3">
              <w:rPr>
                <w:b/>
                <w:szCs w:val="18"/>
              </w:rPr>
              <w:t>2022</w:t>
            </w:r>
          </w:p>
        </w:tc>
        <w:tc>
          <w:tcPr>
            <w:tcW w:w="1021" w:type="dxa"/>
            <w:shd w:val="clear" w:color="auto" w:fill="auto"/>
            <w:vAlign w:val="center"/>
          </w:tcPr>
          <w:p w14:paraId="45477A10" w14:textId="77777777" w:rsidR="006D2755" w:rsidRPr="005954E3" w:rsidRDefault="006D2755" w:rsidP="006D2755">
            <w:pPr>
              <w:pStyle w:val="tabletextleft"/>
              <w:spacing w:before="40" w:after="40"/>
              <w:jc w:val="right"/>
              <w:rPr>
                <w:b/>
                <w:szCs w:val="18"/>
              </w:rPr>
            </w:pPr>
            <w:r w:rsidRPr="005954E3">
              <w:rPr>
                <w:b/>
                <w:szCs w:val="18"/>
              </w:rPr>
              <w:t>2023</w:t>
            </w:r>
          </w:p>
        </w:tc>
        <w:tc>
          <w:tcPr>
            <w:tcW w:w="1021" w:type="dxa"/>
            <w:shd w:val="clear" w:color="auto" w:fill="auto"/>
            <w:vAlign w:val="center"/>
          </w:tcPr>
          <w:p w14:paraId="6222843D" w14:textId="77777777" w:rsidR="006D2755" w:rsidRPr="005954E3" w:rsidRDefault="006D2755" w:rsidP="006D2755">
            <w:pPr>
              <w:pStyle w:val="tabletextleft"/>
              <w:spacing w:before="40" w:after="40"/>
              <w:jc w:val="right"/>
              <w:rPr>
                <w:b/>
                <w:szCs w:val="18"/>
              </w:rPr>
            </w:pPr>
            <w:r w:rsidRPr="005954E3">
              <w:rPr>
                <w:b/>
                <w:szCs w:val="18"/>
              </w:rPr>
              <w:t>2024</w:t>
            </w:r>
          </w:p>
        </w:tc>
        <w:tc>
          <w:tcPr>
            <w:tcW w:w="1021" w:type="dxa"/>
            <w:shd w:val="clear" w:color="auto" w:fill="auto"/>
            <w:vAlign w:val="center"/>
          </w:tcPr>
          <w:p w14:paraId="6137FC7D" w14:textId="77777777" w:rsidR="006D2755" w:rsidRPr="005954E3" w:rsidRDefault="006D2755" w:rsidP="006D2755">
            <w:pPr>
              <w:pStyle w:val="tabletextleft"/>
              <w:spacing w:before="40" w:after="40"/>
              <w:jc w:val="right"/>
              <w:rPr>
                <w:b/>
                <w:szCs w:val="18"/>
              </w:rPr>
            </w:pPr>
            <w:r w:rsidRPr="005954E3">
              <w:rPr>
                <w:b/>
                <w:szCs w:val="18"/>
              </w:rPr>
              <w:t>2025</w:t>
            </w:r>
          </w:p>
        </w:tc>
        <w:tc>
          <w:tcPr>
            <w:tcW w:w="988" w:type="dxa"/>
            <w:shd w:val="clear" w:color="auto" w:fill="auto"/>
            <w:vAlign w:val="center"/>
          </w:tcPr>
          <w:p w14:paraId="3BDE2991" w14:textId="77777777" w:rsidR="006D2755" w:rsidRPr="005954E3" w:rsidRDefault="006D2755" w:rsidP="006D2755">
            <w:pPr>
              <w:pStyle w:val="tabletextleft"/>
              <w:spacing w:before="40" w:after="40"/>
              <w:jc w:val="right"/>
              <w:rPr>
                <w:b/>
                <w:szCs w:val="18"/>
              </w:rPr>
            </w:pPr>
            <w:r w:rsidRPr="005954E3">
              <w:rPr>
                <w:b/>
                <w:szCs w:val="18"/>
              </w:rPr>
              <w:t>2026</w:t>
            </w:r>
          </w:p>
        </w:tc>
      </w:tr>
      <w:tr w:rsidR="00652B45" w:rsidRPr="005954E3" w14:paraId="776039B1" w14:textId="77777777" w:rsidTr="006D2755">
        <w:trPr>
          <w:trHeight w:val="113"/>
        </w:trPr>
        <w:tc>
          <w:tcPr>
            <w:tcW w:w="3227" w:type="dxa"/>
          </w:tcPr>
          <w:p w14:paraId="3510D1FD" w14:textId="77777777" w:rsidR="00652B45" w:rsidRPr="005954E3" w:rsidRDefault="00652B45" w:rsidP="00652B45">
            <w:pPr>
              <w:pStyle w:val="tabletextleft"/>
              <w:spacing w:before="40" w:after="40"/>
              <w:rPr>
                <w:szCs w:val="18"/>
              </w:rPr>
            </w:pPr>
            <w:r w:rsidRPr="005954E3">
              <w:rPr>
                <w:szCs w:val="18"/>
              </w:rPr>
              <w:t>1. Брутен дълг</w:t>
            </w:r>
            <w:r w:rsidRPr="005954E3">
              <w:rPr>
                <w:rStyle w:val="FootnoteReference"/>
                <w:szCs w:val="18"/>
              </w:rPr>
              <w:footnoteReference w:id="43"/>
            </w:r>
          </w:p>
        </w:tc>
        <w:tc>
          <w:tcPr>
            <w:tcW w:w="765" w:type="dxa"/>
          </w:tcPr>
          <w:p w14:paraId="6154A85B" w14:textId="77777777" w:rsidR="00652B45" w:rsidRPr="005954E3" w:rsidRDefault="00652B45" w:rsidP="00652B45">
            <w:pPr>
              <w:pStyle w:val="tabletextleft"/>
              <w:spacing w:before="40" w:after="40"/>
              <w:rPr>
                <w:szCs w:val="18"/>
              </w:rPr>
            </w:pPr>
            <w:r w:rsidRPr="005954E3">
              <w:rPr>
                <w:szCs w:val="18"/>
              </w:rPr>
              <w:t> </w:t>
            </w:r>
          </w:p>
        </w:tc>
        <w:tc>
          <w:tcPr>
            <w:tcW w:w="1021" w:type="dxa"/>
          </w:tcPr>
          <w:p w14:paraId="07CB95E9" w14:textId="6462D29E" w:rsidR="00652B45" w:rsidRPr="005954E3" w:rsidRDefault="00652B45" w:rsidP="00652B45">
            <w:pPr>
              <w:pStyle w:val="tabletextleft"/>
              <w:spacing w:before="40" w:after="40"/>
              <w:jc w:val="right"/>
              <w:rPr>
                <w:szCs w:val="18"/>
              </w:rPr>
            </w:pPr>
            <w:r w:rsidRPr="00BB76EB">
              <w:rPr>
                <w:rFonts w:ascii="Calibri" w:hAnsi="Calibri" w:cs="Calibri"/>
                <w:b/>
                <w:sz w:val="14"/>
                <w:szCs w:val="14"/>
              </w:rPr>
              <w:t>22.9</w:t>
            </w:r>
          </w:p>
        </w:tc>
        <w:tc>
          <w:tcPr>
            <w:tcW w:w="1021" w:type="dxa"/>
          </w:tcPr>
          <w:p w14:paraId="2842BFDF" w14:textId="3CF83A5C" w:rsidR="00652B45" w:rsidRPr="005954E3" w:rsidRDefault="00652B45" w:rsidP="00652B45">
            <w:pPr>
              <w:pStyle w:val="tabletextleft"/>
              <w:spacing w:before="40" w:after="40"/>
              <w:jc w:val="right"/>
              <w:rPr>
                <w:szCs w:val="18"/>
              </w:rPr>
            </w:pPr>
            <w:r w:rsidRPr="003E7540">
              <w:rPr>
                <w:rFonts w:ascii="Calibri" w:hAnsi="Calibri" w:cs="Calibri"/>
                <w:b/>
                <w:sz w:val="14"/>
                <w:szCs w:val="14"/>
              </w:rPr>
              <w:t>26.6</w:t>
            </w:r>
          </w:p>
        </w:tc>
        <w:tc>
          <w:tcPr>
            <w:tcW w:w="1021" w:type="dxa"/>
          </w:tcPr>
          <w:p w14:paraId="23C798A4" w14:textId="4F0124C5" w:rsidR="00652B45" w:rsidRPr="005954E3" w:rsidRDefault="00652B45" w:rsidP="00652B45">
            <w:pPr>
              <w:pStyle w:val="tabletextleft"/>
              <w:spacing w:before="40" w:after="40"/>
              <w:jc w:val="right"/>
              <w:rPr>
                <w:szCs w:val="18"/>
              </w:rPr>
            </w:pPr>
            <w:r w:rsidRPr="003E7540">
              <w:rPr>
                <w:rFonts w:ascii="Calibri" w:hAnsi="Calibri" w:cs="Calibri"/>
                <w:b/>
                <w:sz w:val="14"/>
                <w:szCs w:val="14"/>
              </w:rPr>
              <w:t>30.7</w:t>
            </w:r>
          </w:p>
        </w:tc>
        <w:tc>
          <w:tcPr>
            <w:tcW w:w="1021" w:type="dxa"/>
          </w:tcPr>
          <w:p w14:paraId="3B37A21F" w14:textId="019251BF" w:rsidR="00652B45" w:rsidRPr="005954E3" w:rsidRDefault="00652B45" w:rsidP="00652B45">
            <w:pPr>
              <w:pStyle w:val="tabletextleft"/>
              <w:spacing w:before="40" w:after="40"/>
              <w:jc w:val="right"/>
              <w:rPr>
                <w:szCs w:val="18"/>
              </w:rPr>
            </w:pPr>
            <w:r w:rsidRPr="003E7540">
              <w:rPr>
                <w:rFonts w:ascii="Calibri" w:hAnsi="Calibri" w:cs="Calibri"/>
                <w:b/>
                <w:sz w:val="14"/>
                <w:szCs w:val="14"/>
              </w:rPr>
              <w:t>33.8</w:t>
            </w:r>
          </w:p>
        </w:tc>
        <w:tc>
          <w:tcPr>
            <w:tcW w:w="988" w:type="dxa"/>
          </w:tcPr>
          <w:p w14:paraId="6053513B" w14:textId="4CDA49A5" w:rsidR="00652B45" w:rsidRPr="005954E3" w:rsidRDefault="00652B45" w:rsidP="00652B45">
            <w:pPr>
              <w:pStyle w:val="tabletextleft"/>
              <w:spacing w:before="40" w:after="40"/>
              <w:jc w:val="right"/>
              <w:rPr>
                <w:szCs w:val="18"/>
              </w:rPr>
            </w:pPr>
            <w:r w:rsidRPr="003E7540">
              <w:rPr>
                <w:rFonts w:ascii="Calibri" w:hAnsi="Calibri" w:cs="Calibri"/>
                <w:b/>
                <w:sz w:val="14"/>
                <w:szCs w:val="14"/>
              </w:rPr>
              <w:t>37.1</w:t>
            </w:r>
          </w:p>
        </w:tc>
      </w:tr>
      <w:tr w:rsidR="00652B45" w:rsidRPr="005954E3" w14:paraId="702F6873" w14:textId="77777777" w:rsidTr="00414CF7">
        <w:trPr>
          <w:trHeight w:val="113"/>
        </w:trPr>
        <w:tc>
          <w:tcPr>
            <w:tcW w:w="3227" w:type="dxa"/>
          </w:tcPr>
          <w:p w14:paraId="419245C5" w14:textId="77777777" w:rsidR="00652B45" w:rsidRPr="005954E3" w:rsidRDefault="00652B45" w:rsidP="00652B45">
            <w:pPr>
              <w:pStyle w:val="tabletextleft"/>
              <w:spacing w:before="40" w:after="40"/>
              <w:rPr>
                <w:szCs w:val="18"/>
              </w:rPr>
            </w:pPr>
            <w:r w:rsidRPr="005954E3">
              <w:rPr>
                <w:szCs w:val="18"/>
              </w:rPr>
              <w:t xml:space="preserve">2. Изменение в нивото на брутния дълг </w:t>
            </w:r>
          </w:p>
        </w:tc>
        <w:tc>
          <w:tcPr>
            <w:tcW w:w="765" w:type="dxa"/>
          </w:tcPr>
          <w:p w14:paraId="238B63D2" w14:textId="77777777" w:rsidR="00652B45" w:rsidRPr="005954E3" w:rsidRDefault="00652B45" w:rsidP="00652B45">
            <w:pPr>
              <w:pStyle w:val="tabletextleft"/>
              <w:spacing w:before="40" w:after="40"/>
              <w:rPr>
                <w:szCs w:val="18"/>
              </w:rPr>
            </w:pPr>
            <w:r w:rsidRPr="005954E3">
              <w:rPr>
                <w:szCs w:val="18"/>
              </w:rPr>
              <w:t> </w:t>
            </w:r>
          </w:p>
        </w:tc>
        <w:tc>
          <w:tcPr>
            <w:tcW w:w="1021" w:type="dxa"/>
            <w:vAlign w:val="bottom"/>
          </w:tcPr>
          <w:p w14:paraId="35812D2E" w14:textId="03E8B988" w:rsidR="00652B45" w:rsidRPr="005954E3" w:rsidRDefault="00652B45" w:rsidP="00652B45">
            <w:pPr>
              <w:pStyle w:val="tabletextleft"/>
              <w:spacing w:before="40" w:after="40"/>
              <w:jc w:val="right"/>
              <w:rPr>
                <w:szCs w:val="18"/>
              </w:rPr>
            </w:pPr>
            <w:r>
              <w:rPr>
                <w:rFonts w:ascii="Calibri" w:hAnsi="Calibri" w:cs="Calibri"/>
                <w:b/>
                <w:sz w:val="14"/>
                <w:szCs w:val="14"/>
              </w:rPr>
              <w:t xml:space="preserve">- </w:t>
            </w:r>
            <w:r w:rsidRPr="00BB76EB">
              <w:rPr>
                <w:rFonts w:ascii="Calibri" w:hAnsi="Calibri" w:cs="Calibri"/>
                <w:b/>
                <w:sz w:val="14"/>
                <w:szCs w:val="14"/>
              </w:rPr>
              <w:t>1,0</w:t>
            </w:r>
          </w:p>
        </w:tc>
        <w:tc>
          <w:tcPr>
            <w:tcW w:w="1021" w:type="dxa"/>
            <w:vAlign w:val="bottom"/>
          </w:tcPr>
          <w:p w14:paraId="37AF18E6" w14:textId="0518FDBC" w:rsidR="00652B45" w:rsidRPr="005954E3" w:rsidRDefault="00652B45" w:rsidP="00652B45">
            <w:pPr>
              <w:pStyle w:val="tabletextleft"/>
              <w:spacing w:before="40" w:after="40"/>
              <w:jc w:val="right"/>
              <w:rPr>
                <w:szCs w:val="18"/>
              </w:rPr>
            </w:pPr>
            <w:r w:rsidRPr="003E7540">
              <w:rPr>
                <w:rFonts w:ascii="Calibri" w:hAnsi="Calibri" w:cs="Calibri"/>
                <w:b/>
                <w:sz w:val="14"/>
                <w:szCs w:val="14"/>
              </w:rPr>
              <w:t>3.7</w:t>
            </w:r>
          </w:p>
        </w:tc>
        <w:tc>
          <w:tcPr>
            <w:tcW w:w="1021" w:type="dxa"/>
            <w:vAlign w:val="bottom"/>
          </w:tcPr>
          <w:p w14:paraId="535B0B91" w14:textId="3E2980C3" w:rsidR="00652B45" w:rsidRPr="005954E3" w:rsidRDefault="00652B45" w:rsidP="00652B45">
            <w:pPr>
              <w:pStyle w:val="tabletextleft"/>
              <w:spacing w:before="40" w:after="40"/>
              <w:jc w:val="right"/>
              <w:rPr>
                <w:szCs w:val="18"/>
              </w:rPr>
            </w:pPr>
            <w:r w:rsidRPr="003E7540">
              <w:rPr>
                <w:rFonts w:ascii="Calibri" w:hAnsi="Calibri" w:cs="Calibri"/>
                <w:b/>
                <w:sz w:val="14"/>
                <w:szCs w:val="14"/>
              </w:rPr>
              <w:t>4.1</w:t>
            </w:r>
          </w:p>
        </w:tc>
        <w:tc>
          <w:tcPr>
            <w:tcW w:w="1021" w:type="dxa"/>
            <w:vAlign w:val="bottom"/>
          </w:tcPr>
          <w:p w14:paraId="66D7959C" w14:textId="27960CE3" w:rsidR="00652B45" w:rsidRPr="005954E3" w:rsidRDefault="00652B45" w:rsidP="00652B45">
            <w:pPr>
              <w:pStyle w:val="tabletextleft"/>
              <w:spacing w:before="40" w:after="40"/>
              <w:jc w:val="right"/>
              <w:rPr>
                <w:szCs w:val="18"/>
              </w:rPr>
            </w:pPr>
            <w:r w:rsidRPr="003E7540">
              <w:rPr>
                <w:rFonts w:ascii="Calibri" w:hAnsi="Calibri" w:cs="Calibri"/>
                <w:b/>
                <w:sz w:val="14"/>
                <w:szCs w:val="14"/>
              </w:rPr>
              <w:t>3.</w:t>
            </w:r>
            <w:r>
              <w:rPr>
                <w:rFonts w:ascii="Calibri" w:hAnsi="Calibri" w:cs="Calibri"/>
                <w:b/>
                <w:sz w:val="14"/>
                <w:szCs w:val="14"/>
                <w:lang w:val="en-US"/>
              </w:rPr>
              <w:t>1</w:t>
            </w:r>
          </w:p>
        </w:tc>
        <w:tc>
          <w:tcPr>
            <w:tcW w:w="988" w:type="dxa"/>
            <w:vAlign w:val="bottom"/>
          </w:tcPr>
          <w:p w14:paraId="77937D00" w14:textId="3F3A59F5" w:rsidR="00652B45" w:rsidRPr="005954E3" w:rsidRDefault="00652B45" w:rsidP="00652B45">
            <w:pPr>
              <w:pStyle w:val="tabletextleft"/>
              <w:spacing w:before="40" w:after="40"/>
              <w:jc w:val="right"/>
              <w:rPr>
                <w:szCs w:val="18"/>
              </w:rPr>
            </w:pPr>
            <w:r w:rsidRPr="003E7540">
              <w:rPr>
                <w:rFonts w:ascii="Calibri" w:hAnsi="Calibri" w:cs="Calibri"/>
                <w:b/>
                <w:sz w:val="14"/>
                <w:szCs w:val="14"/>
              </w:rPr>
              <w:t>3.3</w:t>
            </w:r>
          </w:p>
        </w:tc>
      </w:tr>
      <w:tr w:rsidR="00652B45" w:rsidRPr="005954E3" w14:paraId="2E3A2119" w14:textId="77777777" w:rsidTr="006D2755">
        <w:trPr>
          <w:trHeight w:val="113"/>
        </w:trPr>
        <w:tc>
          <w:tcPr>
            <w:tcW w:w="3227" w:type="dxa"/>
          </w:tcPr>
          <w:p w14:paraId="65C702EE" w14:textId="77777777" w:rsidR="00652B45" w:rsidRPr="005954E3" w:rsidRDefault="00652B45" w:rsidP="00652B45">
            <w:pPr>
              <w:pStyle w:val="tabletextleft"/>
              <w:spacing w:before="40" w:after="40"/>
              <w:rPr>
                <w:szCs w:val="18"/>
              </w:rPr>
            </w:pPr>
            <w:r w:rsidRPr="005954E3">
              <w:rPr>
                <w:szCs w:val="18"/>
              </w:rPr>
              <w:t>3. Първичен баланс</w:t>
            </w:r>
            <w:r w:rsidRPr="005954E3">
              <w:rPr>
                <w:rStyle w:val="FootnoteReference"/>
                <w:szCs w:val="18"/>
              </w:rPr>
              <w:footnoteReference w:id="44"/>
            </w:r>
          </w:p>
        </w:tc>
        <w:tc>
          <w:tcPr>
            <w:tcW w:w="765" w:type="dxa"/>
          </w:tcPr>
          <w:p w14:paraId="1EC847BE" w14:textId="77777777" w:rsidR="00652B45" w:rsidRPr="005954E3" w:rsidRDefault="00652B45" w:rsidP="00652B45">
            <w:pPr>
              <w:pStyle w:val="tabletextleft"/>
              <w:spacing w:before="40" w:after="40"/>
              <w:rPr>
                <w:szCs w:val="18"/>
              </w:rPr>
            </w:pPr>
            <w:r w:rsidRPr="005954E3">
              <w:rPr>
                <w:szCs w:val="18"/>
              </w:rPr>
              <w:t> </w:t>
            </w:r>
          </w:p>
        </w:tc>
        <w:tc>
          <w:tcPr>
            <w:tcW w:w="1021" w:type="dxa"/>
            <w:vAlign w:val="center"/>
          </w:tcPr>
          <w:p w14:paraId="0475115A" w14:textId="77777777" w:rsidR="00652B45" w:rsidRPr="005954E3" w:rsidRDefault="00652B45" w:rsidP="00652B45">
            <w:pPr>
              <w:pStyle w:val="tabletextleft"/>
              <w:spacing w:before="40" w:after="40"/>
              <w:rPr>
                <w:szCs w:val="18"/>
              </w:rPr>
            </w:pPr>
          </w:p>
        </w:tc>
        <w:tc>
          <w:tcPr>
            <w:tcW w:w="1021" w:type="dxa"/>
            <w:vAlign w:val="center"/>
          </w:tcPr>
          <w:p w14:paraId="1A276E8F" w14:textId="77777777" w:rsidR="00652B45" w:rsidRPr="005954E3" w:rsidRDefault="00652B45" w:rsidP="00652B45">
            <w:pPr>
              <w:pStyle w:val="tabletextleft"/>
              <w:spacing w:before="40" w:after="40"/>
              <w:rPr>
                <w:szCs w:val="18"/>
              </w:rPr>
            </w:pPr>
          </w:p>
        </w:tc>
        <w:tc>
          <w:tcPr>
            <w:tcW w:w="1021" w:type="dxa"/>
            <w:vAlign w:val="center"/>
          </w:tcPr>
          <w:p w14:paraId="75C914A6" w14:textId="77777777" w:rsidR="00652B45" w:rsidRPr="005954E3" w:rsidRDefault="00652B45" w:rsidP="00652B45">
            <w:pPr>
              <w:pStyle w:val="tabletextleft"/>
              <w:spacing w:before="40" w:after="40"/>
              <w:rPr>
                <w:szCs w:val="18"/>
              </w:rPr>
            </w:pPr>
          </w:p>
        </w:tc>
        <w:tc>
          <w:tcPr>
            <w:tcW w:w="1021" w:type="dxa"/>
            <w:vAlign w:val="center"/>
          </w:tcPr>
          <w:p w14:paraId="3E2A270E" w14:textId="77777777" w:rsidR="00652B45" w:rsidRPr="005954E3" w:rsidRDefault="00652B45" w:rsidP="00652B45">
            <w:pPr>
              <w:pStyle w:val="tabletextleft"/>
              <w:spacing w:before="40" w:after="40"/>
              <w:rPr>
                <w:szCs w:val="18"/>
              </w:rPr>
            </w:pPr>
          </w:p>
        </w:tc>
        <w:tc>
          <w:tcPr>
            <w:tcW w:w="988" w:type="dxa"/>
          </w:tcPr>
          <w:p w14:paraId="72291C93" w14:textId="77777777" w:rsidR="00652B45" w:rsidRPr="005954E3" w:rsidRDefault="00652B45" w:rsidP="00652B45">
            <w:pPr>
              <w:pStyle w:val="tabletextleft"/>
              <w:spacing w:before="40" w:after="40"/>
              <w:rPr>
                <w:szCs w:val="18"/>
              </w:rPr>
            </w:pPr>
          </w:p>
        </w:tc>
      </w:tr>
      <w:tr w:rsidR="00652B45" w:rsidRPr="005954E3" w14:paraId="50770895" w14:textId="77777777" w:rsidTr="00414CF7">
        <w:trPr>
          <w:trHeight w:val="113"/>
        </w:trPr>
        <w:tc>
          <w:tcPr>
            <w:tcW w:w="3227" w:type="dxa"/>
          </w:tcPr>
          <w:p w14:paraId="071492ED" w14:textId="77777777" w:rsidR="00652B45" w:rsidRPr="005954E3" w:rsidRDefault="00652B45" w:rsidP="00652B45">
            <w:pPr>
              <w:pStyle w:val="tabletextleft"/>
              <w:spacing w:before="40" w:after="40"/>
              <w:rPr>
                <w:szCs w:val="18"/>
              </w:rPr>
            </w:pPr>
            <w:r w:rsidRPr="005954E3">
              <w:rPr>
                <w:szCs w:val="18"/>
              </w:rPr>
              <w:t>4. Лихвени разходи</w:t>
            </w:r>
            <w:r w:rsidRPr="005954E3">
              <w:rPr>
                <w:rStyle w:val="FootnoteReference"/>
                <w:szCs w:val="18"/>
              </w:rPr>
              <w:footnoteReference w:id="45"/>
            </w:r>
          </w:p>
        </w:tc>
        <w:tc>
          <w:tcPr>
            <w:tcW w:w="765" w:type="dxa"/>
          </w:tcPr>
          <w:p w14:paraId="3B555594" w14:textId="77777777" w:rsidR="00652B45" w:rsidRPr="005954E3" w:rsidRDefault="00652B45" w:rsidP="00652B45">
            <w:pPr>
              <w:pStyle w:val="tabletextleft"/>
              <w:spacing w:before="40" w:after="40"/>
              <w:rPr>
                <w:szCs w:val="18"/>
              </w:rPr>
            </w:pPr>
            <w:r w:rsidRPr="005954E3">
              <w:rPr>
                <w:szCs w:val="18"/>
              </w:rPr>
              <w:t>EDP D.41</w:t>
            </w:r>
          </w:p>
        </w:tc>
        <w:tc>
          <w:tcPr>
            <w:tcW w:w="1021" w:type="dxa"/>
            <w:vAlign w:val="bottom"/>
          </w:tcPr>
          <w:p w14:paraId="09A6D000" w14:textId="77777777" w:rsidR="00652B45" w:rsidRPr="007C6015" w:rsidRDefault="00652B45" w:rsidP="007C6015">
            <w:pPr>
              <w:pStyle w:val="tabletextleft"/>
              <w:spacing w:before="40" w:after="40"/>
              <w:jc w:val="right"/>
              <w:rPr>
                <w:rFonts w:ascii="Calibri" w:hAnsi="Calibri" w:cs="Calibri"/>
                <w:b/>
                <w:color w:val="000000"/>
                <w:sz w:val="14"/>
                <w:szCs w:val="14"/>
              </w:rPr>
            </w:pPr>
            <w:r w:rsidRPr="007C6015">
              <w:rPr>
                <w:rFonts w:ascii="Calibri" w:hAnsi="Calibri" w:cs="Calibri"/>
                <w:b/>
                <w:color w:val="000000"/>
                <w:sz w:val="14"/>
                <w:szCs w:val="14"/>
              </w:rPr>
              <w:t>0.4</w:t>
            </w:r>
          </w:p>
          <w:p w14:paraId="53C0F38B" w14:textId="410729F5" w:rsidR="007C6015" w:rsidRPr="007C6015" w:rsidRDefault="007C6015" w:rsidP="007C6015">
            <w:pPr>
              <w:pStyle w:val="tabletextleft"/>
              <w:spacing w:before="40" w:after="40"/>
              <w:rPr>
                <w:rFonts w:ascii="Calibri" w:hAnsi="Calibri" w:cs="Calibri"/>
                <w:b/>
                <w:color w:val="000000"/>
                <w:sz w:val="14"/>
                <w:szCs w:val="14"/>
              </w:rPr>
            </w:pPr>
          </w:p>
        </w:tc>
        <w:tc>
          <w:tcPr>
            <w:tcW w:w="1021" w:type="dxa"/>
          </w:tcPr>
          <w:p w14:paraId="2C4C011A" w14:textId="76ABE5CB" w:rsidR="00652B45" w:rsidRPr="007C6015" w:rsidRDefault="00652B45" w:rsidP="00652B45">
            <w:pPr>
              <w:pStyle w:val="tabletextleft"/>
              <w:spacing w:before="40" w:after="40"/>
              <w:jc w:val="right"/>
              <w:rPr>
                <w:rFonts w:ascii="Calibri" w:hAnsi="Calibri" w:cs="Calibri"/>
                <w:b/>
                <w:color w:val="000000"/>
                <w:sz w:val="14"/>
                <w:szCs w:val="14"/>
              </w:rPr>
            </w:pPr>
            <w:r w:rsidRPr="007C6015">
              <w:rPr>
                <w:rFonts w:ascii="Calibri" w:hAnsi="Calibri" w:cs="Calibri"/>
                <w:b/>
                <w:color w:val="000000"/>
                <w:sz w:val="14"/>
                <w:szCs w:val="14"/>
              </w:rPr>
              <w:t>0.6</w:t>
            </w:r>
          </w:p>
        </w:tc>
        <w:tc>
          <w:tcPr>
            <w:tcW w:w="1021" w:type="dxa"/>
          </w:tcPr>
          <w:p w14:paraId="7AD3019B" w14:textId="5B0C3198" w:rsidR="00652B45" w:rsidRPr="007C6015" w:rsidRDefault="00652B45" w:rsidP="00652B45">
            <w:pPr>
              <w:pStyle w:val="tabletextleft"/>
              <w:spacing w:before="40" w:after="40"/>
              <w:jc w:val="right"/>
              <w:rPr>
                <w:rFonts w:ascii="Calibri" w:hAnsi="Calibri" w:cs="Calibri"/>
                <w:b/>
                <w:color w:val="000000"/>
                <w:sz w:val="14"/>
                <w:szCs w:val="14"/>
              </w:rPr>
            </w:pPr>
            <w:r w:rsidRPr="007C6015">
              <w:rPr>
                <w:rFonts w:ascii="Calibri" w:hAnsi="Calibri" w:cs="Calibri"/>
                <w:b/>
                <w:color w:val="000000"/>
                <w:sz w:val="14"/>
                <w:szCs w:val="14"/>
              </w:rPr>
              <w:t>1.0</w:t>
            </w:r>
          </w:p>
        </w:tc>
        <w:tc>
          <w:tcPr>
            <w:tcW w:w="1021" w:type="dxa"/>
          </w:tcPr>
          <w:p w14:paraId="0BF19C3C" w14:textId="4D555F3B" w:rsidR="00652B45" w:rsidRPr="007C6015" w:rsidRDefault="00652B45" w:rsidP="00652B45">
            <w:pPr>
              <w:pStyle w:val="tabletextleft"/>
              <w:spacing w:before="40" w:after="40"/>
              <w:jc w:val="right"/>
              <w:rPr>
                <w:rFonts w:ascii="Calibri" w:hAnsi="Calibri" w:cs="Calibri"/>
                <w:b/>
                <w:color w:val="000000"/>
                <w:sz w:val="14"/>
                <w:szCs w:val="14"/>
              </w:rPr>
            </w:pPr>
            <w:r w:rsidRPr="007C6015">
              <w:rPr>
                <w:rFonts w:ascii="Calibri" w:hAnsi="Calibri" w:cs="Calibri"/>
                <w:b/>
                <w:color w:val="000000"/>
                <w:sz w:val="14"/>
                <w:szCs w:val="14"/>
              </w:rPr>
              <w:t>1.3</w:t>
            </w:r>
          </w:p>
        </w:tc>
        <w:tc>
          <w:tcPr>
            <w:tcW w:w="988" w:type="dxa"/>
          </w:tcPr>
          <w:p w14:paraId="4F036643" w14:textId="4CED1622" w:rsidR="00652B45" w:rsidRPr="007C6015" w:rsidRDefault="00652B45" w:rsidP="00652B45">
            <w:pPr>
              <w:pStyle w:val="tabletextleft"/>
              <w:spacing w:before="40" w:after="40"/>
              <w:jc w:val="right"/>
              <w:rPr>
                <w:rFonts w:ascii="Calibri" w:hAnsi="Calibri" w:cs="Calibri"/>
                <w:b/>
                <w:color w:val="000000"/>
                <w:sz w:val="14"/>
                <w:szCs w:val="14"/>
              </w:rPr>
            </w:pPr>
            <w:r w:rsidRPr="007C6015">
              <w:rPr>
                <w:rFonts w:ascii="Calibri" w:hAnsi="Calibri" w:cs="Calibri"/>
                <w:b/>
                <w:color w:val="000000"/>
                <w:sz w:val="14"/>
                <w:szCs w:val="14"/>
              </w:rPr>
              <w:t>1.6</w:t>
            </w:r>
          </w:p>
        </w:tc>
      </w:tr>
      <w:tr w:rsidR="006D2755" w:rsidRPr="005954E3" w14:paraId="171B5091" w14:textId="77777777" w:rsidTr="006D2755">
        <w:trPr>
          <w:trHeight w:val="113"/>
        </w:trPr>
        <w:tc>
          <w:tcPr>
            <w:tcW w:w="3227" w:type="dxa"/>
          </w:tcPr>
          <w:p w14:paraId="019119B8" w14:textId="77777777" w:rsidR="006D2755" w:rsidRPr="005954E3" w:rsidRDefault="006D2755" w:rsidP="006D2755">
            <w:pPr>
              <w:pStyle w:val="tabletextleft"/>
              <w:spacing w:before="40" w:after="40"/>
              <w:rPr>
                <w:szCs w:val="18"/>
              </w:rPr>
            </w:pPr>
            <w:r w:rsidRPr="005954E3">
              <w:rPr>
                <w:szCs w:val="18"/>
              </w:rPr>
              <w:t>5. Корекция наличности</w:t>
            </w:r>
          </w:p>
        </w:tc>
        <w:tc>
          <w:tcPr>
            <w:tcW w:w="765" w:type="dxa"/>
          </w:tcPr>
          <w:p w14:paraId="3694564D" w14:textId="77777777" w:rsidR="006D2755" w:rsidRPr="005954E3" w:rsidRDefault="006D2755" w:rsidP="006D2755">
            <w:pPr>
              <w:pStyle w:val="tabletextleft"/>
              <w:spacing w:before="40" w:after="40"/>
              <w:rPr>
                <w:szCs w:val="18"/>
              </w:rPr>
            </w:pPr>
            <w:r w:rsidRPr="005954E3">
              <w:rPr>
                <w:szCs w:val="18"/>
              </w:rPr>
              <w:t> </w:t>
            </w:r>
          </w:p>
        </w:tc>
        <w:tc>
          <w:tcPr>
            <w:tcW w:w="1021" w:type="dxa"/>
            <w:vAlign w:val="center"/>
          </w:tcPr>
          <w:p w14:paraId="73BF9320" w14:textId="77777777" w:rsidR="006D2755" w:rsidRPr="005954E3" w:rsidRDefault="006D2755" w:rsidP="006D2755">
            <w:pPr>
              <w:pStyle w:val="tabletextleft"/>
              <w:spacing w:before="40" w:after="40"/>
              <w:jc w:val="right"/>
              <w:rPr>
                <w:szCs w:val="18"/>
              </w:rPr>
            </w:pPr>
          </w:p>
        </w:tc>
        <w:tc>
          <w:tcPr>
            <w:tcW w:w="1021" w:type="dxa"/>
            <w:vAlign w:val="center"/>
          </w:tcPr>
          <w:p w14:paraId="177C1F0D" w14:textId="77777777" w:rsidR="006D2755" w:rsidRPr="005954E3" w:rsidRDefault="006D2755" w:rsidP="006D2755">
            <w:pPr>
              <w:pStyle w:val="tabletextleft"/>
              <w:spacing w:before="40" w:after="40"/>
              <w:jc w:val="right"/>
              <w:rPr>
                <w:szCs w:val="18"/>
              </w:rPr>
            </w:pPr>
          </w:p>
        </w:tc>
        <w:tc>
          <w:tcPr>
            <w:tcW w:w="1021" w:type="dxa"/>
            <w:vAlign w:val="center"/>
          </w:tcPr>
          <w:p w14:paraId="0FBFE2E8" w14:textId="77777777" w:rsidR="006D2755" w:rsidRPr="005954E3" w:rsidRDefault="006D2755" w:rsidP="006D2755">
            <w:pPr>
              <w:pStyle w:val="tabletextleft"/>
              <w:spacing w:before="40" w:after="40"/>
              <w:jc w:val="right"/>
              <w:rPr>
                <w:szCs w:val="18"/>
              </w:rPr>
            </w:pPr>
          </w:p>
        </w:tc>
        <w:tc>
          <w:tcPr>
            <w:tcW w:w="1021" w:type="dxa"/>
            <w:vAlign w:val="center"/>
          </w:tcPr>
          <w:p w14:paraId="4F70A610" w14:textId="77777777" w:rsidR="006D2755" w:rsidRPr="005954E3" w:rsidRDefault="006D2755" w:rsidP="006D2755">
            <w:pPr>
              <w:pStyle w:val="tabletextleft"/>
              <w:spacing w:before="40" w:after="40"/>
              <w:jc w:val="right"/>
              <w:rPr>
                <w:szCs w:val="18"/>
              </w:rPr>
            </w:pPr>
          </w:p>
        </w:tc>
        <w:tc>
          <w:tcPr>
            <w:tcW w:w="988" w:type="dxa"/>
          </w:tcPr>
          <w:p w14:paraId="2F9F8E1A" w14:textId="77777777" w:rsidR="006D2755" w:rsidRPr="005954E3" w:rsidRDefault="006D2755" w:rsidP="006D2755">
            <w:pPr>
              <w:pStyle w:val="tabletextleft"/>
              <w:spacing w:before="40" w:after="40"/>
              <w:jc w:val="right"/>
              <w:rPr>
                <w:szCs w:val="18"/>
              </w:rPr>
            </w:pPr>
          </w:p>
        </w:tc>
      </w:tr>
      <w:tr w:rsidR="006D2755" w:rsidRPr="005954E3" w14:paraId="066E8041" w14:textId="77777777" w:rsidTr="006D2755">
        <w:trPr>
          <w:trHeight w:val="113"/>
        </w:trPr>
        <w:tc>
          <w:tcPr>
            <w:tcW w:w="3227" w:type="dxa"/>
          </w:tcPr>
          <w:p w14:paraId="0DEE8B58" w14:textId="77777777" w:rsidR="006D2755" w:rsidRPr="005954E3" w:rsidRDefault="006D2755" w:rsidP="006D2755">
            <w:pPr>
              <w:pStyle w:val="tabletextleft"/>
              <w:spacing w:before="40" w:after="40"/>
              <w:rPr>
                <w:szCs w:val="18"/>
              </w:rPr>
            </w:pPr>
            <w:r w:rsidRPr="005954E3">
              <w:rPr>
                <w:szCs w:val="18"/>
              </w:rPr>
              <w:t>в това число:</w:t>
            </w:r>
          </w:p>
        </w:tc>
        <w:tc>
          <w:tcPr>
            <w:tcW w:w="765" w:type="dxa"/>
          </w:tcPr>
          <w:p w14:paraId="13645915" w14:textId="77777777" w:rsidR="006D2755" w:rsidRPr="005954E3" w:rsidRDefault="006D2755" w:rsidP="006D2755">
            <w:pPr>
              <w:pStyle w:val="tabletextleft"/>
              <w:spacing w:before="40" w:after="40"/>
              <w:rPr>
                <w:szCs w:val="18"/>
              </w:rPr>
            </w:pPr>
            <w:r w:rsidRPr="005954E3">
              <w:rPr>
                <w:szCs w:val="18"/>
              </w:rPr>
              <w:t> </w:t>
            </w:r>
          </w:p>
        </w:tc>
        <w:tc>
          <w:tcPr>
            <w:tcW w:w="1021" w:type="dxa"/>
            <w:vAlign w:val="center"/>
          </w:tcPr>
          <w:p w14:paraId="0BBA3141" w14:textId="77777777" w:rsidR="006D2755" w:rsidRPr="005954E3" w:rsidRDefault="006D2755" w:rsidP="006D2755">
            <w:pPr>
              <w:pStyle w:val="tabletextleft"/>
              <w:spacing w:before="40" w:after="40"/>
              <w:jc w:val="right"/>
              <w:rPr>
                <w:szCs w:val="18"/>
              </w:rPr>
            </w:pPr>
          </w:p>
        </w:tc>
        <w:tc>
          <w:tcPr>
            <w:tcW w:w="1021" w:type="dxa"/>
            <w:vAlign w:val="center"/>
          </w:tcPr>
          <w:p w14:paraId="01004E0E" w14:textId="77777777" w:rsidR="006D2755" w:rsidRPr="005954E3" w:rsidRDefault="006D2755" w:rsidP="006D2755">
            <w:pPr>
              <w:pStyle w:val="tabletextleft"/>
              <w:spacing w:before="40" w:after="40"/>
              <w:jc w:val="right"/>
              <w:rPr>
                <w:szCs w:val="18"/>
              </w:rPr>
            </w:pPr>
          </w:p>
        </w:tc>
        <w:tc>
          <w:tcPr>
            <w:tcW w:w="1021" w:type="dxa"/>
            <w:vAlign w:val="center"/>
          </w:tcPr>
          <w:p w14:paraId="03BF0E7C" w14:textId="77777777" w:rsidR="006D2755" w:rsidRPr="005954E3" w:rsidRDefault="006D2755" w:rsidP="006D2755">
            <w:pPr>
              <w:pStyle w:val="tabletextleft"/>
              <w:spacing w:before="40" w:after="40"/>
              <w:jc w:val="right"/>
              <w:rPr>
                <w:szCs w:val="18"/>
              </w:rPr>
            </w:pPr>
          </w:p>
        </w:tc>
        <w:tc>
          <w:tcPr>
            <w:tcW w:w="1021" w:type="dxa"/>
            <w:vAlign w:val="center"/>
          </w:tcPr>
          <w:p w14:paraId="539B62A5" w14:textId="77777777" w:rsidR="006D2755" w:rsidRPr="005954E3" w:rsidRDefault="006D2755" w:rsidP="006D2755">
            <w:pPr>
              <w:pStyle w:val="tabletextleft"/>
              <w:spacing w:before="40" w:after="40"/>
              <w:jc w:val="right"/>
              <w:rPr>
                <w:szCs w:val="18"/>
              </w:rPr>
            </w:pPr>
          </w:p>
        </w:tc>
        <w:tc>
          <w:tcPr>
            <w:tcW w:w="988" w:type="dxa"/>
          </w:tcPr>
          <w:p w14:paraId="0B2430BD" w14:textId="77777777" w:rsidR="006D2755" w:rsidRPr="005954E3" w:rsidRDefault="006D2755" w:rsidP="006D2755">
            <w:pPr>
              <w:pStyle w:val="tabletextleft"/>
              <w:spacing w:before="40" w:after="40"/>
              <w:jc w:val="right"/>
              <w:rPr>
                <w:szCs w:val="18"/>
              </w:rPr>
            </w:pPr>
          </w:p>
        </w:tc>
      </w:tr>
      <w:tr w:rsidR="006D2755" w:rsidRPr="005954E3" w14:paraId="13C9C394" w14:textId="77777777" w:rsidTr="006D2755">
        <w:trPr>
          <w:trHeight w:val="113"/>
        </w:trPr>
        <w:tc>
          <w:tcPr>
            <w:tcW w:w="3227" w:type="dxa"/>
          </w:tcPr>
          <w:p w14:paraId="583AFCED" w14:textId="77777777" w:rsidR="006D2755" w:rsidRPr="005954E3" w:rsidRDefault="006D2755" w:rsidP="006D2755">
            <w:pPr>
              <w:pStyle w:val="tabletextleft"/>
              <w:spacing w:before="40" w:after="40"/>
              <w:rPr>
                <w:szCs w:val="18"/>
              </w:rPr>
            </w:pPr>
            <w:r w:rsidRPr="005954E3">
              <w:rPr>
                <w:szCs w:val="18"/>
              </w:rPr>
              <w:t>Разлики между пари в брой и натрупвания</w:t>
            </w:r>
            <w:r w:rsidRPr="005954E3">
              <w:rPr>
                <w:rStyle w:val="FootnoteReference"/>
                <w:szCs w:val="18"/>
              </w:rPr>
              <w:footnoteReference w:id="46"/>
            </w:r>
          </w:p>
        </w:tc>
        <w:tc>
          <w:tcPr>
            <w:tcW w:w="765" w:type="dxa"/>
          </w:tcPr>
          <w:p w14:paraId="6A05FC97" w14:textId="77777777" w:rsidR="006D2755" w:rsidRPr="005954E3" w:rsidRDefault="006D2755" w:rsidP="006D2755">
            <w:pPr>
              <w:pStyle w:val="tabletextleft"/>
              <w:spacing w:before="40" w:after="40"/>
              <w:rPr>
                <w:szCs w:val="18"/>
              </w:rPr>
            </w:pPr>
            <w:r w:rsidRPr="005954E3">
              <w:rPr>
                <w:szCs w:val="18"/>
              </w:rPr>
              <w:t> </w:t>
            </w:r>
          </w:p>
        </w:tc>
        <w:tc>
          <w:tcPr>
            <w:tcW w:w="1021" w:type="dxa"/>
            <w:vAlign w:val="center"/>
          </w:tcPr>
          <w:p w14:paraId="02B82DA9" w14:textId="77777777" w:rsidR="006D2755" w:rsidRPr="005954E3" w:rsidRDefault="006D2755" w:rsidP="006D2755">
            <w:pPr>
              <w:pStyle w:val="tabletextleft"/>
              <w:spacing w:before="40" w:after="40"/>
              <w:jc w:val="right"/>
              <w:rPr>
                <w:szCs w:val="18"/>
              </w:rPr>
            </w:pPr>
          </w:p>
        </w:tc>
        <w:tc>
          <w:tcPr>
            <w:tcW w:w="1021" w:type="dxa"/>
            <w:vAlign w:val="center"/>
          </w:tcPr>
          <w:p w14:paraId="6EBC6915" w14:textId="77777777" w:rsidR="006D2755" w:rsidRPr="005954E3" w:rsidRDefault="006D2755" w:rsidP="006D2755">
            <w:pPr>
              <w:pStyle w:val="tabletextleft"/>
              <w:spacing w:before="40" w:after="40"/>
              <w:jc w:val="right"/>
              <w:rPr>
                <w:szCs w:val="18"/>
              </w:rPr>
            </w:pPr>
          </w:p>
        </w:tc>
        <w:tc>
          <w:tcPr>
            <w:tcW w:w="1021" w:type="dxa"/>
            <w:vAlign w:val="center"/>
          </w:tcPr>
          <w:p w14:paraId="4D184FC7" w14:textId="77777777" w:rsidR="006D2755" w:rsidRPr="005954E3" w:rsidRDefault="006D2755" w:rsidP="006D2755">
            <w:pPr>
              <w:pStyle w:val="tabletextleft"/>
              <w:spacing w:before="40" w:after="40"/>
              <w:jc w:val="right"/>
              <w:rPr>
                <w:szCs w:val="18"/>
              </w:rPr>
            </w:pPr>
          </w:p>
        </w:tc>
        <w:tc>
          <w:tcPr>
            <w:tcW w:w="1021" w:type="dxa"/>
            <w:vAlign w:val="center"/>
          </w:tcPr>
          <w:p w14:paraId="38B96D85" w14:textId="77777777" w:rsidR="006D2755" w:rsidRPr="005954E3" w:rsidRDefault="006D2755" w:rsidP="006D2755">
            <w:pPr>
              <w:pStyle w:val="tabletextleft"/>
              <w:spacing w:before="40" w:after="40"/>
              <w:jc w:val="right"/>
              <w:rPr>
                <w:szCs w:val="18"/>
              </w:rPr>
            </w:pPr>
          </w:p>
        </w:tc>
        <w:tc>
          <w:tcPr>
            <w:tcW w:w="988" w:type="dxa"/>
          </w:tcPr>
          <w:p w14:paraId="3CAB5432" w14:textId="77777777" w:rsidR="006D2755" w:rsidRPr="005954E3" w:rsidRDefault="006D2755" w:rsidP="006D2755">
            <w:pPr>
              <w:pStyle w:val="tabletextleft"/>
              <w:spacing w:before="40" w:after="40"/>
              <w:jc w:val="right"/>
              <w:rPr>
                <w:szCs w:val="18"/>
              </w:rPr>
            </w:pPr>
          </w:p>
        </w:tc>
      </w:tr>
      <w:tr w:rsidR="006D2755" w:rsidRPr="005954E3" w14:paraId="46AB571C" w14:textId="77777777" w:rsidTr="006D2755">
        <w:trPr>
          <w:trHeight w:val="113"/>
        </w:trPr>
        <w:tc>
          <w:tcPr>
            <w:tcW w:w="3227" w:type="dxa"/>
          </w:tcPr>
          <w:p w14:paraId="3E60CE32" w14:textId="77777777" w:rsidR="006D2755" w:rsidRPr="005954E3" w:rsidRDefault="006D2755" w:rsidP="006D2755">
            <w:pPr>
              <w:pStyle w:val="tabletextleft"/>
              <w:spacing w:before="40" w:after="40"/>
              <w:rPr>
                <w:szCs w:val="18"/>
              </w:rPr>
            </w:pPr>
            <w:r w:rsidRPr="005954E3">
              <w:rPr>
                <w:szCs w:val="18"/>
              </w:rPr>
              <w:t xml:space="preserve">Нетно натрупване на финансови </w:t>
            </w:r>
            <w:r w:rsidRPr="005954E3">
              <w:rPr>
                <w:szCs w:val="18"/>
              </w:rPr>
              <w:br/>
              <w:t>активи</w:t>
            </w:r>
            <w:r w:rsidRPr="005954E3">
              <w:rPr>
                <w:rStyle w:val="FootnoteReference"/>
                <w:szCs w:val="18"/>
              </w:rPr>
              <w:footnoteReference w:id="47"/>
            </w:r>
          </w:p>
        </w:tc>
        <w:tc>
          <w:tcPr>
            <w:tcW w:w="765" w:type="dxa"/>
          </w:tcPr>
          <w:p w14:paraId="22D32E4E" w14:textId="77777777" w:rsidR="006D2755" w:rsidRPr="005954E3" w:rsidRDefault="006D2755" w:rsidP="006D2755">
            <w:pPr>
              <w:pStyle w:val="tabletextleft"/>
              <w:spacing w:before="40" w:after="40"/>
              <w:rPr>
                <w:szCs w:val="18"/>
              </w:rPr>
            </w:pPr>
            <w:r w:rsidRPr="005954E3">
              <w:rPr>
                <w:szCs w:val="18"/>
              </w:rPr>
              <w:t> </w:t>
            </w:r>
          </w:p>
        </w:tc>
        <w:tc>
          <w:tcPr>
            <w:tcW w:w="1021" w:type="dxa"/>
            <w:vAlign w:val="center"/>
          </w:tcPr>
          <w:p w14:paraId="1AA42D85" w14:textId="77777777" w:rsidR="006D2755" w:rsidRPr="005954E3" w:rsidRDefault="006D2755" w:rsidP="006D2755">
            <w:pPr>
              <w:pStyle w:val="tabletextleft"/>
              <w:spacing w:before="40" w:after="40"/>
              <w:jc w:val="right"/>
              <w:rPr>
                <w:szCs w:val="18"/>
              </w:rPr>
            </w:pPr>
          </w:p>
        </w:tc>
        <w:tc>
          <w:tcPr>
            <w:tcW w:w="1021" w:type="dxa"/>
            <w:vAlign w:val="center"/>
          </w:tcPr>
          <w:p w14:paraId="27731039" w14:textId="77777777" w:rsidR="006D2755" w:rsidRPr="005954E3" w:rsidRDefault="006D2755" w:rsidP="006D2755">
            <w:pPr>
              <w:pStyle w:val="tabletextleft"/>
              <w:spacing w:before="40" w:after="40"/>
              <w:jc w:val="right"/>
              <w:rPr>
                <w:szCs w:val="18"/>
              </w:rPr>
            </w:pPr>
          </w:p>
        </w:tc>
        <w:tc>
          <w:tcPr>
            <w:tcW w:w="1021" w:type="dxa"/>
            <w:vAlign w:val="center"/>
          </w:tcPr>
          <w:p w14:paraId="04422A6F" w14:textId="77777777" w:rsidR="006D2755" w:rsidRPr="005954E3" w:rsidRDefault="006D2755" w:rsidP="006D2755">
            <w:pPr>
              <w:pStyle w:val="tabletextleft"/>
              <w:spacing w:before="40" w:after="40"/>
              <w:jc w:val="right"/>
              <w:rPr>
                <w:szCs w:val="18"/>
              </w:rPr>
            </w:pPr>
          </w:p>
        </w:tc>
        <w:tc>
          <w:tcPr>
            <w:tcW w:w="1021" w:type="dxa"/>
            <w:vAlign w:val="center"/>
          </w:tcPr>
          <w:p w14:paraId="7962A1FD" w14:textId="77777777" w:rsidR="006D2755" w:rsidRPr="005954E3" w:rsidRDefault="006D2755" w:rsidP="006D2755">
            <w:pPr>
              <w:pStyle w:val="tabletextleft"/>
              <w:spacing w:before="40" w:after="40"/>
              <w:jc w:val="right"/>
              <w:rPr>
                <w:szCs w:val="18"/>
              </w:rPr>
            </w:pPr>
          </w:p>
        </w:tc>
        <w:tc>
          <w:tcPr>
            <w:tcW w:w="988" w:type="dxa"/>
          </w:tcPr>
          <w:p w14:paraId="57ED538E" w14:textId="77777777" w:rsidR="006D2755" w:rsidRPr="005954E3" w:rsidRDefault="006D2755" w:rsidP="006D2755">
            <w:pPr>
              <w:pStyle w:val="tabletextleft"/>
              <w:spacing w:before="40" w:after="40"/>
              <w:jc w:val="right"/>
              <w:rPr>
                <w:szCs w:val="18"/>
              </w:rPr>
            </w:pPr>
          </w:p>
        </w:tc>
      </w:tr>
      <w:tr w:rsidR="006D2755" w:rsidRPr="005954E3" w14:paraId="6CE43959" w14:textId="77777777" w:rsidTr="006D2755">
        <w:trPr>
          <w:trHeight w:val="113"/>
        </w:trPr>
        <w:tc>
          <w:tcPr>
            <w:tcW w:w="3227" w:type="dxa"/>
          </w:tcPr>
          <w:p w14:paraId="3639B5EC" w14:textId="77777777" w:rsidR="006D2755" w:rsidRPr="005954E3" w:rsidRDefault="006D2755" w:rsidP="006D2755">
            <w:pPr>
              <w:pStyle w:val="tabletextleft"/>
              <w:spacing w:before="40" w:after="40"/>
              <w:rPr>
                <w:szCs w:val="18"/>
              </w:rPr>
            </w:pPr>
            <w:r w:rsidRPr="005954E3">
              <w:rPr>
                <w:szCs w:val="18"/>
              </w:rPr>
              <w:t>в това число: приходи от приватизация</w:t>
            </w:r>
          </w:p>
        </w:tc>
        <w:tc>
          <w:tcPr>
            <w:tcW w:w="765" w:type="dxa"/>
          </w:tcPr>
          <w:p w14:paraId="5F04F606" w14:textId="77777777" w:rsidR="006D2755" w:rsidRPr="005954E3" w:rsidRDefault="006D2755" w:rsidP="006D2755">
            <w:pPr>
              <w:pStyle w:val="tabletextleft"/>
              <w:spacing w:before="40" w:after="40"/>
              <w:rPr>
                <w:szCs w:val="18"/>
              </w:rPr>
            </w:pPr>
            <w:r w:rsidRPr="005954E3">
              <w:rPr>
                <w:szCs w:val="18"/>
              </w:rPr>
              <w:t> </w:t>
            </w:r>
          </w:p>
        </w:tc>
        <w:tc>
          <w:tcPr>
            <w:tcW w:w="1021" w:type="dxa"/>
            <w:vAlign w:val="center"/>
          </w:tcPr>
          <w:p w14:paraId="5C5F3578" w14:textId="77777777" w:rsidR="006D2755" w:rsidRPr="005954E3" w:rsidRDefault="006D2755" w:rsidP="006D2755">
            <w:pPr>
              <w:pStyle w:val="tabletextleft"/>
              <w:spacing w:before="40" w:after="40"/>
              <w:jc w:val="right"/>
              <w:rPr>
                <w:szCs w:val="18"/>
              </w:rPr>
            </w:pPr>
          </w:p>
        </w:tc>
        <w:tc>
          <w:tcPr>
            <w:tcW w:w="1021" w:type="dxa"/>
            <w:vAlign w:val="center"/>
          </w:tcPr>
          <w:p w14:paraId="4B932F02" w14:textId="77777777" w:rsidR="006D2755" w:rsidRPr="005954E3" w:rsidRDefault="006D2755" w:rsidP="006D2755">
            <w:pPr>
              <w:pStyle w:val="tabletextleft"/>
              <w:spacing w:before="40" w:after="40"/>
              <w:jc w:val="right"/>
              <w:rPr>
                <w:szCs w:val="18"/>
              </w:rPr>
            </w:pPr>
          </w:p>
        </w:tc>
        <w:tc>
          <w:tcPr>
            <w:tcW w:w="1021" w:type="dxa"/>
            <w:vAlign w:val="center"/>
          </w:tcPr>
          <w:p w14:paraId="687F4793" w14:textId="77777777" w:rsidR="006D2755" w:rsidRPr="005954E3" w:rsidRDefault="006D2755" w:rsidP="006D2755">
            <w:pPr>
              <w:pStyle w:val="tabletextleft"/>
              <w:spacing w:before="40" w:after="40"/>
              <w:jc w:val="right"/>
              <w:rPr>
                <w:szCs w:val="18"/>
              </w:rPr>
            </w:pPr>
          </w:p>
        </w:tc>
        <w:tc>
          <w:tcPr>
            <w:tcW w:w="1021" w:type="dxa"/>
            <w:vAlign w:val="center"/>
          </w:tcPr>
          <w:p w14:paraId="75E9C929" w14:textId="77777777" w:rsidR="006D2755" w:rsidRPr="005954E3" w:rsidRDefault="006D2755" w:rsidP="006D2755">
            <w:pPr>
              <w:pStyle w:val="tabletextleft"/>
              <w:spacing w:before="40" w:after="40"/>
              <w:jc w:val="right"/>
              <w:rPr>
                <w:szCs w:val="18"/>
              </w:rPr>
            </w:pPr>
          </w:p>
        </w:tc>
        <w:tc>
          <w:tcPr>
            <w:tcW w:w="988" w:type="dxa"/>
          </w:tcPr>
          <w:p w14:paraId="24D72647" w14:textId="77777777" w:rsidR="006D2755" w:rsidRPr="005954E3" w:rsidRDefault="006D2755" w:rsidP="006D2755">
            <w:pPr>
              <w:pStyle w:val="tabletextleft"/>
              <w:spacing w:before="40" w:after="40"/>
              <w:jc w:val="right"/>
              <w:rPr>
                <w:szCs w:val="18"/>
              </w:rPr>
            </w:pPr>
          </w:p>
        </w:tc>
      </w:tr>
      <w:tr w:rsidR="006D2755" w:rsidRPr="005954E3" w14:paraId="305F7F19" w14:textId="77777777" w:rsidTr="006D2755">
        <w:trPr>
          <w:trHeight w:val="113"/>
        </w:trPr>
        <w:tc>
          <w:tcPr>
            <w:tcW w:w="3227" w:type="dxa"/>
          </w:tcPr>
          <w:p w14:paraId="0A78F715" w14:textId="77777777" w:rsidR="006D2755" w:rsidRPr="005954E3" w:rsidRDefault="006D2755" w:rsidP="006D2755">
            <w:pPr>
              <w:pStyle w:val="tabletextleft"/>
              <w:spacing w:before="40" w:after="40"/>
              <w:rPr>
                <w:szCs w:val="18"/>
              </w:rPr>
            </w:pPr>
            <w:r w:rsidRPr="005954E3">
              <w:rPr>
                <w:szCs w:val="18"/>
              </w:rPr>
              <w:t>Оценъчни ефекти и други</w:t>
            </w:r>
            <w:r w:rsidRPr="005954E3">
              <w:rPr>
                <w:rStyle w:val="FootnoteReference"/>
                <w:szCs w:val="18"/>
              </w:rPr>
              <w:footnoteReference w:id="48"/>
            </w:r>
          </w:p>
        </w:tc>
        <w:tc>
          <w:tcPr>
            <w:tcW w:w="765" w:type="dxa"/>
          </w:tcPr>
          <w:p w14:paraId="5DAB9BE5" w14:textId="77777777" w:rsidR="006D2755" w:rsidRPr="005954E3" w:rsidRDefault="006D2755" w:rsidP="006D2755">
            <w:pPr>
              <w:pStyle w:val="tabletextleft"/>
              <w:spacing w:before="40" w:after="40"/>
              <w:rPr>
                <w:szCs w:val="18"/>
              </w:rPr>
            </w:pPr>
          </w:p>
        </w:tc>
        <w:tc>
          <w:tcPr>
            <w:tcW w:w="1021" w:type="dxa"/>
            <w:vAlign w:val="center"/>
          </w:tcPr>
          <w:p w14:paraId="1B889408" w14:textId="77777777" w:rsidR="006D2755" w:rsidRPr="005954E3" w:rsidRDefault="006D2755" w:rsidP="006D2755">
            <w:pPr>
              <w:pStyle w:val="tabletextleft"/>
              <w:spacing w:before="40" w:after="40"/>
              <w:jc w:val="right"/>
              <w:rPr>
                <w:szCs w:val="18"/>
              </w:rPr>
            </w:pPr>
          </w:p>
        </w:tc>
        <w:tc>
          <w:tcPr>
            <w:tcW w:w="1021" w:type="dxa"/>
            <w:vAlign w:val="center"/>
          </w:tcPr>
          <w:p w14:paraId="61A3C9B3" w14:textId="77777777" w:rsidR="006D2755" w:rsidRPr="005954E3" w:rsidRDefault="006D2755" w:rsidP="006D2755">
            <w:pPr>
              <w:pStyle w:val="tabletextleft"/>
              <w:spacing w:before="40" w:after="40"/>
              <w:jc w:val="right"/>
              <w:rPr>
                <w:szCs w:val="18"/>
              </w:rPr>
            </w:pPr>
          </w:p>
        </w:tc>
        <w:tc>
          <w:tcPr>
            <w:tcW w:w="1021" w:type="dxa"/>
            <w:vAlign w:val="center"/>
          </w:tcPr>
          <w:p w14:paraId="637DCD37" w14:textId="77777777" w:rsidR="006D2755" w:rsidRPr="005954E3" w:rsidRDefault="006D2755" w:rsidP="006D2755">
            <w:pPr>
              <w:pStyle w:val="tabletextleft"/>
              <w:spacing w:before="40" w:after="40"/>
              <w:jc w:val="right"/>
              <w:rPr>
                <w:szCs w:val="18"/>
              </w:rPr>
            </w:pPr>
          </w:p>
        </w:tc>
        <w:tc>
          <w:tcPr>
            <w:tcW w:w="1021" w:type="dxa"/>
            <w:vAlign w:val="center"/>
          </w:tcPr>
          <w:p w14:paraId="6C36941D" w14:textId="77777777" w:rsidR="006D2755" w:rsidRPr="005954E3" w:rsidRDefault="006D2755" w:rsidP="006D2755">
            <w:pPr>
              <w:pStyle w:val="tabletextleft"/>
              <w:spacing w:before="40" w:after="40"/>
              <w:jc w:val="right"/>
              <w:rPr>
                <w:szCs w:val="18"/>
              </w:rPr>
            </w:pPr>
          </w:p>
        </w:tc>
        <w:tc>
          <w:tcPr>
            <w:tcW w:w="988" w:type="dxa"/>
          </w:tcPr>
          <w:p w14:paraId="04DD1446" w14:textId="77777777" w:rsidR="006D2755" w:rsidRPr="005954E3" w:rsidRDefault="006D2755" w:rsidP="006D2755">
            <w:pPr>
              <w:pStyle w:val="tabletextleft"/>
              <w:spacing w:before="40" w:after="40"/>
              <w:jc w:val="right"/>
              <w:rPr>
                <w:szCs w:val="18"/>
              </w:rPr>
            </w:pPr>
          </w:p>
        </w:tc>
      </w:tr>
      <w:tr w:rsidR="00652B45" w:rsidRPr="005954E3" w14:paraId="12B91ED7" w14:textId="77777777" w:rsidTr="006D2755">
        <w:trPr>
          <w:trHeight w:val="113"/>
        </w:trPr>
        <w:tc>
          <w:tcPr>
            <w:tcW w:w="3227" w:type="dxa"/>
          </w:tcPr>
          <w:p w14:paraId="5A9BA85D" w14:textId="77777777" w:rsidR="00652B45" w:rsidRPr="005954E3" w:rsidRDefault="00652B45" w:rsidP="00652B45">
            <w:pPr>
              <w:pStyle w:val="tabletextleft"/>
              <w:spacing w:before="40" w:after="40"/>
              <w:rPr>
                <w:szCs w:val="18"/>
              </w:rPr>
            </w:pPr>
            <w:r w:rsidRPr="005954E3">
              <w:rPr>
                <w:szCs w:val="18"/>
              </w:rPr>
              <w:t>Имплицитен лихвен процент върху дълга</w:t>
            </w:r>
            <w:r w:rsidRPr="005954E3">
              <w:rPr>
                <w:rStyle w:val="FootnoteReference"/>
                <w:szCs w:val="18"/>
              </w:rPr>
              <w:footnoteReference w:id="49"/>
            </w:r>
          </w:p>
        </w:tc>
        <w:tc>
          <w:tcPr>
            <w:tcW w:w="765" w:type="dxa"/>
          </w:tcPr>
          <w:p w14:paraId="2096E02A" w14:textId="77777777" w:rsidR="00652B45" w:rsidRPr="005954E3" w:rsidRDefault="00652B45" w:rsidP="00652B45">
            <w:pPr>
              <w:pStyle w:val="tabletextleft"/>
              <w:spacing w:before="40" w:after="40"/>
              <w:rPr>
                <w:szCs w:val="18"/>
              </w:rPr>
            </w:pPr>
            <w:r w:rsidRPr="005954E3">
              <w:rPr>
                <w:szCs w:val="18"/>
              </w:rPr>
              <w:t> </w:t>
            </w:r>
          </w:p>
        </w:tc>
        <w:tc>
          <w:tcPr>
            <w:tcW w:w="1021" w:type="dxa"/>
            <w:vAlign w:val="bottom"/>
          </w:tcPr>
          <w:p w14:paraId="57225FB5" w14:textId="3D4CF395" w:rsidR="00652B45" w:rsidRPr="005954E3" w:rsidRDefault="00E72D37" w:rsidP="00652B45">
            <w:pPr>
              <w:pStyle w:val="tabletextleft"/>
              <w:spacing w:before="40" w:after="40"/>
              <w:jc w:val="right"/>
              <w:rPr>
                <w:szCs w:val="18"/>
              </w:rPr>
            </w:pPr>
            <w:r>
              <w:rPr>
                <w:rFonts w:ascii="Calibri" w:hAnsi="Calibri" w:cs="Calibri"/>
                <w:b/>
                <w:color w:val="000000"/>
                <w:sz w:val="14"/>
                <w:szCs w:val="14"/>
              </w:rPr>
              <w:t>1.</w:t>
            </w:r>
            <w:r w:rsidR="00652B45">
              <w:rPr>
                <w:rFonts w:ascii="Calibri" w:hAnsi="Calibri" w:cs="Calibri"/>
                <w:b/>
                <w:color w:val="000000"/>
                <w:sz w:val="14"/>
                <w:szCs w:val="14"/>
              </w:rPr>
              <w:t>9</w:t>
            </w:r>
          </w:p>
        </w:tc>
        <w:tc>
          <w:tcPr>
            <w:tcW w:w="1021" w:type="dxa"/>
            <w:vAlign w:val="bottom"/>
          </w:tcPr>
          <w:p w14:paraId="5CBE8249" w14:textId="11D3BD74" w:rsidR="00652B45" w:rsidRPr="005954E3" w:rsidRDefault="00E72D37" w:rsidP="00652B45">
            <w:pPr>
              <w:pStyle w:val="tabletextleft"/>
              <w:spacing w:before="40" w:after="40"/>
              <w:jc w:val="right"/>
              <w:rPr>
                <w:szCs w:val="18"/>
              </w:rPr>
            </w:pPr>
            <w:r>
              <w:rPr>
                <w:rFonts w:ascii="Calibri" w:hAnsi="Calibri" w:cs="Calibri"/>
                <w:b/>
                <w:color w:val="000000"/>
                <w:sz w:val="14"/>
                <w:szCs w:val="14"/>
              </w:rPr>
              <w:t>2.</w:t>
            </w:r>
            <w:r w:rsidR="00652B45">
              <w:rPr>
                <w:rFonts w:ascii="Calibri" w:hAnsi="Calibri" w:cs="Calibri"/>
                <w:b/>
                <w:color w:val="000000"/>
                <w:sz w:val="14"/>
                <w:szCs w:val="14"/>
              </w:rPr>
              <w:t>8</w:t>
            </w:r>
          </w:p>
        </w:tc>
        <w:tc>
          <w:tcPr>
            <w:tcW w:w="1021" w:type="dxa"/>
            <w:vAlign w:val="bottom"/>
          </w:tcPr>
          <w:p w14:paraId="13991B11" w14:textId="0587DCA3" w:rsidR="00652B45" w:rsidRPr="005954E3" w:rsidRDefault="00652B45" w:rsidP="00652B45">
            <w:pPr>
              <w:pStyle w:val="tabletextleft"/>
              <w:spacing w:before="40" w:after="40"/>
              <w:jc w:val="right"/>
              <w:rPr>
                <w:szCs w:val="18"/>
              </w:rPr>
            </w:pPr>
            <w:r>
              <w:rPr>
                <w:rFonts w:ascii="Calibri" w:hAnsi="Calibri" w:cs="Calibri"/>
                <w:b/>
                <w:color w:val="000000"/>
                <w:sz w:val="14"/>
                <w:szCs w:val="14"/>
              </w:rPr>
              <w:t>4</w:t>
            </w:r>
            <w:r w:rsidR="00E72D37">
              <w:rPr>
                <w:rFonts w:ascii="Calibri" w:hAnsi="Calibri" w:cs="Calibri"/>
                <w:b/>
                <w:color w:val="000000"/>
                <w:sz w:val="14"/>
                <w:szCs w:val="14"/>
              </w:rPr>
              <w:t>.</w:t>
            </w:r>
            <w:r>
              <w:rPr>
                <w:rFonts w:ascii="Calibri" w:hAnsi="Calibri" w:cs="Calibri"/>
                <w:b/>
                <w:color w:val="000000"/>
                <w:sz w:val="14"/>
                <w:szCs w:val="14"/>
              </w:rPr>
              <w:t>0</w:t>
            </w:r>
          </w:p>
        </w:tc>
        <w:tc>
          <w:tcPr>
            <w:tcW w:w="1021" w:type="dxa"/>
            <w:vAlign w:val="bottom"/>
          </w:tcPr>
          <w:p w14:paraId="73B007E8" w14:textId="04322B52" w:rsidR="00652B45" w:rsidRPr="005954E3" w:rsidRDefault="00652B45" w:rsidP="00652B45">
            <w:pPr>
              <w:pStyle w:val="tabletextleft"/>
              <w:spacing w:before="40" w:after="40"/>
              <w:jc w:val="right"/>
              <w:rPr>
                <w:szCs w:val="18"/>
              </w:rPr>
            </w:pPr>
            <w:r>
              <w:rPr>
                <w:rFonts w:ascii="Calibri" w:hAnsi="Calibri" w:cs="Calibri"/>
                <w:b/>
                <w:color w:val="000000"/>
                <w:sz w:val="14"/>
                <w:szCs w:val="14"/>
              </w:rPr>
              <w:t>4</w:t>
            </w:r>
            <w:r w:rsidR="00E72D37">
              <w:rPr>
                <w:rFonts w:ascii="Calibri" w:hAnsi="Calibri" w:cs="Calibri"/>
                <w:b/>
                <w:color w:val="000000"/>
                <w:sz w:val="14"/>
                <w:szCs w:val="14"/>
              </w:rPr>
              <w:t>.</w:t>
            </w:r>
            <w:r>
              <w:rPr>
                <w:rFonts w:ascii="Calibri" w:hAnsi="Calibri" w:cs="Calibri"/>
                <w:b/>
                <w:color w:val="000000"/>
                <w:sz w:val="14"/>
                <w:szCs w:val="14"/>
              </w:rPr>
              <w:t>3</w:t>
            </w:r>
          </w:p>
        </w:tc>
        <w:tc>
          <w:tcPr>
            <w:tcW w:w="988" w:type="dxa"/>
            <w:vAlign w:val="bottom"/>
          </w:tcPr>
          <w:p w14:paraId="432C39FB" w14:textId="04C53EE9" w:rsidR="00652B45" w:rsidRPr="005954E3" w:rsidRDefault="00652B45" w:rsidP="00652B45">
            <w:pPr>
              <w:pStyle w:val="tabletextleft"/>
              <w:spacing w:before="40" w:after="40"/>
              <w:jc w:val="right"/>
              <w:rPr>
                <w:szCs w:val="18"/>
              </w:rPr>
            </w:pPr>
            <w:r>
              <w:rPr>
                <w:rFonts w:ascii="Calibri" w:hAnsi="Calibri" w:cs="Calibri"/>
                <w:b/>
                <w:color w:val="000000"/>
                <w:sz w:val="14"/>
                <w:szCs w:val="14"/>
              </w:rPr>
              <w:t>5</w:t>
            </w:r>
            <w:r w:rsidR="00E72D37">
              <w:rPr>
                <w:rFonts w:ascii="Calibri" w:hAnsi="Calibri" w:cs="Calibri"/>
                <w:b/>
                <w:color w:val="000000"/>
                <w:sz w:val="14"/>
                <w:szCs w:val="14"/>
              </w:rPr>
              <w:t>.</w:t>
            </w:r>
            <w:r>
              <w:rPr>
                <w:rFonts w:ascii="Calibri" w:hAnsi="Calibri" w:cs="Calibri"/>
                <w:b/>
                <w:color w:val="000000"/>
                <w:sz w:val="14"/>
                <w:szCs w:val="14"/>
              </w:rPr>
              <w:t>1</w:t>
            </w:r>
          </w:p>
        </w:tc>
      </w:tr>
      <w:tr w:rsidR="00C64AA0" w:rsidRPr="005954E3" w14:paraId="16695BB7" w14:textId="77777777" w:rsidTr="006D2755">
        <w:trPr>
          <w:trHeight w:val="113"/>
        </w:trPr>
        <w:tc>
          <w:tcPr>
            <w:tcW w:w="3227" w:type="dxa"/>
          </w:tcPr>
          <w:p w14:paraId="62E0CA9C" w14:textId="77777777" w:rsidR="00C64AA0" w:rsidRPr="005954E3" w:rsidRDefault="00C64AA0" w:rsidP="00C64AA0">
            <w:pPr>
              <w:pStyle w:val="tabletextleft"/>
              <w:spacing w:before="40" w:after="40"/>
              <w:rPr>
                <w:szCs w:val="18"/>
              </w:rPr>
            </w:pPr>
            <w:r w:rsidRPr="005954E3">
              <w:rPr>
                <w:szCs w:val="18"/>
              </w:rPr>
              <w:t>6. Ликвидни финансови активи</w:t>
            </w:r>
            <w:r w:rsidRPr="005954E3">
              <w:rPr>
                <w:rStyle w:val="FootnoteReference"/>
                <w:szCs w:val="18"/>
              </w:rPr>
              <w:footnoteReference w:id="50"/>
            </w:r>
          </w:p>
        </w:tc>
        <w:tc>
          <w:tcPr>
            <w:tcW w:w="765" w:type="dxa"/>
          </w:tcPr>
          <w:p w14:paraId="64C9BED3" w14:textId="77777777" w:rsidR="00C64AA0" w:rsidRPr="005954E3" w:rsidRDefault="00C64AA0" w:rsidP="00C64AA0">
            <w:pPr>
              <w:pStyle w:val="tabletextleft"/>
              <w:spacing w:before="40" w:after="40"/>
              <w:rPr>
                <w:szCs w:val="18"/>
              </w:rPr>
            </w:pPr>
            <w:r w:rsidRPr="005954E3">
              <w:rPr>
                <w:szCs w:val="18"/>
              </w:rPr>
              <w:t> </w:t>
            </w:r>
          </w:p>
        </w:tc>
        <w:tc>
          <w:tcPr>
            <w:tcW w:w="1021" w:type="dxa"/>
            <w:vAlign w:val="center"/>
          </w:tcPr>
          <w:p w14:paraId="2AAAA408" w14:textId="77777777" w:rsidR="00C64AA0" w:rsidRPr="005954E3" w:rsidRDefault="00C64AA0" w:rsidP="00C64AA0">
            <w:pPr>
              <w:pStyle w:val="tabletextleft"/>
              <w:spacing w:before="40" w:after="40"/>
              <w:rPr>
                <w:szCs w:val="18"/>
              </w:rPr>
            </w:pPr>
          </w:p>
        </w:tc>
        <w:tc>
          <w:tcPr>
            <w:tcW w:w="1021" w:type="dxa"/>
            <w:vAlign w:val="center"/>
          </w:tcPr>
          <w:p w14:paraId="6F6398A7" w14:textId="77777777" w:rsidR="00C64AA0" w:rsidRPr="005954E3" w:rsidRDefault="00C64AA0" w:rsidP="00C64AA0">
            <w:pPr>
              <w:pStyle w:val="tabletextleft"/>
              <w:spacing w:before="40" w:after="40"/>
              <w:rPr>
                <w:szCs w:val="18"/>
              </w:rPr>
            </w:pPr>
          </w:p>
        </w:tc>
        <w:tc>
          <w:tcPr>
            <w:tcW w:w="1021" w:type="dxa"/>
            <w:vAlign w:val="center"/>
          </w:tcPr>
          <w:p w14:paraId="5AE41F06" w14:textId="77777777" w:rsidR="00C64AA0" w:rsidRPr="005954E3" w:rsidRDefault="00C64AA0" w:rsidP="00C64AA0">
            <w:pPr>
              <w:pStyle w:val="tabletextleft"/>
              <w:spacing w:before="40" w:after="40"/>
              <w:rPr>
                <w:szCs w:val="18"/>
              </w:rPr>
            </w:pPr>
          </w:p>
        </w:tc>
        <w:tc>
          <w:tcPr>
            <w:tcW w:w="1021" w:type="dxa"/>
            <w:vAlign w:val="center"/>
          </w:tcPr>
          <w:p w14:paraId="7C8719CB" w14:textId="77777777" w:rsidR="00C64AA0" w:rsidRPr="005954E3" w:rsidRDefault="00C64AA0" w:rsidP="00C64AA0">
            <w:pPr>
              <w:pStyle w:val="tabletextleft"/>
              <w:spacing w:before="40" w:after="40"/>
              <w:rPr>
                <w:szCs w:val="18"/>
              </w:rPr>
            </w:pPr>
          </w:p>
        </w:tc>
        <w:tc>
          <w:tcPr>
            <w:tcW w:w="988" w:type="dxa"/>
          </w:tcPr>
          <w:p w14:paraId="65F5812C" w14:textId="77777777" w:rsidR="00C64AA0" w:rsidRPr="005954E3" w:rsidRDefault="00C64AA0" w:rsidP="00C64AA0">
            <w:pPr>
              <w:pStyle w:val="tabletextleft"/>
              <w:spacing w:before="40" w:after="40"/>
              <w:rPr>
                <w:szCs w:val="18"/>
              </w:rPr>
            </w:pPr>
          </w:p>
        </w:tc>
      </w:tr>
      <w:tr w:rsidR="00C64AA0" w:rsidRPr="005954E3" w14:paraId="338CC45A" w14:textId="77777777" w:rsidTr="006D2755">
        <w:trPr>
          <w:trHeight w:val="113"/>
        </w:trPr>
        <w:tc>
          <w:tcPr>
            <w:tcW w:w="3227" w:type="dxa"/>
          </w:tcPr>
          <w:p w14:paraId="62F03014" w14:textId="77777777" w:rsidR="00C64AA0" w:rsidRPr="005954E3" w:rsidRDefault="00C64AA0" w:rsidP="00C64AA0">
            <w:pPr>
              <w:pStyle w:val="tabletextleft"/>
              <w:spacing w:before="40" w:after="40"/>
              <w:rPr>
                <w:szCs w:val="18"/>
              </w:rPr>
            </w:pPr>
            <w:r w:rsidRPr="005954E3">
              <w:rPr>
                <w:szCs w:val="18"/>
              </w:rPr>
              <w:t>7. Нетен финансов дълг (7=1-6)</w:t>
            </w:r>
          </w:p>
        </w:tc>
        <w:tc>
          <w:tcPr>
            <w:tcW w:w="765" w:type="dxa"/>
          </w:tcPr>
          <w:p w14:paraId="33715CBD" w14:textId="77777777" w:rsidR="00C64AA0" w:rsidRPr="005954E3" w:rsidRDefault="00C64AA0" w:rsidP="00C64AA0">
            <w:pPr>
              <w:pStyle w:val="tabletextleft"/>
              <w:spacing w:before="40" w:after="40"/>
              <w:rPr>
                <w:szCs w:val="18"/>
              </w:rPr>
            </w:pPr>
            <w:r w:rsidRPr="005954E3">
              <w:rPr>
                <w:szCs w:val="18"/>
              </w:rPr>
              <w:t> </w:t>
            </w:r>
          </w:p>
        </w:tc>
        <w:tc>
          <w:tcPr>
            <w:tcW w:w="1021" w:type="dxa"/>
            <w:vAlign w:val="center"/>
          </w:tcPr>
          <w:p w14:paraId="1EFF8099" w14:textId="77777777" w:rsidR="00C64AA0" w:rsidRPr="005954E3" w:rsidRDefault="00C64AA0" w:rsidP="00C64AA0">
            <w:pPr>
              <w:pStyle w:val="tabletextleft"/>
              <w:spacing w:before="40" w:after="40"/>
              <w:rPr>
                <w:szCs w:val="18"/>
              </w:rPr>
            </w:pPr>
          </w:p>
        </w:tc>
        <w:tc>
          <w:tcPr>
            <w:tcW w:w="1021" w:type="dxa"/>
            <w:vAlign w:val="center"/>
          </w:tcPr>
          <w:p w14:paraId="4AF5416D" w14:textId="77777777" w:rsidR="00C64AA0" w:rsidRPr="005954E3" w:rsidRDefault="00C64AA0" w:rsidP="00C64AA0">
            <w:pPr>
              <w:pStyle w:val="tabletextleft"/>
              <w:spacing w:before="40" w:after="40"/>
              <w:rPr>
                <w:szCs w:val="18"/>
              </w:rPr>
            </w:pPr>
          </w:p>
        </w:tc>
        <w:tc>
          <w:tcPr>
            <w:tcW w:w="1021" w:type="dxa"/>
            <w:vAlign w:val="center"/>
          </w:tcPr>
          <w:p w14:paraId="3DDBD641" w14:textId="77777777" w:rsidR="00C64AA0" w:rsidRPr="005954E3" w:rsidRDefault="00C64AA0" w:rsidP="00C64AA0">
            <w:pPr>
              <w:pStyle w:val="tabletextleft"/>
              <w:spacing w:before="40" w:after="40"/>
              <w:rPr>
                <w:szCs w:val="18"/>
              </w:rPr>
            </w:pPr>
          </w:p>
        </w:tc>
        <w:tc>
          <w:tcPr>
            <w:tcW w:w="1021" w:type="dxa"/>
            <w:vAlign w:val="center"/>
          </w:tcPr>
          <w:p w14:paraId="35B7456B" w14:textId="77777777" w:rsidR="00C64AA0" w:rsidRPr="005954E3" w:rsidRDefault="00C64AA0" w:rsidP="00C64AA0">
            <w:pPr>
              <w:pStyle w:val="tabletextleft"/>
              <w:spacing w:before="40" w:after="40"/>
              <w:rPr>
                <w:szCs w:val="18"/>
              </w:rPr>
            </w:pPr>
          </w:p>
        </w:tc>
        <w:tc>
          <w:tcPr>
            <w:tcW w:w="988" w:type="dxa"/>
          </w:tcPr>
          <w:p w14:paraId="52EEF07D" w14:textId="77777777" w:rsidR="00C64AA0" w:rsidRPr="005954E3" w:rsidRDefault="00C64AA0" w:rsidP="00C64AA0">
            <w:pPr>
              <w:pStyle w:val="tabletextleft"/>
              <w:spacing w:before="40" w:after="40"/>
              <w:rPr>
                <w:szCs w:val="18"/>
              </w:rPr>
            </w:pPr>
          </w:p>
        </w:tc>
      </w:tr>
      <w:tr w:rsidR="00652B45" w:rsidRPr="005954E3" w14:paraId="4EE60C1A" w14:textId="77777777" w:rsidTr="00777E7B">
        <w:trPr>
          <w:trHeight w:val="113"/>
        </w:trPr>
        <w:tc>
          <w:tcPr>
            <w:tcW w:w="3227" w:type="dxa"/>
          </w:tcPr>
          <w:p w14:paraId="3A557B79" w14:textId="77777777" w:rsidR="00652B45" w:rsidRPr="005954E3" w:rsidRDefault="00652B45" w:rsidP="00652B45">
            <w:pPr>
              <w:pStyle w:val="tabletextleft"/>
              <w:spacing w:before="40" w:after="40"/>
              <w:rPr>
                <w:szCs w:val="18"/>
              </w:rPr>
            </w:pPr>
            <w:r w:rsidRPr="005954E3">
              <w:rPr>
                <w:szCs w:val="18"/>
              </w:rPr>
              <w:t xml:space="preserve">8. Дългова амортизация от края на </w:t>
            </w:r>
            <w:r w:rsidRPr="005954E3">
              <w:rPr>
                <w:szCs w:val="18"/>
              </w:rPr>
              <w:br/>
              <w:t>предходната година</w:t>
            </w:r>
          </w:p>
        </w:tc>
        <w:tc>
          <w:tcPr>
            <w:tcW w:w="765" w:type="dxa"/>
          </w:tcPr>
          <w:p w14:paraId="7C6EB56F" w14:textId="77777777" w:rsidR="00652B45" w:rsidRPr="005954E3" w:rsidRDefault="00652B45" w:rsidP="00652B45">
            <w:pPr>
              <w:pStyle w:val="tabletextleft"/>
              <w:spacing w:before="40" w:after="40"/>
              <w:rPr>
                <w:szCs w:val="18"/>
              </w:rPr>
            </w:pPr>
          </w:p>
        </w:tc>
        <w:tc>
          <w:tcPr>
            <w:tcW w:w="1021" w:type="dxa"/>
          </w:tcPr>
          <w:p w14:paraId="3E33536B" w14:textId="2C697419" w:rsidR="00652B45" w:rsidRPr="005954E3" w:rsidRDefault="00652B45" w:rsidP="00652B45">
            <w:pPr>
              <w:pStyle w:val="tabletextleft"/>
              <w:spacing w:before="40" w:after="40"/>
              <w:jc w:val="right"/>
              <w:rPr>
                <w:szCs w:val="18"/>
              </w:rPr>
            </w:pPr>
            <w:r w:rsidRPr="009D227B">
              <w:rPr>
                <w:rFonts w:ascii="Calibri" w:hAnsi="Calibri" w:cs="Calibri"/>
                <w:b/>
                <w:color w:val="000000"/>
                <w:sz w:val="14"/>
                <w:szCs w:val="14"/>
              </w:rPr>
              <w:t>9.9</w:t>
            </w:r>
          </w:p>
        </w:tc>
        <w:tc>
          <w:tcPr>
            <w:tcW w:w="1021" w:type="dxa"/>
          </w:tcPr>
          <w:p w14:paraId="5213FF85" w14:textId="2C291C0E" w:rsidR="00652B45" w:rsidRPr="005954E3" w:rsidRDefault="00652B45" w:rsidP="00652B45">
            <w:pPr>
              <w:pStyle w:val="tabletextleft"/>
              <w:spacing w:before="40" w:after="40"/>
              <w:jc w:val="right"/>
              <w:rPr>
                <w:szCs w:val="18"/>
              </w:rPr>
            </w:pPr>
            <w:r w:rsidRPr="009D227B">
              <w:rPr>
                <w:rFonts w:ascii="Calibri" w:hAnsi="Calibri" w:cs="Calibri"/>
                <w:b/>
                <w:color w:val="000000"/>
                <w:sz w:val="14"/>
                <w:szCs w:val="14"/>
              </w:rPr>
              <w:t>8.9</w:t>
            </w:r>
          </w:p>
        </w:tc>
        <w:tc>
          <w:tcPr>
            <w:tcW w:w="1021" w:type="dxa"/>
          </w:tcPr>
          <w:p w14:paraId="643E6E60" w14:textId="0EC2BB33" w:rsidR="00652B45" w:rsidRPr="005954E3" w:rsidRDefault="00652B45" w:rsidP="00652B45">
            <w:pPr>
              <w:pStyle w:val="tabletextleft"/>
              <w:spacing w:before="40" w:after="40"/>
              <w:jc w:val="right"/>
              <w:rPr>
                <w:szCs w:val="18"/>
              </w:rPr>
            </w:pPr>
            <w:r>
              <w:rPr>
                <w:rFonts w:ascii="Calibri" w:hAnsi="Calibri" w:cs="Calibri"/>
                <w:b/>
                <w:color w:val="000000"/>
                <w:sz w:val="14"/>
                <w:szCs w:val="14"/>
              </w:rPr>
              <w:t>7</w:t>
            </w:r>
            <w:r w:rsidRPr="009D227B">
              <w:rPr>
                <w:rFonts w:ascii="Calibri" w:hAnsi="Calibri" w:cs="Calibri"/>
                <w:b/>
                <w:color w:val="000000"/>
                <w:sz w:val="14"/>
                <w:szCs w:val="14"/>
              </w:rPr>
              <w:t>.</w:t>
            </w:r>
            <w:r>
              <w:rPr>
                <w:rFonts w:ascii="Calibri" w:hAnsi="Calibri" w:cs="Calibri"/>
                <w:b/>
                <w:color w:val="000000"/>
                <w:sz w:val="14"/>
                <w:szCs w:val="14"/>
              </w:rPr>
              <w:t>7</w:t>
            </w:r>
          </w:p>
        </w:tc>
        <w:tc>
          <w:tcPr>
            <w:tcW w:w="1021" w:type="dxa"/>
          </w:tcPr>
          <w:p w14:paraId="4A1D49A4" w14:textId="56FBDCF5" w:rsidR="00652B45" w:rsidRPr="005954E3" w:rsidRDefault="00652B45" w:rsidP="00652B45">
            <w:pPr>
              <w:pStyle w:val="tabletextleft"/>
              <w:spacing w:before="40" w:after="40"/>
              <w:jc w:val="right"/>
              <w:rPr>
                <w:szCs w:val="18"/>
              </w:rPr>
            </w:pPr>
            <w:r>
              <w:rPr>
                <w:rFonts w:ascii="Calibri" w:hAnsi="Calibri" w:cs="Calibri"/>
                <w:b/>
                <w:color w:val="000000"/>
                <w:sz w:val="14"/>
                <w:szCs w:val="14"/>
              </w:rPr>
              <w:t>6</w:t>
            </w:r>
            <w:r w:rsidRPr="009D227B">
              <w:rPr>
                <w:rFonts w:ascii="Calibri" w:hAnsi="Calibri" w:cs="Calibri"/>
                <w:b/>
                <w:color w:val="000000"/>
                <w:sz w:val="14"/>
                <w:szCs w:val="14"/>
              </w:rPr>
              <w:t>.</w:t>
            </w:r>
            <w:r>
              <w:rPr>
                <w:rFonts w:ascii="Calibri" w:hAnsi="Calibri" w:cs="Calibri"/>
                <w:b/>
                <w:color w:val="000000"/>
                <w:sz w:val="14"/>
                <w:szCs w:val="14"/>
              </w:rPr>
              <w:t>6</w:t>
            </w:r>
          </w:p>
        </w:tc>
        <w:tc>
          <w:tcPr>
            <w:tcW w:w="988" w:type="dxa"/>
          </w:tcPr>
          <w:p w14:paraId="609F0094" w14:textId="38612027" w:rsidR="00652B45" w:rsidRPr="005954E3" w:rsidRDefault="00652B45" w:rsidP="00652B45">
            <w:pPr>
              <w:pStyle w:val="tabletextleft"/>
              <w:spacing w:before="40" w:after="40"/>
              <w:jc w:val="right"/>
              <w:rPr>
                <w:szCs w:val="18"/>
              </w:rPr>
            </w:pPr>
            <w:r>
              <w:rPr>
                <w:rFonts w:ascii="Calibri" w:hAnsi="Calibri" w:cs="Calibri"/>
                <w:b/>
                <w:color w:val="000000"/>
                <w:sz w:val="14"/>
                <w:szCs w:val="14"/>
              </w:rPr>
              <w:t>4</w:t>
            </w:r>
            <w:r w:rsidRPr="009D227B">
              <w:rPr>
                <w:rFonts w:ascii="Calibri" w:hAnsi="Calibri" w:cs="Calibri"/>
                <w:b/>
                <w:color w:val="000000"/>
                <w:sz w:val="14"/>
                <w:szCs w:val="14"/>
              </w:rPr>
              <w:t>.2</w:t>
            </w:r>
          </w:p>
        </w:tc>
      </w:tr>
      <w:tr w:rsidR="00652B45" w:rsidRPr="005954E3" w14:paraId="1F56048F" w14:textId="77777777" w:rsidTr="006D2755">
        <w:trPr>
          <w:trHeight w:val="113"/>
        </w:trPr>
        <w:tc>
          <w:tcPr>
            <w:tcW w:w="3227" w:type="dxa"/>
          </w:tcPr>
          <w:p w14:paraId="6A6B0F38" w14:textId="77777777" w:rsidR="00652B45" w:rsidRPr="005954E3" w:rsidRDefault="00652B45" w:rsidP="00652B45">
            <w:pPr>
              <w:pStyle w:val="tabletextleft"/>
              <w:spacing w:before="40" w:after="40"/>
              <w:rPr>
                <w:szCs w:val="18"/>
              </w:rPr>
            </w:pPr>
            <w:r w:rsidRPr="005954E3">
              <w:rPr>
                <w:szCs w:val="18"/>
              </w:rPr>
              <w:t xml:space="preserve">9. Процентно съотношение на дълга, </w:t>
            </w:r>
            <w:r w:rsidRPr="005954E3">
              <w:rPr>
                <w:szCs w:val="18"/>
              </w:rPr>
              <w:br/>
              <w:t>деноминиран в чужда валута</w:t>
            </w:r>
          </w:p>
        </w:tc>
        <w:tc>
          <w:tcPr>
            <w:tcW w:w="765" w:type="dxa"/>
          </w:tcPr>
          <w:p w14:paraId="2833C604" w14:textId="77777777" w:rsidR="00652B45" w:rsidRPr="005954E3" w:rsidRDefault="00652B45" w:rsidP="00652B45">
            <w:pPr>
              <w:pStyle w:val="tabletextleft"/>
              <w:spacing w:before="40" w:after="40"/>
              <w:rPr>
                <w:szCs w:val="18"/>
              </w:rPr>
            </w:pPr>
          </w:p>
        </w:tc>
        <w:tc>
          <w:tcPr>
            <w:tcW w:w="1021" w:type="dxa"/>
            <w:vAlign w:val="bottom"/>
          </w:tcPr>
          <w:p w14:paraId="654045CB" w14:textId="0C3AB589" w:rsidR="00652B45" w:rsidRPr="005954E3" w:rsidRDefault="00652B45" w:rsidP="00652B45">
            <w:pPr>
              <w:pStyle w:val="tabletextleft"/>
              <w:spacing w:before="40" w:after="40"/>
              <w:jc w:val="right"/>
              <w:rPr>
                <w:szCs w:val="18"/>
              </w:rPr>
            </w:pPr>
            <w:r w:rsidRPr="00A70080">
              <w:rPr>
                <w:rFonts w:ascii="Calibri" w:hAnsi="Calibri" w:cs="Calibri"/>
                <w:b/>
                <w:color w:val="000000"/>
                <w:sz w:val="14"/>
                <w:szCs w:val="14"/>
              </w:rPr>
              <w:t>69.8</w:t>
            </w:r>
          </w:p>
        </w:tc>
        <w:tc>
          <w:tcPr>
            <w:tcW w:w="1021" w:type="dxa"/>
            <w:vAlign w:val="bottom"/>
          </w:tcPr>
          <w:p w14:paraId="6DC25B61" w14:textId="64641A60" w:rsidR="00652B45" w:rsidRPr="005954E3" w:rsidRDefault="00652B45" w:rsidP="00652B45">
            <w:pPr>
              <w:pStyle w:val="tabletextleft"/>
              <w:spacing w:before="40" w:after="40"/>
              <w:jc w:val="right"/>
              <w:rPr>
                <w:szCs w:val="18"/>
              </w:rPr>
            </w:pPr>
            <w:r>
              <w:rPr>
                <w:rFonts w:ascii="Calibri" w:hAnsi="Calibri" w:cs="Calibri"/>
                <w:b/>
                <w:color w:val="000000"/>
                <w:sz w:val="14"/>
                <w:szCs w:val="14"/>
              </w:rPr>
              <w:t>72</w:t>
            </w:r>
            <w:r w:rsidRPr="00A70080">
              <w:rPr>
                <w:rFonts w:ascii="Calibri" w:hAnsi="Calibri" w:cs="Calibri"/>
                <w:b/>
                <w:color w:val="000000"/>
                <w:sz w:val="14"/>
                <w:szCs w:val="14"/>
              </w:rPr>
              <w:t>.</w:t>
            </w:r>
            <w:r>
              <w:rPr>
                <w:rFonts w:ascii="Calibri" w:hAnsi="Calibri" w:cs="Calibri"/>
                <w:b/>
                <w:color w:val="000000"/>
                <w:sz w:val="14"/>
                <w:szCs w:val="14"/>
              </w:rPr>
              <w:t>1</w:t>
            </w:r>
          </w:p>
        </w:tc>
        <w:tc>
          <w:tcPr>
            <w:tcW w:w="1021" w:type="dxa"/>
            <w:vAlign w:val="bottom"/>
          </w:tcPr>
          <w:p w14:paraId="543881E3" w14:textId="1F0D10AA" w:rsidR="00652B45" w:rsidRPr="005954E3" w:rsidRDefault="00652B45" w:rsidP="00652B45">
            <w:pPr>
              <w:pStyle w:val="tabletextleft"/>
              <w:spacing w:before="40" w:after="40"/>
              <w:jc w:val="right"/>
              <w:rPr>
                <w:szCs w:val="18"/>
              </w:rPr>
            </w:pPr>
            <w:r>
              <w:rPr>
                <w:rFonts w:ascii="Calibri" w:hAnsi="Calibri" w:cs="Calibri"/>
                <w:b/>
                <w:color w:val="000000"/>
                <w:sz w:val="14"/>
                <w:szCs w:val="14"/>
              </w:rPr>
              <w:t>72</w:t>
            </w:r>
            <w:r w:rsidRPr="00A70080">
              <w:rPr>
                <w:rFonts w:ascii="Calibri" w:hAnsi="Calibri" w:cs="Calibri"/>
                <w:b/>
                <w:color w:val="000000"/>
                <w:sz w:val="14"/>
                <w:szCs w:val="14"/>
              </w:rPr>
              <w:t>.</w:t>
            </w:r>
            <w:r>
              <w:rPr>
                <w:rFonts w:ascii="Calibri" w:hAnsi="Calibri" w:cs="Calibri"/>
                <w:b/>
                <w:color w:val="000000"/>
                <w:sz w:val="14"/>
                <w:szCs w:val="14"/>
              </w:rPr>
              <w:t>8</w:t>
            </w:r>
          </w:p>
        </w:tc>
        <w:tc>
          <w:tcPr>
            <w:tcW w:w="1021" w:type="dxa"/>
            <w:vAlign w:val="bottom"/>
          </w:tcPr>
          <w:p w14:paraId="16DBBFCD" w14:textId="1937F286" w:rsidR="00652B45" w:rsidRPr="005954E3" w:rsidRDefault="00652B45" w:rsidP="00652B45">
            <w:pPr>
              <w:pStyle w:val="tabletextleft"/>
              <w:spacing w:before="40" w:after="40"/>
              <w:jc w:val="right"/>
              <w:rPr>
                <w:szCs w:val="18"/>
              </w:rPr>
            </w:pPr>
            <w:r w:rsidRPr="00A70080">
              <w:rPr>
                <w:rFonts w:ascii="Calibri" w:hAnsi="Calibri" w:cs="Calibri"/>
                <w:b/>
                <w:color w:val="000000"/>
                <w:sz w:val="14"/>
                <w:szCs w:val="14"/>
              </w:rPr>
              <w:t>7</w:t>
            </w:r>
            <w:r>
              <w:rPr>
                <w:rFonts w:ascii="Calibri" w:hAnsi="Calibri" w:cs="Calibri"/>
                <w:b/>
                <w:color w:val="000000"/>
                <w:sz w:val="14"/>
                <w:szCs w:val="14"/>
              </w:rPr>
              <w:t>6</w:t>
            </w:r>
            <w:r w:rsidRPr="00A70080">
              <w:rPr>
                <w:rFonts w:ascii="Calibri" w:hAnsi="Calibri" w:cs="Calibri"/>
                <w:b/>
                <w:color w:val="000000"/>
                <w:sz w:val="14"/>
                <w:szCs w:val="14"/>
              </w:rPr>
              <w:t>.0</w:t>
            </w:r>
          </w:p>
        </w:tc>
        <w:tc>
          <w:tcPr>
            <w:tcW w:w="988" w:type="dxa"/>
            <w:vAlign w:val="bottom"/>
          </w:tcPr>
          <w:p w14:paraId="0759E941" w14:textId="7C877719" w:rsidR="00652B45" w:rsidRPr="005954E3" w:rsidRDefault="00652B45" w:rsidP="00652B45">
            <w:pPr>
              <w:pStyle w:val="tabletextleft"/>
              <w:spacing w:before="40" w:after="40"/>
              <w:jc w:val="right"/>
              <w:rPr>
                <w:szCs w:val="18"/>
              </w:rPr>
            </w:pPr>
            <w:r w:rsidRPr="00A70080">
              <w:rPr>
                <w:rFonts w:ascii="Calibri" w:hAnsi="Calibri" w:cs="Calibri"/>
                <w:b/>
                <w:color w:val="000000"/>
                <w:sz w:val="14"/>
                <w:szCs w:val="14"/>
              </w:rPr>
              <w:t>7</w:t>
            </w:r>
            <w:r>
              <w:rPr>
                <w:rFonts w:ascii="Calibri" w:hAnsi="Calibri" w:cs="Calibri"/>
                <w:b/>
                <w:color w:val="000000"/>
                <w:sz w:val="14"/>
                <w:szCs w:val="14"/>
              </w:rPr>
              <w:t>8</w:t>
            </w:r>
            <w:r w:rsidRPr="00A70080">
              <w:rPr>
                <w:rFonts w:ascii="Calibri" w:hAnsi="Calibri" w:cs="Calibri"/>
                <w:b/>
                <w:color w:val="000000"/>
                <w:sz w:val="14"/>
                <w:szCs w:val="14"/>
              </w:rPr>
              <w:t>.</w:t>
            </w:r>
            <w:r>
              <w:rPr>
                <w:rFonts w:ascii="Calibri" w:hAnsi="Calibri" w:cs="Calibri"/>
                <w:b/>
                <w:color w:val="000000"/>
                <w:sz w:val="14"/>
                <w:szCs w:val="14"/>
              </w:rPr>
              <w:t>8</w:t>
            </w:r>
          </w:p>
        </w:tc>
      </w:tr>
      <w:tr w:rsidR="00652B45" w:rsidRPr="005954E3" w14:paraId="7B335479" w14:textId="77777777" w:rsidTr="006D2755">
        <w:trPr>
          <w:trHeight w:val="113"/>
        </w:trPr>
        <w:tc>
          <w:tcPr>
            <w:tcW w:w="3227" w:type="dxa"/>
          </w:tcPr>
          <w:p w14:paraId="41F9A04A" w14:textId="77777777" w:rsidR="00652B45" w:rsidRPr="005954E3" w:rsidRDefault="00652B45" w:rsidP="00652B45">
            <w:pPr>
              <w:pStyle w:val="tabletextleft"/>
              <w:spacing w:before="40" w:after="40"/>
              <w:rPr>
                <w:szCs w:val="18"/>
              </w:rPr>
            </w:pPr>
            <w:r w:rsidRPr="005954E3">
              <w:rPr>
                <w:szCs w:val="18"/>
              </w:rPr>
              <w:t>10. Среден матуритет</w:t>
            </w:r>
          </w:p>
        </w:tc>
        <w:tc>
          <w:tcPr>
            <w:tcW w:w="765" w:type="dxa"/>
          </w:tcPr>
          <w:p w14:paraId="20871585" w14:textId="77777777" w:rsidR="00652B45" w:rsidRPr="005954E3" w:rsidRDefault="00652B45" w:rsidP="00652B45">
            <w:pPr>
              <w:pStyle w:val="tabletextleft"/>
              <w:spacing w:before="40" w:after="40"/>
              <w:rPr>
                <w:szCs w:val="18"/>
              </w:rPr>
            </w:pPr>
          </w:p>
        </w:tc>
        <w:tc>
          <w:tcPr>
            <w:tcW w:w="1021" w:type="dxa"/>
          </w:tcPr>
          <w:p w14:paraId="79515299" w14:textId="71757DEB" w:rsidR="00652B45" w:rsidRPr="005954E3" w:rsidRDefault="00E72D37" w:rsidP="00652B45">
            <w:pPr>
              <w:pStyle w:val="tabletextleft"/>
              <w:spacing w:before="40" w:after="40"/>
              <w:jc w:val="right"/>
              <w:rPr>
                <w:szCs w:val="18"/>
              </w:rPr>
            </w:pPr>
            <w:r>
              <w:rPr>
                <w:rFonts w:ascii="Calibri" w:hAnsi="Calibri" w:cs="Calibri"/>
                <w:b/>
                <w:color w:val="000000"/>
                <w:sz w:val="14"/>
                <w:szCs w:val="14"/>
              </w:rPr>
              <w:t>7.</w:t>
            </w:r>
            <w:r w:rsidR="00652B45">
              <w:rPr>
                <w:rFonts w:ascii="Calibri" w:hAnsi="Calibri" w:cs="Calibri"/>
                <w:b/>
                <w:color w:val="000000"/>
                <w:sz w:val="14"/>
                <w:szCs w:val="14"/>
              </w:rPr>
              <w:t>7</w:t>
            </w:r>
          </w:p>
        </w:tc>
        <w:tc>
          <w:tcPr>
            <w:tcW w:w="1021" w:type="dxa"/>
            <w:vAlign w:val="center"/>
          </w:tcPr>
          <w:p w14:paraId="3FDABC21" w14:textId="0663055F" w:rsidR="00652B45" w:rsidRPr="005954E3" w:rsidRDefault="00E72D37" w:rsidP="00652B45">
            <w:pPr>
              <w:pStyle w:val="tabletextleft"/>
              <w:spacing w:before="40" w:after="40"/>
              <w:jc w:val="right"/>
              <w:rPr>
                <w:szCs w:val="18"/>
              </w:rPr>
            </w:pPr>
            <w:r>
              <w:rPr>
                <w:rFonts w:ascii="Calibri" w:hAnsi="Calibri" w:cs="Calibri"/>
                <w:b/>
                <w:color w:val="000000"/>
                <w:sz w:val="14"/>
                <w:szCs w:val="14"/>
              </w:rPr>
              <w:t>8.</w:t>
            </w:r>
            <w:r w:rsidR="00652B45">
              <w:rPr>
                <w:rFonts w:ascii="Calibri" w:hAnsi="Calibri" w:cs="Calibri"/>
                <w:b/>
                <w:color w:val="000000"/>
                <w:sz w:val="14"/>
                <w:szCs w:val="14"/>
              </w:rPr>
              <w:t>8</w:t>
            </w:r>
          </w:p>
        </w:tc>
        <w:tc>
          <w:tcPr>
            <w:tcW w:w="1021" w:type="dxa"/>
            <w:vAlign w:val="center"/>
          </w:tcPr>
          <w:p w14:paraId="45702444" w14:textId="1DCB96A4" w:rsidR="00652B45" w:rsidRPr="005954E3" w:rsidRDefault="00E72D37" w:rsidP="00652B45">
            <w:pPr>
              <w:pStyle w:val="tabletextleft"/>
              <w:spacing w:before="40" w:after="40"/>
              <w:jc w:val="right"/>
              <w:rPr>
                <w:szCs w:val="18"/>
              </w:rPr>
            </w:pPr>
            <w:r>
              <w:rPr>
                <w:rFonts w:ascii="Calibri" w:hAnsi="Calibri" w:cs="Calibri"/>
                <w:b/>
                <w:color w:val="000000"/>
                <w:sz w:val="14"/>
                <w:szCs w:val="14"/>
              </w:rPr>
              <w:t>8.</w:t>
            </w:r>
            <w:r w:rsidR="00652B45">
              <w:rPr>
                <w:rFonts w:ascii="Calibri" w:hAnsi="Calibri" w:cs="Calibri"/>
                <w:b/>
                <w:color w:val="000000"/>
                <w:sz w:val="14"/>
                <w:szCs w:val="14"/>
              </w:rPr>
              <w:t>8</w:t>
            </w:r>
          </w:p>
        </w:tc>
        <w:tc>
          <w:tcPr>
            <w:tcW w:w="1021" w:type="dxa"/>
            <w:vAlign w:val="center"/>
          </w:tcPr>
          <w:p w14:paraId="7A2C1C37" w14:textId="1AA5566F" w:rsidR="00652B45" w:rsidRPr="005954E3" w:rsidRDefault="00E72D37" w:rsidP="00652B45">
            <w:pPr>
              <w:pStyle w:val="tabletextleft"/>
              <w:spacing w:before="40" w:after="40"/>
              <w:jc w:val="right"/>
              <w:rPr>
                <w:szCs w:val="18"/>
              </w:rPr>
            </w:pPr>
            <w:r>
              <w:rPr>
                <w:rFonts w:ascii="Calibri" w:hAnsi="Calibri" w:cs="Calibri"/>
                <w:b/>
                <w:color w:val="000000"/>
                <w:sz w:val="14"/>
                <w:szCs w:val="14"/>
              </w:rPr>
              <w:t>8.</w:t>
            </w:r>
            <w:r w:rsidR="00652B45">
              <w:rPr>
                <w:rFonts w:ascii="Calibri" w:hAnsi="Calibri" w:cs="Calibri"/>
                <w:b/>
                <w:color w:val="000000"/>
                <w:sz w:val="14"/>
                <w:szCs w:val="14"/>
              </w:rPr>
              <w:t>7</w:t>
            </w:r>
          </w:p>
        </w:tc>
        <w:tc>
          <w:tcPr>
            <w:tcW w:w="988" w:type="dxa"/>
            <w:vAlign w:val="center"/>
          </w:tcPr>
          <w:p w14:paraId="0943702E" w14:textId="0F5CB4F6" w:rsidR="00652B45" w:rsidRPr="005954E3" w:rsidRDefault="00E72D37" w:rsidP="00652B45">
            <w:pPr>
              <w:pStyle w:val="tabletextleft"/>
              <w:spacing w:before="40" w:after="40"/>
              <w:jc w:val="right"/>
              <w:rPr>
                <w:szCs w:val="18"/>
              </w:rPr>
            </w:pPr>
            <w:r>
              <w:rPr>
                <w:rFonts w:ascii="Calibri" w:hAnsi="Calibri" w:cs="Calibri"/>
                <w:b/>
                <w:color w:val="000000"/>
                <w:sz w:val="14"/>
                <w:szCs w:val="14"/>
              </w:rPr>
              <w:t>9.</w:t>
            </w:r>
            <w:r w:rsidR="00652B45">
              <w:rPr>
                <w:rFonts w:ascii="Calibri" w:hAnsi="Calibri" w:cs="Calibri"/>
                <w:b/>
                <w:color w:val="000000"/>
                <w:sz w:val="14"/>
                <w:szCs w:val="14"/>
              </w:rPr>
              <w:t>0</w:t>
            </w:r>
          </w:p>
        </w:tc>
      </w:tr>
    </w:tbl>
    <w:p w14:paraId="7B3C95E6" w14:textId="77777777" w:rsidR="006D2755" w:rsidRPr="005954E3" w:rsidRDefault="006D2755" w:rsidP="006D2755"/>
    <w:p w14:paraId="5E4F80C7" w14:textId="77777777" w:rsidR="006D2755" w:rsidRPr="005954E3" w:rsidRDefault="006D2755" w:rsidP="00EE53B2">
      <w:pPr>
        <w:pStyle w:val="Heading2"/>
        <w:numPr>
          <w:ilvl w:val="0"/>
          <w:numId w:val="0"/>
        </w:numPr>
      </w:pPr>
      <w:bookmarkStart w:id="188" w:name="_Toc448227320"/>
      <w:bookmarkStart w:id="189" w:name="_Toc479332471"/>
      <w:bookmarkStart w:id="190" w:name="_Toc133597302"/>
      <w:r w:rsidRPr="005954E3">
        <w:lastRenderedPageBreak/>
        <w:t>Табл. 5: Циклично развитие</w:t>
      </w:r>
      <w:bookmarkEnd w:id="188"/>
      <w:bookmarkEnd w:id="189"/>
      <w:bookmarkEnd w:id="190"/>
    </w:p>
    <w:tbl>
      <w:tblPr>
        <w:tblStyle w:val="Style16"/>
        <w:tblW w:w="4999"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CellMar>
          <w:left w:w="85" w:type="dxa"/>
          <w:right w:w="85" w:type="dxa"/>
        </w:tblCellMar>
        <w:tblLook w:val="0620" w:firstRow="1" w:lastRow="0" w:firstColumn="0" w:lastColumn="0" w:noHBand="1" w:noVBand="1"/>
      </w:tblPr>
      <w:tblGrid>
        <w:gridCol w:w="3883"/>
        <w:gridCol w:w="856"/>
        <w:gridCol w:w="751"/>
        <w:gridCol w:w="893"/>
        <w:gridCol w:w="893"/>
        <w:gridCol w:w="893"/>
        <w:gridCol w:w="893"/>
      </w:tblGrid>
      <w:tr w:rsidR="006D2755" w:rsidRPr="005954E3" w14:paraId="575FF420" w14:textId="77777777" w:rsidTr="00AE77DE">
        <w:trPr>
          <w:trHeight w:val="397"/>
          <w:tblHeader/>
          <w:jc w:val="center"/>
        </w:trPr>
        <w:tc>
          <w:tcPr>
            <w:tcW w:w="3883" w:type="dxa"/>
            <w:shd w:val="clear" w:color="auto" w:fill="auto"/>
            <w:vAlign w:val="center"/>
            <w:hideMark/>
          </w:tcPr>
          <w:p w14:paraId="2B0C459C" w14:textId="77777777" w:rsidR="006D2755" w:rsidRPr="005954E3" w:rsidRDefault="006D2755" w:rsidP="006D2755">
            <w:pPr>
              <w:pStyle w:val="tabletextleft"/>
              <w:rPr>
                <w:b/>
                <w:bCs/>
                <w:szCs w:val="18"/>
              </w:rPr>
            </w:pPr>
            <w:r w:rsidRPr="005954E3">
              <w:rPr>
                <w:b/>
              </w:rPr>
              <w:t>% от БВП</w:t>
            </w:r>
          </w:p>
        </w:tc>
        <w:tc>
          <w:tcPr>
            <w:tcW w:w="856" w:type="dxa"/>
            <w:shd w:val="clear" w:color="auto" w:fill="auto"/>
            <w:vAlign w:val="center"/>
            <w:hideMark/>
          </w:tcPr>
          <w:p w14:paraId="10D73A0E" w14:textId="77777777" w:rsidR="006D2755" w:rsidRPr="005954E3" w:rsidRDefault="006D2755" w:rsidP="006D2755">
            <w:pPr>
              <w:pStyle w:val="tabletextleft"/>
              <w:rPr>
                <w:b/>
                <w:bCs/>
                <w:szCs w:val="18"/>
              </w:rPr>
            </w:pPr>
            <w:r w:rsidRPr="005954E3">
              <w:rPr>
                <w:b/>
                <w:szCs w:val="18"/>
              </w:rPr>
              <w:t>Код по ЕСС 2010</w:t>
            </w:r>
          </w:p>
        </w:tc>
        <w:tc>
          <w:tcPr>
            <w:tcW w:w="751" w:type="dxa"/>
            <w:shd w:val="clear" w:color="auto" w:fill="auto"/>
            <w:vAlign w:val="center"/>
          </w:tcPr>
          <w:p w14:paraId="2BDAF065" w14:textId="77777777" w:rsidR="006D2755" w:rsidRPr="005954E3" w:rsidRDefault="006D2755" w:rsidP="006D2755">
            <w:pPr>
              <w:pStyle w:val="tabletextleft"/>
              <w:spacing w:before="40" w:after="40"/>
              <w:jc w:val="right"/>
              <w:rPr>
                <w:b/>
                <w:szCs w:val="18"/>
              </w:rPr>
            </w:pPr>
            <w:r w:rsidRPr="005954E3">
              <w:rPr>
                <w:b/>
                <w:szCs w:val="18"/>
              </w:rPr>
              <w:t>2022</w:t>
            </w:r>
          </w:p>
        </w:tc>
        <w:tc>
          <w:tcPr>
            <w:tcW w:w="893" w:type="dxa"/>
            <w:shd w:val="clear" w:color="auto" w:fill="auto"/>
            <w:vAlign w:val="center"/>
          </w:tcPr>
          <w:p w14:paraId="09452D35" w14:textId="77777777" w:rsidR="006D2755" w:rsidRPr="005954E3" w:rsidRDefault="006D2755" w:rsidP="006D2755">
            <w:pPr>
              <w:pStyle w:val="tabletextleft"/>
              <w:spacing w:before="40" w:after="40"/>
              <w:jc w:val="right"/>
              <w:rPr>
                <w:b/>
                <w:szCs w:val="18"/>
              </w:rPr>
            </w:pPr>
            <w:r w:rsidRPr="005954E3">
              <w:rPr>
                <w:b/>
                <w:szCs w:val="18"/>
              </w:rPr>
              <w:t>2023</w:t>
            </w:r>
          </w:p>
        </w:tc>
        <w:tc>
          <w:tcPr>
            <w:tcW w:w="893" w:type="dxa"/>
            <w:shd w:val="clear" w:color="auto" w:fill="auto"/>
            <w:vAlign w:val="center"/>
          </w:tcPr>
          <w:p w14:paraId="3DE40DEA" w14:textId="77777777" w:rsidR="006D2755" w:rsidRPr="005954E3" w:rsidRDefault="006D2755" w:rsidP="006D2755">
            <w:pPr>
              <w:pStyle w:val="tabletextleft"/>
              <w:spacing w:before="40" w:after="40"/>
              <w:jc w:val="right"/>
              <w:rPr>
                <w:b/>
                <w:szCs w:val="18"/>
              </w:rPr>
            </w:pPr>
            <w:r w:rsidRPr="005954E3">
              <w:rPr>
                <w:b/>
                <w:szCs w:val="18"/>
              </w:rPr>
              <w:t>2024</w:t>
            </w:r>
          </w:p>
        </w:tc>
        <w:tc>
          <w:tcPr>
            <w:tcW w:w="893" w:type="dxa"/>
            <w:shd w:val="clear" w:color="auto" w:fill="auto"/>
            <w:vAlign w:val="center"/>
          </w:tcPr>
          <w:p w14:paraId="70F6A4AB" w14:textId="77777777" w:rsidR="006D2755" w:rsidRPr="005954E3" w:rsidRDefault="006D2755" w:rsidP="006D2755">
            <w:pPr>
              <w:pStyle w:val="tabletextleft"/>
              <w:spacing w:before="40" w:after="40"/>
              <w:jc w:val="right"/>
              <w:rPr>
                <w:b/>
                <w:szCs w:val="18"/>
              </w:rPr>
            </w:pPr>
            <w:r w:rsidRPr="005954E3">
              <w:rPr>
                <w:b/>
                <w:szCs w:val="18"/>
              </w:rPr>
              <w:t>2025</w:t>
            </w:r>
          </w:p>
        </w:tc>
        <w:tc>
          <w:tcPr>
            <w:tcW w:w="893" w:type="dxa"/>
            <w:shd w:val="clear" w:color="auto" w:fill="auto"/>
            <w:vAlign w:val="center"/>
          </w:tcPr>
          <w:p w14:paraId="41182C15" w14:textId="77777777" w:rsidR="006D2755" w:rsidRPr="005954E3" w:rsidRDefault="006D2755" w:rsidP="006D2755">
            <w:pPr>
              <w:pStyle w:val="tabletextleft"/>
              <w:spacing w:before="40" w:after="40"/>
              <w:jc w:val="right"/>
              <w:rPr>
                <w:b/>
                <w:szCs w:val="18"/>
              </w:rPr>
            </w:pPr>
            <w:r w:rsidRPr="005954E3">
              <w:rPr>
                <w:b/>
                <w:szCs w:val="18"/>
              </w:rPr>
              <w:t>2026</w:t>
            </w:r>
          </w:p>
        </w:tc>
      </w:tr>
      <w:tr w:rsidR="00BD75E1" w:rsidRPr="005954E3" w14:paraId="7EBD32B4" w14:textId="77777777" w:rsidTr="00AE77DE">
        <w:trPr>
          <w:trHeight w:val="397"/>
          <w:jc w:val="center"/>
        </w:trPr>
        <w:tc>
          <w:tcPr>
            <w:tcW w:w="3883" w:type="dxa"/>
            <w:vAlign w:val="center"/>
            <w:hideMark/>
          </w:tcPr>
          <w:p w14:paraId="172548F1" w14:textId="77777777" w:rsidR="00BD75E1" w:rsidRPr="005954E3" w:rsidRDefault="00BD75E1" w:rsidP="00BD75E1">
            <w:pPr>
              <w:pStyle w:val="tabletextleft"/>
              <w:rPr>
                <w:szCs w:val="18"/>
              </w:rPr>
            </w:pPr>
            <w:r w:rsidRPr="005954E3">
              <w:rPr>
                <w:szCs w:val="18"/>
              </w:rPr>
              <w:t>1. Растеж на БВП (%)</w:t>
            </w:r>
          </w:p>
        </w:tc>
        <w:tc>
          <w:tcPr>
            <w:tcW w:w="856" w:type="dxa"/>
            <w:vAlign w:val="center"/>
          </w:tcPr>
          <w:p w14:paraId="0C6C0CD0" w14:textId="77777777" w:rsidR="00BD75E1" w:rsidRPr="005954E3" w:rsidRDefault="00BD75E1" w:rsidP="00BD75E1">
            <w:pPr>
              <w:pStyle w:val="tabletextleft"/>
              <w:rPr>
                <w:szCs w:val="18"/>
              </w:rPr>
            </w:pPr>
          </w:p>
        </w:tc>
        <w:tc>
          <w:tcPr>
            <w:tcW w:w="751" w:type="dxa"/>
            <w:vAlign w:val="bottom"/>
          </w:tcPr>
          <w:p w14:paraId="28343113" w14:textId="538D872A" w:rsidR="00BD75E1" w:rsidRPr="005954E3" w:rsidRDefault="00BD75E1" w:rsidP="00BD75E1">
            <w:pPr>
              <w:pStyle w:val="tabletextleft"/>
              <w:jc w:val="right"/>
              <w:rPr>
                <w:szCs w:val="18"/>
              </w:rPr>
            </w:pPr>
            <w:r w:rsidRPr="00E27712">
              <w:rPr>
                <w:rFonts w:ascii="Times New Roman CYR" w:hAnsi="Times New Roman CYR" w:cs="Times New Roman CYR"/>
                <w:szCs w:val="18"/>
              </w:rPr>
              <w:t>3.4</w:t>
            </w:r>
          </w:p>
        </w:tc>
        <w:tc>
          <w:tcPr>
            <w:tcW w:w="893" w:type="dxa"/>
            <w:vAlign w:val="bottom"/>
          </w:tcPr>
          <w:p w14:paraId="754B7181" w14:textId="1C6071D0" w:rsidR="00BD75E1" w:rsidRPr="005954E3" w:rsidRDefault="00BD75E1" w:rsidP="00BD75E1">
            <w:pPr>
              <w:pStyle w:val="tabletextleft"/>
              <w:jc w:val="right"/>
              <w:rPr>
                <w:szCs w:val="18"/>
              </w:rPr>
            </w:pPr>
            <w:r w:rsidRPr="00E27712">
              <w:rPr>
                <w:rFonts w:ascii="Times New Roman CYR" w:hAnsi="Times New Roman CYR" w:cs="Times New Roman CYR"/>
                <w:szCs w:val="18"/>
              </w:rPr>
              <w:t>1.8</w:t>
            </w:r>
          </w:p>
        </w:tc>
        <w:tc>
          <w:tcPr>
            <w:tcW w:w="893" w:type="dxa"/>
            <w:vAlign w:val="bottom"/>
          </w:tcPr>
          <w:p w14:paraId="6A4E4644" w14:textId="47384D90" w:rsidR="00BD75E1" w:rsidRPr="005954E3" w:rsidRDefault="00BD75E1" w:rsidP="00BD75E1">
            <w:pPr>
              <w:pStyle w:val="tabletextleft"/>
              <w:jc w:val="right"/>
              <w:rPr>
                <w:szCs w:val="18"/>
              </w:rPr>
            </w:pPr>
            <w:r w:rsidRPr="00E27712">
              <w:rPr>
                <w:rFonts w:ascii="Times New Roman CYR" w:hAnsi="Times New Roman CYR" w:cs="Times New Roman CYR"/>
                <w:szCs w:val="18"/>
              </w:rPr>
              <w:t>3.3</w:t>
            </w:r>
          </w:p>
        </w:tc>
        <w:tc>
          <w:tcPr>
            <w:tcW w:w="893" w:type="dxa"/>
            <w:vAlign w:val="bottom"/>
          </w:tcPr>
          <w:p w14:paraId="57EA87D4" w14:textId="03210765" w:rsidR="00BD75E1" w:rsidRPr="005954E3" w:rsidRDefault="00BD75E1" w:rsidP="00BD75E1">
            <w:pPr>
              <w:pStyle w:val="tabletextleft"/>
              <w:jc w:val="right"/>
              <w:rPr>
                <w:szCs w:val="18"/>
              </w:rPr>
            </w:pPr>
            <w:r w:rsidRPr="00E27712">
              <w:rPr>
                <w:rFonts w:ascii="Times New Roman CYR" w:hAnsi="Times New Roman CYR" w:cs="Times New Roman CYR"/>
                <w:szCs w:val="18"/>
              </w:rPr>
              <w:t>3.2</w:t>
            </w:r>
          </w:p>
        </w:tc>
        <w:tc>
          <w:tcPr>
            <w:tcW w:w="893" w:type="dxa"/>
            <w:vAlign w:val="bottom"/>
          </w:tcPr>
          <w:p w14:paraId="5B69A3C9" w14:textId="24FF4C74" w:rsidR="00BD75E1" w:rsidRPr="005954E3" w:rsidRDefault="00BD75E1" w:rsidP="00BD75E1">
            <w:pPr>
              <w:pStyle w:val="tabletextleft"/>
              <w:jc w:val="right"/>
              <w:rPr>
                <w:szCs w:val="18"/>
              </w:rPr>
            </w:pPr>
            <w:r w:rsidRPr="00E27712">
              <w:rPr>
                <w:rFonts w:ascii="Times New Roman CYR" w:hAnsi="Times New Roman CYR" w:cs="Times New Roman CYR"/>
                <w:szCs w:val="18"/>
              </w:rPr>
              <w:t>3.0</w:t>
            </w:r>
          </w:p>
        </w:tc>
      </w:tr>
      <w:tr w:rsidR="003D6C61" w:rsidRPr="005954E3" w14:paraId="28AD9A1A" w14:textId="77777777" w:rsidTr="00E734EA">
        <w:trPr>
          <w:trHeight w:val="397"/>
          <w:jc w:val="center"/>
        </w:trPr>
        <w:tc>
          <w:tcPr>
            <w:tcW w:w="3883" w:type="dxa"/>
            <w:vAlign w:val="center"/>
            <w:hideMark/>
          </w:tcPr>
          <w:p w14:paraId="3B4F17AE" w14:textId="77777777" w:rsidR="003D6C61" w:rsidRPr="005954E3" w:rsidRDefault="003D6C61" w:rsidP="003D6C61">
            <w:pPr>
              <w:pStyle w:val="tabletextleft"/>
              <w:rPr>
                <w:szCs w:val="18"/>
              </w:rPr>
            </w:pPr>
            <w:r w:rsidRPr="005954E3">
              <w:rPr>
                <w:szCs w:val="18"/>
              </w:rPr>
              <w:t>2. Нето отпуснати заеми на консолидираното правителство</w:t>
            </w:r>
          </w:p>
        </w:tc>
        <w:tc>
          <w:tcPr>
            <w:tcW w:w="856" w:type="dxa"/>
            <w:vAlign w:val="center"/>
            <w:hideMark/>
          </w:tcPr>
          <w:p w14:paraId="644C4474" w14:textId="77777777" w:rsidR="003D6C61" w:rsidRPr="005954E3" w:rsidRDefault="003D6C61" w:rsidP="003D6C61">
            <w:pPr>
              <w:pStyle w:val="tabletextleft"/>
              <w:rPr>
                <w:szCs w:val="18"/>
              </w:rPr>
            </w:pPr>
            <w:r w:rsidRPr="005954E3">
              <w:rPr>
                <w:szCs w:val="18"/>
              </w:rPr>
              <w:t>EDP B.9</w:t>
            </w:r>
          </w:p>
        </w:tc>
        <w:tc>
          <w:tcPr>
            <w:tcW w:w="751" w:type="dxa"/>
            <w:vAlign w:val="bottom"/>
          </w:tcPr>
          <w:p w14:paraId="5CEAF29A" w14:textId="0DB98F09"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-2.8</w:t>
            </w:r>
          </w:p>
        </w:tc>
        <w:tc>
          <w:tcPr>
            <w:tcW w:w="893" w:type="dxa"/>
            <w:vAlign w:val="bottom"/>
          </w:tcPr>
          <w:p w14:paraId="3C69DD54" w14:textId="4ED697D5"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w:t>
            </w:r>
            <w:r w:rsidRPr="007B0598">
              <w:rPr>
                <w:rFonts w:ascii="Times New Roman CYR" w:hAnsi="Times New Roman CYR" w:cs="Times New Roman CYR"/>
                <w:szCs w:val="18"/>
              </w:rPr>
              <w:t>6.1</w:t>
            </w:r>
          </w:p>
        </w:tc>
        <w:tc>
          <w:tcPr>
            <w:tcW w:w="893" w:type="dxa"/>
            <w:vAlign w:val="bottom"/>
          </w:tcPr>
          <w:p w14:paraId="445CC21F" w14:textId="24E9A781"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w:t>
            </w:r>
            <w:r w:rsidRPr="007B0598">
              <w:rPr>
                <w:rFonts w:ascii="Times New Roman CYR" w:hAnsi="Times New Roman CYR" w:cs="Times New Roman CYR"/>
                <w:szCs w:val="18"/>
              </w:rPr>
              <w:t>4.7</w:t>
            </w:r>
          </w:p>
        </w:tc>
        <w:tc>
          <w:tcPr>
            <w:tcW w:w="893" w:type="dxa"/>
            <w:vAlign w:val="bottom"/>
          </w:tcPr>
          <w:p w14:paraId="358FFA9A" w14:textId="31754FB9"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w:t>
            </w:r>
            <w:r w:rsidRPr="007B0598">
              <w:rPr>
                <w:rFonts w:ascii="Times New Roman CYR" w:hAnsi="Times New Roman CYR" w:cs="Times New Roman CYR"/>
                <w:szCs w:val="18"/>
              </w:rPr>
              <w:t>4.9</w:t>
            </w:r>
          </w:p>
        </w:tc>
        <w:tc>
          <w:tcPr>
            <w:tcW w:w="893" w:type="dxa"/>
            <w:vAlign w:val="bottom"/>
          </w:tcPr>
          <w:p w14:paraId="6F8DA987" w14:textId="6B52523B"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w:t>
            </w:r>
            <w:r w:rsidRPr="007B0598">
              <w:rPr>
                <w:rFonts w:ascii="Times New Roman CYR" w:hAnsi="Times New Roman CYR" w:cs="Times New Roman CYR"/>
                <w:szCs w:val="18"/>
              </w:rPr>
              <w:t>5.0</w:t>
            </w:r>
          </w:p>
        </w:tc>
      </w:tr>
      <w:tr w:rsidR="003D6C61" w:rsidRPr="005954E3" w14:paraId="5D479CEA" w14:textId="77777777" w:rsidTr="003D6C61">
        <w:trPr>
          <w:trHeight w:val="344"/>
          <w:jc w:val="center"/>
        </w:trPr>
        <w:tc>
          <w:tcPr>
            <w:tcW w:w="3883" w:type="dxa"/>
            <w:vAlign w:val="center"/>
            <w:hideMark/>
          </w:tcPr>
          <w:p w14:paraId="26FDAD3D" w14:textId="77777777" w:rsidR="003D6C61" w:rsidRPr="005954E3" w:rsidRDefault="003D6C61" w:rsidP="003D6C61">
            <w:pPr>
              <w:pStyle w:val="tabletextleft"/>
              <w:rPr>
                <w:szCs w:val="18"/>
              </w:rPr>
            </w:pPr>
            <w:r w:rsidRPr="005954E3">
              <w:rPr>
                <w:szCs w:val="18"/>
              </w:rPr>
              <w:t>3. Лихвени разходи</w:t>
            </w:r>
          </w:p>
        </w:tc>
        <w:tc>
          <w:tcPr>
            <w:tcW w:w="856" w:type="dxa"/>
            <w:vAlign w:val="center"/>
            <w:hideMark/>
          </w:tcPr>
          <w:p w14:paraId="6CEBD62C" w14:textId="77777777" w:rsidR="003D6C61" w:rsidRPr="005954E3" w:rsidRDefault="003D6C61" w:rsidP="003D6C61">
            <w:pPr>
              <w:pStyle w:val="tabletextleft"/>
              <w:rPr>
                <w:szCs w:val="18"/>
              </w:rPr>
            </w:pPr>
            <w:r w:rsidRPr="005954E3">
              <w:rPr>
                <w:szCs w:val="18"/>
              </w:rPr>
              <w:t>EDP D.41</w:t>
            </w:r>
          </w:p>
        </w:tc>
        <w:tc>
          <w:tcPr>
            <w:tcW w:w="751" w:type="dxa"/>
            <w:vAlign w:val="bottom"/>
          </w:tcPr>
          <w:p w14:paraId="2E844E19" w14:textId="42FC813B"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0.</w:t>
            </w:r>
            <w:r w:rsidRPr="00E63DC8">
              <w:rPr>
                <w:rFonts w:ascii="Times New Roman CYR" w:hAnsi="Times New Roman CYR" w:cs="Times New Roman CYR"/>
                <w:szCs w:val="18"/>
              </w:rPr>
              <w:t>4</w:t>
            </w:r>
          </w:p>
        </w:tc>
        <w:tc>
          <w:tcPr>
            <w:tcW w:w="893" w:type="dxa"/>
          </w:tcPr>
          <w:p w14:paraId="4E611CFE" w14:textId="77777777" w:rsidR="003D6C61" w:rsidRDefault="003D6C61" w:rsidP="003D6C61">
            <w:pPr>
              <w:pStyle w:val="tabletextleft"/>
              <w:jc w:val="right"/>
              <w:rPr>
                <w:rFonts w:ascii="Times New Roman CYR" w:hAnsi="Times New Roman CYR" w:cs="Times New Roman CYR"/>
                <w:szCs w:val="18"/>
              </w:rPr>
            </w:pPr>
          </w:p>
          <w:p w14:paraId="24B4CF27" w14:textId="36A0B589"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0.6</w:t>
            </w:r>
          </w:p>
        </w:tc>
        <w:tc>
          <w:tcPr>
            <w:tcW w:w="893" w:type="dxa"/>
          </w:tcPr>
          <w:p w14:paraId="5DFDB9E5" w14:textId="77777777" w:rsidR="003D6C61" w:rsidRDefault="003D6C61" w:rsidP="003D6C61">
            <w:pPr>
              <w:pStyle w:val="tabletextleft"/>
              <w:jc w:val="right"/>
              <w:rPr>
                <w:rFonts w:ascii="Times New Roman CYR" w:hAnsi="Times New Roman CYR" w:cs="Times New Roman CYR"/>
                <w:szCs w:val="18"/>
              </w:rPr>
            </w:pPr>
          </w:p>
          <w:p w14:paraId="477BDC3E" w14:textId="77E31731" w:rsidR="003D6C61" w:rsidRPr="003D6C61" w:rsidRDefault="003D6C61" w:rsidP="003D6C61">
            <w:pPr>
              <w:pStyle w:val="tabletextleft"/>
              <w:jc w:val="right"/>
              <w:rPr>
                <w:rFonts w:ascii="Times New Roman CYR" w:hAnsi="Times New Roman CYR" w:cs="Times New Roman CYR"/>
                <w:szCs w:val="18"/>
              </w:rPr>
            </w:pPr>
            <w:r w:rsidRPr="00E63DC8">
              <w:rPr>
                <w:rFonts w:ascii="Times New Roman CYR" w:hAnsi="Times New Roman CYR" w:cs="Times New Roman CYR"/>
                <w:szCs w:val="18"/>
              </w:rPr>
              <w:t>1.</w:t>
            </w:r>
            <w:r w:rsidRPr="003D6C61">
              <w:rPr>
                <w:rFonts w:ascii="Times New Roman CYR" w:hAnsi="Times New Roman CYR" w:cs="Times New Roman CYR"/>
                <w:szCs w:val="18"/>
              </w:rPr>
              <w:t>0</w:t>
            </w:r>
          </w:p>
        </w:tc>
        <w:tc>
          <w:tcPr>
            <w:tcW w:w="893" w:type="dxa"/>
          </w:tcPr>
          <w:p w14:paraId="3CF00799" w14:textId="77777777" w:rsidR="003D6C61" w:rsidRDefault="003D6C61" w:rsidP="003D6C61">
            <w:pPr>
              <w:pStyle w:val="tabletextleft"/>
              <w:jc w:val="right"/>
              <w:rPr>
                <w:rFonts w:ascii="Times New Roman CYR" w:hAnsi="Times New Roman CYR" w:cs="Times New Roman CYR"/>
                <w:szCs w:val="18"/>
              </w:rPr>
            </w:pPr>
          </w:p>
          <w:p w14:paraId="75BCFE87" w14:textId="35D163D7"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1.</w:t>
            </w:r>
            <w:r w:rsidRPr="00E63DC8">
              <w:rPr>
                <w:rFonts w:ascii="Times New Roman CYR" w:hAnsi="Times New Roman CYR" w:cs="Times New Roman CYR"/>
                <w:szCs w:val="18"/>
              </w:rPr>
              <w:t>3</w:t>
            </w:r>
          </w:p>
        </w:tc>
        <w:tc>
          <w:tcPr>
            <w:tcW w:w="893" w:type="dxa"/>
          </w:tcPr>
          <w:p w14:paraId="10C80ED3" w14:textId="77777777" w:rsidR="003D6C61" w:rsidRDefault="003D6C61" w:rsidP="003D6C61">
            <w:pPr>
              <w:pStyle w:val="tabletextleft"/>
              <w:jc w:val="right"/>
              <w:rPr>
                <w:rFonts w:ascii="Times New Roman CYR" w:hAnsi="Times New Roman CYR" w:cs="Times New Roman CYR"/>
                <w:szCs w:val="18"/>
              </w:rPr>
            </w:pPr>
          </w:p>
          <w:p w14:paraId="6E7D703C" w14:textId="07CAF93B"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1.</w:t>
            </w:r>
            <w:r w:rsidRPr="00E63DC8">
              <w:rPr>
                <w:rFonts w:ascii="Times New Roman CYR" w:hAnsi="Times New Roman CYR" w:cs="Times New Roman CYR"/>
                <w:szCs w:val="18"/>
              </w:rPr>
              <w:t>6</w:t>
            </w:r>
          </w:p>
        </w:tc>
      </w:tr>
      <w:tr w:rsidR="003D6C61" w:rsidRPr="005954E3" w14:paraId="17889F56" w14:textId="77777777" w:rsidTr="003F0A85">
        <w:trPr>
          <w:trHeight w:val="397"/>
          <w:jc w:val="center"/>
        </w:trPr>
        <w:tc>
          <w:tcPr>
            <w:tcW w:w="3883" w:type="dxa"/>
            <w:vAlign w:val="center"/>
            <w:hideMark/>
          </w:tcPr>
          <w:p w14:paraId="1F5BA53C" w14:textId="77777777" w:rsidR="003D6C61" w:rsidRPr="005954E3" w:rsidRDefault="003D6C61" w:rsidP="003D6C61">
            <w:pPr>
              <w:pStyle w:val="tabletextleft"/>
              <w:rPr>
                <w:szCs w:val="18"/>
              </w:rPr>
            </w:pPr>
            <w:r w:rsidRPr="005954E3">
              <w:rPr>
                <w:szCs w:val="18"/>
              </w:rPr>
              <w:t>4. Еднократни и други временни мерки</w:t>
            </w:r>
          </w:p>
        </w:tc>
        <w:tc>
          <w:tcPr>
            <w:tcW w:w="856" w:type="dxa"/>
            <w:vAlign w:val="center"/>
          </w:tcPr>
          <w:p w14:paraId="19DEBBAD" w14:textId="77777777" w:rsidR="003D6C61" w:rsidRPr="005954E3" w:rsidRDefault="003D6C61" w:rsidP="003D6C61">
            <w:pPr>
              <w:pStyle w:val="tabletextleft"/>
              <w:rPr>
                <w:szCs w:val="18"/>
              </w:rPr>
            </w:pPr>
          </w:p>
        </w:tc>
        <w:tc>
          <w:tcPr>
            <w:tcW w:w="751" w:type="dxa"/>
          </w:tcPr>
          <w:p w14:paraId="10D29D43" w14:textId="29650B11"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-1.8</w:t>
            </w:r>
          </w:p>
        </w:tc>
        <w:tc>
          <w:tcPr>
            <w:tcW w:w="893" w:type="dxa"/>
          </w:tcPr>
          <w:p w14:paraId="7AE7DCC4" w14:textId="5D572851" w:rsidR="003D6C61" w:rsidRPr="003D6C61" w:rsidRDefault="003D6C61" w:rsidP="003D6C61">
            <w:pPr>
              <w:pStyle w:val="tabletextleft"/>
              <w:jc w:val="right"/>
              <w:rPr>
                <w:rFonts w:ascii="Times New Roman CYR" w:hAnsi="Times New Roman CYR" w:cs="Times New Roman CYR"/>
                <w:szCs w:val="18"/>
              </w:rPr>
            </w:pPr>
            <w:r w:rsidRPr="00E63DC8">
              <w:rPr>
                <w:rFonts w:ascii="Times New Roman CYR" w:hAnsi="Times New Roman CYR" w:cs="Times New Roman CYR"/>
                <w:szCs w:val="18"/>
              </w:rPr>
              <w:t>-</w:t>
            </w:r>
            <w:r w:rsidRPr="003D6C61">
              <w:rPr>
                <w:rFonts w:ascii="Times New Roman CYR" w:hAnsi="Times New Roman CYR" w:cs="Times New Roman CYR"/>
                <w:szCs w:val="18"/>
              </w:rPr>
              <w:t>0</w:t>
            </w:r>
            <w:r w:rsidRPr="00E63DC8">
              <w:rPr>
                <w:rFonts w:ascii="Times New Roman CYR" w:hAnsi="Times New Roman CYR" w:cs="Times New Roman CYR"/>
                <w:szCs w:val="18"/>
              </w:rPr>
              <w:t>.4</w:t>
            </w:r>
          </w:p>
        </w:tc>
        <w:tc>
          <w:tcPr>
            <w:tcW w:w="893" w:type="dxa"/>
          </w:tcPr>
          <w:p w14:paraId="2C0D4BB5" w14:textId="38ED30FE"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0.0</w:t>
            </w:r>
          </w:p>
        </w:tc>
        <w:tc>
          <w:tcPr>
            <w:tcW w:w="893" w:type="dxa"/>
          </w:tcPr>
          <w:p w14:paraId="151E2603" w14:textId="28C06A2D"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0.0</w:t>
            </w:r>
          </w:p>
        </w:tc>
        <w:tc>
          <w:tcPr>
            <w:tcW w:w="893" w:type="dxa"/>
          </w:tcPr>
          <w:p w14:paraId="40A510F7" w14:textId="7AC19002" w:rsidR="003D6C61" w:rsidRPr="003D6C61" w:rsidRDefault="003D6C61" w:rsidP="003D6C61">
            <w:pPr>
              <w:pStyle w:val="tabletextleft"/>
              <w:jc w:val="right"/>
              <w:rPr>
                <w:rFonts w:ascii="Times New Roman CYR" w:hAnsi="Times New Roman CYR" w:cs="Times New Roman CYR"/>
                <w:szCs w:val="18"/>
              </w:rPr>
            </w:pPr>
            <w:r w:rsidRPr="003D6C61">
              <w:rPr>
                <w:rFonts w:ascii="Times New Roman CYR" w:hAnsi="Times New Roman CYR" w:cs="Times New Roman CYR"/>
                <w:szCs w:val="18"/>
              </w:rPr>
              <w:t>0.0</w:t>
            </w:r>
          </w:p>
        </w:tc>
      </w:tr>
      <w:tr w:rsidR="00BD75E1" w:rsidRPr="005954E3" w14:paraId="46A8D290" w14:textId="77777777" w:rsidTr="00AE77DE">
        <w:trPr>
          <w:trHeight w:val="397"/>
          <w:jc w:val="center"/>
        </w:trPr>
        <w:tc>
          <w:tcPr>
            <w:tcW w:w="3883" w:type="dxa"/>
            <w:vAlign w:val="center"/>
            <w:hideMark/>
          </w:tcPr>
          <w:p w14:paraId="6F556448" w14:textId="77777777" w:rsidR="00BD75E1" w:rsidRPr="005954E3" w:rsidRDefault="00BD75E1" w:rsidP="00BD75E1">
            <w:pPr>
              <w:pStyle w:val="tabletextleft"/>
              <w:rPr>
                <w:szCs w:val="18"/>
              </w:rPr>
            </w:pPr>
            <w:r w:rsidRPr="005954E3">
              <w:rPr>
                <w:szCs w:val="18"/>
              </w:rPr>
              <w:t>5. Растеж на потенциалния БВП (%)</w:t>
            </w:r>
          </w:p>
        </w:tc>
        <w:tc>
          <w:tcPr>
            <w:tcW w:w="856" w:type="dxa"/>
            <w:vAlign w:val="center"/>
          </w:tcPr>
          <w:p w14:paraId="39F50748" w14:textId="77777777" w:rsidR="00BD75E1" w:rsidRPr="005954E3" w:rsidRDefault="00BD75E1" w:rsidP="00BD75E1">
            <w:pPr>
              <w:pStyle w:val="tabletextleft"/>
              <w:rPr>
                <w:szCs w:val="18"/>
              </w:rPr>
            </w:pPr>
          </w:p>
        </w:tc>
        <w:tc>
          <w:tcPr>
            <w:tcW w:w="751" w:type="dxa"/>
            <w:vAlign w:val="bottom"/>
          </w:tcPr>
          <w:p w14:paraId="08252901" w14:textId="71A4EF60" w:rsidR="00BD75E1" w:rsidRPr="005954E3" w:rsidRDefault="00BD75E1" w:rsidP="00BD75E1">
            <w:pPr>
              <w:pStyle w:val="tabletextleft"/>
              <w:jc w:val="right"/>
              <w:rPr>
                <w:szCs w:val="18"/>
              </w:rPr>
            </w:pPr>
            <w:r w:rsidRPr="00E27712">
              <w:rPr>
                <w:rFonts w:ascii="Times New Roman CYR" w:hAnsi="Times New Roman CYR" w:cs="Times New Roman CYR"/>
                <w:szCs w:val="18"/>
              </w:rPr>
              <w:t>2.6</w:t>
            </w:r>
          </w:p>
        </w:tc>
        <w:tc>
          <w:tcPr>
            <w:tcW w:w="893" w:type="dxa"/>
            <w:vAlign w:val="bottom"/>
          </w:tcPr>
          <w:p w14:paraId="14A2C8A8" w14:textId="55008B14" w:rsidR="00BD75E1" w:rsidRPr="005954E3" w:rsidRDefault="00BD75E1" w:rsidP="00BD75E1">
            <w:pPr>
              <w:pStyle w:val="tabletextleft"/>
              <w:jc w:val="right"/>
              <w:rPr>
                <w:szCs w:val="18"/>
              </w:rPr>
            </w:pPr>
            <w:r w:rsidRPr="00E27712">
              <w:rPr>
                <w:rFonts w:ascii="Times New Roman CYR" w:hAnsi="Times New Roman CYR" w:cs="Times New Roman CYR"/>
                <w:szCs w:val="18"/>
              </w:rPr>
              <w:t>2.6</w:t>
            </w:r>
          </w:p>
        </w:tc>
        <w:tc>
          <w:tcPr>
            <w:tcW w:w="893" w:type="dxa"/>
            <w:vAlign w:val="bottom"/>
          </w:tcPr>
          <w:p w14:paraId="43F89ED6" w14:textId="2334740F" w:rsidR="00BD75E1" w:rsidRPr="005954E3" w:rsidRDefault="00BD75E1" w:rsidP="00BD75E1">
            <w:pPr>
              <w:pStyle w:val="tabletextleft"/>
              <w:jc w:val="right"/>
              <w:rPr>
                <w:szCs w:val="18"/>
              </w:rPr>
            </w:pPr>
            <w:r w:rsidRPr="00E27712">
              <w:rPr>
                <w:rFonts w:ascii="Times New Roman CYR" w:hAnsi="Times New Roman CYR" w:cs="Times New Roman CYR"/>
                <w:szCs w:val="18"/>
              </w:rPr>
              <w:t>2.9</w:t>
            </w:r>
          </w:p>
        </w:tc>
        <w:tc>
          <w:tcPr>
            <w:tcW w:w="893" w:type="dxa"/>
            <w:vAlign w:val="bottom"/>
          </w:tcPr>
          <w:p w14:paraId="33F24E5C" w14:textId="16007E5C" w:rsidR="00BD75E1" w:rsidRPr="005954E3" w:rsidRDefault="00BD75E1" w:rsidP="00BD75E1">
            <w:pPr>
              <w:pStyle w:val="tabletextleft"/>
              <w:jc w:val="right"/>
              <w:rPr>
                <w:szCs w:val="18"/>
              </w:rPr>
            </w:pPr>
            <w:r w:rsidRPr="00E27712">
              <w:rPr>
                <w:rFonts w:ascii="Times New Roman CYR" w:hAnsi="Times New Roman CYR" w:cs="Times New Roman CYR"/>
                <w:szCs w:val="18"/>
              </w:rPr>
              <w:t>3.0</w:t>
            </w:r>
          </w:p>
        </w:tc>
        <w:tc>
          <w:tcPr>
            <w:tcW w:w="893" w:type="dxa"/>
            <w:vAlign w:val="bottom"/>
          </w:tcPr>
          <w:p w14:paraId="71B4F85C" w14:textId="0B3439FA" w:rsidR="00BD75E1" w:rsidRPr="005954E3" w:rsidRDefault="00BD75E1" w:rsidP="00BD75E1">
            <w:pPr>
              <w:pStyle w:val="tabletextleft"/>
              <w:jc w:val="right"/>
              <w:rPr>
                <w:szCs w:val="18"/>
              </w:rPr>
            </w:pPr>
            <w:r w:rsidRPr="00E27712">
              <w:rPr>
                <w:rFonts w:ascii="Times New Roman CYR" w:hAnsi="Times New Roman CYR" w:cs="Times New Roman CYR"/>
                <w:szCs w:val="18"/>
              </w:rPr>
              <w:t>2.9</w:t>
            </w:r>
          </w:p>
        </w:tc>
      </w:tr>
      <w:tr w:rsidR="00BD75E1" w:rsidRPr="005954E3" w14:paraId="2274565A" w14:textId="77777777" w:rsidTr="00AE77DE">
        <w:trPr>
          <w:trHeight w:val="397"/>
          <w:jc w:val="center"/>
        </w:trPr>
        <w:tc>
          <w:tcPr>
            <w:tcW w:w="3883" w:type="dxa"/>
            <w:vAlign w:val="center"/>
            <w:hideMark/>
          </w:tcPr>
          <w:p w14:paraId="55A2C2F1" w14:textId="77777777" w:rsidR="00BD75E1" w:rsidRPr="005954E3" w:rsidRDefault="00BD75E1" w:rsidP="00BD75E1">
            <w:pPr>
              <w:pStyle w:val="tabletextleft"/>
              <w:rPr>
                <w:szCs w:val="18"/>
              </w:rPr>
            </w:pPr>
            <w:r w:rsidRPr="005954E3">
              <w:rPr>
                <w:szCs w:val="18"/>
              </w:rPr>
              <w:t>Приноси:</w:t>
            </w:r>
          </w:p>
        </w:tc>
        <w:tc>
          <w:tcPr>
            <w:tcW w:w="856" w:type="dxa"/>
            <w:vAlign w:val="center"/>
          </w:tcPr>
          <w:p w14:paraId="601D6F37" w14:textId="77777777" w:rsidR="00BD75E1" w:rsidRPr="005954E3" w:rsidRDefault="00BD75E1" w:rsidP="00BD75E1">
            <w:pPr>
              <w:pStyle w:val="tabletextleft"/>
              <w:rPr>
                <w:szCs w:val="18"/>
              </w:rPr>
            </w:pPr>
          </w:p>
        </w:tc>
        <w:tc>
          <w:tcPr>
            <w:tcW w:w="751" w:type="dxa"/>
            <w:vAlign w:val="center"/>
          </w:tcPr>
          <w:p w14:paraId="64407EC0" w14:textId="77777777" w:rsidR="00BD75E1" w:rsidRPr="005954E3" w:rsidRDefault="00BD75E1" w:rsidP="00BD75E1">
            <w:pPr>
              <w:pStyle w:val="tabletextleft"/>
              <w:jc w:val="right"/>
              <w:rPr>
                <w:szCs w:val="18"/>
              </w:rPr>
            </w:pPr>
          </w:p>
        </w:tc>
        <w:tc>
          <w:tcPr>
            <w:tcW w:w="893" w:type="dxa"/>
            <w:vAlign w:val="center"/>
          </w:tcPr>
          <w:p w14:paraId="194B6990" w14:textId="77777777" w:rsidR="00BD75E1" w:rsidRPr="005954E3" w:rsidRDefault="00BD75E1" w:rsidP="00BD75E1">
            <w:pPr>
              <w:pStyle w:val="tabletextleft"/>
              <w:jc w:val="right"/>
              <w:rPr>
                <w:szCs w:val="18"/>
              </w:rPr>
            </w:pPr>
          </w:p>
        </w:tc>
        <w:tc>
          <w:tcPr>
            <w:tcW w:w="893" w:type="dxa"/>
            <w:vAlign w:val="center"/>
          </w:tcPr>
          <w:p w14:paraId="7D1D7CAB" w14:textId="77777777" w:rsidR="00BD75E1" w:rsidRPr="005954E3" w:rsidRDefault="00BD75E1" w:rsidP="00BD75E1">
            <w:pPr>
              <w:pStyle w:val="tabletextleft"/>
              <w:jc w:val="right"/>
              <w:rPr>
                <w:szCs w:val="18"/>
              </w:rPr>
            </w:pPr>
          </w:p>
        </w:tc>
        <w:tc>
          <w:tcPr>
            <w:tcW w:w="893" w:type="dxa"/>
            <w:vAlign w:val="center"/>
          </w:tcPr>
          <w:p w14:paraId="6F44B7A3" w14:textId="77777777" w:rsidR="00BD75E1" w:rsidRPr="005954E3" w:rsidRDefault="00BD75E1" w:rsidP="00BD75E1">
            <w:pPr>
              <w:pStyle w:val="tabletextleft"/>
              <w:jc w:val="right"/>
              <w:rPr>
                <w:szCs w:val="18"/>
              </w:rPr>
            </w:pPr>
          </w:p>
        </w:tc>
        <w:tc>
          <w:tcPr>
            <w:tcW w:w="893" w:type="dxa"/>
            <w:vAlign w:val="center"/>
          </w:tcPr>
          <w:p w14:paraId="3A45CA72" w14:textId="77777777" w:rsidR="00BD75E1" w:rsidRPr="005954E3" w:rsidRDefault="00BD75E1" w:rsidP="00BD75E1">
            <w:pPr>
              <w:pStyle w:val="tabletextleft"/>
              <w:jc w:val="right"/>
              <w:rPr>
                <w:szCs w:val="18"/>
              </w:rPr>
            </w:pPr>
          </w:p>
        </w:tc>
      </w:tr>
      <w:tr w:rsidR="00BD75E1" w:rsidRPr="005954E3" w14:paraId="5506C08E" w14:textId="77777777" w:rsidTr="00AE77DE">
        <w:trPr>
          <w:trHeight w:val="397"/>
          <w:jc w:val="center"/>
        </w:trPr>
        <w:tc>
          <w:tcPr>
            <w:tcW w:w="3883" w:type="dxa"/>
            <w:vAlign w:val="center"/>
            <w:hideMark/>
          </w:tcPr>
          <w:p w14:paraId="6421737D" w14:textId="77777777" w:rsidR="00BD75E1" w:rsidRPr="005954E3" w:rsidRDefault="00BD75E1" w:rsidP="00BD75E1">
            <w:pPr>
              <w:pStyle w:val="tabletextleft"/>
              <w:ind w:left="170"/>
              <w:rPr>
                <w:szCs w:val="18"/>
              </w:rPr>
            </w:pPr>
            <w:r w:rsidRPr="005954E3">
              <w:rPr>
                <w:szCs w:val="18"/>
              </w:rPr>
              <w:t>труд</w:t>
            </w:r>
          </w:p>
        </w:tc>
        <w:tc>
          <w:tcPr>
            <w:tcW w:w="856" w:type="dxa"/>
            <w:vAlign w:val="center"/>
          </w:tcPr>
          <w:p w14:paraId="72587679" w14:textId="77777777" w:rsidR="00BD75E1" w:rsidRPr="005954E3" w:rsidRDefault="00BD75E1" w:rsidP="00BD75E1">
            <w:pPr>
              <w:pStyle w:val="tabletextleft"/>
              <w:rPr>
                <w:szCs w:val="18"/>
              </w:rPr>
            </w:pPr>
          </w:p>
        </w:tc>
        <w:tc>
          <w:tcPr>
            <w:tcW w:w="751" w:type="dxa"/>
            <w:vAlign w:val="bottom"/>
          </w:tcPr>
          <w:p w14:paraId="46C5E7A8" w14:textId="4E082AC6" w:rsidR="00BD75E1" w:rsidRPr="00211DD6" w:rsidRDefault="00BD75E1" w:rsidP="00BD75E1">
            <w:pPr>
              <w:pStyle w:val="tabletextleft"/>
              <w:jc w:val="right"/>
              <w:rPr>
                <w:szCs w:val="18"/>
                <w:lang w:val="en-US"/>
              </w:rPr>
            </w:pPr>
            <w:r w:rsidRPr="00E27712">
              <w:rPr>
                <w:rFonts w:ascii="Times New Roman CYR" w:hAnsi="Times New Roman CYR" w:cs="Times New Roman CYR"/>
                <w:szCs w:val="18"/>
              </w:rPr>
              <w:t>0.2</w:t>
            </w:r>
          </w:p>
        </w:tc>
        <w:tc>
          <w:tcPr>
            <w:tcW w:w="893" w:type="dxa"/>
            <w:vAlign w:val="bottom"/>
          </w:tcPr>
          <w:p w14:paraId="315500DB" w14:textId="6CCB0AF5" w:rsidR="00BD75E1" w:rsidRPr="005954E3" w:rsidRDefault="00BD75E1" w:rsidP="00BD75E1">
            <w:pPr>
              <w:pStyle w:val="tabletextleft"/>
              <w:jc w:val="right"/>
              <w:rPr>
                <w:szCs w:val="18"/>
              </w:rPr>
            </w:pPr>
            <w:r w:rsidRPr="00E27712">
              <w:rPr>
                <w:rFonts w:ascii="Times New Roman CYR" w:hAnsi="Times New Roman CYR" w:cs="Times New Roman CYR"/>
                <w:szCs w:val="18"/>
              </w:rPr>
              <w:t>0.2</w:t>
            </w:r>
          </w:p>
        </w:tc>
        <w:tc>
          <w:tcPr>
            <w:tcW w:w="893" w:type="dxa"/>
            <w:vAlign w:val="bottom"/>
          </w:tcPr>
          <w:p w14:paraId="250EAFD2" w14:textId="231B6F06" w:rsidR="00BD75E1" w:rsidRPr="005954E3" w:rsidRDefault="00BD75E1" w:rsidP="00BD75E1">
            <w:pPr>
              <w:pStyle w:val="tabletextleft"/>
              <w:jc w:val="right"/>
              <w:rPr>
                <w:szCs w:val="18"/>
              </w:rPr>
            </w:pPr>
            <w:r w:rsidRPr="00E27712">
              <w:rPr>
                <w:rFonts w:ascii="Times New Roman CYR" w:hAnsi="Times New Roman CYR" w:cs="Times New Roman CYR"/>
                <w:szCs w:val="18"/>
              </w:rPr>
              <w:t>0.3</w:t>
            </w:r>
          </w:p>
        </w:tc>
        <w:tc>
          <w:tcPr>
            <w:tcW w:w="893" w:type="dxa"/>
            <w:vAlign w:val="bottom"/>
          </w:tcPr>
          <w:p w14:paraId="3F7BD219" w14:textId="17F60770" w:rsidR="00BD75E1" w:rsidRPr="005954E3" w:rsidRDefault="00BD75E1" w:rsidP="00BD75E1">
            <w:pPr>
              <w:pStyle w:val="tabletextleft"/>
              <w:jc w:val="right"/>
              <w:rPr>
                <w:szCs w:val="18"/>
              </w:rPr>
            </w:pPr>
            <w:r w:rsidRPr="00E27712">
              <w:rPr>
                <w:rFonts w:ascii="Times New Roman CYR" w:hAnsi="Times New Roman CYR" w:cs="Times New Roman CYR"/>
                <w:szCs w:val="18"/>
              </w:rPr>
              <w:t>0.3</w:t>
            </w:r>
          </w:p>
        </w:tc>
        <w:tc>
          <w:tcPr>
            <w:tcW w:w="893" w:type="dxa"/>
            <w:vAlign w:val="bottom"/>
          </w:tcPr>
          <w:p w14:paraId="0C37D583" w14:textId="0170A8F8" w:rsidR="00BD75E1" w:rsidRPr="005954E3" w:rsidRDefault="00BD75E1" w:rsidP="00BD75E1">
            <w:pPr>
              <w:pStyle w:val="tabletextleft"/>
              <w:jc w:val="right"/>
              <w:rPr>
                <w:szCs w:val="18"/>
              </w:rPr>
            </w:pPr>
            <w:r w:rsidRPr="00E27712">
              <w:rPr>
                <w:rFonts w:ascii="Times New Roman CYR" w:hAnsi="Times New Roman CYR" w:cs="Times New Roman CYR"/>
                <w:szCs w:val="18"/>
              </w:rPr>
              <w:t>0.2</w:t>
            </w:r>
          </w:p>
        </w:tc>
      </w:tr>
      <w:tr w:rsidR="00BD75E1" w:rsidRPr="005954E3" w14:paraId="06FE8BB9" w14:textId="77777777" w:rsidTr="00AE77DE">
        <w:trPr>
          <w:trHeight w:val="397"/>
          <w:jc w:val="center"/>
        </w:trPr>
        <w:tc>
          <w:tcPr>
            <w:tcW w:w="3883" w:type="dxa"/>
            <w:vAlign w:val="center"/>
            <w:hideMark/>
          </w:tcPr>
          <w:p w14:paraId="7F15E9BD" w14:textId="77777777" w:rsidR="00BD75E1" w:rsidRPr="005954E3" w:rsidRDefault="00BD75E1" w:rsidP="00BD75E1">
            <w:pPr>
              <w:pStyle w:val="tabletextleft"/>
              <w:ind w:left="170"/>
              <w:rPr>
                <w:szCs w:val="18"/>
              </w:rPr>
            </w:pPr>
            <w:r w:rsidRPr="005954E3">
              <w:rPr>
                <w:szCs w:val="18"/>
              </w:rPr>
              <w:t>капитал</w:t>
            </w:r>
          </w:p>
        </w:tc>
        <w:tc>
          <w:tcPr>
            <w:tcW w:w="856" w:type="dxa"/>
            <w:vAlign w:val="center"/>
          </w:tcPr>
          <w:p w14:paraId="06B4F5EB" w14:textId="77777777" w:rsidR="00BD75E1" w:rsidRPr="005954E3" w:rsidRDefault="00BD75E1" w:rsidP="00BD75E1">
            <w:pPr>
              <w:pStyle w:val="tabletextleft"/>
              <w:rPr>
                <w:szCs w:val="18"/>
              </w:rPr>
            </w:pPr>
          </w:p>
        </w:tc>
        <w:tc>
          <w:tcPr>
            <w:tcW w:w="751" w:type="dxa"/>
            <w:vAlign w:val="bottom"/>
          </w:tcPr>
          <w:p w14:paraId="674AEE64" w14:textId="07A9ADCE" w:rsidR="00BD75E1" w:rsidRPr="005954E3" w:rsidRDefault="00BD75E1" w:rsidP="00BD75E1">
            <w:pPr>
              <w:pStyle w:val="tabletextleft"/>
              <w:jc w:val="right"/>
              <w:rPr>
                <w:szCs w:val="18"/>
              </w:rPr>
            </w:pPr>
            <w:r w:rsidRPr="00E27712">
              <w:rPr>
                <w:rFonts w:ascii="Times New Roman CYR" w:hAnsi="Times New Roman CYR" w:cs="Times New Roman CYR"/>
                <w:szCs w:val="18"/>
              </w:rPr>
              <w:t>0.5</w:t>
            </w:r>
          </w:p>
        </w:tc>
        <w:tc>
          <w:tcPr>
            <w:tcW w:w="893" w:type="dxa"/>
            <w:vAlign w:val="bottom"/>
          </w:tcPr>
          <w:p w14:paraId="40A8711B" w14:textId="4B9F23D9" w:rsidR="00BD75E1" w:rsidRPr="005954E3" w:rsidRDefault="00BD75E1" w:rsidP="00BD75E1">
            <w:pPr>
              <w:pStyle w:val="tabletextleft"/>
              <w:jc w:val="right"/>
              <w:rPr>
                <w:szCs w:val="18"/>
              </w:rPr>
            </w:pPr>
            <w:r w:rsidRPr="00E27712">
              <w:rPr>
                <w:rFonts w:ascii="Times New Roman CYR" w:hAnsi="Times New Roman CYR" w:cs="Times New Roman CYR"/>
                <w:szCs w:val="18"/>
              </w:rPr>
              <w:t>0.6</w:t>
            </w:r>
          </w:p>
        </w:tc>
        <w:tc>
          <w:tcPr>
            <w:tcW w:w="893" w:type="dxa"/>
            <w:vAlign w:val="bottom"/>
          </w:tcPr>
          <w:p w14:paraId="1907FF8A" w14:textId="326D417E" w:rsidR="00BD75E1" w:rsidRPr="005954E3" w:rsidRDefault="00BD75E1" w:rsidP="00BD75E1">
            <w:pPr>
              <w:pStyle w:val="tabletextleft"/>
              <w:jc w:val="right"/>
              <w:rPr>
                <w:szCs w:val="18"/>
              </w:rPr>
            </w:pPr>
            <w:r w:rsidRPr="00E27712">
              <w:rPr>
                <w:rFonts w:ascii="Times New Roman CYR" w:hAnsi="Times New Roman CYR" w:cs="Times New Roman CYR"/>
                <w:szCs w:val="18"/>
              </w:rPr>
              <w:t>0.8</w:t>
            </w:r>
          </w:p>
        </w:tc>
        <w:tc>
          <w:tcPr>
            <w:tcW w:w="893" w:type="dxa"/>
            <w:vAlign w:val="bottom"/>
          </w:tcPr>
          <w:p w14:paraId="62E305BB" w14:textId="67585D10" w:rsidR="00BD75E1" w:rsidRPr="005954E3" w:rsidRDefault="00BD75E1" w:rsidP="00BD75E1">
            <w:pPr>
              <w:pStyle w:val="tabletextleft"/>
              <w:jc w:val="right"/>
              <w:rPr>
                <w:szCs w:val="18"/>
              </w:rPr>
            </w:pPr>
            <w:r w:rsidRPr="00E27712">
              <w:rPr>
                <w:rFonts w:ascii="Times New Roman CYR" w:hAnsi="Times New Roman CYR" w:cs="Times New Roman CYR"/>
                <w:szCs w:val="18"/>
              </w:rPr>
              <w:t>1.0</w:t>
            </w:r>
          </w:p>
        </w:tc>
        <w:tc>
          <w:tcPr>
            <w:tcW w:w="893" w:type="dxa"/>
            <w:vAlign w:val="bottom"/>
          </w:tcPr>
          <w:p w14:paraId="3A5FC468" w14:textId="7BDF291D" w:rsidR="00BD75E1" w:rsidRPr="005954E3" w:rsidRDefault="00BD75E1" w:rsidP="00BD75E1">
            <w:pPr>
              <w:pStyle w:val="tabletextleft"/>
              <w:jc w:val="right"/>
              <w:rPr>
                <w:szCs w:val="18"/>
              </w:rPr>
            </w:pPr>
            <w:r w:rsidRPr="00E27712">
              <w:rPr>
                <w:rFonts w:ascii="Times New Roman CYR" w:hAnsi="Times New Roman CYR" w:cs="Times New Roman CYR"/>
                <w:szCs w:val="18"/>
              </w:rPr>
              <w:t>1.0</w:t>
            </w:r>
          </w:p>
        </w:tc>
      </w:tr>
      <w:tr w:rsidR="00BD75E1" w:rsidRPr="005954E3" w14:paraId="068EFFBB" w14:textId="77777777" w:rsidTr="00AE77DE">
        <w:trPr>
          <w:trHeight w:val="397"/>
          <w:jc w:val="center"/>
        </w:trPr>
        <w:tc>
          <w:tcPr>
            <w:tcW w:w="3883" w:type="dxa"/>
            <w:vAlign w:val="center"/>
            <w:hideMark/>
          </w:tcPr>
          <w:p w14:paraId="6E42E5B0" w14:textId="77777777" w:rsidR="00BD75E1" w:rsidRPr="005954E3" w:rsidRDefault="00BD75E1" w:rsidP="00BD75E1">
            <w:pPr>
              <w:pStyle w:val="tabletextleft"/>
              <w:ind w:left="170"/>
              <w:rPr>
                <w:szCs w:val="18"/>
              </w:rPr>
            </w:pPr>
            <w:r w:rsidRPr="005954E3">
              <w:rPr>
                <w:szCs w:val="18"/>
              </w:rPr>
              <w:t>обща факторна производителност</w:t>
            </w:r>
          </w:p>
        </w:tc>
        <w:tc>
          <w:tcPr>
            <w:tcW w:w="856" w:type="dxa"/>
            <w:vAlign w:val="center"/>
          </w:tcPr>
          <w:p w14:paraId="17727498" w14:textId="77777777" w:rsidR="00BD75E1" w:rsidRPr="005954E3" w:rsidRDefault="00BD75E1" w:rsidP="00BD75E1">
            <w:pPr>
              <w:pStyle w:val="tabletextleft"/>
              <w:rPr>
                <w:szCs w:val="18"/>
              </w:rPr>
            </w:pPr>
          </w:p>
        </w:tc>
        <w:tc>
          <w:tcPr>
            <w:tcW w:w="751" w:type="dxa"/>
            <w:vAlign w:val="bottom"/>
          </w:tcPr>
          <w:p w14:paraId="1CEFB52D" w14:textId="1EB1A572" w:rsidR="00BD75E1" w:rsidRPr="005954E3" w:rsidRDefault="00BD75E1" w:rsidP="00BD75E1">
            <w:pPr>
              <w:pStyle w:val="tabletextleft"/>
              <w:jc w:val="right"/>
              <w:rPr>
                <w:szCs w:val="18"/>
              </w:rPr>
            </w:pPr>
            <w:r w:rsidRPr="00E27712">
              <w:rPr>
                <w:rFonts w:ascii="Times New Roman CYR" w:hAnsi="Times New Roman CYR" w:cs="Times New Roman CYR"/>
                <w:szCs w:val="18"/>
              </w:rPr>
              <w:t>1.9</w:t>
            </w:r>
          </w:p>
        </w:tc>
        <w:tc>
          <w:tcPr>
            <w:tcW w:w="893" w:type="dxa"/>
            <w:vAlign w:val="bottom"/>
          </w:tcPr>
          <w:p w14:paraId="33063D8A" w14:textId="3E7D34A9" w:rsidR="00BD75E1" w:rsidRPr="005954E3" w:rsidRDefault="00BD75E1" w:rsidP="00BD75E1">
            <w:pPr>
              <w:pStyle w:val="tabletextleft"/>
              <w:jc w:val="right"/>
              <w:rPr>
                <w:szCs w:val="18"/>
              </w:rPr>
            </w:pPr>
            <w:r w:rsidRPr="00E27712">
              <w:rPr>
                <w:rFonts w:ascii="Times New Roman CYR" w:hAnsi="Times New Roman CYR" w:cs="Times New Roman CYR"/>
                <w:szCs w:val="18"/>
              </w:rPr>
              <w:t>1.8</w:t>
            </w:r>
          </w:p>
        </w:tc>
        <w:tc>
          <w:tcPr>
            <w:tcW w:w="893" w:type="dxa"/>
            <w:vAlign w:val="bottom"/>
          </w:tcPr>
          <w:p w14:paraId="1173A7D5" w14:textId="6E84DA45" w:rsidR="00BD75E1" w:rsidRPr="005954E3" w:rsidRDefault="00BD75E1" w:rsidP="00BD75E1">
            <w:pPr>
              <w:pStyle w:val="tabletextleft"/>
              <w:jc w:val="right"/>
              <w:rPr>
                <w:szCs w:val="18"/>
              </w:rPr>
            </w:pPr>
            <w:r w:rsidRPr="00E27712">
              <w:rPr>
                <w:rFonts w:ascii="Times New Roman CYR" w:hAnsi="Times New Roman CYR" w:cs="Times New Roman CYR"/>
                <w:szCs w:val="18"/>
              </w:rPr>
              <w:t>1.8</w:t>
            </w:r>
          </w:p>
        </w:tc>
        <w:tc>
          <w:tcPr>
            <w:tcW w:w="893" w:type="dxa"/>
            <w:vAlign w:val="bottom"/>
          </w:tcPr>
          <w:p w14:paraId="1CFA61E9" w14:textId="65EBC55E" w:rsidR="00BD75E1" w:rsidRPr="005954E3" w:rsidRDefault="00BD75E1" w:rsidP="00BD75E1">
            <w:pPr>
              <w:pStyle w:val="tabletextleft"/>
              <w:jc w:val="right"/>
              <w:rPr>
                <w:szCs w:val="18"/>
              </w:rPr>
            </w:pPr>
            <w:r w:rsidRPr="00E27712">
              <w:rPr>
                <w:rFonts w:ascii="Times New Roman CYR" w:hAnsi="Times New Roman CYR" w:cs="Times New Roman CYR"/>
                <w:szCs w:val="18"/>
              </w:rPr>
              <w:t>1.7</w:t>
            </w:r>
          </w:p>
        </w:tc>
        <w:tc>
          <w:tcPr>
            <w:tcW w:w="893" w:type="dxa"/>
            <w:vAlign w:val="bottom"/>
          </w:tcPr>
          <w:p w14:paraId="4C8ADEB7" w14:textId="07881E9E" w:rsidR="00BD75E1" w:rsidRPr="005954E3" w:rsidRDefault="00BD75E1" w:rsidP="00BD75E1">
            <w:pPr>
              <w:pStyle w:val="tabletextleft"/>
              <w:jc w:val="right"/>
              <w:rPr>
                <w:szCs w:val="18"/>
              </w:rPr>
            </w:pPr>
            <w:r w:rsidRPr="00E27712">
              <w:rPr>
                <w:rFonts w:ascii="Times New Roman CYR" w:hAnsi="Times New Roman CYR" w:cs="Times New Roman CYR"/>
                <w:szCs w:val="18"/>
              </w:rPr>
              <w:t>1.6</w:t>
            </w:r>
          </w:p>
        </w:tc>
      </w:tr>
      <w:tr w:rsidR="00BD75E1" w:rsidRPr="005954E3" w14:paraId="6871E900" w14:textId="77777777" w:rsidTr="00AE77DE">
        <w:trPr>
          <w:trHeight w:val="397"/>
          <w:jc w:val="center"/>
        </w:trPr>
        <w:tc>
          <w:tcPr>
            <w:tcW w:w="3883" w:type="dxa"/>
            <w:vAlign w:val="center"/>
            <w:hideMark/>
          </w:tcPr>
          <w:p w14:paraId="36F555F7" w14:textId="77777777" w:rsidR="00BD75E1" w:rsidRPr="005954E3" w:rsidRDefault="00BD75E1" w:rsidP="00BD75E1">
            <w:pPr>
              <w:pStyle w:val="tabletextleft"/>
              <w:rPr>
                <w:szCs w:val="18"/>
              </w:rPr>
            </w:pPr>
            <w:r w:rsidRPr="005954E3">
              <w:rPr>
                <w:szCs w:val="18"/>
              </w:rPr>
              <w:t>6. Отклонение от потенциалния БВП</w:t>
            </w:r>
          </w:p>
        </w:tc>
        <w:tc>
          <w:tcPr>
            <w:tcW w:w="856" w:type="dxa"/>
            <w:vAlign w:val="center"/>
          </w:tcPr>
          <w:p w14:paraId="7CEFC4EF" w14:textId="77777777" w:rsidR="00BD75E1" w:rsidRPr="005954E3" w:rsidRDefault="00BD75E1" w:rsidP="00BD75E1">
            <w:pPr>
              <w:pStyle w:val="tabletextleft"/>
              <w:rPr>
                <w:szCs w:val="18"/>
              </w:rPr>
            </w:pPr>
          </w:p>
        </w:tc>
        <w:tc>
          <w:tcPr>
            <w:tcW w:w="751" w:type="dxa"/>
            <w:vAlign w:val="bottom"/>
          </w:tcPr>
          <w:p w14:paraId="15630DB9" w14:textId="273D95F7" w:rsidR="00BD75E1" w:rsidRPr="005954E3" w:rsidRDefault="00BD75E1" w:rsidP="00BD75E1">
            <w:pPr>
              <w:pStyle w:val="tabletextleft"/>
              <w:jc w:val="right"/>
              <w:rPr>
                <w:szCs w:val="18"/>
              </w:rPr>
            </w:pPr>
            <w:r w:rsidRPr="00E27712">
              <w:rPr>
                <w:rFonts w:ascii="Times New Roman CYR" w:hAnsi="Times New Roman CYR" w:cs="Times New Roman CYR"/>
                <w:szCs w:val="18"/>
              </w:rPr>
              <w:t>0.9</w:t>
            </w:r>
          </w:p>
        </w:tc>
        <w:tc>
          <w:tcPr>
            <w:tcW w:w="893" w:type="dxa"/>
            <w:vAlign w:val="bottom"/>
          </w:tcPr>
          <w:p w14:paraId="1412204A" w14:textId="4F10B645" w:rsidR="00BD75E1" w:rsidRPr="005954E3" w:rsidRDefault="00BD75E1" w:rsidP="00BD75E1">
            <w:pPr>
              <w:pStyle w:val="tabletextleft"/>
              <w:jc w:val="right"/>
              <w:rPr>
                <w:szCs w:val="18"/>
              </w:rPr>
            </w:pPr>
            <w:r w:rsidRPr="00E27712">
              <w:rPr>
                <w:rFonts w:ascii="Times New Roman CYR" w:hAnsi="Times New Roman CYR" w:cs="Times New Roman CYR"/>
                <w:szCs w:val="18"/>
              </w:rPr>
              <w:t>0.2</w:t>
            </w:r>
          </w:p>
        </w:tc>
        <w:tc>
          <w:tcPr>
            <w:tcW w:w="893" w:type="dxa"/>
            <w:vAlign w:val="bottom"/>
          </w:tcPr>
          <w:p w14:paraId="166D858F" w14:textId="18EB2F67" w:rsidR="00BD75E1" w:rsidRPr="005954E3" w:rsidRDefault="00BD75E1" w:rsidP="00BD75E1">
            <w:pPr>
              <w:pStyle w:val="tabletextleft"/>
              <w:jc w:val="right"/>
              <w:rPr>
                <w:szCs w:val="18"/>
              </w:rPr>
            </w:pPr>
            <w:r w:rsidRPr="00E27712">
              <w:rPr>
                <w:rFonts w:ascii="Times New Roman CYR" w:hAnsi="Times New Roman CYR" w:cs="Times New Roman CYR"/>
                <w:szCs w:val="18"/>
              </w:rPr>
              <w:t>0.5</w:t>
            </w:r>
          </w:p>
        </w:tc>
        <w:tc>
          <w:tcPr>
            <w:tcW w:w="893" w:type="dxa"/>
            <w:vAlign w:val="bottom"/>
          </w:tcPr>
          <w:p w14:paraId="02A98E27" w14:textId="657DBBF9" w:rsidR="00BD75E1" w:rsidRPr="005954E3" w:rsidRDefault="00BD75E1" w:rsidP="00BD75E1">
            <w:pPr>
              <w:pStyle w:val="tabletextleft"/>
              <w:jc w:val="right"/>
              <w:rPr>
                <w:szCs w:val="18"/>
              </w:rPr>
            </w:pPr>
            <w:r w:rsidRPr="00E27712">
              <w:rPr>
                <w:rFonts w:ascii="Times New Roman CYR" w:hAnsi="Times New Roman CYR" w:cs="Times New Roman CYR"/>
                <w:szCs w:val="18"/>
              </w:rPr>
              <w:t>0.8</w:t>
            </w:r>
          </w:p>
        </w:tc>
        <w:tc>
          <w:tcPr>
            <w:tcW w:w="893" w:type="dxa"/>
            <w:vAlign w:val="bottom"/>
          </w:tcPr>
          <w:p w14:paraId="3DBF216B" w14:textId="78D54D70" w:rsidR="00BD75E1" w:rsidRPr="005954E3" w:rsidRDefault="00BD75E1" w:rsidP="00BD75E1">
            <w:pPr>
              <w:pStyle w:val="tabletextleft"/>
              <w:jc w:val="right"/>
              <w:rPr>
                <w:szCs w:val="18"/>
              </w:rPr>
            </w:pPr>
            <w:r w:rsidRPr="00E27712">
              <w:rPr>
                <w:rFonts w:ascii="Times New Roman CYR" w:hAnsi="Times New Roman CYR" w:cs="Times New Roman CYR"/>
                <w:szCs w:val="18"/>
              </w:rPr>
              <w:t>0.9</w:t>
            </w:r>
          </w:p>
        </w:tc>
      </w:tr>
      <w:tr w:rsidR="00BD75E1" w:rsidRPr="005954E3" w14:paraId="537BB435" w14:textId="77777777" w:rsidTr="003F0A85">
        <w:trPr>
          <w:trHeight w:val="397"/>
          <w:jc w:val="center"/>
        </w:trPr>
        <w:tc>
          <w:tcPr>
            <w:tcW w:w="3883" w:type="dxa"/>
            <w:vAlign w:val="center"/>
            <w:hideMark/>
          </w:tcPr>
          <w:p w14:paraId="7504A1C1" w14:textId="77777777" w:rsidR="00BD75E1" w:rsidRPr="005954E3" w:rsidRDefault="00BD75E1" w:rsidP="00BD75E1">
            <w:pPr>
              <w:pStyle w:val="tabletextleft"/>
              <w:rPr>
                <w:szCs w:val="18"/>
              </w:rPr>
            </w:pPr>
            <w:r w:rsidRPr="005954E3">
              <w:rPr>
                <w:szCs w:val="18"/>
              </w:rPr>
              <w:t>7. Циклична компонента на бюджета</w:t>
            </w:r>
          </w:p>
        </w:tc>
        <w:tc>
          <w:tcPr>
            <w:tcW w:w="856" w:type="dxa"/>
            <w:vAlign w:val="center"/>
          </w:tcPr>
          <w:p w14:paraId="4DBE5383" w14:textId="77777777" w:rsidR="00BD75E1" w:rsidRPr="005954E3" w:rsidRDefault="00BD75E1" w:rsidP="00BD75E1">
            <w:pPr>
              <w:pStyle w:val="tabletextleft"/>
              <w:rPr>
                <w:szCs w:val="18"/>
                <w:highlight w:val="yellow"/>
              </w:rPr>
            </w:pPr>
          </w:p>
        </w:tc>
        <w:tc>
          <w:tcPr>
            <w:tcW w:w="751" w:type="dxa"/>
          </w:tcPr>
          <w:p w14:paraId="19969FBC" w14:textId="2A08C32A" w:rsidR="00BD75E1" w:rsidRPr="005954E3" w:rsidRDefault="00BD75E1" w:rsidP="00BD75E1">
            <w:pPr>
              <w:pStyle w:val="tabletextleft"/>
              <w:jc w:val="right"/>
              <w:rPr>
                <w:szCs w:val="18"/>
              </w:rPr>
            </w:pPr>
            <w:r w:rsidRPr="00574F59">
              <w:t>0.3</w:t>
            </w:r>
          </w:p>
        </w:tc>
        <w:tc>
          <w:tcPr>
            <w:tcW w:w="893" w:type="dxa"/>
          </w:tcPr>
          <w:p w14:paraId="427AAC4A" w14:textId="2D33F74E" w:rsidR="00BD75E1" w:rsidRPr="005954E3" w:rsidRDefault="00BD75E1" w:rsidP="00BD75E1">
            <w:pPr>
              <w:pStyle w:val="tabletextleft"/>
              <w:jc w:val="right"/>
              <w:rPr>
                <w:szCs w:val="18"/>
              </w:rPr>
            </w:pPr>
            <w:r w:rsidRPr="00574F59">
              <w:t>0.1</w:t>
            </w:r>
          </w:p>
        </w:tc>
        <w:tc>
          <w:tcPr>
            <w:tcW w:w="893" w:type="dxa"/>
          </w:tcPr>
          <w:p w14:paraId="7730672D" w14:textId="3DA32508" w:rsidR="00BD75E1" w:rsidRPr="005954E3" w:rsidRDefault="00BD75E1" w:rsidP="00BD75E1">
            <w:pPr>
              <w:pStyle w:val="tabletextleft"/>
              <w:jc w:val="right"/>
              <w:rPr>
                <w:szCs w:val="18"/>
              </w:rPr>
            </w:pPr>
            <w:r w:rsidRPr="00574F59">
              <w:t>0.2</w:t>
            </w:r>
          </w:p>
        </w:tc>
        <w:tc>
          <w:tcPr>
            <w:tcW w:w="893" w:type="dxa"/>
          </w:tcPr>
          <w:p w14:paraId="16F31074" w14:textId="36D07880" w:rsidR="00BD75E1" w:rsidRPr="005954E3" w:rsidRDefault="00BD75E1" w:rsidP="00BD75E1">
            <w:pPr>
              <w:pStyle w:val="tabletextleft"/>
              <w:jc w:val="right"/>
              <w:rPr>
                <w:szCs w:val="18"/>
              </w:rPr>
            </w:pPr>
            <w:r w:rsidRPr="00574F59">
              <w:t>0.2</w:t>
            </w:r>
          </w:p>
        </w:tc>
        <w:tc>
          <w:tcPr>
            <w:tcW w:w="893" w:type="dxa"/>
          </w:tcPr>
          <w:p w14:paraId="05CAE339" w14:textId="76ABA31C" w:rsidR="00BD75E1" w:rsidRPr="005954E3" w:rsidRDefault="00BD75E1" w:rsidP="00BD75E1">
            <w:pPr>
              <w:pStyle w:val="tabletextleft"/>
              <w:jc w:val="right"/>
              <w:rPr>
                <w:szCs w:val="18"/>
              </w:rPr>
            </w:pPr>
            <w:r w:rsidRPr="00574F59">
              <w:t>0.3</w:t>
            </w:r>
          </w:p>
        </w:tc>
      </w:tr>
      <w:tr w:rsidR="00D96E2C" w:rsidRPr="005954E3" w14:paraId="47EF5404" w14:textId="77777777" w:rsidTr="003F0A85">
        <w:trPr>
          <w:trHeight w:val="397"/>
          <w:jc w:val="center"/>
        </w:trPr>
        <w:tc>
          <w:tcPr>
            <w:tcW w:w="3883" w:type="dxa"/>
            <w:vAlign w:val="center"/>
            <w:hideMark/>
          </w:tcPr>
          <w:p w14:paraId="4BBD3F6D" w14:textId="77777777" w:rsidR="00D96E2C" w:rsidRPr="005954E3" w:rsidRDefault="00D96E2C" w:rsidP="00D96E2C">
            <w:pPr>
              <w:pStyle w:val="tabletextleft"/>
              <w:rPr>
                <w:szCs w:val="18"/>
              </w:rPr>
            </w:pPr>
            <w:r w:rsidRPr="005954E3">
              <w:rPr>
                <w:szCs w:val="18"/>
              </w:rPr>
              <w:t>8. Циклично приспособен баланс (2-7)</w:t>
            </w:r>
          </w:p>
        </w:tc>
        <w:tc>
          <w:tcPr>
            <w:tcW w:w="856" w:type="dxa"/>
            <w:vAlign w:val="center"/>
          </w:tcPr>
          <w:p w14:paraId="36372133" w14:textId="77777777" w:rsidR="00D96E2C" w:rsidRPr="005954E3" w:rsidRDefault="00D96E2C" w:rsidP="00D96E2C">
            <w:pPr>
              <w:pStyle w:val="tabletextleft"/>
              <w:rPr>
                <w:szCs w:val="18"/>
                <w:highlight w:val="yellow"/>
              </w:rPr>
            </w:pPr>
          </w:p>
        </w:tc>
        <w:tc>
          <w:tcPr>
            <w:tcW w:w="751" w:type="dxa"/>
          </w:tcPr>
          <w:p w14:paraId="7C016AE1" w14:textId="58550356" w:rsidR="00D96E2C" w:rsidRPr="005954E3" w:rsidRDefault="00D96E2C" w:rsidP="00D96E2C">
            <w:pPr>
              <w:pStyle w:val="tabletextleft"/>
              <w:jc w:val="right"/>
              <w:rPr>
                <w:szCs w:val="18"/>
              </w:rPr>
            </w:pPr>
            <w:r w:rsidRPr="00B70426">
              <w:t>-3.1</w:t>
            </w:r>
          </w:p>
        </w:tc>
        <w:tc>
          <w:tcPr>
            <w:tcW w:w="893" w:type="dxa"/>
          </w:tcPr>
          <w:p w14:paraId="5D6E3345" w14:textId="20B8B7F1" w:rsidR="00D96E2C" w:rsidRPr="005954E3" w:rsidRDefault="00D96E2C" w:rsidP="00D96E2C">
            <w:pPr>
              <w:pStyle w:val="tabletextleft"/>
              <w:jc w:val="right"/>
              <w:rPr>
                <w:szCs w:val="18"/>
              </w:rPr>
            </w:pPr>
            <w:r w:rsidRPr="00B70426">
              <w:t>-</w:t>
            </w:r>
            <w:r>
              <w:t>6.2</w:t>
            </w:r>
          </w:p>
        </w:tc>
        <w:tc>
          <w:tcPr>
            <w:tcW w:w="893" w:type="dxa"/>
          </w:tcPr>
          <w:p w14:paraId="67B1CFE1" w14:textId="5511ED48" w:rsidR="00D96E2C" w:rsidRPr="005954E3" w:rsidRDefault="00D96E2C" w:rsidP="00D96E2C">
            <w:pPr>
              <w:pStyle w:val="tabletextleft"/>
              <w:jc w:val="right"/>
              <w:rPr>
                <w:szCs w:val="18"/>
              </w:rPr>
            </w:pPr>
            <w:r>
              <w:t>-4.8</w:t>
            </w:r>
          </w:p>
        </w:tc>
        <w:tc>
          <w:tcPr>
            <w:tcW w:w="893" w:type="dxa"/>
          </w:tcPr>
          <w:p w14:paraId="2B80E792" w14:textId="50718403" w:rsidR="00D96E2C" w:rsidRPr="005954E3" w:rsidRDefault="00D96E2C" w:rsidP="00D96E2C">
            <w:pPr>
              <w:pStyle w:val="tabletextleft"/>
              <w:jc w:val="right"/>
              <w:rPr>
                <w:szCs w:val="18"/>
              </w:rPr>
            </w:pPr>
            <w:r>
              <w:t>-5.2</w:t>
            </w:r>
          </w:p>
        </w:tc>
        <w:tc>
          <w:tcPr>
            <w:tcW w:w="893" w:type="dxa"/>
          </w:tcPr>
          <w:p w14:paraId="0B40970C" w14:textId="5E7C9E21" w:rsidR="00D96E2C" w:rsidRPr="005954E3" w:rsidRDefault="00D96E2C" w:rsidP="00D96E2C">
            <w:pPr>
              <w:pStyle w:val="tabletextleft"/>
              <w:jc w:val="right"/>
              <w:rPr>
                <w:szCs w:val="18"/>
              </w:rPr>
            </w:pPr>
            <w:r>
              <w:t>-5.3</w:t>
            </w:r>
          </w:p>
        </w:tc>
      </w:tr>
      <w:tr w:rsidR="00D96E2C" w:rsidRPr="005954E3" w14:paraId="7597C568" w14:textId="77777777" w:rsidTr="003F0A85">
        <w:trPr>
          <w:trHeight w:val="397"/>
          <w:jc w:val="center"/>
        </w:trPr>
        <w:tc>
          <w:tcPr>
            <w:tcW w:w="3883" w:type="dxa"/>
            <w:vAlign w:val="center"/>
            <w:hideMark/>
          </w:tcPr>
          <w:p w14:paraId="4377012F" w14:textId="77777777" w:rsidR="00D96E2C" w:rsidRPr="005954E3" w:rsidRDefault="00D96E2C" w:rsidP="00D96E2C">
            <w:pPr>
              <w:pStyle w:val="tabletextleft"/>
              <w:rPr>
                <w:szCs w:val="18"/>
              </w:rPr>
            </w:pPr>
            <w:r w:rsidRPr="005954E3">
              <w:rPr>
                <w:szCs w:val="18"/>
              </w:rPr>
              <w:t>9. Циклично приспособен първичен баланс (8+3)</w:t>
            </w:r>
          </w:p>
        </w:tc>
        <w:tc>
          <w:tcPr>
            <w:tcW w:w="856" w:type="dxa"/>
            <w:vAlign w:val="center"/>
          </w:tcPr>
          <w:p w14:paraId="477538D9" w14:textId="77777777" w:rsidR="00D96E2C" w:rsidRPr="005954E3" w:rsidRDefault="00D96E2C" w:rsidP="00D96E2C">
            <w:pPr>
              <w:pStyle w:val="tabletextleft"/>
              <w:rPr>
                <w:szCs w:val="18"/>
                <w:highlight w:val="yellow"/>
              </w:rPr>
            </w:pPr>
          </w:p>
        </w:tc>
        <w:tc>
          <w:tcPr>
            <w:tcW w:w="751" w:type="dxa"/>
          </w:tcPr>
          <w:p w14:paraId="7712AF53" w14:textId="27A51F4B" w:rsidR="00D96E2C" w:rsidRPr="005954E3" w:rsidRDefault="00D96E2C" w:rsidP="00D96E2C">
            <w:pPr>
              <w:pStyle w:val="tabletextleft"/>
              <w:jc w:val="right"/>
              <w:rPr>
                <w:szCs w:val="18"/>
              </w:rPr>
            </w:pPr>
            <w:r w:rsidRPr="005134BF">
              <w:t>-2.6</w:t>
            </w:r>
          </w:p>
        </w:tc>
        <w:tc>
          <w:tcPr>
            <w:tcW w:w="893" w:type="dxa"/>
          </w:tcPr>
          <w:p w14:paraId="22DD02D5" w14:textId="2BF17BA3" w:rsidR="00D96E2C" w:rsidRPr="005954E3" w:rsidRDefault="00D96E2C" w:rsidP="00D96E2C">
            <w:pPr>
              <w:pStyle w:val="tabletextleft"/>
              <w:jc w:val="right"/>
              <w:rPr>
                <w:szCs w:val="18"/>
              </w:rPr>
            </w:pPr>
            <w:r w:rsidRPr="005134BF">
              <w:t>-</w:t>
            </w:r>
            <w:r>
              <w:t>5.6</w:t>
            </w:r>
          </w:p>
        </w:tc>
        <w:tc>
          <w:tcPr>
            <w:tcW w:w="893" w:type="dxa"/>
          </w:tcPr>
          <w:p w14:paraId="13C26CA4" w14:textId="0ABDA918" w:rsidR="00D96E2C" w:rsidRPr="005954E3" w:rsidRDefault="00D96E2C" w:rsidP="00D96E2C">
            <w:pPr>
              <w:pStyle w:val="tabletextleft"/>
              <w:jc w:val="right"/>
              <w:rPr>
                <w:szCs w:val="18"/>
              </w:rPr>
            </w:pPr>
            <w:r>
              <w:t>-3.8</w:t>
            </w:r>
          </w:p>
        </w:tc>
        <w:tc>
          <w:tcPr>
            <w:tcW w:w="893" w:type="dxa"/>
          </w:tcPr>
          <w:p w14:paraId="24CE7917" w14:textId="6610A72E" w:rsidR="00D96E2C" w:rsidRPr="005954E3" w:rsidRDefault="00D96E2C" w:rsidP="00D96E2C">
            <w:pPr>
              <w:pStyle w:val="tabletextleft"/>
              <w:jc w:val="right"/>
              <w:rPr>
                <w:szCs w:val="18"/>
              </w:rPr>
            </w:pPr>
            <w:r>
              <w:t>-3.9</w:t>
            </w:r>
          </w:p>
        </w:tc>
        <w:tc>
          <w:tcPr>
            <w:tcW w:w="893" w:type="dxa"/>
          </w:tcPr>
          <w:p w14:paraId="200832F6" w14:textId="6A38B15A" w:rsidR="00D96E2C" w:rsidRPr="005954E3" w:rsidRDefault="00D96E2C" w:rsidP="00D96E2C">
            <w:pPr>
              <w:pStyle w:val="tabletextleft"/>
              <w:jc w:val="right"/>
              <w:rPr>
                <w:szCs w:val="18"/>
              </w:rPr>
            </w:pPr>
            <w:r>
              <w:t>-3.7</w:t>
            </w:r>
          </w:p>
        </w:tc>
      </w:tr>
      <w:tr w:rsidR="00D96E2C" w:rsidRPr="005954E3" w14:paraId="6B74D810" w14:textId="77777777" w:rsidTr="003F0A85">
        <w:trPr>
          <w:trHeight w:val="397"/>
          <w:jc w:val="center"/>
        </w:trPr>
        <w:tc>
          <w:tcPr>
            <w:tcW w:w="3883" w:type="dxa"/>
            <w:vAlign w:val="center"/>
            <w:hideMark/>
          </w:tcPr>
          <w:p w14:paraId="5A7D0FE8" w14:textId="77777777" w:rsidR="00D96E2C" w:rsidRPr="005954E3" w:rsidRDefault="00D96E2C" w:rsidP="00D96E2C">
            <w:pPr>
              <w:pStyle w:val="tabletextleft"/>
              <w:rPr>
                <w:szCs w:val="18"/>
              </w:rPr>
            </w:pPr>
            <w:r w:rsidRPr="005954E3">
              <w:rPr>
                <w:szCs w:val="18"/>
              </w:rPr>
              <w:t>10. Структурен баланс (8-4)</w:t>
            </w:r>
          </w:p>
        </w:tc>
        <w:tc>
          <w:tcPr>
            <w:tcW w:w="856" w:type="dxa"/>
            <w:vAlign w:val="center"/>
          </w:tcPr>
          <w:p w14:paraId="0AD80B21" w14:textId="77777777" w:rsidR="00D96E2C" w:rsidRPr="005954E3" w:rsidRDefault="00D96E2C" w:rsidP="00D96E2C">
            <w:pPr>
              <w:pStyle w:val="tabletextleft"/>
              <w:rPr>
                <w:szCs w:val="18"/>
                <w:highlight w:val="yellow"/>
              </w:rPr>
            </w:pPr>
          </w:p>
        </w:tc>
        <w:tc>
          <w:tcPr>
            <w:tcW w:w="751" w:type="dxa"/>
          </w:tcPr>
          <w:p w14:paraId="1D2FAE48" w14:textId="3243CFC8" w:rsidR="00D96E2C" w:rsidRPr="005954E3" w:rsidRDefault="00D96E2C" w:rsidP="00D96E2C">
            <w:pPr>
              <w:pStyle w:val="tabletextleft"/>
              <w:jc w:val="right"/>
              <w:rPr>
                <w:szCs w:val="18"/>
              </w:rPr>
            </w:pPr>
            <w:r w:rsidRPr="00B4408A">
              <w:t>-1.3</w:t>
            </w:r>
          </w:p>
        </w:tc>
        <w:tc>
          <w:tcPr>
            <w:tcW w:w="893" w:type="dxa"/>
          </w:tcPr>
          <w:p w14:paraId="493DC9F6" w14:textId="48C31AA9" w:rsidR="00D96E2C" w:rsidRPr="005954E3" w:rsidRDefault="00D96E2C" w:rsidP="00D96E2C">
            <w:pPr>
              <w:pStyle w:val="tabletextleft"/>
              <w:jc w:val="right"/>
              <w:rPr>
                <w:szCs w:val="18"/>
              </w:rPr>
            </w:pPr>
            <w:r w:rsidRPr="00B4408A">
              <w:t>-</w:t>
            </w:r>
            <w:r>
              <w:t>5.8</w:t>
            </w:r>
          </w:p>
        </w:tc>
        <w:tc>
          <w:tcPr>
            <w:tcW w:w="893" w:type="dxa"/>
          </w:tcPr>
          <w:p w14:paraId="6279B8FC" w14:textId="327CA40F" w:rsidR="00D96E2C" w:rsidRPr="005954E3" w:rsidRDefault="00D96E2C" w:rsidP="00D96E2C">
            <w:pPr>
              <w:pStyle w:val="tabletextleft"/>
              <w:jc w:val="right"/>
              <w:rPr>
                <w:szCs w:val="18"/>
              </w:rPr>
            </w:pPr>
            <w:r>
              <w:t>-4.8</w:t>
            </w:r>
          </w:p>
        </w:tc>
        <w:tc>
          <w:tcPr>
            <w:tcW w:w="893" w:type="dxa"/>
          </w:tcPr>
          <w:p w14:paraId="72BA747C" w14:textId="2FF05BF0" w:rsidR="00D96E2C" w:rsidRPr="005954E3" w:rsidRDefault="00D96E2C" w:rsidP="00D96E2C">
            <w:pPr>
              <w:pStyle w:val="tabletextleft"/>
              <w:jc w:val="right"/>
              <w:rPr>
                <w:szCs w:val="18"/>
              </w:rPr>
            </w:pPr>
            <w:r>
              <w:t>-5.2</w:t>
            </w:r>
          </w:p>
        </w:tc>
        <w:tc>
          <w:tcPr>
            <w:tcW w:w="893" w:type="dxa"/>
          </w:tcPr>
          <w:p w14:paraId="7613AA30" w14:textId="362C446C" w:rsidR="00D96E2C" w:rsidRPr="005954E3" w:rsidRDefault="00D96E2C" w:rsidP="00D96E2C">
            <w:pPr>
              <w:pStyle w:val="tabletextleft"/>
              <w:jc w:val="right"/>
              <w:rPr>
                <w:szCs w:val="18"/>
              </w:rPr>
            </w:pPr>
            <w:r>
              <w:t>-5.3</w:t>
            </w:r>
          </w:p>
        </w:tc>
      </w:tr>
    </w:tbl>
    <w:p w14:paraId="7C91DBEA" w14:textId="090222E7" w:rsidR="006D2755" w:rsidRDefault="006D2755" w:rsidP="006D2755"/>
    <w:p w14:paraId="3201AA6C" w14:textId="77777777" w:rsidR="00B37A86" w:rsidRPr="005954E3" w:rsidRDefault="00B37A86" w:rsidP="006D2755"/>
    <w:p w14:paraId="02AE94D3" w14:textId="77777777" w:rsidR="006D2755" w:rsidRPr="005954E3" w:rsidRDefault="006D2755" w:rsidP="00EE53B2">
      <w:pPr>
        <w:pStyle w:val="Heading2"/>
        <w:numPr>
          <w:ilvl w:val="0"/>
          <w:numId w:val="0"/>
        </w:numPr>
      </w:pPr>
      <w:bookmarkStart w:id="191" w:name="_Toc448227321"/>
      <w:bookmarkStart w:id="192" w:name="_Toc479332472"/>
      <w:bookmarkStart w:id="193" w:name="_Toc133597303"/>
      <w:r w:rsidRPr="005954E3">
        <w:t>Табл. 6: Разлика спрямо предходната актуализация</w:t>
      </w:r>
      <w:bookmarkEnd w:id="191"/>
      <w:bookmarkEnd w:id="192"/>
      <w:bookmarkEnd w:id="193"/>
    </w:p>
    <w:tbl>
      <w:tblPr>
        <w:tblStyle w:val="Style19"/>
        <w:tblW w:w="4907"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ayout w:type="fixed"/>
        <w:tblCellMar>
          <w:left w:w="85" w:type="dxa"/>
          <w:right w:w="85" w:type="dxa"/>
        </w:tblCellMar>
        <w:tblLook w:val="0620" w:firstRow="1" w:lastRow="0" w:firstColumn="0" w:lastColumn="0" w:noHBand="1" w:noVBand="1"/>
      </w:tblPr>
      <w:tblGrid>
        <w:gridCol w:w="3837"/>
        <w:gridCol w:w="836"/>
        <w:gridCol w:w="845"/>
        <w:gridCol w:w="844"/>
        <w:gridCol w:w="845"/>
        <w:gridCol w:w="844"/>
        <w:gridCol w:w="844"/>
      </w:tblGrid>
      <w:tr w:rsidR="006D2755" w:rsidRPr="005954E3" w14:paraId="2761A898" w14:textId="77777777" w:rsidTr="00AE77DE">
        <w:trPr>
          <w:trHeight w:val="337"/>
          <w:jc w:val="center"/>
        </w:trPr>
        <w:tc>
          <w:tcPr>
            <w:tcW w:w="3837" w:type="dxa"/>
            <w:shd w:val="clear" w:color="auto" w:fill="auto"/>
            <w:vAlign w:val="center"/>
            <w:hideMark/>
          </w:tcPr>
          <w:p w14:paraId="7E901D05" w14:textId="77777777" w:rsidR="006D2755" w:rsidRPr="005954E3" w:rsidRDefault="006D2755" w:rsidP="006D2755">
            <w:pPr>
              <w:pStyle w:val="tabletextleft"/>
              <w:rPr>
                <w:b/>
              </w:rPr>
            </w:pPr>
            <w:r w:rsidRPr="005954E3">
              <w:rPr>
                <w:b/>
              </w:rPr>
              <w:t> </w:t>
            </w:r>
          </w:p>
        </w:tc>
        <w:tc>
          <w:tcPr>
            <w:tcW w:w="836" w:type="dxa"/>
            <w:shd w:val="clear" w:color="auto" w:fill="auto"/>
            <w:vAlign w:val="center"/>
            <w:hideMark/>
          </w:tcPr>
          <w:p w14:paraId="79B635C3" w14:textId="77777777" w:rsidR="006D2755" w:rsidRPr="005954E3" w:rsidRDefault="006D2755" w:rsidP="006D2755">
            <w:pPr>
              <w:pStyle w:val="tabletextleft"/>
              <w:rPr>
                <w:b/>
              </w:rPr>
            </w:pPr>
            <w:r w:rsidRPr="005954E3">
              <w:rPr>
                <w:b/>
              </w:rPr>
              <w:t>Код по ЕСС 2010</w:t>
            </w:r>
          </w:p>
        </w:tc>
        <w:tc>
          <w:tcPr>
            <w:tcW w:w="845" w:type="dxa"/>
            <w:shd w:val="clear" w:color="auto" w:fill="auto"/>
            <w:vAlign w:val="center"/>
          </w:tcPr>
          <w:p w14:paraId="5E396ECD" w14:textId="77777777" w:rsidR="006D2755" w:rsidRPr="005954E3" w:rsidRDefault="006D2755" w:rsidP="006D2755">
            <w:pPr>
              <w:pStyle w:val="tabletextleft"/>
              <w:spacing w:before="40" w:after="40"/>
              <w:jc w:val="right"/>
              <w:rPr>
                <w:b/>
                <w:szCs w:val="18"/>
              </w:rPr>
            </w:pPr>
            <w:r w:rsidRPr="005954E3">
              <w:rPr>
                <w:b/>
                <w:szCs w:val="18"/>
              </w:rPr>
              <w:t>2022</w:t>
            </w:r>
          </w:p>
        </w:tc>
        <w:tc>
          <w:tcPr>
            <w:tcW w:w="844" w:type="dxa"/>
            <w:shd w:val="clear" w:color="auto" w:fill="auto"/>
            <w:vAlign w:val="center"/>
          </w:tcPr>
          <w:p w14:paraId="5C5C9D24" w14:textId="77777777" w:rsidR="006D2755" w:rsidRPr="005954E3" w:rsidRDefault="006D2755" w:rsidP="006D2755">
            <w:pPr>
              <w:pStyle w:val="tabletextleft"/>
              <w:spacing w:before="40" w:after="40"/>
              <w:jc w:val="right"/>
              <w:rPr>
                <w:b/>
                <w:szCs w:val="18"/>
              </w:rPr>
            </w:pPr>
            <w:r w:rsidRPr="005954E3">
              <w:rPr>
                <w:b/>
                <w:szCs w:val="18"/>
              </w:rPr>
              <w:t>2023</w:t>
            </w:r>
          </w:p>
        </w:tc>
        <w:tc>
          <w:tcPr>
            <w:tcW w:w="845" w:type="dxa"/>
            <w:shd w:val="clear" w:color="auto" w:fill="auto"/>
            <w:vAlign w:val="center"/>
          </w:tcPr>
          <w:p w14:paraId="680552C8" w14:textId="77777777" w:rsidR="006D2755" w:rsidRPr="005954E3" w:rsidRDefault="006D2755" w:rsidP="006D2755">
            <w:pPr>
              <w:pStyle w:val="tabletextleft"/>
              <w:spacing w:before="40" w:after="40"/>
              <w:jc w:val="right"/>
              <w:rPr>
                <w:b/>
                <w:szCs w:val="18"/>
              </w:rPr>
            </w:pPr>
            <w:r w:rsidRPr="005954E3">
              <w:rPr>
                <w:b/>
                <w:szCs w:val="18"/>
              </w:rPr>
              <w:t>2024</w:t>
            </w:r>
          </w:p>
        </w:tc>
        <w:tc>
          <w:tcPr>
            <w:tcW w:w="844" w:type="dxa"/>
            <w:shd w:val="clear" w:color="auto" w:fill="auto"/>
            <w:vAlign w:val="center"/>
          </w:tcPr>
          <w:p w14:paraId="2F45A14B" w14:textId="77777777" w:rsidR="006D2755" w:rsidRPr="005954E3" w:rsidRDefault="006D2755" w:rsidP="006D2755">
            <w:pPr>
              <w:pStyle w:val="tabletextleft"/>
              <w:spacing w:before="40" w:after="40"/>
              <w:jc w:val="right"/>
              <w:rPr>
                <w:b/>
                <w:szCs w:val="18"/>
              </w:rPr>
            </w:pPr>
            <w:r w:rsidRPr="005954E3">
              <w:rPr>
                <w:b/>
                <w:szCs w:val="18"/>
              </w:rPr>
              <w:t>2025</w:t>
            </w:r>
          </w:p>
        </w:tc>
        <w:tc>
          <w:tcPr>
            <w:tcW w:w="844" w:type="dxa"/>
            <w:shd w:val="clear" w:color="auto" w:fill="auto"/>
            <w:vAlign w:val="center"/>
          </w:tcPr>
          <w:p w14:paraId="1D497D89" w14:textId="77777777" w:rsidR="006D2755" w:rsidRPr="005954E3" w:rsidRDefault="006D2755" w:rsidP="006D2755">
            <w:pPr>
              <w:pStyle w:val="tabletextleft"/>
              <w:spacing w:before="40" w:after="40"/>
              <w:jc w:val="right"/>
              <w:rPr>
                <w:b/>
                <w:szCs w:val="18"/>
              </w:rPr>
            </w:pPr>
            <w:r w:rsidRPr="005954E3">
              <w:rPr>
                <w:b/>
                <w:szCs w:val="18"/>
              </w:rPr>
              <w:t>2026</w:t>
            </w:r>
          </w:p>
        </w:tc>
      </w:tr>
      <w:tr w:rsidR="006D2755" w:rsidRPr="005954E3" w14:paraId="58479885" w14:textId="77777777" w:rsidTr="00AE77DE">
        <w:trPr>
          <w:trHeight w:val="337"/>
          <w:jc w:val="center"/>
        </w:trPr>
        <w:tc>
          <w:tcPr>
            <w:tcW w:w="3837" w:type="dxa"/>
            <w:vAlign w:val="center"/>
            <w:hideMark/>
          </w:tcPr>
          <w:p w14:paraId="688D8F0E" w14:textId="77777777" w:rsidR="006D2755" w:rsidRPr="005954E3" w:rsidRDefault="006D2755" w:rsidP="006D2755">
            <w:pPr>
              <w:pStyle w:val="tabletextleft"/>
            </w:pPr>
            <w:r w:rsidRPr="005954E3">
              <w:t>Растеж на реалния БВП (%)</w:t>
            </w:r>
          </w:p>
        </w:tc>
        <w:tc>
          <w:tcPr>
            <w:tcW w:w="836" w:type="dxa"/>
            <w:vAlign w:val="center"/>
          </w:tcPr>
          <w:p w14:paraId="19B60300" w14:textId="77777777" w:rsidR="006D2755" w:rsidRPr="005954E3" w:rsidRDefault="006D2755" w:rsidP="006D2755">
            <w:pPr>
              <w:pStyle w:val="tabletextleft"/>
            </w:pPr>
          </w:p>
        </w:tc>
        <w:tc>
          <w:tcPr>
            <w:tcW w:w="845" w:type="dxa"/>
            <w:vAlign w:val="center"/>
          </w:tcPr>
          <w:p w14:paraId="769DD497" w14:textId="77777777" w:rsidR="006D2755" w:rsidRPr="005954E3" w:rsidRDefault="006D2755" w:rsidP="006D2755">
            <w:pPr>
              <w:pStyle w:val="tabletextleft"/>
              <w:jc w:val="right"/>
              <w:rPr>
                <w:szCs w:val="18"/>
              </w:rPr>
            </w:pPr>
          </w:p>
        </w:tc>
        <w:tc>
          <w:tcPr>
            <w:tcW w:w="844" w:type="dxa"/>
            <w:vAlign w:val="center"/>
          </w:tcPr>
          <w:p w14:paraId="1FF18A89" w14:textId="77777777" w:rsidR="006D2755" w:rsidRPr="005954E3" w:rsidRDefault="006D2755" w:rsidP="006D2755">
            <w:pPr>
              <w:pStyle w:val="tabletextleft"/>
              <w:jc w:val="right"/>
              <w:rPr>
                <w:szCs w:val="18"/>
              </w:rPr>
            </w:pPr>
          </w:p>
        </w:tc>
        <w:tc>
          <w:tcPr>
            <w:tcW w:w="845" w:type="dxa"/>
            <w:vAlign w:val="center"/>
          </w:tcPr>
          <w:p w14:paraId="105C6FFB" w14:textId="77777777" w:rsidR="006D2755" w:rsidRPr="005954E3" w:rsidRDefault="006D2755" w:rsidP="006D2755">
            <w:pPr>
              <w:pStyle w:val="tabletextleft"/>
              <w:jc w:val="right"/>
              <w:rPr>
                <w:szCs w:val="18"/>
              </w:rPr>
            </w:pPr>
          </w:p>
        </w:tc>
        <w:tc>
          <w:tcPr>
            <w:tcW w:w="844" w:type="dxa"/>
            <w:vAlign w:val="center"/>
          </w:tcPr>
          <w:p w14:paraId="4540AB3A" w14:textId="77777777" w:rsidR="006D2755" w:rsidRPr="005954E3" w:rsidRDefault="006D2755" w:rsidP="006D2755">
            <w:pPr>
              <w:pStyle w:val="tabletextleft"/>
              <w:jc w:val="right"/>
              <w:rPr>
                <w:szCs w:val="18"/>
              </w:rPr>
            </w:pPr>
          </w:p>
        </w:tc>
        <w:tc>
          <w:tcPr>
            <w:tcW w:w="844" w:type="dxa"/>
            <w:vAlign w:val="center"/>
          </w:tcPr>
          <w:p w14:paraId="5CF5AF01" w14:textId="77777777" w:rsidR="006D2755" w:rsidRPr="005954E3" w:rsidRDefault="006D2755" w:rsidP="006D2755">
            <w:pPr>
              <w:pStyle w:val="tabletextleft"/>
              <w:jc w:val="right"/>
              <w:rPr>
                <w:szCs w:val="18"/>
              </w:rPr>
            </w:pPr>
          </w:p>
        </w:tc>
      </w:tr>
      <w:tr w:rsidR="00AE77DE" w:rsidRPr="005954E3" w14:paraId="18BDAB17" w14:textId="77777777" w:rsidTr="00AE77DE">
        <w:trPr>
          <w:trHeight w:val="337"/>
          <w:jc w:val="center"/>
        </w:trPr>
        <w:tc>
          <w:tcPr>
            <w:tcW w:w="3837" w:type="dxa"/>
            <w:vAlign w:val="center"/>
            <w:hideMark/>
          </w:tcPr>
          <w:p w14:paraId="4DB31A61" w14:textId="77777777" w:rsidR="00AE77DE" w:rsidRPr="005954E3" w:rsidRDefault="00AE77DE" w:rsidP="00AE77DE">
            <w:pPr>
              <w:pStyle w:val="tabletextleft"/>
            </w:pPr>
            <w:r w:rsidRPr="005954E3">
              <w:t>Предходна актуализация</w:t>
            </w:r>
          </w:p>
        </w:tc>
        <w:tc>
          <w:tcPr>
            <w:tcW w:w="836" w:type="dxa"/>
            <w:vAlign w:val="center"/>
          </w:tcPr>
          <w:p w14:paraId="6B07E2F0" w14:textId="77777777" w:rsidR="00AE77DE" w:rsidRPr="005954E3" w:rsidRDefault="00AE77DE" w:rsidP="00AE77DE">
            <w:pPr>
              <w:pStyle w:val="tabletextleft"/>
            </w:pPr>
          </w:p>
        </w:tc>
        <w:tc>
          <w:tcPr>
            <w:tcW w:w="845" w:type="dxa"/>
            <w:vAlign w:val="bottom"/>
          </w:tcPr>
          <w:p w14:paraId="2899FA04" w14:textId="53101A59" w:rsidR="00AE77DE" w:rsidRPr="005954E3" w:rsidRDefault="00AE77DE" w:rsidP="00AE77DE">
            <w:pPr>
              <w:pStyle w:val="tabletextleft"/>
              <w:jc w:val="right"/>
              <w:rPr>
                <w:szCs w:val="18"/>
              </w:rPr>
            </w:pPr>
            <w:r w:rsidRPr="00E27712">
              <w:rPr>
                <w:szCs w:val="18"/>
              </w:rPr>
              <w:t>2.6</w:t>
            </w:r>
          </w:p>
        </w:tc>
        <w:tc>
          <w:tcPr>
            <w:tcW w:w="844" w:type="dxa"/>
            <w:vAlign w:val="bottom"/>
          </w:tcPr>
          <w:p w14:paraId="3619236D" w14:textId="2BCFA4CC" w:rsidR="00AE77DE" w:rsidRPr="005954E3" w:rsidRDefault="00AE77DE" w:rsidP="00AE77DE">
            <w:pPr>
              <w:pStyle w:val="tabletextleft"/>
              <w:jc w:val="right"/>
              <w:rPr>
                <w:szCs w:val="18"/>
              </w:rPr>
            </w:pPr>
            <w:r w:rsidRPr="00E27712">
              <w:rPr>
                <w:szCs w:val="18"/>
              </w:rPr>
              <w:t>2.8</w:t>
            </w:r>
          </w:p>
        </w:tc>
        <w:tc>
          <w:tcPr>
            <w:tcW w:w="845" w:type="dxa"/>
            <w:vAlign w:val="bottom"/>
          </w:tcPr>
          <w:p w14:paraId="7D70DA5F" w14:textId="57F1DF21" w:rsidR="00AE77DE" w:rsidRPr="005954E3" w:rsidRDefault="00AE77DE" w:rsidP="00AE77DE">
            <w:pPr>
              <w:pStyle w:val="tabletextleft"/>
              <w:jc w:val="right"/>
              <w:rPr>
                <w:szCs w:val="18"/>
              </w:rPr>
            </w:pPr>
            <w:r w:rsidRPr="00E27712">
              <w:rPr>
                <w:szCs w:val="18"/>
              </w:rPr>
              <w:t>3.6</w:t>
            </w:r>
          </w:p>
        </w:tc>
        <w:tc>
          <w:tcPr>
            <w:tcW w:w="844" w:type="dxa"/>
            <w:vAlign w:val="bottom"/>
          </w:tcPr>
          <w:p w14:paraId="6D765D2E" w14:textId="7509D797" w:rsidR="00AE77DE" w:rsidRPr="005954E3" w:rsidRDefault="00AE77DE" w:rsidP="00AE77DE">
            <w:pPr>
              <w:pStyle w:val="tabletextleft"/>
              <w:jc w:val="right"/>
              <w:rPr>
                <w:szCs w:val="18"/>
              </w:rPr>
            </w:pPr>
            <w:r w:rsidRPr="00E27712">
              <w:rPr>
                <w:szCs w:val="18"/>
              </w:rPr>
              <w:t>3.4</w:t>
            </w:r>
          </w:p>
        </w:tc>
        <w:tc>
          <w:tcPr>
            <w:tcW w:w="844" w:type="dxa"/>
            <w:vAlign w:val="center"/>
          </w:tcPr>
          <w:p w14:paraId="70E1927D" w14:textId="15A0BD8F" w:rsidR="00AE77DE" w:rsidRPr="005954E3" w:rsidRDefault="00AE77DE" w:rsidP="00AE77DE">
            <w:pPr>
              <w:pStyle w:val="tabletextleft"/>
              <w:jc w:val="right"/>
              <w:rPr>
                <w:szCs w:val="18"/>
              </w:rPr>
            </w:pPr>
            <w:r w:rsidRPr="00E27712">
              <w:rPr>
                <w:szCs w:val="18"/>
              </w:rPr>
              <w:t>-</w:t>
            </w:r>
          </w:p>
        </w:tc>
      </w:tr>
      <w:tr w:rsidR="00AE77DE" w:rsidRPr="005954E3" w14:paraId="6D4F6CA7" w14:textId="77777777" w:rsidTr="00AE77DE">
        <w:trPr>
          <w:trHeight w:val="337"/>
          <w:jc w:val="center"/>
        </w:trPr>
        <w:tc>
          <w:tcPr>
            <w:tcW w:w="3837" w:type="dxa"/>
            <w:vAlign w:val="center"/>
            <w:hideMark/>
          </w:tcPr>
          <w:p w14:paraId="3F595790" w14:textId="77777777" w:rsidR="00AE77DE" w:rsidRPr="005954E3" w:rsidRDefault="00AE77DE" w:rsidP="00AE77DE">
            <w:pPr>
              <w:pStyle w:val="tabletextleft"/>
            </w:pPr>
            <w:r w:rsidRPr="005954E3">
              <w:t>Текуща актуализация</w:t>
            </w:r>
          </w:p>
        </w:tc>
        <w:tc>
          <w:tcPr>
            <w:tcW w:w="836" w:type="dxa"/>
            <w:vAlign w:val="center"/>
          </w:tcPr>
          <w:p w14:paraId="618110B8" w14:textId="77777777" w:rsidR="00AE77DE" w:rsidRPr="005954E3" w:rsidRDefault="00AE77DE" w:rsidP="00AE77DE">
            <w:pPr>
              <w:pStyle w:val="tabletextleft"/>
              <w:rPr>
                <w:highlight w:val="yellow"/>
              </w:rPr>
            </w:pPr>
          </w:p>
        </w:tc>
        <w:tc>
          <w:tcPr>
            <w:tcW w:w="845" w:type="dxa"/>
            <w:vAlign w:val="bottom"/>
          </w:tcPr>
          <w:p w14:paraId="2F6B41C7" w14:textId="5294DA9C" w:rsidR="00AE77DE" w:rsidRPr="005954E3" w:rsidRDefault="00AE77DE" w:rsidP="00AE77DE">
            <w:pPr>
              <w:pStyle w:val="tabletextleft"/>
              <w:jc w:val="right"/>
              <w:rPr>
                <w:szCs w:val="18"/>
              </w:rPr>
            </w:pPr>
            <w:r w:rsidRPr="00E27712">
              <w:rPr>
                <w:szCs w:val="18"/>
              </w:rPr>
              <w:t>3.4</w:t>
            </w:r>
          </w:p>
        </w:tc>
        <w:tc>
          <w:tcPr>
            <w:tcW w:w="844" w:type="dxa"/>
            <w:vAlign w:val="bottom"/>
          </w:tcPr>
          <w:p w14:paraId="40C74E74" w14:textId="33936D56" w:rsidR="00AE77DE" w:rsidRPr="005954E3" w:rsidRDefault="00AE77DE" w:rsidP="00AE77DE">
            <w:pPr>
              <w:pStyle w:val="tabletextleft"/>
              <w:jc w:val="right"/>
              <w:rPr>
                <w:szCs w:val="18"/>
              </w:rPr>
            </w:pPr>
            <w:r w:rsidRPr="00E27712">
              <w:rPr>
                <w:szCs w:val="18"/>
              </w:rPr>
              <w:t>1.8</w:t>
            </w:r>
          </w:p>
        </w:tc>
        <w:tc>
          <w:tcPr>
            <w:tcW w:w="845" w:type="dxa"/>
            <w:vAlign w:val="bottom"/>
          </w:tcPr>
          <w:p w14:paraId="391985D8" w14:textId="39D64DD7" w:rsidR="00AE77DE" w:rsidRPr="005954E3" w:rsidRDefault="00AE77DE" w:rsidP="00AE77DE">
            <w:pPr>
              <w:pStyle w:val="tabletextleft"/>
              <w:jc w:val="right"/>
              <w:rPr>
                <w:szCs w:val="18"/>
              </w:rPr>
            </w:pPr>
            <w:r w:rsidRPr="00E27712">
              <w:rPr>
                <w:szCs w:val="18"/>
              </w:rPr>
              <w:t>3.3</w:t>
            </w:r>
          </w:p>
        </w:tc>
        <w:tc>
          <w:tcPr>
            <w:tcW w:w="844" w:type="dxa"/>
            <w:vAlign w:val="bottom"/>
          </w:tcPr>
          <w:p w14:paraId="233070CF" w14:textId="6D750386" w:rsidR="00AE77DE" w:rsidRPr="005954E3" w:rsidRDefault="00AE77DE" w:rsidP="00AE77DE">
            <w:pPr>
              <w:pStyle w:val="tabletextleft"/>
              <w:jc w:val="right"/>
              <w:rPr>
                <w:szCs w:val="18"/>
              </w:rPr>
            </w:pPr>
            <w:r w:rsidRPr="00E27712">
              <w:rPr>
                <w:szCs w:val="18"/>
              </w:rPr>
              <w:t>3.2</w:t>
            </w:r>
          </w:p>
        </w:tc>
        <w:tc>
          <w:tcPr>
            <w:tcW w:w="844" w:type="dxa"/>
            <w:vAlign w:val="bottom"/>
          </w:tcPr>
          <w:p w14:paraId="146477AA" w14:textId="3D152464" w:rsidR="00AE77DE" w:rsidRPr="005954E3" w:rsidRDefault="00AE77DE" w:rsidP="00AE77DE">
            <w:pPr>
              <w:pStyle w:val="tabletextleft"/>
              <w:jc w:val="right"/>
              <w:rPr>
                <w:szCs w:val="18"/>
              </w:rPr>
            </w:pPr>
            <w:r w:rsidRPr="00E27712">
              <w:rPr>
                <w:szCs w:val="18"/>
              </w:rPr>
              <w:t>3.0</w:t>
            </w:r>
          </w:p>
        </w:tc>
      </w:tr>
      <w:tr w:rsidR="00AE77DE" w:rsidRPr="005954E3" w14:paraId="4993F896" w14:textId="77777777" w:rsidTr="00AE77DE">
        <w:trPr>
          <w:trHeight w:val="337"/>
          <w:jc w:val="center"/>
        </w:trPr>
        <w:tc>
          <w:tcPr>
            <w:tcW w:w="3837" w:type="dxa"/>
            <w:vAlign w:val="center"/>
            <w:hideMark/>
          </w:tcPr>
          <w:p w14:paraId="1B082FD7" w14:textId="77777777" w:rsidR="00AE77DE" w:rsidRPr="005954E3" w:rsidRDefault="00AE77DE" w:rsidP="00AE77DE">
            <w:pPr>
              <w:pStyle w:val="tabletextleft"/>
            </w:pPr>
            <w:r w:rsidRPr="005954E3">
              <w:t>Разлика (пр.п.)</w:t>
            </w:r>
          </w:p>
        </w:tc>
        <w:tc>
          <w:tcPr>
            <w:tcW w:w="836" w:type="dxa"/>
            <w:vAlign w:val="center"/>
          </w:tcPr>
          <w:p w14:paraId="2420179C" w14:textId="77777777" w:rsidR="00AE77DE" w:rsidRPr="005954E3" w:rsidRDefault="00AE77DE" w:rsidP="00AE77DE">
            <w:pPr>
              <w:pStyle w:val="tabletextleft"/>
              <w:rPr>
                <w:highlight w:val="yellow"/>
              </w:rPr>
            </w:pPr>
          </w:p>
        </w:tc>
        <w:tc>
          <w:tcPr>
            <w:tcW w:w="845" w:type="dxa"/>
            <w:vAlign w:val="bottom"/>
          </w:tcPr>
          <w:p w14:paraId="7E36809A" w14:textId="6F21DBC7" w:rsidR="00AE77DE" w:rsidRPr="005954E3" w:rsidRDefault="00AE77DE" w:rsidP="00AE77DE">
            <w:pPr>
              <w:pStyle w:val="tabletextleft"/>
              <w:jc w:val="right"/>
              <w:rPr>
                <w:szCs w:val="18"/>
              </w:rPr>
            </w:pPr>
            <w:r w:rsidRPr="00E27712">
              <w:rPr>
                <w:szCs w:val="18"/>
              </w:rPr>
              <w:t>0.8</w:t>
            </w:r>
          </w:p>
        </w:tc>
        <w:tc>
          <w:tcPr>
            <w:tcW w:w="844" w:type="dxa"/>
            <w:vAlign w:val="bottom"/>
          </w:tcPr>
          <w:p w14:paraId="0BF09859" w14:textId="00F95E21" w:rsidR="00AE77DE" w:rsidRPr="005954E3" w:rsidRDefault="00AE77DE" w:rsidP="00AE77DE">
            <w:pPr>
              <w:pStyle w:val="tabletextleft"/>
              <w:jc w:val="right"/>
              <w:rPr>
                <w:szCs w:val="18"/>
              </w:rPr>
            </w:pPr>
            <w:r w:rsidRPr="00E27712">
              <w:rPr>
                <w:szCs w:val="18"/>
              </w:rPr>
              <w:t>-1.0</w:t>
            </w:r>
          </w:p>
        </w:tc>
        <w:tc>
          <w:tcPr>
            <w:tcW w:w="845" w:type="dxa"/>
            <w:vAlign w:val="bottom"/>
          </w:tcPr>
          <w:p w14:paraId="28114050" w14:textId="799CBCC6" w:rsidR="00AE77DE" w:rsidRPr="005954E3" w:rsidRDefault="00AE77DE" w:rsidP="00AE77DE">
            <w:pPr>
              <w:pStyle w:val="tabletextleft"/>
              <w:jc w:val="right"/>
              <w:rPr>
                <w:szCs w:val="18"/>
              </w:rPr>
            </w:pPr>
            <w:r w:rsidRPr="00E27712">
              <w:rPr>
                <w:szCs w:val="18"/>
              </w:rPr>
              <w:t>-0.3</w:t>
            </w:r>
          </w:p>
        </w:tc>
        <w:tc>
          <w:tcPr>
            <w:tcW w:w="844" w:type="dxa"/>
            <w:vAlign w:val="bottom"/>
          </w:tcPr>
          <w:p w14:paraId="38DCF675" w14:textId="0D02FF41" w:rsidR="00AE77DE" w:rsidRPr="005954E3" w:rsidRDefault="00AE77DE" w:rsidP="00AE77DE">
            <w:pPr>
              <w:pStyle w:val="tabletextleft"/>
              <w:jc w:val="right"/>
              <w:rPr>
                <w:szCs w:val="18"/>
              </w:rPr>
            </w:pPr>
            <w:r w:rsidRPr="00E27712">
              <w:rPr>
                <w:szCs w:val="18"/>
              </w:rPr>
              <w:t>-0.2</w:t>
            </w:r>
          </w:p>
        </w:tc>
        <w:tc>
          <w:tcPr>
            <w:tcW w:w="844" w:type="dxa"/>
            <w:vAlign w:val="bottom"/>
          </w:tcPr>
          <w:p w14:paraId="0FE7C597" w14:textId="47072147" w:rsidR="00AE77DE" w:rsidRPr="005954E3" w:rsidRDefault="00AE77DE" w:rsidP="00AE77DE">
            <w:pPr>
              <w:pStyle w:val="tabletextleft"/>
              <w:jc w:val="right"/>
              <w:rPr>
                <w:szCs w:val="18"/>
              </w:rPr>
            </w:pPr>
            <w:r w:rsidRPr="00E27712">
              <w:rPr>
                <w:szCs w:val="18"/>
              </w:rPr>
              <w:t>-</w:t>
            </w:r>
          </w:p>
        </w:tc>
      </w:tr>
      <w:tr w:rsidR="00AE77DE" w:rsidRPr="005954E3" w14:paraId="785D68FF" w14:textId="77777777" w:rsidTr="00AE77DE">
        <w:trPr>
          <w:trHeight w:val="337"/>
          <w:jc w:val="center"/>
        </w:trPr>
        <w:tc>
          <w:tcPr>
            <w:tcW w:w="3837" w:type="dxa"/>
            <w:vAlign w:val="center"/>
            <w:hideMark/>
          </w:tcPr>
          <w:p w14:paraId="4CB47E50" w14:textId="77777777" w:rsidR="00AE77DE" w:rsidRPr="005954E3" w:rsidRDefault="00AE77DE" w:rsidP="00AE77DE">
            <w:pPr>
              <w:pStyle w:val="tabletextleft"/>
            </w:pPr>
            <w:r w:rsidRPr="005954E3">
              <w:t xml:space="preserve">Нето отпуснати заеми на консолидираното </w:t>
            </w:r>
            <w:r w:rsidRPr="005954E3">
              <w:br/>
              <w:t>правителство (% от БВП)</w:t>
            </w:r>
          </w:p>
        </w:tc>
        <w:tc>
          <w:tcPr>
            <w:tcW w:w="836" w:type="dxa"/>
            <w:vAlign w:val="center"/>
            <w:hideMark/>
          </w:tcPr>
          <w:p w14:paraId="435EAB83" w14:textId="77777777" w:rsidR="00AE77DE" w:rsidRPr="005954E3" w:rsidRDefault="00AE77DE" w:rsidP="00AE77DE">
            <w:pPr>
              <w:pStyle w:val="tabletextleft"/>
            </w:pPr>
            <w:r w:rsidRPr="005954E3">
              <w:t>EDP B.9</w:t>
            </w:r>
          </w:p>
        </w:tc>
        <w:tc>
          <w:tcPr>
            <w:tcW w:w="845" w:type="dxa"/>
            <w:vAlign w:val="center"/>
          </w:tcPr>
          <w:p w14:paraId="21E6A260" w14:textId="77777777" w:rsidR="00AE77DE" w:rsidRPr="005954E3" w:rsidRDefault="00AE77DE" w:rsidP="00AE77DE">
            <w:pPr>
              <w:pStyle w:val="tabletextleft"/>
              <w:jc w:val="right"/>
              <w:rPr>
                <w:szCs w:val="18"/>
                <w:highlight w:val="yellow"/>
              </w:rPr>
            </w:pPr>
          </w:p>
        </w:tc>
        <w:tc>
          <w:tcPr>
            <w:tcW w:w="844" w:type="dxa"/>
            <w:vAlign w:val="center"/>
          </w:tcPr>
          <w:p w14:paraId="27EFF1ED" w14:textId="77777777" w:rsidR="00AE77DE" w:rsidRPr="005954E3" w:rsidRDefault="00AE77DE" w:rsidP="00AE77DE">
            <w:pPr>
              <w:pStyle w:val="tabletextleft"/>
              <w:jc w:val="right"/>
              <w:rPr>
                <w:szCs w:val="18"/>
                <w:highlight w:val="yellow"/>
              </w:rPr>
            </w:pPr>
          </w:p>
        </w:tc>
        <w:tc>
          <w:tcPr>
            <w:tcW w:w="845" w:type="dxa"/>
            <w:vAlign w:val="center"/>
          </w:tcPr>
          <w:p w14:paraId="3B20DBA7" w14:textId="77777777" w:rsidR="00AE77DE" w:rsidRPr="005954E3" w:rsidRDefault="00AE77DE" w:rsidP="00AE77DE">
            <w:pPr>
              <w:pStyle w:val="tabletextleft"/>
              <w:jc w:val="right"/>
              <w:rPr>
                <w:szCs w:val="18"/>
                <w:highlight w:val="yellow"/>
              </w:rPr>
            </w:pPr>
          </w:p>
        </w:tc>
        <w:tc>
          <w:tcPr>
            <w:tcW w:w="844" w:type="dxa"/>
            <w:vAlign w:val="center"/>
          </w:tcPr>
          <w:p w14:paraId="7697653D" w14:textId="77777777" w:rsidR="00AE77DE" w:rsidRPr="005954E3" w:rsidRDefault="00AE77DE" w:rsidP="00AE77DE">
            <w:pPr>
              <w:pStyle w:val="tabletextleft"/>
              <w:jc w:val="right"/>
              <w:rPr>
                <w:szCs w:val="18"/>
                <w:highlight w:val="yellow"/>
              </w:rPr>
            </w:pPr>
          </w:p>
        </w:tc>
        <w:tc>
          <w:tcPr>
            <w:tcW w:w="844" w:type="dxa"/>
          </w:tcPr>
          <w:p w14:paraId="2913D19E" w14:textId="77777777" w:rsidR="00AE77DE" w:rsidRPr="005954E3" w:rsidRDefault="00AE77DE" w:rsidP="00AE77DE">
            <w:pPr>
              <w:pStyle w:val="tabletextleft"/>
              <w:jc w:val="right"/>
              <w:rPr>
                <w:szCs w:val="18"/>
                <w:highlight w:val="yellow"/>
              </w:rPr>
            </w:pPr>
          </w:p>
        </w:tc>
      </w:tr>
      <w:tr w:rsidR="00AE77DE" w:rsidRPr="005954E3" w14:paraId="72404B13" w14:textId="77777777" w:rsidTr="00AE77DE">
        <w:trPr>
          <w:trHeight w:val="337"/>
          <w:jc w:val="center"/>
        </w:trPr>
        <w:tc>
          <w:tcPr>
            <w:tcW w:w="3837" w:type="dxa"/>
            <w:vAlign w:val="center"/>
            <w:hideMark/>
          </w:tcPr>
          <w:p w14:paraId="3291ED3B" w14:textId="77777777" w:rsidR="00AE77DE" w:rsidRPr="005954E3" w:rsidRDefault="00AE77DE" w:rsidP="00AE77DE">
            <w:pPr>
              <w:pStyle w:val="tabletextleft"/>
            </w:pPr>
            <w:r w:rsidRPr="005954E3">
              <w:t>Предходна актуализация</w:t>
            </w:r>
          </w:p>
        </w:tc>
        <w:tc>
          <w:tcPr>
            <w:tcW w:w="836" w:type="dxa"/>
            <w:vAlign w:val="center"/>
          </w:tcPr>
          <w:p w14:paraId="2346CE2C" w14:textId="77777777" w:rsidR="00AE77DE" w:rsidRPr="005954E3" w:rsidRDefault="00AE77DE" w:rsidP="00AE77DE">
            <w:pPr>
              <w:pStyle w:val="tabletextleft"/>
            </w:pPr>
          </w:p>
        </w:tc>
        <w:tc>
          <w:tcPr>
            <w:tcW w:w="845" w:type="dxa"/>
            <w:vAlign w:val="center"/>
          </w:tcPr>
          <w:p w14:paraId="6E602A60" w14:textId="740C1BF2" w:rsidR="00AE77DE" w:rsidRPr="00BE704D" w:rsidRDefault="00BE704D" w:rsidP="00AE77DE">
            <w:pPr>
              <w:pStyle w:val="tabletextleft"/>
              <w:jc w:val="right"/>
              <w:rPr>
                <w:szCs w:val="18"/>
                <w:lang w:val="en-US"/>
              </w:rPr>
            </w:pPr>
            <w:r>
              <w:rPr>
                <w:szCs w:val="18"/>
                <w:lang w:val="en-US"/>
              </w:rPr>
              <w:t>-5.3</w:t>
            </w:r>
          </w:p>
        </w:tc>
        <w:tc>
          <w:tcPr>
            <w:tcW w:w="844" w:type="dxa"/>
            <w:vAlign w:val="center"/>
          </w:tcPr>
          <w:p w14:paraId="7A468E25" w14:textId="3AF504F5" w:rsidR="00AE77DE" w:rsidRPr="001D6D32" w:rsidRDefault="00BE704D" w:rsidP="001D6D32">
            <w:pPr>
              <w:pStyle w:val="tabletextleft"/>
              <w:jc w:val="right"/>
              <w:rPr>
                <w:szCs w:val="18"/>
              </w:rPr>
            </w:pPr>
            <w:r>
              <w:rPr>
                <w:szCs w:val="18"/>
                <w:lang w:val="en-US"/>
              </w:rPr>
              <w:t>-2.</w:t>
            </w:r>
            <w:r w:rsidR="001D6D32">
              <w:rPr>
                <w:szCs w:val="18"/>
              </w:rPr>
              <w:t>8</w:t>
            </w:r>
          </w:p>
        </w:tc>
        <w:tc>
          <w:tcPr>
            <w:tcW w:w="845" w:type="dxa"/>
            <w:vAlign w:val="center"/>
          </w:tcPr>
          <w:p w14:paraId="7FC82995" w14:textId="2621AF08" w:rsidR="00AE77DE" w:rsidRPr="00BE704D" w:rsidRDefault="00BE704D" w:rsidP="00AE77DE">
            <w:pPr>
              <w:pStyle w:val="tabletextleft"/>
              <w:jc w:val="right"/>
              <w:rPr>
                <w:szCs w:val="18"/>
                <w:lang w:val="en-US"/>
              </w:rPr>
            </w:pPr>
            <w:r>
              <w:rPr>
                <w:szCs w:val="18"/>
                <w:lang w:val="en-US"/>
              </w:rPr>
              <w:t>-2.8</w:t>
            </w:r>
          </w:p>
        </w:tc>
        <w:tc>
          <w:tcPr>
            <w:tcW w:w="844" w:type="dxa"/>
            <w:vAlign w:val="center"/>
          </w:tcPr>
          <w:p w14:paraId="3CF03AFB" w14:textId="7090F653" w:rsidR="00AE77DE" w:rsidRPr="00BE704D" w:rsidRDefault="00BE704D" w:rsidP="00AE77DE">
            <w:pPr>
              <w:pStyle w:val="tabletextleft"/>
              <w:jc w:val="right"/>
              <w:rPr>
                <w:szCs w:val="18"/>
                <w:lang w:val="en-US"/>
              </w:rPr>
            </w:pPr>
            <w:r>
              <w:rPr>
                <w:szCs w:val="18"/>
                <w:lang w:val="en-US"/>
              </w:rPr>
              <w:t>-2.4</w:t>
            </w:r>
          </w:p>
        </w:tc>
        <w:tc>
          <w:tcPr>
            <w:tcW w:w="844" w:type="dxa"/>
          </w:tcPr>
          <w:p w14:paraId="671380C7" w14:textId="2DC2A96F" w:rsidR="00AE77DE" w:rsidRPr="00BE704D" w:rsidRDefault="00BE704D" w:rsidP="00AE77DE">
            <w:pPr>
              <w:pStyle w:val="tabletextleft"/>
              <w:jc w:val="right"/>
              <w:rPr>
                <w:szCs w:val="18"/>
                <w:lang w:val="en-US"/>
              </w:rPr>
            </w:pPr>
            <w:r>
              <w:rPr>
                <w:szCs w:val="18"/>
                <w:lang w:val="en-US"/>
              </w:rPr>
              <w:t>-</w:t>
            </w:r>
          </w:p>
        </w:tc>
      </w:tr>
      <w:tr w:rsidR="0071734E" w:rsidRPr="005954E3" w14:paraId="2FB500AB" w14:textId="77777777" w:rsidTr="00450C56">
        <w:trPr>
          <w:trHeight w:val="337"/>
          <w:jc w:val="center"/>
        </w:trPr>
        <w:tc>
          <w:tcPr>
            <w:tcW w:w="3837" w:type="dxa"/>
            <w:vAlign w:val="center"/>
            <w:hideMark/>
          </w:tcPr>
          <w:p w14:paraId="278D109D" w14:textId="77777777" w:rsidR="0071734E" w:rsidRPr="005954E3" w:rsidRDefault="0071734E" w:rsidP="0071734E">
            <w:pPr>
              <w:pStyle w:val="tabletextleft"/>
            </w:pPr>
            <w:r w:rsidRPr="005954E3">
              <w:t>Текуща актуализация</w:t>
            </w:r>
          </w:p>
        </w:tc>
        <w:tc>
          <w:tcPr>
            <w:tcW w:w="836" w:type="dxa"/>
            <w:vAlign w:val="center"/>
          </w:tcPr>
          <w:p w14:paraId="69C3227C" w14:textId="77777777" w:rsidR="0071734E" w:rsidRPr="005954E3" w:rsidRDefault="0071734E" w:rsidP="0071734E">
            <w:pPr>
              <w:pStyle w:val="tabletextleft"/>
              <w:rPr>
                <w:highlight w:val="yellow"/>
              </w:rPr>
            </w:pPr>
          </w:p>
        </w:tc>
        <w:tc>
          <w:tcPr>
            <w:tcW w:w="845" w:type="dxa"/>
            <w:vAlign w:val="center"/>
          </w:tcPr>
          <w:p w14:paraId="7E0EEBE0" w14:textId="4C7948E8" w:rsidR="0071734E" w:rsidRPr="005954E3" w:rsidRDefault="0071734E" w:rsidP="0071734E">
            <w:pPr>
              <w:pStyle w:val="tabletextleft"/>
              <w:jc w:val="right"/>
              <w:rPr>
                <w:szCs w:val="18"/>
              </w:rPr>
            </w:pPr>
            <w:bookmarkStart w:id="194" w:name="OLE_LINK4"/>
            <w:r w:rsidRPr="00E85AEC">
              <w:rPr>
                <w:rFonts w:asciiTheme="majorHAnsi" w:hAnsiTheme="majorHAnsi" w:cstheme="majorHAnsi"/>
              </w:rPr>
              <w:t>-2</w:t>
            </w:r>
            <w:r>
              <w:rPr>
                <w:rFonts w:asciiTheme="majorHAnsi" w:hAnsiTheme="majorHAnsi" w:cstheme="majorHAnsi"/>
              </w:rPr>
              <w:t>.</w:t>
            </w:r>
            <w:r w:rsidRPr="00E85AEC">
              <w:rPr>
                <w:rFonts w:asciiTheme="majorHAnsi" w:hAnsiTheme="majorHAnsi" w:cstheme="majorHAnsi"/>
              </w:rPr>
              <w:t>8</w:t>
            </w:r>
            <w:bookmarkEnd w:id="194"/>
          </w:p>
        </w:tc>
        <w:tc>
          <w:tcPr>
            <w:tcW w:w="844" w:type="dxa"/>
            <w:vAlign w:val="center"/>
          </w:tcPr>
          <w:p w14:paraId="1D7BE1BE" w14:textId="58F1736B" w:rsidR="0071734E" w:rsidRPr="005954E3" w:rsidRDefault="0071734E" w:rsidP="0071734E">
            <w:pPr>
              <w:pStyle w:val="tabletextleft"/>
              <w:jc w:val="right"/>
              <w:rPr>
                <w:szCs w:val="18"/>
              </w:rPr>
            </w:pPr>
            <w:r w:rsidRPr="00E85AEC">
              <w:rPr>
                <w:rFonts w:asciiTheme="majorHAnsi" w:hAnsiTheme="majorHAnsi" w:cstheme="majorHAnsi"/>
              </w:rPr>
              <w:t>-6</w:t>
            </w:r>
            <w:r>
              <w:rPr>
                <w:rFonts w:asciiTheme="majorHAnsi" w:hAnsiTheme="majorHAnsi" w:cstheme="majorHAnsi"/>
              </w:rPr>
              <w:t>.</w:t>
            </w:r>
            <w:r w:rsidRPr="00E85AEC">
              <w:rPr>
                <w:rFonts w:asciiTheme="majorHAnsi" w:hAnsiTheme="majorHAnsi" w:cstheme="majorHAnsi"/>
              </w:rPr>
              <w:t>1</w:t>
            </w:r>
          </w:p>
        </w:tc>
        <w:tc>
          <w:tcPr>
            <w:tcW w:w="845" w:type="dxa"/>
            <w:vAlign w:val="center"/>
          </w:tcPr>
          <w:p w14:paraId="3490091F" w14:textId="22C93B7F" w:rsidR="0071734E" w:rsidRPr="005954E3" w:rsidRDefault="0071734E" w:rsidP="0071734E">
            <w:pPr>
              <w:pStyle w:val="tabletextleft"/>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7</w:t>
            </w:r>
          </w:p>
        </w:tc>
        <w:tc>
          <w:tcPr>
            <w:tcW w:w="844" w:type="dxa"/>
            <w:vAlign w:val="center"/>
          </w:tcPr>
          <w:p w14:paraId="14BAAE99" w14:textId="163CDE2F" w:rsidR="0071734E" w:rsidRPr="005954E3" w:rsidRDefault="0071734E" w:rsidP="0071734E">
            <w:pPr>
              <w:pStyle w:val="tabletextleft"/>
              <w:jc w:val="right"/>
              <w:rPr>
                <w:szCs w:val="18"/>
              </w:rPr>
            </w:pPr>
            <w:r w:rsidRPr="00E85AEC">
              <w:rPr>
                <w:rFonts w:asciiTheme="majorHAnsi" w:hAnsiTheme="majorHAnsi" w:cstheme="majorHAnsi"/>
              </w:rPr>
              <w:t>-4</w:t>
            </w:r>
            <w:r>
              <w:rPr>
                <w:rFonts w:asciiTheme="majorHAnsi" w:hAnsiTheme="majorHAnsi" w:cstheme="majorHAnsi"/>
              </w:rPr>
              <w:t>.</w:t>
            </w:r>
            <w:r w:rsidRPr="00E85AEC">
              <w:rPr>
                <w:rFonts w:asciiTheme="majorHAnsi" w:hAnsiTheme="majorHAnsi" w:cstheme="majorHAnsi"/>
              </w:rPr>
              <w:t>9</w:t>
            </w:r>
          </w:p>
        </w:tc>
        <w:tc>
          <w:tcPr>
            <w:tcW w:w="844" w:type="dxa"/>
            <w:vAlign w:val="center"/>
          </w:tcPr>
          <w:p w14:paraId="58C8F03C" w14:textId="6B4E578F" w:rsidR="0071734E" w:rsidRPr="005954E3" w:rsidRDefault="0071734E" w:rsidP="0071734E">
            <w:pPr>
              <w:pStyle w:val="tabletextleft"/>
              <w:jc w:val="right"/>
              <w:rPr>
                <w:szCs w:val="18"/>
              </w:rPr>
            </w:pPr>
            <w:r w:rsidRPr="00E85AEC">
              <w:rPr>
                <w:rFonts w:asciiTheme="majorHAnsi" w:hAnsiTheme="majorHAnsi" w:cstheme="majorHAnsi"/>
              </w:rPr>
              <w:t>-5</w:t>
            </w:r>
            <w:r>
              <w:rPr>
                <w:rFonts w:asciiTheme="majorHAnsi" w:hAnsiTheme="majorHAnsi" w:cstheme="majorHAnsi"/>
              </w:rPr>
              <w:t>.</w:t>
            </w:r>
            <w:r w:rsidRPr="00E85AEC">
              <w:rPr>
                <w:rFonts w:asciiTheme="majorHAnsi" w:hAnsiTheme="majorHAnsi" w:cstheme="majorHAnsi"/>
              </w:rPr>
              <w:t>0</w:t>
            </w:r>
          </w:p>
        </w:tc>
      </w:tr>
      <w:tr w:rsidR="0071734E" w:rsidRPr="005954E3" w14:paraId="3EDA3F25" w14:textId="77777777" w:rsidTr="00450C56">
        <w:trPr>
          <w:trHeight w:val="337"/>
          <w:jc w:val="center"/>
        </w:trPr>
        <w:tc>
          <w:tcPr>
            <w:tcW w:w="3837" w:type="dxa"/>
            <w:vAlign w:val="center"/>
            <w:hideMark/>
          </w:tcPr>
          <w:p w14:paraId="4DE775EA" w14:textId="77777777" w:rsidR="0071734E" w:rsidRPr="005954E3" w:rsidRDefault="0071734E" w:rsidP="0071734E">
            <w:pPr>
              <w:pStyle w:val="tabletextleft"/>
            </w:pPr>
            <w:r w:rsidRPr="005954E3">
              <w:t>Разлика (пр.п.)</w:t>
            </w:r>
          </w:p>
        </w:tc>
        <w:tc>
          <w:tcPr>
            <w:tcW w:w="836" w:type="dxa"/>
            <w:vAlign w:val="center"/>
          </w:tcPr>
          <w:p w14:paraId="43A36B06" w14:textId="77777777" w:rsidR="0071734E" w:rsidRPr="005954E3" w:rsidRDefault="0071734E" w:rsidP="0071734E">
            <w:pPr>
              <w:pStyle w:val="tabletextleft"/>
              <w:rPr>
                <w:highlight w:val="yellow"/>
              </w:rPr>
            </w:pPr>
          </w:p>
        </w:tc>
        <w:tc>
          <w:tcPr>
            <w:tcW w:w="845" w:type="dxa"/>
          </w:tcPr>
          <w:p w14:paraId="6F4D96ED" w14:textId="623E7338" w:rsidR="0071734E" w:rsidRPr="00855C8D" w:rsidRDefault="0071734E" w:rsidP="0071734E">
            <w:pPr>
              <w:pStyle w:val="tabletextleft"/>
              <w:jc w:val="right"/>
              <w:rPr>
                <w:szCs w:val="18"/>
                <w:lang w:val="en-US"/>
              </w:rPr>
            </w:pPr>
            <w:r w:rsidRPr="00F9386D">
              <w:t>2,5</w:t>
            </w:r>
          </w:p>
        </w:tc>
        <w:tc>
          <w:tcPr>
            <w:tcW w:w="844" w:type="dxa"/>
          </w:tcPr>
          <w:p w14:paraId="0EA3E275" w14:textId="252ADF86" w:rsidR="0071734E" w:rsidRPr="00855C8D" w:rsidRDefault="0071734E" w:rsidP="0071734E">
            <w:pPr>
              <w:pStyle w:val="tabletextleft"/>
              <w:jc w:val="right"/>
              <w:rPr>
                <w:szCs w:val="18"/>
                <w:lang w:val="en-US"/>
              </w:rPr>
            </w:pPr>
            <w:r w:rsidRPr="00F9386D">
              <w:t>-3,3</w:t>
            </w:r>
          </w:p>
        </w:tc>
        <w:tc>
          <w:tcPr>
            <w:tcW w:w="845" w:type="dxa"/>
          </w:tcPr>
          <w:p w14:paraId="40336CC2" w14:textId="0AF483D3" w:rsidR="0071734E" w:rsidRPr="00855C8D" w:rsidRDefault="0071734E" w:rsidP="0071734E">
            <w:pPr>
              <w:pStyle w:val="tabletextleft"/>
              <w:jc w:val="right"/>
              <w:rPr>
                <w:szCs w:val="18"/>
                <w:lang w:val="en-US"/>
              </w:rPr>
            </w:pPr>
            <w:r w:rsidRPr="00F9386D">
              <w:t>-1,9</w:t>
            </w:r>
          </w:p>
        </w:tc>
        <w:tc>
          <w:tcPr>
            <w:tcW w:w="844" w:type="dxa"/>
          </w:tcPr>
          <w:p w14:paraId="0FE0288B" w14:textId="6D22C4F7" w:rsidR="0071734E" w:rsidRPr="00855C8D" w:rsidRDefault="0071734E" w:rsidP="0071734E">
            <w:pPr>
              <w:pStyle w:val="tabletextleft"/>
              <w:jc w:val="right"/>
              <w:rPr>
                <w:szCs w:val="18"/>
                <w:lang w:val="en-US"/>
              </w:rPr>
            </w:pPr>
            <w:r w:rsidRPr="00F9386D">
              <w:t>-2,5</w:t>
            </w:r>
          </w:p>
        </w:tc>
        <w:tc>
          <w:tcPr>
            <w:tcW w:w="844" w:type="dxa"/>
          </w:tcPr>
          <w:p w14:paraId="25801CB6" w14:textId="3101D7C8" w:rsidR="0071734E" w:rsidRPr="00BE704D" w:rsidRDefault="0071734E" w:rsidP="0071734E">
            <w:pPr>
              <w:pStyle w:val="tabletextleft"/>
              <w:jc w:val="right"/>
              <w:rPr>
                <w:szCs w:val="18"/>
                <w:lang w:val="en-US"/>
              </w:rPr>
            </w:pPr>
            <w:r>
              <w:rPr>
                <w:szCs w:val="18"/>
                <w:lang w:val="en-US"/>
              </w:rPr>
              <w:t>-</w:t>
            </w:r>
          </w:p>
        </w:tc>
      </w:tr>
      <w:tr w:rsidR="00AE77DE" w:rsidRPr="005954E3" w14:paraId="728AC213" w14:textId="77777777" w:rsidTr="00AE77DE">
        <w:trPr>
          <w:trHeight w:val="337"/>
          <w:jc w:val="center"/>
        </w:trPr>
        <w:tc>
          <w:tcPr>
            <w:tcW w:w="3837" w:type="dxa"/>
            <w:vAlign w:val="center"/>
            <w:hideMark/>
          </w:tcPr>
          <w:p w14:paraId="55B53DCA" w14:textId="77777777" w:rsidR="00AE77DE" w:rsidRPr="005954E3" w:rsidRDefault="00AE77DE" w:rsidP="00AE77DE">
            <w:pPr>
              <w:pStyle w:val="tabletextleft"/>
            </w:pPr>
            <w:r w:rsidRPr="005954E3">
              <w:t xml:space="preserve">Брутен дълг на консолидираното </w:t>
            </w:r>
            <w:r w:rsidRPr="005954E3">
              <w:br/>
              <w:t>правителство (% от БВП)</w:t>
            </w:r>
          </w:p>
        </w:tc>
        <w:tc>
          <w:tcPr>
            <w:tcW w:w="836" w:type="dxa"/>
            <w:vAlign w:val="center"/>
          </w:tcPr>
          <w:p w14:paraId="251055F0" w14:textId="77777777" w:rsidR="00AE77DE" w:rsidRPr="005954E3" w:rsidRDefault="00AE77DE" w:rsidP="00AE77DE">
            <w:pPr>
              <w:pStyle w:val="tabletextleft"/>
            </w:pPr>
          </w:p>
        </w:tc>
        <w:tc>
          <w:tcPr>
            <w:tcW w:w="845" w:type="dxa"/>
            <w:vAlign w:val="center"/>
          </w:tcPr>
          <w:p w14:paraId="7EBD8CB5" w14:textId="77777777" w:rsidR="00AE77DE" w:rsidRPr="005954E3" w:rsidRDefault="00AE77DE" w:rsidP="00AE77DE">
            <w:pPr>
              <w:pStyle w:val="tabletextleft"/>
              <w:jc w:val="right"/>
              <w:rPr>
                <w:szCs w:val="18"/>
              </w:rPr>
            </w:pPr>
          </w:p>
        </w:tc>
        <w:tc>
          <w:tcPr>
            <w:tcW w:w="844" w:type="dxa"/>
            <w:vAlign w:val="center"/>
          </w:tcPr>
          <w:p w14:paraId="48CC089E" w14:textId="77777777" w:rsidR="00AE77DE" w:rsidRPr="005954E3" w:rsidRDefault="00AE77DE" w:rsidP="00AE77DE">
            <w:pPr>
              <w:pStyle w:val="tabletextleft"/>
              <w:jc w:val="right"/>
              <w:rPr>
                <w:szCs w:val="18"/>
              </w:rPr>
            </w:pPr>
          </w:p>
        </w:tc>
        <w:tc>
          <w:tcPr>
            <w:tcW w:w="845" w:type="dxa"/>
            <w:vAlign w:val="center"/>
          </w:tcPr>
          <w:p w14:paraId="567381D2" w14:textId="77777777" w:rsidR="00AE77DE" w:rsidRPr="005954E3" w:rsidRDefault="00AE77DE" w:rsidP="00AE77DE">
            <w:pPr>
              <w:pStyle w:val="tabletextleft"/>
              <w:jc w:val="right"/>
              <w:rPr>
                <w:szCs w:val="18"/>
              </w:rPr>
            </w:pPr>
          </w:p>
        </w:tc>
        <w:tc>
          <w:tcPr>
            <w:tcW w:w="844" w:type="dxa"/>
            <w:vAlign w:val="center"/>
          </w:tcPr>
          <w:p w14:paraId="284828C3" w14:textId="77777777" w:rsidR="00AE77DE" w:rsidRPr="005954E3" w:rsidRDefault="00AE77DE" w:rsidP="00AE77DE">
            <w:pPr>
              <w:pStyle w:val="tabletextleft"/>
              <w:jc w:val="right"/>
              <w:rPr>
                <w:szCs w:val="18"/>
              </w:rPr>
            </w:pPr>
          </w:p>
        </w:tc>
        <w:tc>
          <w:tcPr>
            <w:tcW w:w="844" w:type="dxa"/>
          </w:tcPr>
          <w:p w14:paraId="735081A6" w14:textId="77777777" w:rsidR="00AE77DE" w:rsidRPr="005954E3" w:rsidRDefault="00AE77DE" w:rsidP="00AE77DE">
            <w:pPr>
              <w:pStyle w:val="tabletextleft"/>
              <w:jc w:val="right"/>
              <w:rPr>
                <w:szCs w:val="18"/>
              </w:rPr>
            </w:pPr>
          </w:p>
        </w:tc>
      </w:tr>
      <w:tr w:rsidR="00AE77DE" w:rsidRPr="005954E3" w14:paraId="709B2527" w14:textId="77777777" w:rsidTr="00AE77DE">
        <w:trPr>
          <w:trHeight w:val="337"/>
          <w:jc w:val="center"/>
        </w:trPr>
        <w:tc>
          <w:tcPr>
            <w:tcW w:w="3837" w:type="dxa"/>
            <w:vAlign w:val="center"/>
            <w:hideMark/>
          </w:tcPr>
          <w:p w14:paraId="50444E02" w14:textId="77777777" w:rsidR="00AE77DE" w:rsidRPr="005954E3" w:rsidRDefault="00AE77DE" w:rsidP="00AE77DE">
            <w:pPr>
              <w:pStyle w:val="tabletextleft"/>
            </w:pPr>
            <w:r w:rsidRPr="005954E3">
              <w:t>Предходна актуализация</w:t>
            </w:r>
          </w:p>
        </w:tc>
        <w:tc>
          <w:tcPr>
            <w:tcW w:w="836" w:type="dxa"/>
            <w:vAlign w:val="center"/>
          </w:tcPr>
          <w:p w14:paraId="67718D59" w14:textId="77777777" w:rsidR="00AE77DE" w:rsidRPr="005954E3" w:rsidRDefault="00AE77DE" w:rsidP="00AE77DE">
            <w:pPr>
              <w:pStyle w:val="tabletextleft"/>
            </w:pPr>
          </w:p>
        </w:tc>
        <w:tc>
          <w:tcPr>
            <w:tcW w:w="845" w:type="dxa"/>
            <w:vAlign w:val="center"/>
          </w:tcPr>
          <w:p w14:paraId="0A487B62" w14:textId="1E33ED59" w:rsidR="00AE77DE" w:rsidRPr="00BE704D" w:rsidRDefault="00BE704D" w:rsidP="00AE77DE">
            <w:pPr>
              <w:pStyle w:val="tabletextleft"/>
              <w:jc w:val="right"/>
              <w:rPr>
                <w:szCs w:val="18"/>
                <w:lang w:val="en-US"/>
              </w:rPr>
            </w:pPr>
            <w:r>
              <w:rPr>
                <w:szCs w:val="18"/>
                <w:lang w:val="en-US"/>
              </w:rPr>
              <w:t>25.5</w:t>
            </w:r>
          </w:p>
        </w:tc>
        <w:tc>
          <w:tcPr>
            <w:tcW w:w="844" w:type="dxa"/>
            <w:vAlign w:val="center"/>
          </w:tcPr>
          <w:p w14:paraId="19B20F3C" w14:textId="0791627D" w:rsidR="00AE77DE" w:rsidRPr="00BE704D" w:rsidRDefault="00BE704D" w:rsidP="00AE77DE">
            <w:pPr>
              <w:pStyle w:val="tabletextleft"/>
              <w:jc w:val="right"/>
              <w:rPr>
                <w:szCs w:val="18"/>
                <w:lang w:val="en-US"/>
              </w:rPr>
            </w:pPr>
            <w:r>
              <w:rPr>
                <w:szCs w:val="18"/>
                <w:lang w:val="en-US"/>
              </w:rPr>
              <w:t>27.7</w:t>
            </w:r>
          </w:p>
        </w:tc>
        <w:tc>
          <w:tcPr>
            <w:tcW w:w="845" w:type="dxa"/>
            <w:vAlign w:val="center"/>
          </w:tcPr>
          <w:p w14:paraId="5EFF1FDA" w14:textId="4CAD53EA" w:rsidR="00AE77DE" w:rsidRPr="00BE704D" w:rsidRDefault="00BE704D" w:rsidP="00AE77DE">
            <w:pPr>
              <w:pStyle w:val="tabletextleft"/>
              <w:jc w:val="right"/>
              <w:rPr>
                <w:szCs w:val="18"/>
                <w:lang w:val="en-US"/>
              </w:rPr>
            </w:pPr>
            <w:r>
              <w:rPr>
                <w:szCs w:val="18"/>
                <w:lang w:val="en-US"/>
              </w:rPr>
              <w:t>29.1</w:t>
            </w:r>
          </w:p>
        </w:tc>
        <w:tc>
          <w:tcPr>
            <w:tcW w:w="844" w:type="dxa"/>
            <w:vAlign w:val="center"/>
          </w:tcPr>
          <w:p w14:paraId="7C75CABA" w14:textId="39072A37" w:rsidR="00AE77DE" w:rsidRPr="00BE704D" w:rsidRDefault="00BE704D" w:rsidP="00AE77DE">
            <w:pPr>
              <w:pStyle w:val="tabletextleft"/>
              <w:jc w:val="right"/>
              <w:rPr>
                <w:szCs w:val="18"/>
                <w:lang w:val="en-US"/>
              </w:rPr>
            </w:pPr>
            <w:r>
              <w:rPr>
                <w:szCs w:val="18"/>
                <w:lang w:val="en-US"/>
              </w:rPr>
              <w:t>30.4</w:t>
            </w:r>
          </w:p>
        </w:tc>
        <w:tc>
          <w:tcPr>
            <w:tcW w:w="844" w:type="dxa"/>
          </w:tcPr>
          <w:p w14:paraId="4DEF4E49" w14:textId="0B7ABAD9" w:rsidR="00AE77DE" w:rsidRPr="00BE704D" w:rsidRDefault="00BE704D" w:rsidP="00AE77DE">
            <w:pPr>
              <w:pStyle w:val="tabletextleft"/>
              <w:jc w:val="right"/>
              <w:rPr>
                <w:szCs w:val="18"/>
                <w:lang w:val="en-US"/>
              </w:rPr>
            </w:pPr>
            <w:r>
              <w:rPr>
                <w:szCs w:val="18"/>
                <w:lang w:val="en-US"/>
              </w:rPr>
              <w:t>-</w:t>
            </w:r>
          </w:p>
        </w:tc>
      </w:tr>
      <w:tr w:rsidR="0071734E" w:rsidRPr="005954E3" w14:paraId="1446B1A8" w14:textId="77777777" w:rsidTr="00AE77DE">
        <w:trPr>
          <w:trHeight w:val="337"/>
          <w:jc w:val="center"/>
        </w:trPr>
        <w:tc>
          <w:tcPr>
            <w:tcW w:w="3837" w:type="dxa"/>
            <w:vAlign w:val="center"/>
            <w:hideMark/>
          </w:tcPr>
          <w:p w14:paraId="0AED32D2" w14:textId="77777777" w:rsidR="0071734E" w:rsidRPr="005954E3" w:rsidRDefault="0071734E" w:rsidP="0071734E">
            <w:pPr>
              <w:pStyle w:val="tabletextleft"/>
            </w:pPr>
            <w:r w:rsidRPr="005954E3">
              <w:t>Текуща актуализация</w:t>
            </w:r>
          </w:p>
        </w:tc>
        <w:tc>
          <w:tcPr>
            <w:tcW w:w="836" w:type="dxa"/>
            <w:vAlign w:val="center"/>
          </w:tcPr>
          <w:p w14:paraId="48C35A43" w14:textId="77777777" w:rsidR="0071734E" w:rsidRPr="005954E3" w:rsidRDefault="0071734E" w:rsidP="0071734E">
            <w:pPr>
              <w:pStyle w:val="tabletextleft"/>
            </w:pPr>
          </w:p>
        </w:tc>
        <w:tc>
          <w:tcPr>
            <w:tcW w:w="845" w:type="dxa"/>
          </w:tcPr>
          <w:p w14:paraId="096A8A1E" w14:textId="7080FA9B" w:rsidR="0071734E" w:rsidRPr="00734C4C" w:rsidRDefault="0071734E" w:rsidP="0071734E">
            <w:pPr>
              <w:pStyle w:val="tabletextleft"/>
              <w:jc w:val="right"/>
              <w:rPr>
                <w:szCs w:val="18"/>
                <w:lang w:val="en-US"/>
              </w:rPr>
            </w:pPr>
            <w:r w:rsidRPr="00A827B6">
              <w:t>22.9</w:t>
            </w:r>
          </w:p>
        </w:tc>
        <w:tc>
          <w:tcPr>
            <w:tcW w:w="844" w:type="dxa"/>
          </w:tcPr>
          <w:p w14:paraId="57416934" w14:textId="6954AB03" w:rsidR="0071734E" w:rsidRPr="00734C4C" w:rsidRDefault="0071734E" w:rsidP="0071734E">
            <w:pPr>
              <w:pStyle w:val="tabletextleft"/>
              <w:jc w:val="right"/>
              <w:rPr>
                <w:szCs w:val="18"/>
                <w:lang w:val="en-US"/>
              </w:rPr>
            </w:pPr>
            <w:r w:rsidRPr="00A827B6">
              <w:t>26.6</w:t>
            </w:r>
          </w:p>
        </w:tc>
        <w:tc>
          <w:tcPr>
            <w:tcW w:w="845" w:type="dxa"/>
          </w:tcPr>
          <w:p w14:paraId="036DD499" w14:textId="33EF30A9" w:rsidR="0071734E" w:rsidRPr="00734C4C" w:rsidRDefault="0071734E" w:rsidP="0071734E">
            <w:pPr>
              <w:pStyle w:val="tabletextleft"/>
              <w:jc w:val="right"/>
              <w:rPr>
                <w:szCs w:val="18"/>
                <w:lang w:val="en-US"/>
              </w:rPr>
            </w:pPr>
            <w:r w:rsidRPr="00A827B6">
              <w:t>30.7</w:t>
            </w:r>
          </w:p>
        </w:tc>
        <w:tc>
          <w:tcPr>
            <w:tcW w:w="844" w:type="dxa"/>
          </w:tcPr>
          <w:p w14:paraId="2781A9DB" w14:textId="4BC8878B" w:rsidR="0071734E" w:rsidRPr="00734C4C" w:rsidRDefault="0071734E" w:rsidP="0071734E">
            <w:pPr>
              <w:pStyle w:val="tabletextleft"/>
              <w:jc w:val="right"/>
              <w:rPr>
                <w:szCs w:val="18"/>
                <w:lang w:val="en-US"/>
              </w:rPr>
            </w:pPr>
            <w:r w:rsidRPr="00A827B6">
              <w:t>33.8</w:t>
            </w:r>
          </w:p>
        </w:tc>
        <w:tc>
          <w:tcPr>
            <w:tcW w:w="844" w:type="dxa"/>
          </w:tcPr>
          <w:p w14:paraId="345DF9D8" w14:textId="3BD0E3B5" w:rsidR="0071734E" w:rsidRPr="00734C4C" w:rsidRDefault="0071734E" w:rsidP="0071734E">
            <w:pPr>
              <w:pStyle w:val="tabletextleft"/>
              <w:jc w:val="right"/>
              <w:rPr>
                <w:szCs w:val="18"/>
                <w:lang w:val="en-US"/>
              </w:rPr>
            </w:pPr>
            <w:r w:rsidRPr="00A827B6">
              <w:t>37.1</w:t>
            </w:r>
          </w:p>
        </w:tc>
      </w:tr>
      <w:tr w:rsidR="00AE77DE" w:rsidRPr="005954E3" w14:paraId="6FA1BE5C" w14:textId="77777777" w:rsidTr="00AE77DE">
        <w:trPr>
          <w:trHeight w:val="337"/>
          <w:jc w:val="center"/>
        </w:trPr>
        <w:tc>
          <w:tcPr>
            <w:tcW w:w="3837" w:type="dxa"/>
            <w:vAlign w:val="center"/>
            <w:hideMark/>
          </w:tcPr>
          <w:p w14:paraId="771A39DE" w14:textId="77777777" w:rsidR="00AE77DE" w:rsidRPr="005954E3" w:rsidRDefault="00AE77DE" w:rsidP="00AE77DE">
            <w:pPr>
              <w:pStyle w:val="tabletextleft"/>
            </w:pPr>
            <w:r w:rsidRPr="005954E3">
              <w:t>Разлика (пр.п.)</w:t>
            </w:r>
          </w:p>
        </w:tc>
        <w:tc>
          <w:tcPr>
            <w:tcW w:w="836" w:type="dxa"/>
            <w:vAlign w:val="center"/>
          </w:tcPr>
          <w:p w14:paraId="442AF08F" w14:textId="77777777" w:rsidR="00AE77DE" w:rsidRPr="005954E3" w:rsidRDefault="00AE77DE" w:rsidP="00AE77DE">
            <w:pPr>
              <w:pStyle w:val="tabletextleft"/>
            </w:pPr>
          </w:p>
        </w:tc>
        <w:tc>
          <w:tcPr>
            <w:tcW w:w="845" w:type="dxa"/>
            <w:vAlign w:val="center"/>
          </w:tcPr>
          <w:p w14:paraId="3E5B81FB" w14:textId="0D3ECBA4" w:rsidR="00AE77DE" w:rsidRPr="00734C4C" w:rsidRDefault="00734C4C" w:rsidP="00AE77DE">
            <w:pPr>
              <w:pStyle w:val="tabletextleft"/>
              <w:jc w:val="right"/>
              <w:rPr>
                <w:szCs w:val="18"/>
                <w:lang w:val="en-US"/>
              </w:rPr>
            </w:pPr>
            <w:r>
              <w:rPr>
                <w:szCs w:val="18"/>
                <w:lang w:val="en-US"/>
              </w:rPr>
              <w:t>-2.6</w:t>
            </w:r>
          </w:p>
        </w:tc>
        <w:tc>
          <w:tcPr>
            <w:tcW w:w="844" w:type="dxa"/>
            <w:vAlign w:val="center"/>
          </w:tcPr>
          <w:p w14:paraId="57964077" w14:textId="1793BDAF" w:rsidR="00AE77DE" w:rsidRPr="00734C4C" w:rsidRDefault="00734C4C" w:rsidP="0071734E">
            <w:pPr>
              <w:pStyle w:val="tabletextleft"/>
              <w:jc w:val="right"/>
              <w:rPr>
                <w:szCs w:val="18"/>
                <w:lang w:val="en-US"/>
              </w:rPr>
            </w:pPr>
            <w:r>
              <w:rPr>
                <w:szCs w:val="18"/>
                <w:lang w:val="en-US"/>
              </w:rPr>
              <w:t>-</w:t>
            </w:r>
            <w:r w:rsidR="0071734E">
              <w:rPr>
                <w:szCs w:val="18"/>
                <w:lang w:val="en-US"/>
              </w:rPr>
              <w:t>1.1</w:t>
            </w:r>
          </w:p>
        </w:tc>
        <w:tc>
          <w:tcPr>
            <w:tcW w:w="845" w:type="dxa"/>
            <w:vAlign w:val="center"/>
          </w:tcPr>
          <w:p w14:paraId="3A33FD9B" w14:textId="7F10BB8F" w:rsidR="00AE77DE" w:rsidRPr="005954E3" w:rsidRDefault="0071734E" w:rsidP="00AE77DE">
            <w:pPr>
              <w:pStyle w:val="tabletextleft"/>
              <w:jc w:val="right"/>
              <w:rPr>
                <w:szCs w:val="18"/>
              </w:rPr>
            </w:pPr>
            <w:r>
              <w:rPr>
                <w:szCs w:val="18"/>
                <w:lang w:val="en-US"/>
              </w:rPr>
              <w:t>1.6</w:t>
            </w:r>
          </w:p>
        </w:tc>
        <w:tc>
          <w:tcPr>
            <w:tcW w:w="844" w:type="dxa"/>
            <w:vAlign w:val="center"/>
          </w:tcPr>
          <w:p w14:paraId="7794FE1E" w14:textId="364EB2DE" w:rsidR="00AE77DE" w:rsidRPr="00734C4C" w:rsidRDefault="0071734E" w:rsidP="00AE77DE">
            <w:pPr>
              <w:pStyle w:val="tabletextleft"/>
              <w:jc w:val="right"/>
              <w:rPr>
                <w:szCs w:val="18"/>
                <w:lang w:val="en-US"/>
              </w:rPr>
            </w:pPr>
            <w:r>
              <w:rPr>
                <w:szCs w:val="18"/>
                <w:lang w:val="en-US"/>
              </w:rPr>
              <w:t>3.4</w:t>
            </w:r>
          </w:p>
        </w:tc>
        <w:tc>
          <w:tcPr>
            <w:tcW w:w="844" w:type="dxa"/>
          </w:tcPr>
          <w:p w14:paraId="29E5CACC" w14:textId="188AF3AC" w:rsidR="00AE77DE" w:rsidRPr="00BE704D" w:rsidRDefault="00BE704D" w:rsidP="00AE77DE">
            <w:pPr>
              <w:pStyle w:val="tabletextleft"/>
              <w:jc w:val="right"/>
              <w:rPr>
                <w:szCs w:val="18"/>
                <w:lang w:val="en-US"/>
              </w:rPr>
            </w:pPr>
            <w:r>
              <w:rPr>
                <w:szCs w:val="18"/>
                <w:lang w:val="en-US"/>
              </w:rPr>
              <w:t>-</w:t>
            </w:r>
          </w:p>
        </w:tc>
      </w:tr>
    </w:tbl>
    <w:p w14:paraId="2B10CFDA" w14:textId="77777777" w:rsidR="006D2755" w:rsidRPr="005954E3" w:rsidRDefault="006D2755" w:rsidP="006D2755"/>
    <w:p w14:paraId="3F029E8F" w14:textId="77777777" w:rsidR="006D2755" w:rsidRPr="005954E3" w:rsidRDefault="006D2755" w:rsidP="00EE53B2">
      <w:pPr>
        <w:pStyle w:val="Heading2"/>
        <w:numPr>
          <w:ilvl w:val="0"/>
          <w:numId w:val="0"/>
        </w:numPr>
      </w:pPr>
      <w:bookmarkStart w:id="195" w:name="_Toc448227322"/>
      <w:bookmarkStart w:id="196" w:name="_Toc479332473"/>
      <w:bookmarkStart w:id="197" w:name="_Toc133597304"/>
      <w:r w:rsidRPr="005954E3">
        <w:lastRenderedPageBreak/>
        <w:t>Табл. 7: Дългосрочна устойчивост на публичните финанси</w:t>
      </w:r>
      <w:bookmarkEnd w:id="195"/>
      <w:bookmarkEnd w:id="196"/>
      <w:bookmarkEnd w:id="197"/>
    </w:p>
    <w:tbl>
      <w:tblPr>
        <w:tblStyle w:val="Style191"/>
        <w:tblW w:w="5007"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CellMar>
          <w:left w:w="85" w:type="dxa"/>
          <w:right w:w="85" w:type="dxa"/>
        </w:tblCellMar>
        <w:tblLook w:val="0620" w:firstRow="1" w:lastRow="0" w:firstColumn="0" w:lastColumn="0" w:noHBand="1" w:noVBand="1"/>
      </w:tblPr>
      <w:tblGrid>
        <w:gridCol w:w="3247"/>
        <w:gridCol w:w="728"/>
        <w:gridCol w:w="729"/>
        <w:gridCol w:w="729"/>
        <w:gridCol w:w="729"/>
        <w:gridCol w:w="728"/>
        <w:gridCol w:w="729"/>
        <w:gridCol w:w="729"/>
        <w:gridCol w:w="729"/>
      </w:tblGrid>
      <w:tr w:rsidR="006D2755" w:rsidRPr="005954E3" w14:paraId="35FD5E59" w14:textId="77777777" w:rsidTr="00656EBA">
        <w:trPr>
          <w:trHeight w:val="312"/>
          <w:jc w:val="center"/>
        </w:trPr>
        <w:tc>
          <w:tcPr>
            <w:tcW w:w="3247" w:type="dxa"/>
            <w:shd w:val="clear" w:color="auto" w:fill="auto"/>
          </w:tcPr>
          <w:p w14:paraId="6289AEE9" w14:textId="77777777" w:rsidR="006D2755" w:rsidRPr="005954E3" w:rsidRDefault="006D2755" w:rsidP="006D2755">
            <w:pPr>
              <w:pStyle w:val="tabletextleft"/>
              <w:rPr>
                <w:b/>
              </w:rPr>
            </w:pPr>
            <w:r w:rsidRPr="005954E3">
              <w:rPr>
                <w:b/>
              </w:rPr>
              <w:t>% от БВП</w:t>
            </w:r>
          </w:p>
        </w:tc>
        <w:tc>
          <w:tcPr>
            <w:tcW w:w="728" w:type="dxa"/>
            <w:shd w:val="clear" w:color="auto" w:fill="auto"/>
            <w:vAlign w:val="center"/>
          </w:tcPr>
          <w:p w14:paraId="57080E1D" w14:textId="77777777" w:rsidR="006D2755" w:rsidRPr="005954E3" w:rsidRDefault="006D2755" w:rsidP="006D2755">
            <w:pPr>
              <w:pStyle w:val="tabletextleft"/>
              <w:jc w:val="right"/>
              <w:rPr>
                <w:b/>
              </w:rPr>
            </w:pPr>
            <w:r w:rsidRPr="005954E3">
              <w:rPr>
                <w:b/>
              </w:rPr>
              <w:t>2007</w:t>
            </w:r>
          </w:p>
        </w:tc>
        <w:tc>
          <w:tcPr>
            <w:tcW w:w="729" w:type="dxa"/>
            <w:shd w:val="clear" w:color="auto" w:fill="auto"/>
            <w:vAlign w:val="center"/>
          </w:tcPr>
          <w:p w14:paraId="6B1256D5" w14:textId="77777777" w:rsidR="006D2755" w:rsidRPr="005954E3" w:rsidRDefault="006D2755" w:rsidP="006D2755">
            <w:pPr>
              <w:pStyle w:val="tabletextleft"/>
              <w:jc w:val="right"/>
              <w:rPr>
                <w:b/>
              </w:rPr>
            </w:pPr>
            <w:r w:rsidRPr="005954E3">
              <w:rPr>
                <w:b/>
              </w:rPr>
              <w:t>2010</w:t>
            </w:r>
          </w:p>
        </w:tc>
        <w:tc>
          <w:tcPr>
            <w:tcW w:w="729" w:type="dxa"/>
            <w:shd w:val="clear" w:color="auto" w:fill="auto"/>
            <w:vAlign w:val="center"/>
          </w:tcPr>
          <w:p w14:paraId="399A2396" w14:textId="77777777" w:rsidR="006D2755" w:rsidRPr="005954E3" w:rsidRDefault="006D2755" w:rsidP="006D2755">
            <w:pPr>
              <w:pStyle w:val="tabletextleft"/>
              <w:jc w:val="right"/>
              <w:rPr>
                <w:b/>
              </w:rPr>
            </w:pPr>
            <w:r w:rsidRPr="005954E3">
              <w:rPr>
                <w:b/>
              </w:rPr>
              <w:t>2020</w:t>
            </w:r>
          </w:p>
        </w:tc>
        <w:tc>
          <w:tcPr>
            <w:tcW w:w="729" w:type="dxa"/>
            <w:shd w:val="clear" w:color="auto" w:fill="auto"/>
            <w:vAlign w:val="center"/>
          </w:tcPr>
          <w:p w14:paraId="69541538" w14:textId="77777777" w:rsidR="006D2755" w:rsidRPr="005954E3" w:rsidRDefault="006D2755" w:rsidP="006D2755">
            <w:pPr>
              <w:pStyle w:val="tabletextleft"/>
              <w:jc w:val="right"/>
              <w:rPr>
                <w:b/>
              </w:rPr>
            </w:pPr>
            <w:r w:rsidRPr="005954E3">
              <w:rPr>
                <w:b/>
              </w:rPr>
              <w:t>2030</w:t>
            </w:r>
          </w:p>
        </w:tc>
        <w:tc>
          <w:tcPr>
            <w:tcW w:w="728" w:type="dxa"/>
            <w:shd w:val="clear" w:color="auto" w:fill="auto"/>
            <w:vAlign w:val="center"/>
          </w:tcPr>
          <w:p w14:paraId="59BEFC7A" w14:textId="77777777" w:rsidR="006D2755" w:rsidRPr="005954E3" w:rsidRDefault="006D2755" w:rsidP="006D2755">
            <w:pPr>
              <w:pStyle w:val="tabletextleft"/>
              <w:jc w:val="right"/>
              <w:rPr>
                <w:b/>
              </w:rPr>
            </w:pPr>
            <w:r w:rsidRPr="005954E3">
              <w:rPr>
                <w:b/>
              </w:rPr>
              <w:t>2040</w:t>
            </w:r>
          </w:p>
        </w:tc>
        <w:tc>
          <w:tcPr>
            <w:tcW w:w="729" w:type="dxa"/>
            <w:shd w:val="clear" w:color="auto" w:fill="auto"/>
            <w:vAlign w:val="center"/>
          </w:tcPr>
          <w:p w14:paraId="0EE8CD2F" w14:textId="77777777" w:rsidR="006D2755" w:rsidRPr="005954E3" w:rsidRDefault="006D2755" w:rsidP="006D2755">
            <w:pPr>
              <w:pStyle w:val="tabletextleft"/>
              <w:jc w:val="right"/>
              <w:rPr>
                <w:b/>
              </w:rPr>
            </w:pPr>
            <w:r w:rsidRPr="005954E3">
              <w:rPr>
                <w:b/>
              </w:rPr>
              <w:t>2050</w:t>
            </w:r>
          </w:p>
        </w:tc>
        <w:tc>
          <w:tcPr>
            <w:tcW w:w="729" w:type="dxa"/>
            <w:shd w:val="clear" w:color="auto" w:fill="auto"/>
            <w:vAlign w:val="center"/>
          </w:tcPr>
          <w:p w14:paraId="14143707" w14:textId="77777777" w:rsidR="006D2755" w:rsidRPr="005954E3" w:rsidRDefault="006D2755" w:rsidP="006D2755">
            <w:pPr>
              <w:pStyle w:val="tabletextleft"/>
              <w:jc w:val="right"/>
              <w:rPr>
                <w:b/>
              </w:rPr>
            </w:pPr>
            <w:r w:rsidRPr="005954E3">
              <w:rPr>
                <w:b/>
              </w:rPr>
              <w:t>2060</w:t>
            </w:r>
          </w:p>
        </w:tc>
        <w:tc>
          <w:tcPr>
            <w:tcW w:w="729" w:type="dxa"/>
            <w:shd w:val="clear" w:color="auto" w:fill="auto"/>
            <w:vAlign w:val="center"/>
          </w:tcPr>
          <w:p w14:paraId="668FCECC" w14:textId="77777777" w:rsidR="006D2755" w:rsidRPr="005954E3" w:rsidRDefault="006D2755" w:rsidP="006D2755">
            <w:pPr>
              <w:pStyle w:val="tabletextleft"/>
              <w:jc w:val="right"/>
              <w:rPr>
                <w:b/>
              </w:rPr>
            </w:pPr>
            <w:r w:rsidRPr="005954E3">
              <w:rPr>
                <w:b/>
              </w:rPr>
              <w:t>2070</w:t>
            </w:r>
          </w:p>
        </w:tc>
      </w:tr>
      <w:tr w:rsidR="005602EA" w:rsidRPr="005954E3" w14:paraId="4D6F85A6" w14:textId="77777777" w:rsidTr="00656EBA">
        <w:trPr>
          <w:trHeight w:val="312"/>
          <w:jc w:val="center"/>
        </w:trPr>
        <w:tc>
          <w:tcPr>
            <w:tcW w:w="3247" w:type="dxa"/>
          </w:tcPr>
          <w:p w14:paraId="541947EF" w14:textId="77777777" w:rsidR="005602EA" w:rsidRPr="005954E3" w:rsidRDefault="005602EA" w:rsidP="005602EA">
            <w:pPr>
              <w:pStyle w:val="tabletextleft"/>
            </w:pPr>
            <w:r w:rsidRPr="005954E3">
              <w:t>Общо разходи</w:t>
            </w:r>
          </w:p>
        </w:tc>
        <w:tc>
          <w:tcPr>
            <w:tcW w:w="728" w:type="dxa"/>
            <w:vAlign w:val="bottom"/>
          </w:tcPr>
          <w:p w14:paraId="68E9803A" w14:textId="02C867B7" w:rsidR="005602EA" w:rsidRPr="005954E3" w:rsidRDefault="005602EA" w:rsidP="005602EA">
            <w:pPr>
              <w:pStyle w:val="tabletextleft"/>
              <w:jc w:val="right"/>
              <w:rPr>
                <w:szCs w:val="18"/>
              </w:rPr>
            </w:pPr>
            <w:r w:rsidRPr="00C933F4">
              <w:rPr>
                <w:szCs w:val="18"/>
              </w:rPr>
              <w:t>37.7</w:t>
            </w:r>
          </w:p>
        </w:tc>
        <w:tc>
          <w:tcPr>
            <w:tcW w:w="729" w:type="dxa"/>
            <w:vAlign w:val="bottom"/>
          </w:tcPr>
          <w:p w14:paraId="60E91A31" w14:textId="6B271AA4" w:rsidR="005602EA" w:rsidRPr="005954E3" w:rsidRDefault="005602EA" w:rsidP="005602EA">
            <w:pPr>
              <w:pStyle w:val="tabletextleft"/>
              <w:jc w:val="right"/>
              <w:rPr>
                <w:szCs w:val="18"/>
              </w:rPr>
            </w:pPr>
            <w:r w:rsidRPr="00C933F4">
              <w:rPr>
                <w:szCs w:val="18"/>
              </w:rPr>
              <w:t>36.1</w:t>
            </w:r>
          </w:p>
        </w:tc>
        <w:tc>
          <w:tcPr>
            <w:tcW w:w="729" w:type="dxa"/>
            <w:vAlign w:val="bottom"/>
          </w:tcPr>
          <w:p w14:paraId="699EC3EF" w14:textId="6D52ABD3" w:rsidR="005602EA" w:rsidRPr="005954E3" w:rsidRDefault="005602EA" w:rsidP="005602EA">
            <w:pPr>
              <w:pStyle w:val="tabletextleft"/>
              <w:jc w:val="right"/>
              <w:rPr>
                <w:szCs w:val="18"/>
              </w:rPr>
            </w:pPr>
            <w:r w:rsidRPr="00C933F4">
              <w:rPr>
                <w:szCs w:val="18"/>
              </w:rPr>
              <w:t>41.5</w:t>
            </w:r>
          </w:p>
        </w:tc>
        <w:tc>
          <w:tcPr>
            <w:tcW w:w="729" w:type="dxa"/>
            <w:vAlign w:val="center"/>
          </w:tcPr>
          <w:p w14:paraId="0ACF8484" w14:textId="77777777" w:rsidR="005602EA" w:rsidRPr="005954E3" w:rsidRDefault="005602EA" w:rsidP="005602EA">
            <w:pPr>
              <w:pStyle w:val="tabletextleft"/>
              <w:jc w:val="right"/>
              <w:rPr>
                <w:szCs w:val="18"/>
              </w:rPr>
            </w:pPr>
          </w:p>
        </w:tc>
        <w:tc>
          <w:tcPr>
            <w:tcW w:w="728" w:type="dxa"/>
            <w:vAlign w:val="center"/>
          </w:tcPr>
          <w:p w14:paraId="561B6384" w14:textId="77777777" w:rsidR="005602EA" w:rsidRPr="005954E3" w:rsidRDefault="005602EA" w:rsidP="005602EA">
            <w:pPr>
              <w:pStyle w:val="tabletextleft"/>
              <w:jc w:val="right"/>
              <w:rPr>
                <w:szCs w:val="18"/>
              </w:rPr>
            </w:pPr>
          </w:p>
        </w:tc>
        <w:tc>
          <w:tcPr>
            <w:tcW w:w="729" w:type="dxa"/>
            <w:vAlign w:val="center"/>
          </w:tcPr>
          <w:p w14:paraId="73C59531" w14:textId="77777777" w:rsidR="005602EA" w:rsidRPr="005954E3" w:rsidRDefault="005602EA" w:rsidP="005602EA">
            <w:pPr>
              <w:pStyle w:val="tabletextleft"/>
              <w:jc w:val="right"/>
              <w:rPr>
                <w:szCs w:val="18"/>
              </w:rPr>
            </w:pPr>
          </w:p>
        </w:tc>
        <w:tc>
          <w:tcPr>
            <w:tcW w:w="729" w:type="dxa"/>
            <w:vAlign w:val="center"/>
          </w:tcPr>
          <w:p w14:paraId="7DF97B9F" w14:textId="77777777" w:rsidR="005602EA" w:rsidRPr="005954E3" w:rsidRDefault="005602EA" w:rsidP="005602EA">
            <w:pPr>
              <w:pStyle w:val="tabletextleft"/>
              <w:jc w:val="right"/>
              <w:rPr>
                <w:szCs w:val="18"/>
              </w:rPr>
            </w:pPr>
          </w:p>
        </w:tc>
        <w:tc>
          <w:tcPr>
            <w:tcW w:w="729" w:type="dxa"/>
            <w:vAlign w:val="center"/>
          </w:tcPr>
          <w:p w14:paraId="670888A8" w14:textId="77777777" w:rsidR="005602EA" w:rsidRPr="005954E3" w:rsidRDefault="005602EA" w:rsidP="005602EA">
            <w:pPr>
              <w:pStyle w:val="tabletextleft"/>
              <w:jc w:val="right"/>
              <w:rPr>
                <w:szCs w:val="18"/>
              </w:rPr>
            </w:pPr>
          </w:p>
        </w:tc>
      </w:tr>
      <w:tr w:rsidR="005602EA" w:rsidRPr="005954E3" w14:paraId="2FF7232B" w14:textId="77777777" w:rsidTr="00656EBA">
        <w:trPr>
          <w:trHeight w:val="312"/>
          <w:jc w:val="center"/>
        </w:trPr>
        <w:tc>
          <w:tcPr>
            <w:tcW w:w="3247" w:type="dxa"/>
          </w:tcPr>
          <w:p w14:paraId="4A670B5E" w14:textId="77777777" w:rsidR="005602EA" w:rsidRPr="005954E3" w:rsidRDefault="005602EA" w:rsidP="005602EA">
            <w:pPr>
              <w:pStyle w:val="tabletextleft"/>
            </w:pPr>
            <w:r w:rsidRPr="005954E3">
              <w:t>В т.ч. разходи. свързани със застаряването на населението</w:t>
            </w:r>
          </w:p>
        </w:tc>
        <w:tc>
          <w:tcPr>
            <w:tcW w:w="728" w:type="dxa"/>
            <w:vAlign w:val="bottom"/>
          </w:tcPr>
          <w:p w14:paraId="6E2BFBB9" w14:textId="08CE1C9F" w:rsidR="005602EA" w:rsidRPr="005954E3" w:rsidRDefault="005602EA" w:rsidP="005602EA">
            <w:pPr>
              <w:pStyle w:val="tabletextleft"/>
              <w:jc w:val="right"/>
              <w:rPr>
                <w:szCs w:val="18"/>
              </w:rPr>
            </w:pPr>
            <w:r w:rsidRPr="00C933F4">
              <w:rPr>
                <w:szCs w:val="18"/>
              </w:rPr>
              <w:t>15.0</w:t>
            </w:r>
          </w:p>
        </w:tc>
        <w:tc>
          <w:tcPr>
            <w:tcW w:w="729" w:type="dxa"/>
            <w:vAlign w:val="bottom"/>
          </w:tcPr>
          <w:p w14:paraId="2864DB99" w14:textId="5E4F0107" w:rsidR="005602EA" w:rsidRPr="005954E3" w:rsidRDefault="005602EA" w:rsidP="005602EA">
            <w:pPr>
              <w:pStyle w:val="tabletextleft"/>
              <w:jc w:val="right"/>
              <w:rPr>
                <w:szCs w:val="18"/>
              </w:rPr>
            </w:pPr>
            <w:r w:rsidRPr="00C933F4">
              <w:rPr>
                <w:szCs w:val="18"/>
              </w:rPr>
              <w:t>17.3</w:t>
            </w:r>
          </w:p>
        </w:tc>
        <w:tc>
          <w:tcPr>
            <w:tcW w:w="729" w:type="dxa"/>
            <w:vAlign w:val="bottom"/>
          </w:tcPr>
          <w:p w14:paraId="40494BEE" w14:textId="1D72BF64" w:rsidR="005602EA" w:rsidRPr="005954E3" w:rsidRDefault="005602EA" w:rsidP="005602EA">
            <w:pPr>
              <w:pStyle w:val="tabletextleft"/>
              <w:jc w:val="right"/>
              <w:rPr>
                <w:szCs w:val="18"/>
              </w:rPr>
            </w:pPr>
            <w:r>
              <w:rPr>
                <w:szCs w:val="18"/>
              </w:rPr>
              <w:t>18.9</w:t>
            </w:r>
          </w:p>
        </w:tc>
        <w:tc>
          <w:tcPr>
            <w:tcW w:w="729" w:type="dxa"/>
            <w:vAlign w:val="bottom"/>
          </w:tcPr>
          <w:p w14:paraId="56F2D103" w14:textId="56250ED5" w:rsidR="005602EA" w:rsidRPr="005954E3" w:rsidRDefault="005602EA" w:rsidP="005602EA">
            <w:pPr>
              <w:pStyle w:val="tabletextleft"/>
              <w:jc w:val="right"/>
              <w:rPr>
                <w:szCs w:val="18"/>
              </w:rPr>
            </w:pPr>
            <w:r w:rsidRPr="00362832">
              <w:t>19.2</w:t>
            </w:r>
          </w:p>
        </w:tc>
        <w:tc>
          <w:tcPr>
            <w:tcW w:w="728" w:type="dxa"/>
            <w:vAlign w:val="bottom"/>
          </w:tcPr>
          <w:p w14:paraId="3C493AFA" w14:textId="66B6E15C" w:rsidR="005602EA" w:rsidRPr="005954E3" w:rsidRDefault="005602EA" w:rsidP="005602EA">
            <w:pPr>
              <w:pStyle w:val="tabletextleft"/>
              <w:jc w:val="right"/>
              <w:rPr>
                <w:szCs w:val="18"/>
              </w:rPr>
            </w:pPr>
            <w:r w:rsidRPr="00362832">
              <w:t>18.2</w:t>
            </w:r>
          </w:p>
        </w:tc>
        <w:tc>
          <w:tcPr>
            <w:tcW w:w="729" w:type="dxa"/>
            <w:vAlign w:val="bottom"/>
          </w:tcPr>
          <w:p w14:paraId="60686F52" w14:textId="10F07A6A" w:rsidR="005602EA" w:rsidRPr="005954E3" w:rsidRDefault="005602EA" w:rsidP="005602EA">
            <w:pPr>
              <w:pStyle w:val="tabletextleft"/>
              <w:jc w:val="right"/>
              <w:rPr>
                <w:szCs w:val="18"/>
              </w:rPr>
            </w:pPr>
            <w:r w:rsidRPr="00362832">
              <w:t>18.4</w:t>
            </w:r>
          </w:p>
        </w:tc>
        <w:tc>
          <w:tcPr>
            <w:tcW w:w="729" w:type="dxa"/>
            <w:vAlign w:val="bottom"/>
          </w:tcPr>
          <w:p w14:paraId="21838936" w14:textId="7494EEE0" w:rsidR="005602EA" w:rsidRPr="005954E3" w:rsidRDefault="005602EA" w:rsidP="005602EA">
            <w:pPr>
              <w:pStyle w:val="tabletextleft"/>
              <w:jc w:val="right"/>
              <w:rPr>
                <w:szCs w:val="18"/>
              </w:rPr>
            </w:pPr>
            <w:r w:rsidRPr="00362832">
              <w:t>18.8</w:t>
            </w:r>
          </w:p>
        </w:tc>
        <w:tc>
          <w:tcPr>
            <w:tcW w:w="729" w:type="dxa"/>
            <w:vAlign w:val="bottom"/>
          </w:tcPr>
          <w:p w14:paraId="4E33B016" w14:textId="109CF453" w:rsidR="005602EA" w:rsidRPr="005954E3" w:rsidRDefault="005602EA" w:rsidP="005602EA">
            <w:pPr>
              <w:pStyle w:val="tabletextleft"/>
              <w:jc w:val="right"/>
              <w:rPr>
                <w:szCs w:val="18"/>
              </w:rPr>
            </w:pPr>
            <w:r w:rsidRPr="00362832">
              <w:t>18.7</w:t>
            </w:r>
          </w:p>
        </w:tc>
      </w:tr>
      <w:tr w:rsidR="005602EA" w:rsidRPr="005954E3" w14:paraId="112CA180" w14:textId="77777777" w:rsidTr="00656EBA">
        <w:trPr>
          <w:trHeight w:val="312"/>
          <w:jc w:val="center"/>
        </w:trPr>
        <w:tc>
          <w:tcPr>
            <w:tcW w:w="3247" w:type="dxa"/>
          </w:tcPr>
          <w:p w14:paraId="370D0708" w14:textId="77777777" w:rsidR="005602EA" w:rsidRPr="005954E3" w:rsidRDefault="005602EA" w:rsidP="005602EA">
            <w:pPr>
              <w:pStyle w:val="tabletextleft"/>
            </w:pPr>
            <w:r w:rsidRPr="005954E3">
              <w:t>Разходи за пенсии</w:t>
            </w:r>
          </w:p>
        </w:tc>
        <w:tc>
          <w:tcPr>
            <w:tcW w:w="728" w:type="dxa"/>
            <w:vAlign w:val="bottom"/>
          </w:tcPr>
          <w:p w14:paraId="09D392A7" w14:textId="267935EB" w:rsidR="005602EA" w:rsidRPr="005954E3" w:rsidRDefault="005602EA" w:rsidP="005602EA">
            <w:pPr>
              <w:pStyle w:val="tabletextleft"/>
              <w:jc w:val="right"/>
              <w:rPr>
                <w:szCs w:val="18"/>
              </w:rPr>
            </w:pPr>
            <w:r w:rsidRPr="00C933F4">
              <w:rPr>
                <w:szCs w:val="18"/>
              </w:rPr>
              <w:t>7.4</w:t>
            </w:r>
          </w:p>
        </w:tc>
        <w:tc>
          <w:tcPr>
            <w:tcW w:w="729" w:type="dxa"/>
            <w:vAlign w:val="bottom"/>
          </w:tcPr>
          <w:p w14:paraId="14ADD4DB" w14:textId="5A3A34D7" w:rsidR="005602EA" w:rsidRPr="005954E3" w:rsidRDefault="005602EA" w:rsidP="005602EA">
            <w:pPr>
              <w:pStyle w:val="tabletextleft"/>
              <w:jc w:val="right"/>
              <w:rPr>
                <w:szCs w:val="18"/>
              </w:rPr>
            </w:pPr>
            <w:r w:rsidRPr="00C933F4">
              <w:rPr>
                <w:szCs w:val="18"/>
              </w:rPr>
              <w:t>9.3</w:t>
            </w:r>
          </w:p>
        </w:tc>
        <w:tc>
          <w:tcPr>
            <w:tcW w:w="729" w:type="dxa"/>
            <w:vAlign w:val="bottom"/>
          </w:tcPr>
          <w:p w14:paraId="6BCB9445" w14:textId="48C54439" w:rsidR="005602EA" w:rsidRPr="005954E3" w:rsidRDefault="005602EA" w:rsidP="005602EA">
            <w:pPr>
              <w:pStyle w:val="tabletextleft"/>
              <w:jc w:val="right"/>
              <w:rPr>
                <w:szCs w:val="18"/>
              </w:rPr>
            </w:pPr>
            <w:r>
              <w:rPr>
                <w:szCs w:val="18"/>
              </w:rPr>
              <w:t>9.2</w:t>
            </w:r>
          </w:p>
        </w:tc>
        <w:tc>
          <w:tcPr>
            <w:tcW w:w="729" w:type="dxa"/>
            <w:vAlign w:val="bottom"/>
          </w:tcPr>
          <w:p w14:paraId="7C041C8A" w14:textId="52D70E5B" w:rsidR="005602EA" w:rsidRPr="005954E3" w:rsidRDefault="005602EA" w:rsidP="005602EA">
            <w:pPr>
              <w:pStyle w:val="tabletextleft"/>
              <w:jc w:val="right"/>
              <w:rPr>
                <w:szCs w:val="18"/>
              </w:rPr>
            </w:pPr>
            <w:r w:rsidRPr="00362832">
              <w:t>10.3</w:t>
            </w:r>
          </w:p>
        </w:tc>
        <w:tc>
          <w:tcPr>
            <w:tcW w:w="728" w:type="dxa"/>
            <w:vAlign w:val="bottom"/>
          </w:tcPr>
          <w:p w14:paraId="44C7D58A" w14:textId="1F4E961F" w:rsidR="005602EA" w:rsidRPr="005954E3" w:rsidRDefault="005602EA" w:rsidP="005602EA">
            <w:pPr>
              <w:pStyle w:val="tabletextleft"/>
              <w:jc w:val="right"/>
              <w:rPr>
                <w:szCs w:val="18"/>
              </w:rPr>
            </w:pPr>
            <w:r w:rsidRPr="00362832">
              <w:t>9.2</w:t>
            </w:r>
          </w:p>
        </w:tc>
        <w:tc>
          <w:tcPr>
            <w:tcW w:w="729" w:type="dxa"/>
            <w:vAlign w:val="bottom"/>
          </w:tcPr>
          <w:p w14:paraId="4157EF44" w14:textId="24E1EDAB" w:rsidR="005602EA" w:rsidRPr="005954E3" w:rsidRDefault="005602EA" w:rsidP="005602EA">
            <w:pPr>
              <w:pStyle w:val="tabletextleft"/>
              <w:jc w:val="right"/>
              <w:rPr>
                <w:szCs w:val="18"/>
              </w:rPr>
            </w:pPr>
            <w:r w:rsidRPr="00362832">
              <w:t>9.1</w:t>
            </w:r>
          </w:p>
        </w:tc>
        <w:tc>
          <w:tcPr>
            <w:tcW w:w="729" w:type="dxa"/>
            <w:vAlign w:val="bottom"/>
          </w:tcPr>
          <w:p w14:paraId="6582DF43" w14:textId="0A677AC3" w:rsidR="005602EA" w:rsidRPr="005954E3" w:rsidRDefault="005602EA" w:rsidP="005602EA">
            <w:pPr>
              <w:pStyle w:val="tabletextleft"/>
              <w:jc w:val="right"/>
              <w:rPr>
                <w:szCs w:val="18"/>
              </w:rPr>
            </w:pPr>
            <w:r w:rsidRPr="00362832">
              <w:t>9.4</w:t>
            </w:r>
          </w:p>
        </w:tc>
        <w:tc>
          <w:tcPr>
            <w:tcW w:w="729" w:type="dxa"/>
            <w:vAlign w:val="bottom"/>
          </w:tcPr>
          <w:p w14:paraId="68BC0C31" w14:textId="3EDD42D0" w:rsidR="005602EA" w:rsidRPr="005954E3" w:rsidRDefault="005602EA" w:rsidP="005602EA">
            <w:pPr>
              <w:pStyle w:val="tabletextleft"/>
              <w:jc w:val="right"/>
              <w:rPr>
                <w:szCs w:val="18"/>
              </w:rPr>
            </w:pPr>
            <w:r w:rsidRPr="00362832">
              <w:t>9.5</w:t>
            </w:r>
          </w:p>
        </w:tc>
      </w:tr>
      <w:tr w:rsidR="005602EA" w:rsidRPr="005954E3" w14:paraId="32028B94" w14:textId="77777777" w:rsidTr="00656EBA">
        <w:trPr>
          <w:trHeight w:val="312"/>
          <w:jc w:val="center"/>
        </w:trPr>
        <w:tc>
          <w:tcPr>
            <w:tcW w:w="3247" w:type="dxa"/>
          </w:tcPr>
          <w:p w14:paraId="783C5BFA" w14:textId="77777777" w:rsidR="005602EA" w:rsidRPr="005954E3" w:rsidRDefault="005602EA" w:rsidP="005602EA">
            <w:pPr>
              <w:pStyle w:val="tabletextleft"/>
            </w:pPr>
            <w:r w:rsidRPr="005954E3">
              <w:t>Пенсии за трудова дейност</w:t>
            </w:r>
          </w:p>
        </w:tc>
        <w:tc>
          <w:tcPr>
            <w:tcW w:w="728" w:type="dxa"/>
            <w:vAlign w:val="center"/>
          </w:tcPr>
          <w:p w14:paraId="3EA173AA" w14:textId="77777777" w:rsidR="005602EA" w:rsidRPr="005954E3" w:rsidRDefault="005602EA" w:rsidP="005602EA">
            <w:pPr>
              <w:pStyle w:val="tabletextleft"/>
              <w:jc w:val="right"/>
              <w:rPr>
                <w:szCs w:val="18"/>
              </w:rPr>
            </w:pPr>
          </w:p>
        </w:tc>
        <w:tc>
          <w:tcPr>
            <w:tcW w:w="729" w:type="dxa"/>
            <w:vAlign w:val="center"/>
          </w:tcPr>
          <w:p w14:paraId="52DF25AF" w14:textId="77777777" w:rsidR="005602EA" w:rsidRPr="005954E3" w:rsidRDefault="005602EA" w:rsidP="005602EA">
            <w:pPr>
              <w:pStyle w:val="tabletextleft"/>
              <w:jc w:val="right"/>
              <w:rPr>
                <w:szCs w:val="18"/>
              </w:rPr>
            </w:pPr>
          </w:p>
        </w:tc>
        <w:tc>
          <w:tcPr>
            <w:tcW w:w="729" w:type="dxa"/>
            <w:vAlign w:val="center"/>
          </w:tcPr>
          <w:p w14:paraId="55B59E1D" w14:textId="77777777" w:rsidR="005602EA" w:rsidRPr="005954E3" w:rsidRDefault="005602EA" w:rsidP="005602EA">
            <w:pPr>
              <w:pStyle w:val="tabletextleft"/>
              <w:jc w:val="right"/>
              <w:rPr>
                <w:szCs w:val="18"/>
              </w:rPr>
            </w:pPr>
          </w:p>
        </w:tc>
        <w:tc>
          <w:tcPr>
            <w:tcW w:w="729" w:type="dxa"/>
            <w:vAlign w:val="bottom"/>
          </w:tcPr>
          <w:p w14:paraId="337F9BD2" w14:textId="4958F356" w:rsidR="005602EA" w:rsidRPr="005954E3" w:rsidRDefault="005602EA" w:rsidP="005602EA">
            <w:pPr>
              <w:pStyle w:val="tabletextleft"/>
              <w:jc w:val="right"/>
              <w:rPr>
                <w:szCs w:val="18"/>
              </w:rPr>
            </w:pPr>
            <w:r w:rsidRPr="00362832">
              <w:t>10.1</w:t>
            </w:r>
          </w:p>
        </w:tc>
        <w:tc>
          <w:tcPr>
            <w:tcW w:w="728" w:type="dxa"/>
            <w:vAlign w:val="bottom"/>
          </w:tcPr>
          <w:p w14:paraId="4189A699" w14:textId="747C18E9" w:rsidR="005602EA" w:rsidRPr="005954E3" w:rsidRDefault="005602EA" w:rsidP="005602EA">
            <w:pPr>
              <w:pStyle w:val="tabletextleft"/>
              <w:jc w:val="right"/>
              <w:rPr>
                <w:szCs w:val="18"/>
              </w:rPr>
            </w:pPr>
            <w:r w:rsidRPr="00362832">
              <w:t>9.0</w:t>
            </w:r>
          </w:p>
        </w:tc>
        <w:tc>
          <w:tcPr>
            <w:tcW w:w="729" w:type="dxa"/>
            <w:vAlign w:val="bottom"/>
          </w:tcPr>
          <w:p w14:paraId="58C91738" w14:textId="57D48759" w:rsidR="005602EA" w:rsidRPr="005954E3" w:rsidRDefault="005602EA" w:rsidP="005602EA">
            <w:pPr>
              <w:pStyle w:val="tabletextleft"/>
              <w:jc w:val="right"/>
              <w:rPr>
                <w:szCs w:val="18"/>
              </w:rPr>
            </w:pPr>
            <w:r w:rsidRPr="00362832">
              <w:t>8.9</w:t>
            </w:r>
          </w:p>
        </w:tc>
        <w:tc>
          <w:tcPr>
            <w:tcW w:w="729" w:type="dxa"/>
            <w:vAlign w:val="bottom"/>
          </w:tcPr>
          <w:p w14:paraId="358C9ECE" w14:textId="0F593FF8" w:rsidR="005602EA" w:rsidRPr="005954E3" w:rsidRDefault="005602EA" w:rsidP="005602EA">
            <w:pPr>
              <w:pStyle w:val="tabletextleft"/>
              <w:jc w:val="right"/>
              <w:rPr>
                <w:szCs w:val="18"/>
              </w:rPr>
            </w:pPr>
            <w:r w:rsidRPr="00362832">
              <w:t>9.1</w:t>
            </w:r>
          </w:p>
        </w:tc>
        <w:tc>
          <w:tcPr>
            <w:tcW w:w="729" w:type="dxa"/>
            <w:vAlign w:val="bottom"/>
          </w:tcPr>
          <w:p w14:paraId="6EB5080B" w14:textId="6DF7D060" w:rsidR="005602EA" w:rsidRPr="005954E3" w:rsidRDefault="005602EA" w:rsidP="005602EA">
            <w:pPr>
              <w:pStyle w:val="tabletextleft"/>
              <w:jc w:val="right"/>
              <w:rPr>
                <w:szCs w:val="18"/>
              </w:rPr>
            </w:pPr>
            <w:r w:rsidRPr="00362832">
              <w:t>9.2</w:t>
            </w:r>
          </w:p>
        </w:tc>
      </w:tr>
      <w:tr w:rsidR="005602EA" w:rsidRPr="005954E3" w14:paraId="209F0994" w14:textId="77777777" w:rsidTr="00656EBA">
        <w:trPr>
          <w:trHeight w:val="312"/>
          <w:jc w:val="center"/>
        </w:trPr>
        <w:tc>
          <w:tcPr>
            <w:tcW w:w="3247" w:type="dxa"/>
          </w:tcPr>
          <w:p w14:paraId="26B170BA" w14:textId="77777777" w:rsidR="005602EA" w:rsidRPr="005954E3" w:rsidRDefault="005602EA" w:rsidP="005602EA">
            <w:pPr>
              <w:pStyle w:val="tabletextleft"/>
            </w:pPr>
            <w:r w:rsidRPr="005954E3">
              <w:t>Пенсии за възраст и ранно пенсиониране</w:t>
            </w:r>
          </w:p>
        </w:tc>
        <w:tc>
          <w:tcPr>
            <w:tcW w:w="728" w:type="dxa"/>
            <w:vAlign w:val="center"/>
          </w:tcPr>
          <w:p w14:paraId="003E5FBF" w14:textId="77777777" w:rsidR="005602EA" w:rsidRPr="005954E3" w:rsidRDefault="005602EA" w:rsidP="005602EA">
            <w:pPr>
              <w:pStyle w:val="tabletextleft"/>
              <w:jc w:val="right"/>
              <w:rPr>
                <w:szCs w:val="18"/>
              </w:rPr>
            </w:pPr>
          </w:p>
        </w:tc>
        <w:tc>
          <w:tcPr>
            <w:tcW w:w="729" w:type="dxa"/>
            <w:vAlign w:val="center"/>
          </w:tcPr>
          <w:p w14:paraId="73EBE37F" w14:textId="77777777" w:rsidR="005602EA" w:rsidRPr="005954E3" w:rsidRDefault="005602EA" w:rsidP="005602EA">
            <w:pPr>
              <w:pStyle w:val="tabletextleft"/>
              <w:jc w:val="right"/>
              <w:rPr>
                <w:szCs w:val="18"/>
              </w:rPr>
            </w:pPr>
          </w:p>
        </w:tc>
        <w:tc>
          <w:tcPr>
            <w:tcW w:w="729" w:type="dxa"/>
            <w:vAlign w:val="center"/>
          </w:tcPr>
          <w:p w14:paraId="3B83796C" w14:textId="77777777" w:rsidR="005602EA" w:rsidRPr="005954E3" w:rsidRDefault="005602EA" w:rsidP="005602EA">
            <w:pPr>
              <w:pStyle w:val="tabletextleft"/>
              <w:jc w:val="right"/>
              <w:rPr>
                <w:szCs w:val="18"/>
              </w:rPr>
            </w:pPr>
          </w:p>
        </w:tc>
        <w:tc>
          <w:tcPr>
            <w:tcW w:w="729" w:type="dxa"/>
            <w:vAlign w:val="bottom"/>
          </w:tcPr>
          <w:p w14:paraId="3DD5F6E1" w14:textId="5701F76C" w:rsidR="005602EA" w:rsidRPr="005954E3" w:rsidRDefault="005602EA" w:rsidP="005602EA">
            <w:pPr>
              <w:pStyle w:val="tabletextleft"/>
              <w:jc w:val="right"/>
              <w:rPr>
                <w:szCs w:val="18"/>
              </w:rPr>
            </w:pPr>
            <w:r w:rsidRPr="00362832">
              <w:t>8.0</w:t>
            </w:r>
          </w:p>
        </w:tc>
        <w:tc>
          <w:tcPr>
            <w:tcW w:w="728" w:type="dxa"/>
            <w:vAlign w:val="bottom"/>
          </w:tcPr>
          <w:p w14:paraId="546CFCFD" w14:textId="017DD084" w:rsidR="005602EA" w:rsidRPr="005954E3" w:rsidRDefault="005602EA" w:rsidP="005602EA">
            <w:pPr>
              <w:pStyle w:val="tabletextleft"/>
              <w:jc w:val="right"/>
              <w:rPr>
                <w:szCs w:val="18"/>
              </w:rPr>
            </w:pPr>
            <w:r w:rsidRPr="00362832">
              <w:t>7.1</w:t>
            </w:r>
          </w:p>
        </w:tc>
        <w:tc>
          <w:tcPr>
            <w:tcW w:w="729" w:type="dxa"/>
            <w:vAlign w:val="bottom"/>
          </w:tcPr>
          <w:p w14:paraId="74325B49" w14:textId="52B5091B" w:rsidR="005602EA" w:rsidRPr="005954E3" w:rsidRDefault="005602EA" w:rsidP="005602EA">
            <w:pPr>
              <w:pStyle w:val="tabletextleft"/>
              <w:jc w:val="right"/>
              <w:rPr>
                <w:szCs w:val="18"/>
              </w:rPr>
            </w:pPr>
            <w:r w:rsidRPr="00362832">
              <w:t>7.2</w:t>
            </w:r>
          </w:p>
        </w:tc>
        <w:tc>
          <w:tcPr>
            <w:tcW w:w="729" w:type="dxa"/>
            <w:vAlign w:val="bottom"/>
          </w:tcPr>
          <w:p w14:paraId="4AE4F681" w14:textId="062B30A6" w:rsidR="005602EA" w:rsidRPr="005954E3" w:rsidRDefault="005602EA" w:rsidP="005602EA">
            <w:pPr>
              <w:pStyle w:val="tabletextleft"/>
              <w:jc w:val="right"/>
              <w:rPr>
                <w:szCs w:val="18"/>
              </w:rPr>
            </w:pPr>
            <w:r w:rsidRPr="00362832">
              <w:t>7.6</w:t>
            </w:r>
          </w:p>
        </w:tc>
        <w:tc>
          <w:tcPr>
            <w:tcW w:w="729" w:type="dxa"/>
            <w:vAlign w:val="bottom"/>
          </w:tcPr>
          <w:p w14:paraId="4CD19DC9" w14:textId="41F5F518" w:rsidR="005602EA" w:rsidRPr="005954E3" w:rsidRDefault="005602EA" w:rsidP="005602EA">
            <w:pPr>
              <w:pStyle w:val="tabletextleft"/>
              <w:jc w:val="right"/>
              <w:rPr>
                <w:szCs w:val="18"/>
              </w:rPr>
            </w:pPr>
            <w:r w:rsidRPr="00362832">
              <w:t>7.5</w:t>
            </w:r>
          </w:p>
        </w:tc>
      </w:tr>
      <w:tr w:rsidR="005602EA" w:rsidRPr="005954E3" w14:paraId="50ED7172" w14:textId="77777777" w:rsidTr="00656EBA">
        <w:trPr>
          <w:trHeight w:val="312"/>
          <w:jc w:val="center"/>
        </w:trPr>
        <w:tc>
          <w:tcPr>
            <w:tcW w:w="3247" w:type="dxa"/>
          </w:tcPr>
          <w:p w14:paraId="103F3947" w14:textId="77777777" w:rsidR="005602EA" w:rsidRPr="005954E3" w:rsidRDefault="005602EA" w:rsidP="005602EA">
            <w:pPr>
              <w:pStyle w:val="tabletextleft"/>
            </w:pPr>
            <w:r w:rsidRPr="005954E3">
              <w:t>Други пенсии (за инвалидност. наследствени)</w:t>
            </w:r>
          </w:p>
        </w:tc>
        <w:tc>
          <w:tcPr>
            <w:tcW w:w="728" w:type="dxa"/>
            <w:vAlign w:val="center"/>
          </w:tcPr>
          <w:p w14:paraId="64850958" w14:textId="77777777" w:rsidR="005602EA" w:rsidRPr="005954E3" w:rsidRDefault="005602EA" w:rsidP="005602EA">
            <w:pPr>
              <w:pStyle w:val="tabletextleft"/>
              <w:jc w:val="right"/>
              <w:rPr>
                <w:szCs w:val="18"/>
              </w:rPr>
            </w:pPr>
          </w:p>
        </w:tc>
        <w:tc>
          <w:tcPr>
            <w:tcW w:w="729" w:type="dxa"/>
            <w:vAlign w:val="center"/>
          </w:tcPr>
          <w:p w14:paraId="5EC469C8" w14:textId="77777777" w:rsidR="005602EA" w:rsidRPr="005954E3" w:rsidRDefault="005602EA" w:rsidP="005602EA">
            <w:pPr>
              <w:pStyle w:val="tabletextleft"/>
              <w:jc w:val="right"/>
              <w:rPr>
                <w:szCs w:val="18"/>
              </w:rPr>
            </w:pPr>
          </w:p>
        </w:tc>
        <w:tc>
          <w:tcPr>
            <w:tcW w:w="729" w:type="dxa"/>
            <w:vAlign w:val="center"/>
          </w:tcPr>
          <w:p w14:paraId="301AFE51" w14:textId="77777777" w:rsidR="005602EA" w:rsidRPr="005954E3" w:rsidRDefault="005602EA" w:rsidP="005602EA">
            <w:pPr>
              <w:pStyle w:val="tabletextleft"/>
              <w:jc w:val="right"/>
              <w:rPr>
                <w:szCs w:val="18"/>
              </w:rPr>
            </w:pPr>
          </w:p>
        </w:tc>
        <w:tc>
          <w:tcPr>
            <w:tcW w:w="729" w:type="dxa"/>
            <w:vAlign w:val="bottom"/>
          </w:tcPr>
          <w:p w14:paraId="169B290B" w14:textId="13C87AAE" w:rsidR="005602EA" w:rsidRPr="005954E3" w:rsidRDefault="005602EA" w:rsidP="005602EA">
            <w:pPr>
              <w:pStyle w:val="tabletextleft"/>
              <w:jc w:val="right"/>
              <w:rPr>
                <w:szCs w:val="18"/>
              </w:rPr>
            </w:pPr>
            <w:r w:rsidRPr="00362832">
              <w:t>2.1</w:t>
            </w:r>
          </w:p>
        </w:tc>
        <w:tc>
          <w:tcPr>
            <w:tcW w:w="728" w:type="dxa"/>
            <w:vAlign w:val="bottom"/>
          </w:tcPr>
          <w:p w14:paraId="598246A3" w14:textId="0D171A57" w:rsidR="005602EA" w:rsidRPr="005954E3" w:rsidRDefault="005602EA" w:rsidP="005602EA">
            <w:pPr>
              <w:pStyle w:val="tabletextleft"/>
              <w:jc w:val="right"/>
              <w:rPr>
                <w:szCs w:val="18"/>
              </w:rPr>
            </w:pPr>
            <w:r w:rsidRPr="00362832">
              <w:t>1.9</w:t>
            </w:r>
          </w:p>
        </w:tc>
        <w:tc>
          <w:tcPr>
            <w:tcW w:w="729" w:type="dxa"/>
            <w:vAlign w:val="bottom"/>
          </w:tcPr>
          <w:p w14:paraId="75DCCB88" w14:textId="4A5A26C4" w:rsidR="005602EA" w:rsidRPr="005954E3" w:rsidRDefault="005602EA" w:rsidP="005602EA">
            <w:pPr>
              <w:pStyle w:val="tabletextleft"/>
              <w:jc w:val="right"/>
              <w:rPr>
                <w:szCs w:val="18"/>
              </w:rPr>
            </w:pPr>
            <w:r w:rsidRPr="00362832">
              <w:t>1.7</w:t>
            </w:r>
          </w:p>
        </w:tc>
        <w:tc>
          <w:tcPr>
            <w:tcW w:w="729" w:type="dxa"/>
            <w:vAlign w:val="bottom"/>
          </w:tcPr>
          <w:p w14:paraId="327904F6" w14:textId="7F8DF8A7" w:rsidR="005602EA" w:rsidRPr="005954E3" w:rsidRDefault="005602EA" w:rsidP="005602EA">
            <w:pPr>
              <w:pStyle w:val="tabletextleft"/>
              <w:jc w:val="right"/>
              <w:rPr>
                <w:szCs w:val="18"/>
              </w:rPr>
            </w:pPr>
            <w:r w:rsidRPr="00362832">
              <w:t>1.5</w:t>
            </w:r>
          </w:p>
        </w:tc>
        <w:tc>
          <w:tcPr>
            <w:tcW w:w="729" w:type="dxa"/>
            <w:vAlign w:val="bottom"/>
          </w:tcPr>
          <w:p w14:paraId="67C02236" w14:textId="04891B81" w:rsidR="005602EA" w:rsidRPr="005954E3" w:rsidRDefault="005602EA" w:rsidP="005602EA">
            <w:pPr>
              <w:pStyle w:val="tabletextleft"/>
              <w:jc w:val="right"/>
              <w:rPr>
                <w:szCs w:val="18"/>
              </w:rPr>
            </w:pPr>
            <w:r w:rsidRPr="00362832">
              <w:t>1.7</w:t>
            </w:r>
          </w:p>
        </w:tc>
      </w:tr>
      <w:tr w:rsidR="00AE77DE" w:rsidRPr="005954E3" w14:paraId="55EF297F" w14:textId="77777777" w:rsidTr="00656EBA">
        <w:trPr>
          <w:trHeight w:val="312"/>
          <w:jc w:val="center"/>
        </w:trPr>
        <w:tc>
          <w:tcPr>
            <w:tcW w:w="3247" w:type="dxa"/>
          </w:tcPr>
          <w:p w14:paraId="4025F79C" w14:textId="77777777" w:rsidR="00AE77DE" w:rsidRPr="005954E3" w:rsidRDefault="00AE77DE" w:rsidP="00AE77DE">
            <w:pPr>
              <w:pStyle w:val="tabletextleft"/>
            </w:pPr>
            <w:r w:rsidRPr="005954E3">
              <w:t>Пенсии по професионални схеми (ако са в консолидираното правителство)</w:t>
            </w:r>
          </w:p>
        </w:tc>
        <w:tc>
          <w:tcPr>
            <w:tcW w:w="728" w:type="dxa"/>
            <w:vAlign w:val="center"/>
          </w:tcPr>
          <w:p w14:paraId="0B98E34F" w14:textId="77777777" w:rsidR="00AE77DE" w:rsidRPr="005954E3" w:rsidRDefault="00AE77DE" w:rsidP="00AE77DE">
            <w:pPr>
              <w:pStyle w:val="tabletextleft"/>
              <w:jc w:val="right"/>
              <w:rPr>
                <w:szCs w:val="18"/>
              </w:rPr>
            </w:pPr>
          </w:p>
        </w:tc>
        <w:tc>
          <w:tcPr>
            <w:tcW w:w="729" w:type="dxa"/>
            <w:vAlign w:val="center"/>
          </w:tcPr>
          <w:p w14:paraId="0354F3B1" w14:textId="77777777" w:rsidR="00AE77DE" w:rsidRPr="005954E3" w:rsidRDefault="00AE77DE" w:rsidP="00AE77DE">
            <w:pPr>
              <w:pStyle w:val="tabletextleft"/>
              <w:jc w:val="right"/>
              <w:rPr>
                <w:szCs w:val="18"/>
              </w:rPr>
            </w:pPr>
          </w:p>
        </w:tc>
        <w:tc>
          <w:tcPr>
            <w:tcW w:w="729" w:type="dxa"/>
            <w:vAlign w:val="center"/>
          </w:tcPr>
          <w:p w14:paraId="6D15844C" w14:textId="77777777" w:rsidR="00AE77DE" w:rsidRPr="005954E3" w:rsidRDefault="00AE77DE" w:rsidP="00AE77DE">
            <w:pPr>
              <w:pStyle w:val="tabletextleft"/>
              <w:jc w:val="right"/>
              <w:rPr>
                <w:szCs w:val="18"/>
              </w:rPr>
            </w:pPr>
          </w:p>
        </w:tc>
        <w:tc>
          <w:tcPr>
            <w:tcW w:w="729" w:type="dxa"/>
            <w:vAlign w:val="center"/>
          </w:tcPr>
          <w:p w14:paraId="6D813DE3" w14:textId="77777777" w:rsidR="00AE77DE" w:rsidRPr="005954E3" w:rsidRDefault="00AE77DE" w:rsidP="00AE77DE">
            <w:pPr>
              <w:pStyle w:val="tabletextleft"/>
              <w:jc w:val="right"/>
              <w:rPr>
                <w:szCs w:val="18"/>
              </w:rPr>
            </w:pPr>
          </w:p>
        </w:tc>
        <w:tc>
          <w:tcPr>
            <w:tcW w:w="728" w:type="dxa"/>
            <w:vAlign w:val="center"/>
          </w:tcPr>
          <w:p w14:paraId="12301BFD" w14:textId="77777777" w:rsidR="00AE77DE" w:rsidRPr="005954E3" w:rsidRDefault="00AE77DE" w:rsidP="00AE77DE">
            <w:pPr>
              <w:pStyle w:val="tabletextleft"/>
              <w:jc w:val="right"/>
              <w:rPr>
                <w:szCs w:val="18"/>
              </w:rPr>
            </w:pPr>
          </w:p>
        </w:tc>
        <w:tc>
          <w:tcPr>
            <w:tcW w:w="729" w:type="dxa"/>
            <w:vAlign w:val="center"/>
          </w:tcPr>
          <w:p w14:paraId="5AAE6963" w14:textId="77777777" w:rsidR="00AE77DE" w:rsidRPr="005954E3" w:rsidRDefault="00AE77DE" w:rsidP="00AE77DE">
            <w:pPr>
              <w:pStyle w:val="tabletextleft"/>
              <w:jc w:val="right"/>
              <w:rPr>
                <w:szCs w:val="18"/>
              </w:rPr>
            </w:pPr>
          </w:p>
        </w:tc>
        <w:tc>
          <w:tcPr>
            <w:tcW w:w="729" w:type="dxa"/>
            <w:vAlign w:val="center"/>
          </w:tcPr>
          <w:p w14:paraId="700DE8CF" w14:textId="77777777" w:rsidR="00AE77DE" w:rsidRPr="005954E3" w:rsidRDefault="00AE77DE" w:rsidP="00AE77DE">
            <w:pPr>
              <w:pStyle w:val="tabletextleft"/>
              <w:jc w:val="right"/>
              <w:rPr>
                <w:szCs w:val="18"/>
              </w:rPr>
            </w:pPr>
          </w:p>
        </w:tc>
        <w:tc>
          <w:tcPr>
            <w:tcW w:w="729" w:type="dxa"/>
            <w:vAlign w:val="center"/>
          </w:tcPr>
          <w:p w14:paraId="60A931FA" w14:textId="77777777" w:rsidR="00AE77DE" w:rsidRPr="005954E3" w:rsidRDefault="00AE77DE" w:rsidP="00AE77DE">
            <w:pPr>
              <w:pStyle w:val="tabletextleft"/>
              <w:jc w:val="right"/>
              <w:rPr>
                <w:szCs w:val="18"/>
              </w:rPr>
            </w:pPr>
          </w:p>
        </w:tc>
      </w:tr>
      <w:tr w:rsidR="005602EA" w:rsidRPr="005954E3" w14:paraId="31E6CF20" w14:textId="77777777" w:rsidTr="00656EBA">
        <w:trPr>
          <w:trHeight w:val="312"/>
          <w:jc w:val="center"/>
        </w:trPr>
        <w:tc>
          <w:tcPr>
            <w:tcW w:w="3247" w:type="dxa"/>
          </w:tcPr>
          <w:p w14:paraId="5317D9A2" w14:textId="77777777" w:rsidR="005602EA" w:rsidRPr="005954E3" w:rsidRDefault="005602EA" w:rsidP="005602EA">
            <w:pPr>
              <w:pStyle w:val="tabletextleft"/>
            </w:pPr>
            <w:r w:rsidRPr="005954E3">
              <w:t>Здравеопазване</w:t>
            </w:r>
          </w:p>
        </w:tc>
        <w:tc>
          <w:tcPr>
            <w:tcW w:w="728" w:type="dxa"/>
            <w:vAlign w:val="bottom"/>
          </w:tcPr>
          <w:p w14:paraId="5504F64A" w14:textId="2B3606B4" w:rsidR="005602EA" w:rsidRPr="005954E3" w:rsidRDefault="005602EA" w:rsidP="005602EA">
            <w:pPr>
              <w:pStyle w:val="tabletextleft"/>
              <w:jc w:val="right"/>
              <w:rPr>
                <w:szCs w:val="18"/>
              </w:rPr>
            </w:pPr>
            <w:r w:rsidRPr="00C933F4">
              <w:rPr>
                <w:szCs w:val="18"/>
              </w:rPr>
              <w:t>4.0</w:t>
            </w:r>
          </w:p>
        </w:tc>
        <w:tc>
          <w:tcPr>
            <w:tcW w:w="729" w:type="dxa"/>
            <w:vAlign w:val="bottom"/>
          </w:tcPr>
          <w:p w14:paraId="3A6957F0" w14:textId="2B9B4766" w:rsidR="005602EA" w:rsidRPr="005954E3" w:rsidRDefault="005602EA" w:rsidP="005602EA">
            <w:pPr>
              <w:pStyle w:val="tabletextleft"/>
              <w:jc w:val="right"/>
              <w:rPr>
                <w:szCs w:val="18"/>
              </w:rPr>
            </w:pPr>
            <w:r w:rsidRPr="00C933F4">
              <w:rPr>
                <w:szCs w:val="18"/>
              </w:rPr>
              <w:t>4.4</w:t>
            </w:r>
          </w:p>
        </w:tc>
        <w:tc>
          <w:tcPr>
            <w:tcW w:w="729" w:type="dxa"/>
            <w:vAlign w:val="bottom"/>
          </w:tcPr>
          <w:p w14:paraId="765F70F8" w14:textId="7B2537B9" w:rsidR="005602EA" w:rsidRPr="005954E3" w:rsidRDefault="005602EA" w:rsidP="005602EA">
            <w:pPr>
              <w:pStyle w:val="tabletextleft"/>
              <w:jc w:val="right"/>
              <w:rPr>
                <w:szCs w:val="18"/>
              </w:rPr>
            </w:pPr>
            <w:r w:rsidRPr="00C933F4">
              <w:rPr>
                <w:szCs w:val="18"/>
              </w:rPr>
              <w:t>5.8</w:t>
            </w:r>
          </w:p>
        </w:tc>
        <w:tc>
          <w:tcPr>
            <w:tcW w:w="729" w:type="dxa"/>
            <w:vAlign w:val="bottom"/>
          </w:tcPr>
          <w:p w14:paraId="467DD1AE" w14:textId="34A18F61" w:rsidR="005602EA" w:rsidRPr="005954E3" w:rsidRDefault="005602EA" w:rsidP="005602EA">
            <w:pPr>
              <w:pStyle w:val="tabletextleft"/>
              <w:jc w:val="right"/>
              <w:rPr>
                <w:szCs w:val="18"/>
              </w:rPr>
            </w:pPr>
            <w:r w:rsidRPr="00C933F4">
              <w:rPr>
                <w:szCs w:val="18"/>
              </w:rPr>
              <w:t>4.8</w:t>
            </w:r>
          </w:p>
        </w:tc>
        <w:tc>
          <w:tcPr>
            <w:tcW w:w="728" w:type="dxa"/>
            <w:vAlign w:val="bottom"/>
          </w:tcPr>
          <w:p w14:paraId="63E1D627" w14:textId="4D2FC54F" w:rsidR="005602EA" w:rsidRPr="005954E3" w:rsidRDefault="005602EA" w:rsidP="005602EA">
            <w:pPr>
              <w:pStyle w:val="tabletextleft"/>
              <w:jc w:val="right"/>
              <w:rPr>
                <w:szCs w:val="18"/>
              </w:rPr>
            </w:pPr>
            <w:r w:rsidRPr="00C933F4">
              <w:rPr>
                <w:szCs w:val="18"/>
              </w:rPr>
              <w:t>5.0</w:t>
            </w:r>
          </w:p>
        </w:tc>
        <w:tc>
          <w:tcPr>
            <w:tcW w:w="729" w:type="dxa"/>
            <w:vAlign w:val="bottom"/>
          </w:tcPr>
          <w:p w14:paraId="69E17D1E" w14:textId="7A7656E9" w:rsidR="005602EA" w:rsidRPr="005954E3" w:rsidRDefault="005602EA" w:rsidP="005602EA">
            <w:pPr>
              <w:pStyle w:val="tabletextleft"/>
              <w:jc w:val="right"/>
              <w:rPr>
                <w:szCs w:val="18"/>
              </w:rPr>
            </w:pPr>
            <w:r w:rsidRPr="00C933F4">
              <w:rPr>
                <w:szCs w:val="18"/>
              </w:rPr>
              <w:t>5.1</w:t>
            </w:r>
          </w:p>
        </w:tc>
        <w:tc>
          <w:tcPr>
            <w:tcW w:w="729" w:type="dxa"/>
            <w:vAlign w:val="bottom"/>
          </w:tcPr>
          <w:p w14:paraId="0A89D7C5" w14:textId="43ED1EDB" w:rsidR="005602EA" w:rsidRPr="005954E3" w:rsidRDefault="005602EA" w:rsidP="005602EA">
            <w:pPr>
              <w:pStyle w:val="tabletextleft"/>
              <w:jc w:val="right"/>
              <w:rPr>
                <w:szCs w:val="18"/>
              </w:rPr>
            </w:pPr>
            <w:r w:rsidRPr="00C933F4">
              <w:rPr>
                <w:szCs w:val="18"/>
              </w:rPr>
              <w:t>5.0</w:t>
            </w:r>
          </w:p>
        </w:tc>
        <w:tc>
          <w:tcPr>
            <w:tcW w:w="729" w:type="dxa"/>
            <w:vAlign w:val="bottom"/>
          </w:tcPr>
          <w:p w14:paraId="65275B4F" w14:textId="08FA6122" w:rsidR="005602EA" w:rsidRPr="005954E3" w:rsidRDefault="005602EA" w:rsidP="005602EA">
            <w:pPr>
              <w:pStyle w:val="tabletextleft"/>
              <w:jc w:val="right"/>
              <w:rPr>
                <w:szCs w:val="18"/>
              </w:rPr>
            </w:pPr>
            <w:r w:rsidRPr="00C933F4">
              <w:rPr>
                <w:szCs w:val="18"/>
              </w:rPr>
              <w:t>5.0</w:t>
            </w:r>
          </w:p>
        </w:tc>
      </w:tr>
      <w:tr w:rsidR="005602EA" w:rsidRPr="005954E3" w14:paraId="6768770B" w14:textId="77777777" w:rsidTr="00656EBA">
        <w:trPr>
          <w:trHeight w:val="312"/>
          <w:jc w:val="center"/>
        </w:trPr>
        <w:tc>
          <w:tcPr>
            <w:tcW w:w="3247" w:type="dxa"/>
          </w:tcPr>
          <w:p w14:paraId="7EA4C7E7" w14:textId="77777777" w:rsidR="005602EA" w:rsidRPr="005954E3" w:rsidRDefault="005602EA" w:rsidP="005602EA">
            <w:pPr>
              <w:pStyle w:val="tabletextleft"/>
            </w:pPr>
            <w:r w:rsidRPr="005954E3">
              <w:t>Дългосрочни грижи</w:t>
            </w:r>
          </w:p>
        </w:tc>
        <w:tc>
          <w:tcPr>
            <w:tcW w:w="728" w:type="dxa"/>
            <w:vAlign w:val="center"/>
          </w:tcPr>
          <w:p w14:paraId="1295DB7D" w14:textId="77777777" w:rsidR="005602EA" w:rsidRPr="005954E3" w:rsidRDefault="005602EA" w:rsidP="005602EA">
            <w:pPr>
              <w:pStyle w:val="tabletextleft"/>
              <w:jc w:val="right"/>
              <w:rPr>
                <w:szCs w:val="18"/>
              </w:rPr>
            </w:pPr>
          </w:p>
        </w:tc>
        <w:tc>
          <w:tcPr>
            <w:tcW w:w="729" w:type="dxa"/>
            <w:vAlign w:val="center"/>
          </w:tcPr>
          <w:p w14:paraId="1A11F38C" w14:textId="77777777" w:rsidR="005602EA" w:rsidRPr="005954E3" w:rsidRDefault="005602EA" w:rsidP="005602EA">
            <w:pPr>
              <w:pStyle w:val="tabletextleft"/>
              <w:jc w:val="right"/>
              <w:rPr>
                <w:szCs w:val="18"/>
              </w:rPr>
            </w:pPr>
          </w:p>
        </w:tc>
        <w:tc>
          <w:tcPr>
            <w:tcW w:w="729" w:type="dxa"/>
            <w:vAlign w:val="center"/>
          </w:tcPr>
          <w:p w14:paraId="3DB910FC" w14:textId="77777777" w:rsidR="005602EA" w:rsidRPr="005954E3" w:rsidRDefault="005602EA" w:rsidP="005602EA">
            <w:pPr>
              <w:pStyle w:val="tabletextleft"/>
              <w:jc w:val="right"/>
              <w:rPr>
                <w:szCs w:val="18"/>
              </w:rPr>
            </w:pPr>
          </w:p>
        </w:tc>
        <w:tc>
          <w:tcPr>
            <w:tcW w:w="729" w:type="dxa"/>
            <w:vAlign w:val="center"/>
          </w:tcPr>
          <w:p w14:paraId="7FCD6630" w14:textId="77777777" w:rsidR="005602EA" w:rsidRPr="005954E3" w:rsidRDefault="005602EA" w:rsidP="005602EA">
            <w:pPr>
              <w:pStyle w:val="tabletextleft"/>
              <w:jc w:val="right"/>
              <w:rPr>
                <w:szCs w:val="18"/>
              </w:rPr>
            </w:pPr>
          </w:p>
        </w:tc>
        <w:tc>
          <w:tcPr>
            <w:tcW w:w="728" w:type="dxa"/>
            <w:vAlign w:val="center"/>
          </w:tcPr>
          <w:p w14:paraId="05D64D0E" w14:textId="77777777" w:rsidR="005602EA" w:rsidRPr="005954E3" w:rsidRDefault="005602EA" w:rsidP="005602EA">
            <w:pPr>
              <w:pStyle w:val="tabletextleft"/>
              <w:jc w:val="right"/>
              <w:rPr>
                <w:szCs w:val="18"/>
              </w:rPr>
            </w:pPr>
          </w:p>
        </w:tc>
        <w:tc>
          <w:tcPr>
            <w:tcW w:w="729" w:type="dxa"/>
            <w:vAlign w:val="center"/>
          </w:tcPr>
          <w:p w14:paraId="0956D141" w14:textId="77777777" w:rsidR="005602EA" w:rsidRPr="005954E3" w:rsidRDefault="005602EA" w:rsidP="005602EA">
            <w:pPr>
              <w:pStyle w:val="tabletextleft"/>
              <w:jc w:val="right"/>
              <w:rPr>
                <w:szCs w:val="18"/>
              </w:rPr>
            </w:pPr>
          </w:p>
        </w:tc>
        <w:tc>
          <w:tcPr>
            <w:tcW w:w="729" w:type="dxa"/>
            <w:vAlign w:val="center"/>
          </w:tcPr>
          <w:p w14:paraId="62A662CF" w14:textId="77777777" w:rsidR="005602EA" w:rsidRPr="005954E3" w:rsidRDefault="005602EA" w:rsidP="005602EA">
            <w:pPr>
              <w:pStyle w:val="tabletextleft"/>
              <w:jc w:val="right"/>
              <w:rPr>
                <w:szCs w:val="18"/>
              </w:rPr>
            </w:pPr>
          </w:p>
        </w:tc>
        <w:tc>
          <w:tcPr>
            <w:tcW w:w="729" w:type="dxa"/>
            <w:vAlign w:val="center"/>
          </w:tcPr>
          <w:p w14:paraId="242981E2" w14:textId="77777777" w:rsidR="005602EA" w:rsidRPr="005954E3" w:rsidRDefault="005602EA" w:rsidP="005602EA">
            <w:pPr>
              <w:pStyle w:val="tabletextleft"/>
              <w:jc w:val="right"/>
              <w:rPr>
                <w:szCs w:val="18"/>
              </w:rPr>
            </w:pPr>
          </w:p>
        </w:tc>
      </w:tr>
      <w:tr w:rsidR="005602EA" w:rsidRPr="005954E3" w14:paraId="32E692CE" w14:textId="77777777" w:rsidTr="00656EBA">
        <w:trPr>
          <w:trHeight w:val="312"/>
          <w:jc w:val="center"/>
        </w:trPr>
        <w:tc>
          <w:tcPr>
            <w:tcW w:w="3247" w:type="dxa"/>
          </w:tcPr>
          <w:p w14:paraId="2DABC6D3" w14:textId="77777777" w:rsidR="005602EA" w:rsidRPr="005954E3" w:rsidRDefault="005602EA" w:rsidP="005602EA">
            <w:pPr>
              <w:pStyle w:val="tabletextleft"/>
            </w:pPr>
            <w:r w:rsidRPr="005954E3">
              <w:t>Разходи за образование</w:t>
            </w:r>
          </w:p>
        </w:tc>
        <w:tc>
          <w:tcPr>
            <w:tcW w:w="728" w:type="dxa"/>
            <w:vAlign w:val="bottom"/>
          </w:tcPr>
          <w:p w14:paraId="31F760B9" w14:textId="5CE99CCD" w:rsidR="005602EA" w:rsidRPr="005954E3" w:rsidRDefault="005602EA" w:rsidP="005602EA">
            <w:pPr>
              <w:pStyle w:val="tabletextleft"/>
              <w:jc w:val="right"/>
              <w:rPr>
                <w:szCs w:val="18"/>
              </w:rPr>
            </w:pPr>
            <w:r w:rsidRPr="00C933F4">
              <w:rPr>
                <w:szCs w:val="18"/>
              </w:rPr>
              <w:t>3.6</w:t>
            </w:r>
          </w:p>
        </w:tc>
        <w:tc>
          <w:tcPr>
            <w:tcW w:w="729" w:type="dxa"/>
            <w:vAlign w:val="bottom"/>
          </w:tcPr>
          <w:p w14:paraId="7A466B66" w14:textId="460A1CDE" w:rsidR="005602EA" w:rsidRPr="005954E3" w:rsidRDefault="005602EA" w:rsidP="005602EA">
            <w:pPr>
              <w:pStyle w:val="tabletextleft"/>
              <w:jc w:val="right"/>
              <w:rPr>
                <w:szCs w:val="18"/>
              </w:rPr>
            </w:pPr>
            <w:r w:rsidRPr="00C933F4">
              <w:rPr>
                <w:szCs w:val="18"/>
              </w:rPr>
              <w:t>3.6</w:t>
            </w:r>
          </w:p>
        </w:tc>
        <w:tc>
          <w:tcPr>
            <w:tcW w:w="729" w:type="dxa"/>
            <w:vAlign w:val="bottom"/>
          </w:tcPr>
          <w:p w14:paraId="7A933238" w14:textId="29894AC2" w:rsidR="005602EA" w:rsidRPr="005954E3" w:rsidRDefault="005602EA" w:rsidP="005602EA">
            <w:pPr>
              <w:pStyle w:val="tabletextleft"/>
              <w:jc w:val="right"/>
              <w:rPr>
                <w:szCs w:val="18"/>
              </w:rPr>
            </w:pPr>
            <w:r w:rsidRPr="00C933F4">
              <w:rPr>
                <w:szCs w:val="18"/>
              </w:rPr>
              <w:t>3.9</w:t>
            </w:r>
          </w:p>
        </w:tc>
        <w:tc>
          <w:tcPr>
            <w:tcW w:w="729" w:type="dxa"/>
            <w:vAlign w:val="bottom"/>
          </w:tcPr>
          <w:p w14:paraId="7BFA8C72" w14:textId="60A64CA6" w:rsidR="005602EA" w:rsidRPr="005954E3" w:rsidRDefault="005602EA" w:rsidP="005602EA">
            <w:pPr>
              <w:pStyle w:val="tabletextleft"/>
              <w:jc w:val="right"/>
              <w:rPr>
                <w:szCs w:val="18"/>
              </w:rPr>
            </w:pPr>
            <w:r w:rsidRPr="00C933F4">
              <w:rPr>
                <w:szCs w:val="18"/>
              </w:rPr>
              <w:t>4.1</w:t>
            </w:r>
          </w:p>
        </w:tc>
        <w:tc>
          <w:tcPr>
            <w:tcW w:w="728" w:type="dxa"/>
            <w:vAlign w:val="bottom"/>
          </w:tcPr>
          <w:p w14:paraId="55EAE63A" w14:textId="6FA8C8BF" w:rsidR="005602EA" w:rsidRPr="005954E3" w:rsidRDefault="005602EA" w:rsidP="005602EA">
            <w:pPr>
              <w:pStyle w:val="tabletextleft"/>
              <w:jc w:val="right"/>
              <w:rPr>
                <w:szCs w:val="18"/>
              </w:rPr>
            </w:pPr>
            <w:r w:rsidRPr="00C933F4">
              <w:rPr>
                <w:szCs w:val="18"/>
              </w:rPr>
              <w:t>4.0</w:t>
            </w:r>
          </w:p>
        </w:tc>
        <w:tc>
          <w:tcPr>
            <w:tcW w:w="729" w:type="dxa"/>
            <w:vAlign w:val="bottom"/>
          </w:tcPr>
          <w:p w14:paraId="2F8F1FCE" w14:textId="24824F31" w:rsidR="005602EA" w:rsidRPr="005954E3" w:rsidRDefault="005602EA" w:rsidP="005602EA">
            <w:pPr>
              <w:pStyle w:val="tabletextleft"/>
              <w:jc w:val="right"/>
              <w:rPr>
                <w:szCs w:val="18"/>
              </w:rPr>
            </w:pPr>
            <w:r w:rsidRPr="00C933F4">
              <w:rPr>
                <w:szCs w:val="18"/>
              </w:rPr>
              <w:t>4.2</w:t>
            </w:r>
          </w:p>
        </w:tc>
        <w:tc>
          <w:tcPr>
            <w:tcW w:w="729" w:type="dxa"/>
            <w:vAlign w:val="bottom"/>
          </w:tcPr>
          <w:p w14:paraId="20C3E86C" w14:textId="3F1F67DD" w:rsidR="005602EA" w:rsidRPr="005954E3" w:rsidRDefault="005602EA" w:rsidP="005602EA">
            <w:pPr>
              <w:pStyle w:val="tabletextleft"/>
              <w:jc w:val="right"/>
              <w:rPr>
                <w:szCs w:val="18"/>
              </w:rPr>
            </w:pPr>
            <w:r w:rsidRPr="00C933F4">
              <w:rPr>
                <w:szCs w:val="18"/>
              </w:rPr>
              <w:t>4.4</w:t>
            </w:r>
          </w:p>
        </w:tc>
        <w:tc>
          <w:tcPr>
            <w:tcW w:w="729" w:type="dxa"/>
            <w:vAlign w:val="bottom"/>
          </w:tcPr>
          <w:p w14:paraId="16B82EC2" w14:textId="66026BE3" w:rsidR="005602EA" w:rsidRPr="005954E3" w:rsidRDefault="005602EA" w:rsidP="005602EA">
            <w:pPr>
              <w:pStyle w:val="tabletextleft"/>
              <w:jc w:val="right"/>
              <w:rPr>
                <w:szCs w:val="18"/>
              </w:rPr>
            </w:pPr>
            <w:r w:rsidRPr="00C933F4">
              <w:rPr>
                <w:szCs w:val="18"/>
              </w:rPr>
              <w:t>4.2</w:t>
            </w:r>
          </w:p>
        </w:tc>
      </w:tr>
      <w:tr w:rsidR="00AE77DE" w:rsidRPr="005954E3" w14:paraId="3DE1C8CA" w14:textId="77777777" w:rsidTr="00656EBA">
        <w:trPr>
          <w:trHeight w:val="312"/>
          <w:jc w:val="center"/>
        </w:trPr>
        <w:tc>
          <w:tcPr>
            <w:tcW w:w="3247" w:type="dxa"/>
          </w:tcPr>
          <w:p w14:paraId="529AC9DE" w14:textId="77777777" w:rsidR="00AE77DE" w:rsidRPr="005954E3" w:rsidRDefault="00AE77DE" w:rsidP="00AE77DE">
            <w:pPr>
              <w:pStyle w:val="tabletextleft"/>
            </w:pPr>
            <w:r w:rsidRPr="005954E3">
              <w:t>Други разходи. свързани със застаряването на населението</w:t>
            </w:r>
          </w:p>
        </w:tc>
        <w:tc>
          <w:tcPr>
            <w:tcW w:w="728" w:type="dxa"/>
            <w:vAlign w:val="center"/>
          </w:tcPr>
          <w:p w14:paraId="173F2C1B" w14:textId="77777777" w:rsidR="00AE77DE" w:rsidRPr="005954E3" w:rsidRDefault="00AE77DE" w:rsidP="00AE77DE">
            <w:pPr>
              <w:pStyle w:val="tabletextleft"/>
              <w:jc w:val="right"/>
              <w:rPr>
                <w:szCs w:val="18"/>
              </w:rPr>
            </w:pPr>
          </w:p>
        </w:tc>
        <w:tc>
          <w:tcPr>
            <w:tcW w:w="729" w:type="dxa"/>
            <w:vAlign w:val="center"/>
          </w:tcPr>
          <w:p w14:paraId="6D8BD535" w14:textId="77777777" w:rsidR="00AE77DE" w:rsidRPr="005954E3" w:rsidRDefault="00AE77DE" w:rsidP="00AE77DE">
            <w:pPr>
              <w:pStyle w:val="tabletextleft"/>
              <w:jc w:val="right"/>
              <w:rPr>
                <w:szCs w:val="18"/>
              </w:rPr>
            </w:pPr>
          </w:p>
        </w:tc>
        <w:tc>
          <w:tcPr>
            <w:tcW w:w="729" w:type="dxa"/>
            <w:vAlign w:val="center"/>
          </w:tcPr>
          <w:p w14:paraId="287F4472" w14:textId="77777777" w:rsidR="00AE77DE" w:rsidRPr="005954E3" w:rsidRDefault="00AE77DE" w:rsidP="00AE77DE">
            <w:pPr>
              <w:pStyle w:val="tabletextleft"/>
              <w:jc w:val="right"/>
              <w:rPr>
                <w:szCs w:val="18"/>
              </w:rPr>
            </w:pPr>
          </w:p>
        </w:tc>
        <w:tc>
          <w:tcPr>
            <w:tcW w:w="729" w:type="dxa"/>
            <w:vAlign w:val="center"/>
          </w:tcPr>
          <w:p w14:paraId="35719C5C" w14:textId="77777777" w:rsidR="00AE77DE" w:rsidRPr="005954E3" w:rsidRDefault="00AE77DE" w:rsidP="00AE77DE">
            <w:pPr>
              <w:pStyle w:val="tabletextleft"/>
              <w:jc w:val="right"/>
              <w:rPr>
                <w:szCs w:val="18"/>
              </w:rPr>
            </w:pPr>
          </w:p>
        </w:tc>
        <w:tc>
          <w:tcPr>
            <w:tcW w:w="728" w:type="dxa"/>
            <w:vAlign w:val="center"/>
          </w:tcPr>
          <w:p w14:paraId="6288522E" w14:textId="77777777" w:rsidR="00AE77DE" w:rsidRPr="005954E3" w:rsidRDefault="00AE77DE" w:rsidP="00AE77DE">
            <w:pPr>
              <w:pStyle w:val="tabletextleft"/>
              <w:jc w:val="right"/>
              <w:rPr>
                <w:szCs w:val="18"/>
              </w:rPr>
            </w:pPr>
          </w:p>
        </w:tc>
        <w:tc>
          <w:tcPr>
            <w:tcW w:w="729" w:type="dxa"/>
            <w:vAlign w:val="center"/>
          </w:tcPr>
          <w:p w14:paraId="22C5A9F8" w14:textId="77777777" w:rsidR="00AE77DE" w:rsidRPr="005954E3" w:rsidRDefault="00AE77DE" w:rsidP="00AE77DE">
            <w:pPr>
              <w:pStyle w:val="tabletextleft"/>
              <w:jc w:val="right"/>
              <w:rPr>
                <w:szCs w:val="18"/>
              </w:rPr>
            </w:pPr>
          </w:p>
        </w:tc>
        <w:tc>
          <w:tcPr>
            <w:tcW w:w="729" w:type="dxa"/>
            <w:vAlign w:val="center"/>
          </w:tcPr>
          <w:p w14:paraId="14166138" w14:textId="77777777" w:rsidR="00AE77DE" w:rsidRPr="005954E3" w:rsidRDefault="00AE77DE" w:rsidP="00AE77DE">
            <w:pPr>
              <w:pStyle w:val="tabletextleft"/>
              <w:jc w:val="right"/>
              <w:rPr>
                <w:szCs w:val="18"/>
              </w:rPr>
            </w:pPr>
          </w:p>
        </w:tc>
        <w:tc>
          <w:tcPr>
            <w:tcW w:w="729" w:type="dxa"/>
            <w:vAlign w:val="center"/>
          </w:tcPr>
          <w:p w14:paraId="399C57D1" w14:textId="77777777" w:rsidR="00AE77DE" w:rsidRPr="005954E3" w:rsidRDefault="00AE77DE" w:rsidP="00AE77DE">
            <w:pPr>
              <w:pStyle w:val="tabletextleft"/>
              <w:jc w:val="right"/>
              <w:rPr>
                <w:szCs w:val="18"/>
              </w:rPr>
            </w:pPr>
          </w:p>
        </w:tc>
      </w:tr>
      <w:tr w:rsidR="00AE77DE" w:rsidRPr="005954E3" w14:paraId="50B44064" w14:textId="77777777" w:rsidTr="00656EBA">
        <w:trPr>
          <w:trHeight w:val="312"/>
          <w:jc w:val="center"/>
        </w:trPr>
        <w:tc>
          <w:tcPr>
            <w:tcW w:w="3247" w:type="dxa"/>
          </w:tcPr>
          <w:p w14:paraId="19E0BB63" w14:textId="77777777" w:rsidR="00AE77DE" w:rsidRPr="005954E3" w:rsidRDefault="00AE77DE" w:rsidP="00AE77DE">
            <w:pPr>
              <w:pStyle w:val="tabletextleft"/>
            </w:pPr>
            <w:r w:rsidRPr="005954E3">
              <w:t>Лихвени разходи</w:t>
            </w:r>
          </w:p>
        </w:tc>
        <w:tc>
          <w:tcPr>
            <w:tcW w:w="728" w:type="dxa"/>
            <w:vAlign w:val="center"/>
          </w:tcPr>
          <w:p w14:paraId="5D817BD0" w14:textId="77777777" w:rsidR="00AE77DE" w:rsidRPr="005954E3" w:rsidRDefault="00AE77DE" w:rsidP="00AE77DE">
            <w:pPr>
              <w:pStyle w:val="tabletextleft"/>
              <w:jc w:val="right"/>
              <w:rPr>
                <w:szCs w:val="18"/>
              </w:rPr>
            </w:pPr>
          </w:p>
        </w:tc>
        <w:tc>
          <w:tcPr>
            <w:tcW w:w="729" w:type="dxa"/>
            <w:vAlign w:val="center"/>
          </w:tcPr>
          <w:p w14:paraId="4B77B2E7" w14:textId="77777777" w:rsidR="00AE77DE" w:rsidRPr="005954E3" w:rsidRDefault="00AE77DE" w:rsidP="00AE77DE">
            <w:pPr>
              <w:pStyle w:val="tabletextleft"/>
              <w:jc w:val="right"/>
              <w:rPr>
                <w:szCs w:val="18"/>
              </w:rPr>
            </w:pPr>
          </w:p>
        </w:tc>
        <w:tc>
          <w:tcPr>
            <w:tcW w:w="729" w:type="dxa"/>
            <w:vAlign w:val="center"/>
          </w:tcPr>
          <w:p w14:paraId="4A1727AD" w14:textId="77777777" w:rsidR="00AE77DE" w:rsidRPr="005954E3" w:rsidRDefault="00AE77DE" w:rsidP="00AE77DE">
            <w:pPr>
              <w:pStyle w:val="tabletextleft"/>
              <w:jc w:val="right"/>
              <w:rPr>
                <w:szCs w:val="18"/>
              </w:rPr>
            </w:pPr>
          </w:p>
        </w:tc>
        <w:tc>
          <w:tcPr>
            <w:tcW w:w="729" w:type="dxa"/>
            <w:vAlign w:val="center"/>
          </w:tcPr>
          <w:p w14:paraId="7559F6EE" w14:textId="77777777" w:rsidR="00AE77DE" w:rsidRPr="005954E3" w:rsidRDefault="00AE77DE" w:rsidP="00AE77DE">
            <w:pPr>
              <w:pStyle w:val="tabletextleft"/>
              <w:jc w:val="right"/>
              <w:rPr>
                <w:szCs w:val="18"/>
              </w:rPr>
            </w:pPr>
          </w:p>
        </w:tc>
        <w:tc>
          <w:tcPr>
            <w:tcW w:w="728" w:type="dxa"/>
            <w:vAlign w:val="center"/>
          </w:tcPr>
          <w:p w14:paraId="1762F58F" w14:textId="77777777" w:rsidR="00AE77DE" w:rsidRPr="005954E3" w:rsidRDefault="00AE77DE" w:rsidP="00AE77DE">
            <w:pPr>
              <w:pStyle w:val="tabletextleft"/>
              <w:jc w:val="right"/>
              <w:rPr>
                <w:szCs w:val="18"/>
              </w:rPr>
            </w:pPr>
          </w:p>
        </w:tc>
        <w:tc>
          <w:tcPr>
            <w:tcW w:w="729" w:type="dxa"/>
            <w:vAlign w:val="center"/>
          </w:tcPr>
          <w:p w14:paraId="4A733468" w14:textId="77777777" w:rsidR="00AE77DE" w:rsidRPr="005954E3" w:rsidRDefault="00AE77DE" w:rsidP="00AE77DE">
            <w:pPr>
              <w:pStyle w:val="tabletextleft"/>
              <w:jc w:val="right"/>
              <w:rPr>
                <w:szCs w:val="18"/>
              </w:rPr>
            </w:pPr>
          </w:p>
        </w:tc>
        <w:tc>
          <w:tcPr>
            <w:tcW w:w="729" w:type="dxa"/>
            <w:vAlign w:val="center"/>
          </w:tcPr>
          <w:p w14:paraId="40AE623B" w14:textId="77777777" w:rsidR="00AE77DE" w:rsidRPr="005954E3" w:rsidRDefault="00AE77DE" w:rsidP="00AE77DE">
            <w:pPr>
              <w:pStyle w:val="tabletextleft"/>
              <w:jc w:val="right"/>
              <w:rPr>
                <w:szCs w:val="18"/>
              </w:rPr>
            </w:pPr>
          </w:p>
        </w:tc>
        <w:tc>
          <w:tcPr>
            <w:tcW w:w="729" w:type="dxa"/>
            <w:vAlign w:val="center"/>
          </w:tcPr>
          <w:p w14:paraId="7CFB5336" w14:textId="77777777" w:rsidR="00AE77DE" w:rsidRPr="005954E3" w:rsidRDefault="00AE77DE" w:rsidP="00AE77DE">
            <w:pPr>
              <w:pStyle w:val="tabletextleft"/>
              <w:jc w:val="right"/>
              <w:rPr>
                <w:szCs w:val="18"/>
              </w:rPr>
            </w:pPr>
          </w:p>
        </w:tc>
      </w:tr>
      <w:tr w:rsidR="00AE77DE" w:rsidRPr="005954E3" w14:paraId="3018B21A" w14:textId="77777777" w:rsidTr="00656EBA">
        <w:trPr>
          <w:trHeight w:val="312"/>
          <w:jc w:val="center"/>
        </w:trPr>
        <w:tc>
          <w:tcPr>
            <w:tcW w:w="3247" w:type="dxa"/>
          </w:tcPr>
          <w:p w14:paraId="2E172D3F" w14:textId="77777777" w:rsidR="00AE77DE" w:rsidRPr="005954E3" w:rsidRDefault="00AE77DE" w:rsidP="00AE77DE">
            <w:pPr>
              <w:pStyle w:val="tabletextleft"/>
            </w:pPr>
            <w:r w:rsidRPr="005954E3">
              <w:t>Общо приходи</w:t>
            </w:r>
          </w:p>
        </w:tc>
        <w:tc>
          <w:tcPr>
            <w:tcW w:w="728" w:type="dxa"/>
            <w:vAlign w:val="bottom"/>
          </w:tcPr>
          <w:p w14:paraId="4A2F9976" w14:textId="462FD4CA" w:rsidR="00AE77DE" w:rsidRPr="005954E3" w:rsidRDefault="00AE77DE" w:rsidP="00AE77DE">
            <w:pPr>
              <w:pStyle w:val="tabletextleft"/>
              <w:jc w:val="right"/>
              <w:rPr>
                <w:szCs w:val="18"/>
              </w:rPr>
            </w:pPr>
            <w:r w:rsidRPr="00C933F4">
              <w:rPr>
                <w:szCs w:val="18"/>
              </w:rPr>
              <w:t>37.7</w:t>
            </w:r>
          </w:p>
        </w:tc>
        <w:tc>
          <w:tcPr>
            <w:tcW w:w="729" w:type="dxa"/>
            <w:vAlign w:val="bottom"/>
          </w:tcPr>
          <w:p w14:paraId="1F1F19F6" w14:textId="3403235F" w:rsidR="00AE77DE" w:rsidRPr="005954E3" w:rsidRDefault="00AE77DE" w:rsidP="00AE77DE">
            <w:pPr>
              <w:pStyle w:val="tabletextleft"/>
              <w:jc w:val="right"/>
              <w:rPr>
                <w:szCs w:val="18"/>
              </w:rPr>
            </w:pPr>
            <w:r w:rsidRPr="00C933F4">
              <w:rPr>
                <w:szCs w:val="18"/>
              </w:rPr>
              <w:t>32.5</w:t>
            </w:r>
          </w:p>
        </w:tc>
        <w:tc>
          <w:tcPr>
            <w:tcW w:w="729" w:type="dxa"/>
            <w:vAlign w:val="bottom"/>
          </w:tcPr>
          <w:p w14:paraId="0733C0E5" w14:textId="7770D31E" w:rsidR="00AE77DE" w:rsidRPr="005954E3" w:rsidRDefault="00AE77DE" w:rsidP="00AE77DE">
            <w:pPr>
              <w:pStyle w:val="tabletextleft"/>
              <w:jc w:val="right"/>
              <w:rPr>
                <w:szCs w:val="18"/>
              </w:rPr>
            </w:pPr>
            <w:r w:rsidRPr="00C933F4">
              <w:rPr>
                <w:szCs w:val="18"/>
              </w:rPr>
              <w:t>37.7</w:t>
            </w:r>
          </w:p>
        </w:tc>
        <w:tc>
          <w:tcPr>
            <w:tcW w:w="729" w:type="dxa"/>
            <w:vAlign w:val="center"/>
          </w:tcPr>
          <w:p w14:paraId="677BD274" w14:textId="77777777" w:rsidR="00AE77DE" w:rsidRPr="005954E3" w:rsidRDefault="00AE77DE" w:rsidP="00AE77DE">
            <w:pPr>
              <w:pStyle w:val="tabletextleft"/>
              <w:jc w:val="right"/>
              <w:rPr>
                <w:szCs w:val="18"/>
              </w:rPr>
            </w:pPr>
          </w:p>
        </w:tc>
        <w:tc>
          <w:tcPr>
            <w:tcW w:w="728" w:type="dxa"/>
            <w:vAlign w:val="center"/>
          </w:tcPr>
          <w:p w14:paraId="14458E00" w14:textId="77777777" w:rsidR="00AE77DE" w:rsidRPr="005954E3" w:rsidRDefault="00AE77DE" w:rsidP="00AE77DE">
            <w:pPr>
              <w:pStyle w:val="tabletextleft"/>
              <w:jc w:val="right"/>
              <w:rPr>
                <w:szCs w:val="18"/>
              </w:rPr>
            </w:pPr>
          </w:p>
        </w:tc>
        <w:tc>
          <w:tcPr>
            <w:tcW w:w="729" w:type="dxa"/>
            <w:vAlign w:val="center"/>
          </w:tcPr>
          <w:p w14:paraId="4B655204" w14:textId="77777777" w:rsidR="00AE77DE" w:rsidRPr="005954E3" w:rsidRDefault="00AE77DE" w:rsidP="00AE77DE">
            <w:pPr>
              <w:pStyle w:val="tabletextleft"/>
              <w:jc w:val="right"/>
              <w:rPr>
                <w:szCs w:val="18"/>
              </w:rPr>
            </w:pPr>
          </w:p>
        </w:tc>
        <w:tc>
          <w:tcPr>
            <w:tcW w:w="729" w:type="dxa"/>
            <w:vAlign w:val="center"/>
          </w:tcPr>
          <w:p w14:paraId="09085041" w14:textId="77777777" w:rsidR="00AE77DE" w:rsidRPr="005954E3" w:rsidRDefault="00AE77DE" w:rsidP="00AE77DE">
            <w:pPr>
              <w:pStyle w:val="tabletextleft"/>
              <w:jc w:val="right"/>
              <w:rPr>
                <w:szCs w:val="18"/>
              </w:rPr>
            </w:pPr>
          </w:p>
        </w:tc>
        <w:tc>
          <w:tcPr>
            <w:tcW w:w="729" w:type="dxa"/>
            <w:vAlign w:val="center"/>
          </w:tcPr>
          <w:p w14:paraId="1EFB7733" w14:textId="77777777" w:rsidR="00AE77DE" w:rsidRPr="005954E3" w:rsidRDefault="00AE77DE" w:rsidP="00AE77DE">
            <w:pPr>
              <w:pStyle w:val="tabletextleft"/>
              <w:jc w:val="right"/>
              <w:rPr>
                <w:szCs w:val="18"/>
              </w:rPr>
            </w:pPr>
          </w:p>
        </w:tc>
      </w:tr>
      <w:tr w:rsidR="00AE77DE" w:rsidRPr="005954E3" w14:paraId="0003FA5F" w14:textId="77777777" w:rsidTr="00656EBA">
        <w:trPr>
          <w:trHeight w:val="312"/>
          <w:jc w:val="center"/>
        </w:trPr>
        <w:tc>
          <w:tcPr>
            <w:tcW w:w="3247" w:type="dxa"/>
          </w:tcPr>
          <w:p w14:paraId="3E75495E" w14:textId="77777777" w:rsidR="00AE77DE" w:rsidRPr="005954E3" w:rsidRDefault="00AE77DE" w:rsidP="00AE77DE">
            <w:pPr>
              <w:pStyle w:val="tabletextleft"/>
            </w:pPr>
            <w:r w:rsidRPr="005954E3">
              <w:t>В т.ч. доходи от собственост</w:t>
            </w:r>
          </w:p>
        </w:tc>
        <w:tc>
          <w:tcPr>
            <w:tcW w:w="728" w:type="dxa"/>
            <w:vAlign w:val="center"/>
          </w:tcPr>
          <w:p w14:paraId="348C5E49" w14:textId="77777777" w:rsidR="00AE77DE" w:rsidRPr="005954E3" w:rsidRDefault="00AE77DE" w:rsidP="00AE77DE">
            <w:pPr>
              <w:pStyle w:val="tabletextleft"/>
              <w:jc w:val="right"/>
              <w:rPr>
                <w:szCs w:val="18"/>
              </w:rPr>
            </w:pPr>
          </w:p>
        </w:tc>
        <w:tc>
          <w:tcPr>
            <w:tcW w:w="729" w:type="dxa"/>
            <w:vAlign w:val="center"/>
          </w:tcPr>
          <w:p w14:paraId="0809E6C5" w14:textId="77777777" w:rsidR="00AE77DE" w:rsidRPr="005954E3" w:rsidRDefault="00AE77DE" w:rsidP="00AE77DE">
            <w:pPr>
              <w:pStyle w:val="tabletextleft"/>
              <w:jc w:val="right"/>
              <w:rPr>
                <w:szCs w:val="18"/>
              </w:rPr>
            </w:pPr>
          </w:p>
        </w:tc>
        <w:tc>
          <w:tcPr>
            <w:tcW w:w="729" w:type="dxa"/>
            <w:vAlign w:val="center"/>
          </w:tcPr>
          <w:p w14:paraId="7EE6DBA5" w14:textId="77777777" w:rsidR="00AE77DE" w:rsidRPr="005954E3" w:rsidRDefault="00AE77DE" w:rsidP="00AE77DE">
            <w:pPr>
              <w:pStyle w:val="tabletextleft"/>
              <w:jc w:val="right"/>
              <w:rPr>
                <w:szCs w:val="18"/>
              </w:rPr>
            </w:pPr>
          </w:p>
        </w:tc>
        <w:tc>
          <w:tcPr>
            <w:tcW w:w="729" w:type="dxa"/>
            <w:vAlign w:val="center"/>
          </w:tcPr>
          <w:p w14:paraId="79853F1A" w14:textId="77777777" w:rsidR="00AE77DE" w:rsidRPr="005954E3" w:rsidRDefault="00AE77DE" w:rsidP="00AE77DE">
            <w:pPr>
              <w:pStyle w:val="tabletextleft"/>
              <w:jc w:val="right"/>
              <w:rPr>
                <w:szCs w:val="18"/>
              </w:rPr>
            </w:pPr>
          </w:p>
        </w:tc>
        <w:tc>
          <w:tcPr>
            <w:tcW w:w="728" w:type="dxa"/>
            <w:vAlign w:val="center"/>
          </w:tcPr>
          <w:p w14:paraId="07D2B386" w14:textId="77777777" w:rsidR="00AE77DE" w:rsidRPr="005954E3" w:rsidRDefault="00AE77DE" w:rsidP="00AE77DE">
            <w:pPr>
              <w:pStyle w:val="tabletextleft"/>
              <w:jc w:val="right"/>
              <w:rPr>
                <w:szCs w:val="18"/>
              </w:rPr>
            </w:pPr>
          </w:p>
        </w:tc>
        <w:tc>
          <w:tcPr>
            <w:tcW w:w="729" w:type="dxa"/>
            <w:vAlign w:val="center"/>
          </w:tcPr>
          <w:p w14:paraId="393DBE86" w14:textId="77777777" w:rsidR="00AE77DE" w:rsidRPr="005954E3" w:rsidRDefault="00AE77DE" w:rsidP="00AE77DE">
            <w:pPr>
              <w:pStyle w:val="tabletextleft"/>
              <w:jc w:val="right"/>
              <w:rPr>
                <w:szCs w:val="18"/>
              </w:rPr>
            </w:pPr>
          </w:p>
        </w:tc>
        <w:tc>
          <w:tcPr>
            <w:tcW w:w="729" w:type="dxa"/>
            <w:vAlign w:val="center"/>
          </w:tcPr>
          <w:p w14:paraId="10C2DFEB" w14:textId="77777777" w:rsidR="00AE77DE" w:rsidRPr="005954E3" w:rsidRDefault="00AE77DE" w:rsidP="00AE77DE">
            <w:pPr>
              <w:pStyle w:val="tabletextleft"/>
              <w:jc w:val="right"/>
              <w:rPr>
                <w:szCs w:val="18"/>
              </w:rPr>
            </w:pPr>
          </w:p>
        </w:tc>
        <w:tc>
          <w:tcPr>
            <w:tcW w:w="729" w:type="dxa"/>
            <w:vAlign w:val="center"/>
          </w:tcPr>
          <w:p w14:paraId="1F14E78E" w14:textId="77777777" w:rsidR="00AE77DE" w:rsidRPr="005954E3" w:rsidRDefault="00AE77DE" w:rsidP="00AE77DE">
            <w:pPr>
              <w:pStyle w:val="tabletextleft"/>
              <w:jc w:val="right"/>
              <w:rPr>
                <w:szCs w:val="18"/>
              </w:rPr>
            </w:pPr>
          </w:p>
        </w:tc>
      </w:tr>
      <w:tr w:rsidR="00AE77DE" w:rsidRPr="005954E3" w14:paraId="30CF9074" w14:textId="77777777" w:rsidTr="00656EBA">
        <w:trPr>
          <w:trHeight w:val="312"/>
          <w:jc w:val="center"/>
        </w:trPr>
        <w:tc>
          <w:tcPr>
            <w:tcW w:w="3247" w:type="dxa"/>
          </w:tcPr>
          <w:p w14:paraId="33A8C270" w14:textId="77777777" w:rsidR="00AE77DE" w:rsidRPr="005954E3" w:rsidRDefault="00AE77DE" w:rsidP="00AE77DE">
            <w:pPr>
              <w:pStyle w:val="tabletextleft"/>
            </w:pPr>
            <w:r w:rsidRPr="005954E3">
              <w:t>В т.ч: от пенсионни вноски (или социално-осигурителни вноски. ако е релевантно)</w:t>
            </w:r>
          </w:p>
        </w:tc>
        <w:tc>
          <w:tcPr>
            <w:tcW w:w="728" w:type="dxa"/>
            <w:vAlign w:val="center"/>
          </w:tcPr>
          <w:p w14:paraId="6C3817CE" w14:textId="77777777" w:rsidR="00AE77DE" w:rsidRPr="005954E3" w:rsidRDefault="00AE77DE" w:rsidP="00AE77DE">
            <w:pPr>
              <w:pStyle w:val="tabletextleft"/>
              <w:jc w:val="right"/>
              <w:rPr>
                <w:szCs w:val="18"/>
              </w:rPr>
            </w:pPr>
          </w:p>
        </w:tc>
        <w:tc>
          <w:tcPr>
            <w:tcW w:w="729" w:type="dxa"/>
            <w:vAlign w:val="center"/>
          </w:tcPr>
          <w:p w14:paraId="3EF62EB0" w14:textId="77777777" w:rsidR="00AE77DE" w:rsidRPr="005954E3" w:rsidRDefault="00AE77DE" w:rsidP="00AE77DE">
            <w:pPr>
              <w:pStyle w:val="tabletextleft"/>
              <w:jc w:val="right"/>
              <w:rPr>
                <w:szCs w:val="18"/>
              </w:rPr>
            </w:pPr>
          </w:p>
        </w:tc>
        <w:tc>
          <w:tcPr>
            <w:tcW w:w="729" w:type="dxa"/>
            <w:vAlign w:val="center"/>
          </w:tcPr>
          <w:p w14:paraId="0569E6F0" w14:textId="77777777" w:rsidR="00AE77DE" w:rsidRPr="005954E3" w:rsidRDefault="00AE77DE" w:rsidP="00AE77DE">
            <w:pPr>
              <w:pStyle w:val="tabletextleft"/>
              <w:jc w:val="right"/>
              <w:rPr>
                <w:szCs w:val="18"/>
              </w:rPr>
            </w:pPr>
          </w:p>
        </w:tc>
        <w:tc>
          <w:tcPr>
            <w:tcW w:w="729" w:type="dxa"/>
            <w:vAlign w:val="center"/>
          </w:tcPr>
          <w:p w14:paraId="4ACD463A" w14:textId="77777777" w:rsidR="00AE77DE" w:rsidRPr="005954E3" w:rsidRDefault="00AE77DE" w:rsidP="00AE77DE">
            <w:pPr>
              <w:pStyle w:val="tabletextleft"/>
              <w:jc w:val="right"/>
              <w:rPr>
                <w:szCs w:val="18"/>
                <w:highlight w:val="yellow"/>
              </w:rPr>
            </w:pPr>
          </w:p>
        </w:tc>
        <w:tc>
          <w:tcPr>
            <w:tcW w:w="728" w:type="dxa"/>
            <w:vAlign w:val="center"/>
          </w:tcPr>
          <w:p w14:paraId="400BEC06" w14:textId="77777777" w:rsidR="00AE77DE" w:rsidRPr="005954E3" w:rsidRDefault="00AE77DE" w:rsidP="00AE77DE">
            <w:pPr>
              <w:pStyle w:val="tabletextleft"/>
              <w:jc w:val="right"/>
              <w:rPr>
                <w:szCs w:val="18"/>
                <w:highlight w:val="yellow"/>
              </w:rPr>
            </w:pPr>
          </w:p>
        </w:tc>
        <w:tc>
          <w:tcPr>
            <w:tcW w:w="729" w:type="dxa"/>
            <w:vAlign w:val="center"/>
          </w:tcPr>
          <w:p w14:paraId="246A6A90" w14:textId="77777777" w:rsidR="00AE77DE" w:rsidRPr="005954E3" w:rsidRDefault="00AE77DE" w:rsidP="00AE77DE">
            <w:pPr>
              <w:pStyle w:val="tabletextleft"/>
              <w:jc w:val="right"/>
              <w:rPr>
                <w:szCs w:val="18"/>
                <w:highlight w:val="yellow"/>
              </w:rPr>
            </w:pPr>
          </w:p>
        </w:tc>
        <w:tc>
          <w:tcPr>
            <w:tcW w:w="729" w:type="dxa"/>
            <w:vAlign w:val="center"/>
          </w:tcPr>
          <w:p w14:paraId="2186DBA0" w14:textId="77777777" w:rsidR="00AE77DE" w:rsidRPr="005954E3" w:rsidRDefault="00AE77DE" w:rsidP="00AE77DE">
            <w:pPr>
              <w:pStyle w:val="tabletextleft"/>
              <w:jc w:val="right"/>
              <w:rPr>
                <w:szCs w:val="18"/>
                <w:highlight w:val="yellow"/>
              </w:rPr>
            </w:pPr>
          </w:p>
        </w:tc>
        <w:tc>
          <w:tcPr>
            <w:tcW w:w="729" w:type="dxa"/>
            <w:vAlign w:val="center"/>
          </w:tcPr>
          <w:p w14:paraId="4DA43D46" w14:textId="77777777" w:rsidR="00AE77DE" w:rsidRPr="005954E3" w:rsidRDefault="00AE77DE" w:rsidP="00AE77DE">
            <w:pPr>
              <w:pStyle w:val="tabletextleft"/>
              <w:jc w:val="right"/>
              <w:rPr>
                <w:szCs w:val="18"/>
                <w:highlight w:val="yellow"/>
              </w:rPr>
            </w:pPr>
          </w:p>
        </w:tc>
      </w:tr>
      <w:tr w:rsidR="00AE77DE" w:rsidRPr="005954E3" w14:paraId="69834BAD" w14:textId="77777777" w:rsidTr="00656EBA">
        <w:trPr>
          <w:trHeight w:val="312"/>
          <w:jc w:val="center"/>
        </w:trPr>
        <w:tc>
          <w:tcPr>
            <w:tcW w:w="3247" w:type="dxa"/>
          </w:tcPr>
          <w:p w14:paraId="25E58CCE" w14:textId="77777777" w:rsidR="00AE77DE" w:rsidRPr="005954E3" w:rsidRDefault="00AE77DE" w:rsidP="00AE77DE">
            <w:pPr>
              <w:pStyle w:val="tabletextleft"/>
            </w:pPr>
            <w:r w:rsidRPr="005954E3">
              <w:t>Активи на резервни пенсионни фондове</w:t>
            </w:r>
          </w:p>
        </w:tc>
        <w:tc>
          <w:tcPr>
            <w:tcW w:w="728" w:type="dxa"/>
            <w:vAlign w:val="center"/>
          </w:tcPr>
          <w:p w14:paraId="72578C6E" w14:textId="77777777" w:rsidR="00AE77DE" w:rsidRPr="005954E3" w:rsidRDefault="00AE77DE" w:rsidP="00AE77DE">
            <w:pPr>
              <w:pStyle w:val="tabletextleft"/>
              <w:jc w:val="right"/>
              <w:rPr>
                <w:szCs w:val="18"/>
              </w:rPr>
            </w:pPr>
          </w:p>
        </w:tc>
        <w:tc>
          <w:tcPr>
            <w:tcW w:w="729" w:type="dxa"/>
            <w:vAlign w:val="center"/>
          </w:tcPr>
          <w:p w14:paraId="23B350BF" w14:textId="77777777" w:rsidR="00AE77DE" w:rsidRPr="005954E3" w:rsidRDefault="00AE77DE" w:rsidP="00AE77DE">
            <w:pPr>
              <w:pStyle w:val="tabletextleft"/>
              <w:jc w:val="right"/>
              <w:rPr>
                <w:szCs w:val="18"/>
              </w:rPr>
            </w:pPr>
          </w:p>
        </w:tc>
        <w:tc>
          <w:tcPr>
            <w:tcW w:w="729" w:type="dxa"/>
            <w:vAlign w:val="center"/>
          </w:tcPr>
          <w:p w14:paraId="312D81BC" w14:textId="77777777" w:rsidR="00AE77DE" w:rsidRPr="005954E3" w:rsidRDefault="00AE77DE" w:rsidP="00AE77DE">
            <w:pPr>
              <w:pStyle w:val="tabletextleft"/>
              <w:jc w:val="right"/>
              <w:rPr>
                <w:szCs w:val="18"/>
                <w:highlight w:val="yellow"/>
              </w:rPr>
            </w:pPr>
          </w:p>
        </w:tc>
        <w:tc>
          <w:tcPr>
            <w:tcW w:w="729" w:type="dxa"/>
            <w:vAlign w:val="center"/>
          </w:tcPr>
          <w:p w14:paraId="39D6D4AD" w14:textId="77777777" w:rsidR="00AE77DE" w:rsidRPr="005954E3" w:rsidRDefault="00AE77DE" w:rsidP="00AE77DE">
            <w:pPr>
              <w:pStyle w:val="tabletextleft"/>
              <w:jc w:val="right"/>
              <w:rPr>
                <w:szCs w:val="18"/>
                <w:highlight w:val="yellow"/>
              </w:rPr>
            </w:pPr>
          </w:p>
        </w:tc>
        <w:tc>
          <w:tcPr>
            <w:tcW w:w="728" w:type="dxa"/>
            <w:vAlign w:val="center"/>
          </w:tcPr>
          <w:p w14:paraId="01A9C05A" w14:textId="77777777" w:rsidR="00AE77DE" w:rsidRPr="005954E3" w:rsidRDefault="00AE77DE" w:rsidP="00AE77DE">
            <w:pPr>
              <w:pStyle w:val="tabletextleft"/>
              <w:jc w:val="right"/>
              <w:rPr>
                <w:szCs w:val="18"/>
                <w:highlight w:val="yellow"/>
              </w:rPr>
            </w:pPr>
          </w:p>
        </w:tc>
        <w:tc>
          <w:tcPr>
            <w:tcW w:w="729" w:type="dxa"/>
            <w:vAlign w:val="center"/>
          </w:tcPr>
          <w:p w14:paraId="6844E574" w14:textId="77777777" w:rsidR="00AE77DE" w:rsidRPr="005954E3" w:rsidRDefault="00AE77DE" w:rsidP="00AE77DE">
            <w:pPr>
              <w:pStyle w:val="tabletextleft"/>
              <w:jc w:val="right"/>
              <w:rPr>
                <w:szCs w:val="18"/>
                <w:highlight w:val="yellow"/>
              </w:rPr>
            </w:pPr>
          </w:p>
        </w:tc>
        <w:tc>
          <w:tcPr>
            <w:tcW w:w="729" w:type="dxa"/>
            <w:vAlign w:val="center"/>
          </w:tcPr>
          <w:p w14:paraId="36238C27" w14:textId="77777777" w:rsidR="00AE77DE" w:rsidRPr="005954E3" w:rsidRDefault="00AE77DE" w:rsidP="00AE77DE">
            <w:pPr>
              <w:pStyle w:val="tabletextleft"/>
              <w:jc w:val="right"/>
              <w:rPr>
                <w:szCs w:val="18"/>
                <w:highlight w:val="yellow"/>
              </w:rPr>
            </w:pPr>
          </w:p>
        </w:tc>
        <w:tc>
          <w:tcPr>
            <w:tcW w:w="729" w:type="dxa"/>
            <w:vAlign w:val="center"/>
          </w:tcPr>
          <w:p w14:paraId="0CC48086" w14:textId="77777777" w:rsidR="00AE77DE" w:rsidRPr="005954E3" w:rsidRDefault="00AE77DE" w:rsidP="00AE77DE">
            <w:pPr>
              <w:pStyle w:val="tabletextleft"/>
              <w:jc w:val="right"/>
              <w:rPr>
                <w:szCs w:val="18"/>
                <w:highlight w:val="yellow"/>
              </w:rPr>
            </w:pPr>
          </w:p>
        </w:tc>
      </w:tr>
      <w:tr w:rsidR="00AE77DE" w:rsidRPr="005954E3" w14:paraId="437DCB35" w14:textId="77777777" w:rsidTr="00656EBA">
        <w:trPr>
          <w:trHeight w:val="312"/>
          <w:jc w:val="center"/>
        </w:trPr>
        <w:tc>
          <w:tcPr>
            <w:tcW w:w="3247" w:type="dxa"/>
          </w:tcPr>
          <w:p w14:paraId="6CFB121F" w14:textId="77777777" w:rsidR="00AE77DE" w:rsidRPr="005954E3" w:rsidRDefault="00AE77DE" w:rsidP="00AE77DE">
            <w:pPr>
              <w:pStyle w:val="tabletextleft"/>
            </w:pPr>
            <w:r w:rsidRPr="005954E3">
              <w:t xml:space="preserve">В т.ч.: консолидирани активи на публичните пенсионни фондове </w:t>
            </w:r>
          </w:p>
          <w:p w14:paraId="76F32D23" w14:textId="77777777" w:rsidR="00AE77DE" w:rsidRPr="005954E3" w:rsidRDefault="00AE77DE" w:rsidP="00AE77DE">
            <w:pPr>
              <w:pStyle w:val="tabletextleft"/>
            </w:pPr>
            <w:r w:rsidRPr="005954E3">
              <w:t>(без държавни облигации)</w:t>
            </w:r>
          </w:p>
        </w:tc>
        <w:tc>
          <w:tcPr>
            <w:tcW w:w="728" w:type="dxa"/>
            <w:vAlign w:val="center"/>
          </w:tcPr>
          <w:p w14:paraId="6A179DE9" w14:textId="77777777" w:rsidR="00AE77DE" w:rsidRPr="005954E3" w:rsidRDefault="00AE77DE" w:rsidP="00AE77DE">
            <w:pPr>
              <w:pStyle w:val="tabletextleft"/>
              <w:jc w:val="right"/>
              <w:rPr>
                <w:szCs w:val="18"/>
              </w:rPr>
            </w:pPr>
          </w:p>
        </w:tc>
        <w:tc>
          <w:tcPr>
            <w:tcW w:w="729" w:type="dxa"/>
            <w:vAlign w:val="center"/>
          </w:tcPr>
          <w:p w14:paraId="2711D9C6" w14:textId="77777777" w:rsidR="00AE77DE" w:rsidRPr="005954E3" w:rsidRDefault="00AE77DE" w:rsidP="00AE77DE">
            <w:pPr>
              <w:pStyle w:val="tabletextleft"/>
              <w:jc w:val="right"/>
              <w:rPr>
                <w:szCs w:val="18"/>
              </w:rPr>
            </w:pPr>
          </w:p>
        </w:tc>
        <w:tc>
          <w:tcPr>
            <w:tcW w:w="729" w:type="dxa"/>
            <w:vAlign w:val="center"/>
          </w:tcPr>
          <w:p w14:paraId="72DC4A82" w14:textId="77777777" w:rsidR="00AE77DE" w:rsidRPr="005954E3" w:rsidRDefault="00AE77DE" w:rsidP="00AE77DE">
            <w:pPr>
              <w:pStyle w:val="tabletextleft"/>
              <w:jc w:val="right"/>
              <w:rPr>
                <w:szCs w:val="18"/>
                <w:highlight w:val="yellow"/>
              </w:rPr>
            </w:pPr>
          </w:p>
        </w:tc>
        <w:tc>
          <w:tcPr>
            <w:tcW w:w="729" w:type="dxa"/>
            <w:vAlign w:val="center"/>
          </w:tcPr>
          <w:p w14:paraId="0823454E" w14:textId="77777777" w:rsidR="00AE77DE" w:rsidRPr="005954E3" w:rsidRDefault="00AE77DE" w:rsidP="00AE77DE">
            <w:pPr>
              <w:pStyle w:val="tabletextleft"/>
              <w:jc w:val="right"/>
              <w:rPr>
                <w:szCs w:val="18"/>
                <w:highlight w:val="yellow"/>
              </w:rPr>
            </w:pPr>
          </w:p>
        </w:tc>
        <w:tc>
          <w:tcPr>
            <w:tcW w:w="728" w:type="dxa"/>
            <w:vAlign w:val="center"/>
          </w:tcPr>
          <w:p w14:paraId="4C26805A" w14:textId="77777777" w:rsidR="00AE77DE" w:rsidRPr="005954E3" w:rsidRDefault="00AE77DE" w:rsidP="00AE77DE">
            <w:pPr>
              <w:pStyle w:val="tabletextleft"/>
              <w:jc w:val="right"/>
              <w:rPr>
                <w:szCs w:val="18"/>
                <w:highlight w:val="yellow"/>
              </w:rPr>
            </w:pPr>
          </w:p>
        </w:tc>
        <w:tc>
          <w:tcPr>
            <w:tcW w:w="729" w:type="dxa"/>
            <w:vAlign w:val="center"/>
          </w:tcPr>
          <w:p w14:paraId="7C16CD51" w14:textId="77777777" w:rsidR="00AE77DE" w:rsidRPr="005954E3" w:rsidRDefault="00AE77DE" w:rsidP="00AE77DE">
            <w:pPr>
              <w:pStyle w:val="tabletextleft"/>
              <w:jc w:val="right"/>
              <w:rPr>
                <w:szCs w:val="18"/>
                <w:highlight w:val="yellow"/>
              </w:rPr>
            </w:pPr>
          </w:p>
        </w:tc>
        <w:tc>
          <w:tcPr>
            <w:tcW w:w="729" w:type="dxa"/>
            <w:vAlign w:val="center"/>
          </w:tcPr>
          <w:p w14:paraId="11CF875A" w14:textId="77777777" w:rsidR="00AE77DE" w:rsidRPr="005954E3" w:rsidRDefault="00AE77DE" w:rsidP="00AE77DE">
            <w:pPr>
              <w:pStyle w:val="tabletextleft"/>
              <w:jc w:val="right"/>
              <w:rPr>
                <w:szCs w:val="18"/>
                <w:highlight w:val="yellow"/>
              </w:rPr>
            </w:pPr>
          </w:p>
        </w:tc>
        <w:tc>
          <w:tcPr>
            <w:tcW w:w="729" w:type="dxa"/>
            <w:vAlign w:val="center"/>
          </w:tcPr>
          <w:p w14:paraId="618842F6" w14:textId="77777777" w:rsidR="00AE77DE" w:rsidRPr="005954E3" w:rsidRDefault="00AE77DE" w:rsidP="00AE77DE">
            <w:pPr>
              <w:pStyle w:val="tabletextleft"/>
              <w:jc w:val="right"/>
              <w:rPr>
                <w:szCs w:val="18"/>
                <w:highlight w:val="yellow"/>
              </w:rPr>
            </w:pPr>
          </w:p>
        </w:tc>
      </w:tr>
      <w:tr w:rsidR="00AE77DE" w:rsidRPr="005954E3" w14:paraId="5855588C" w14:textId="77777777" w:rsidTr="00656EBA">
        <w:trPr>
          <w:trHeight w:val="312"/>
          <w:jc w:val="center"/>
        </w:trPr>
        <w:tc>
          <w:tcPr>
            <w:tcW w:w="9077" w:type="dxa"/>
            <w:gridSpan w:val="9"/>
            <w:vAlign w:val="center"/>
          </w:tcPr>
          <w:p w14:paraId="4BE9830D" w14:textId="77777777" w:rsidR="00AE77DE" w:rsidRPr="005954E3" w:rsidRDefault="00AE77DE" w:rsidP="00AE77DE">
            <w:pPr>
              <w:pStyle w:val="tabletextleft"/>
              <w:jc w:val="right"/>
              <w:rPr>
                <w:szCs w:val="18"/>
              </w:rPr>
            </w:pPr>
          </w:p>
        </w:tc>
      </w:tr>
      <w:tr w:rsidR="00AE77DE" w:rsidRPr="005954E3" w14:paraId="0F140484" w14:textId="77777777" w:rsidTr="00656EBA">
        <w:trPr>
          <w:trHeight w:val="312"/>
          <w:jc w:val="center"/>
        </w:trPr>
        <w:tc>
          <w:tcPr>
            <w:tcW w:w="3247" w:type="dxa"/>
          </w:tcPr>
          <w:p w14:paraId="5D32CFFE" w14:textId="77777777" w:rsidR="00AE77DE" w:rsidRPr="005954E3" w:rsidRDefault="00AE77DE" w:rsidP="00AE77DE">
            <w:pPr>
              <w:pStyle w:val="tabletextleft"/>
            </w:pPr>
            <w:r w:rsidRPr="005954E3">
              <w:t>Социално-осигурителни вноски. насочени към задължително допълнително пенсионно осигуряване</w:t>
            </w:r>
            <w:r w:rsidRPr="005954E3">
              <w:rPr>
                <w:vertAlign w:val="superscript"/>
              </w:rPr>
              <w:footnoteReference w:id="51"/>
            </w:r>
          </w:p>
        </w:tc>
        <w:tc>
          <w:tcPr>
            <w:tcW w:w="728" w:type="dxa"/>
            <w:vAlign w:val="center"/>
          </w:tcPr>
          <w:p w14:paraId="01623B03" w14:textId="77777777" w:rsidR="00AE77DE" w:rsidRPr="005954E3" w:rsidRDefault="00AE77DE" w:rsidP="00AE77DE">
            <w:pPr>
              <w:pStyle w:val="tabletextleft"/>
              <w:jc w:val="right"/>
              <w:rPr>
                <w:szCs w:val="18"/>
              </w:rPr>
            </w:pPr>
          </w:p>
        </w:tc>
        <w:tc>
          <w:tcPr>
            <w:tcW w:w="729" w:type="dxa"/>
            <w:vAlign w:val="center"/>
          </w:tcPr>
          <w:p w14:paraId="307E9F9B" w14:textId="77777777" w:rsidR="00AE77DE" w:rsidRPr="005954E3" w:rsidRDefault="00AE77DE" w:rsidP="00AE77DE">
            <w:pPr>
              <w:pStyle w:val="tabletextleft"/>
              <w:jc w:val="right"/>
              <w:rPr>
                <w:szCs w:val="18"/>
              </w:rPr>
            </w:pPr>
          </w:p>
        </w:tc>
        <w:tc>
          <w:tcPr>
            <w:tcW w:w="729" w:type="dxa"/>
            <w:vAlign w:val="center"/>
          </w:tcPr>
          <w:p w14:paraId="04BDDC06" w14:textId="77777777" w:rsidR="00AE77DE" w:rsidRPr="005954E3" w:rsidRDefault="00AE77DE" w:rsidP="00AE77DE">
            <w:pPr>
              <w:pStyle w:val="tabletextleft"/>
              <w:jc w:val="right"/>
              <w:rPr>
                <w:szCs w:val="18"/>
              </w:rPr>
            </w:pPr>
          </w:p>
        </w:tc>
        <w:tc>
          <w:tcPr>
            <w:tcW w:w="729" w:type="dxa"/>
            <w:vAlign w:val="center"/>
          </w:tcPr>
          <w:p w14:paraId="02AE8193" w14:textId="77777777" w:rsidR="00AE77DE" w:rsidRPr="005954E3" w:rsidRDefault="00AE77DE" w:rsidP="00AE77DE">
            <w:pPr>
              <w:pStyle w:val="tabletextleft"/>
              <w:jc w:val="right"/>
              <w:rPr>
                <w:szCs w:val="18"/>
              </w:rPr>
            </w:pPr>
          </w:p>
        </w:tc>
        <w:tc>
          <w:tcPr>
            <w:tcW w:w="728" w:type="dxa"/>
            <w:vAlign w:val="center"/>
          </w:tcPr>
          <w:p w14:paraId="7BADA6BF" w14:textId="77777777" w:rsidR="00AE77DE" w:rsidRPr="005954E3" w:rsidRDefault="00AE77DE" w:rsidP="00AE77DE">
            <w:pPr>
              <w:pStyle w:val="tabletextleft"/>
              <w:jc w:val="right"/>
              <w:rPr>
                <w:szCs w:val="18"/>
              </w:rPr>
            </w:pPr>
          </w:p>
        </w:tc>
        <w:tc>
          <w:tcPr>
            <w:tcW w:w="729" w:type="dxa"/>
            <w:vAlign w:val="center"/>
          </w:tcPr>
          <w:p w14:paraId="4FE2FABE" w14:textId="77777777" w:rsidR="00AE77DE" w:rsidRPr="005954E3" w:rsidRDefault="00AE77DE" w:rsidP="00AE77DE">
            <w:pPr>
              <w:pStyle w:val="tabletextleft"/>
              <w:jc w:val="right"/>
              <w:rPr>
                <w:szCs w:val="18"/>
              </w:rPr>
            </w:pPr>
          </w:p>
        </w:tc>
        <w:tc>
          <w:tcPr>
            <w:tcW w:w="729" w:type="dxa"/>
            <w:vAlign w:val="center"/>
          </w:tcPr>
          <w:p w14:paraId="51BA1BDF" w14:textId="77777777" w:rsidR="00AE77DE" w:rsidRPr="005954E3" w:rsidRDefault="00AE77DE" w:rsidP="00AE77DE">
            <w:pPr>
              <w:pStyle w:val="tabletextleft"/>
              <w:jc w:val="right"/>
              <w:rPr>
                <w:szCs w:val="18"/>
              </w:rPr>
            </w:pPr>
          </w:p>
        </w:tc>
        <w:tc>
          <w:tcPr>
            <w:tcW w:w="729" w:type="dxa"/>
            <w:vAlign w:val="center"/>
          </w:tcPr>
          <w:p w14:paraId="6BCC1379" w14:textId="77777777" w:rsidR="00AE77DE" w:rsidRPr="005954E3" w:rsidRDefault="00AE77DE" w:rsidP="00AE77DE">
            <w:pPr>
              <w:pStyle w:val="tabletextleft"/>
              <w:jc w:val="right"/>
              <w:rPr>
                <w:szCs w:val="18"/>
              </w:rPr>
            </w:pPr>
          </w:p>
        </w:tc>
      </w:tr>
      <w:tr w:rsidR="00AE77DE" w:rsidRPr="005954E3" w14:paraId="7BF20D1D" w14:textId="77777777" w:rsidTr="00656EBA">
        <w:trPr>
          <w:trHeight w:val="312"/>
          <w:jc w:val="center"/>
        </w:trPr>
        <w:tc>
          <w:tcPr>
            <w:tcW w:w="3247" w:type="dxa"/>
          </w:tcPr>
          <w:p w14:paraId="0DFE03AA" w14:textId="77777777" w:rsidR="00AE77DE" w:rsidRPr="005954E3" w:rsidRDefault="00AE77DE" w:rsidP="00AE77DE">
            <w:pPr>
              <w:pStyle w:val="tabletextleft"/>
            </w:pPr>
            <w:r w:rsidRPr="005954E3">
              <w:t>Разходи за пенсии на задължително допълнително пенсионно осигуряване</w:t>
            </w:r>
            <w:r w:rsidRPr="005954E3">
              <w:rPr>
                <w:vertAlign w:val="superscript"/>
              </w:rPr>
              <w:footnoteReference w:id="52"/>
            </w:r>
          </w:p>
        </w:tc>
        <w:tc>
          <w:tcPr>
            <w:tcW w:w="728" w:type="dxa"/>
            <w:vAlign w:val="center"/>
          </w:tcPr>
          <w:p w14:paraId="64DF3DB6" w14:textId="77777777" w:rsidR="00AE77DE" w:rsidRPr="005954E3" w:rsidRDefault="00AE77DE" w:rsidP="00AE77DE">
            <w:pPr>
              <w:pStyle w:val="tabletextleft"/>
              <w:jc w:val="right"/>
              <w:rPr>
                <w:szCs w:val="18"/>
              </w:rPr>
            </w:pPr>
          </w:p>
        </w:tc>
        <w:tc>
          <w:tcPr>
            <w:tcW w:w="729" w:type="dxa"/>
            <w:vAlign w:val="center"/>
          </w:tcPr>
          <w:p w14:paraId="634F6EB8" w14:textId="77777777" w:rsidR="00AE77DE" w:rsidRPr="005954E3" w:rsidRDefault="00AE77DE" w:rsidP="00AE77DE">
            <w:pPr>
              <w:pStyle w:val="tabletextleft"/>
              <w:jc w:val="right"/>
              <w:rPr>
                <w:szCs w:val="18"/>
              </w:rPr>
            </w:pPr>
          </w:p>
        </w:tc>
        <w:tc>
          <w:tcPr>
            <w:tcW w:w="729" w:type="dxa"/>
            <w:vAlign w:val="center"/>
          </w:tcPr>
          <w:p w14:paraId="79576F7E" w14:textId="77777777" w:rsidR="00AE77DE" w:rsidRPr="005954E3" w:rsidRDefault="00AE77DE" w:rsidP="00AE77DE">
            <w:pPr>
              <w:pStyle w:val="tabletextleft"/>
              <w:jc w:val="right"/>
              <w:rPr>
                <w:szCs w:val="18"/>
              </w:rPr>
            </w:pPr>
          </w:p>
        </w:tc>
        <w:tc>
          <w:tcPr>
            <w:tcW w:w="729" w:type="dxa"/>
            <w:vAlign w:val="center"/>
          </w:tcPr>
          <w:p w14:paraId="2A5D2F22" w14:textId="77777777" w:rsidR="00AE77DE" w:rsidRPr="005954E3" w:rsidRDefault="00AE77DE" w:rsidP="00AE77DE">
            <w:pPr>
              <w:pStyle w:val="tabletextleft"/>
              <w:jc w:val="right"/>
              <w:rPr>
                <w:szCs w:val="18"/>
              </w:rPr>
            </w:pPr>
          </w:p>
        </w:tc>
        <w:tc>
          <w:tcPr>
            <w:tcW w:w="728" w:type="dxa"/>
            <w:vAlign w:val="center"/>
          </w:tcPr>
          <w:p w14:paraId="53E5F6A7" w14:textId="77777777" w:rsidR="00AE77DE" w:rsidRPr="005954E3" w:rsidRDefault="00AE77DE" w:rsidP="00AE77DE">
            <w:pPr>
              <w:pStyle w:val="tabletextleft"/>
              <w:jc w:val="right"/>
              <w:rPr>
                <w:szCs w:val="18"/>
              </w:rPr>
            </w:pPr>
          </w:p>
        </w:tc>
        <w:tc>
          <w:tcPr>
            <w:tcW w:w="729" w:type="dxa"/>
            <w:vAlign w:val="center"/>
          </w:tcPr>
          <w:p w14:paraId="38345390" w14:textId="77777777" w:rsidR="00AE77DE" w:rsidRPr="005954E3" w:rsidRDefault="00AE77DE" w:rsidP="00AE77DE">
            <w:pPr>
              <w:pStyle w:val="tabletextleft"/>
              <w:jc w:val="right"/>
              <w:rPr>
                <w:szCs w:val="18"/>
              </w:rPr>
            </w:pPr>
          </w:p>
        </w:tc>
        <w:tc>
          <w:tcPr>
            <w:tcW w:w="729" w:type="dxa"/>
            <w:vAlign w:val="center"/>
          </w:tcPr>
          <w:p w14:paraId="4A768E8F" w14:textId="77777777" w:rsidR="00AE77DE" w:rsidRPr="005954E3" w:rsidRDefault="00AE77DE" w:rsidP="00AE77DE">
            <w:pPr>
              <w:pStyle w:val="tabletextleft"/>
              <w:jc w:val="right"/>
              <w:rPr>
                <w:szCs w:val="18"/>
              </w:rPr>
            </w:pPr>
          </w:p>
        </w:tc>
        <w:tc>
          <w:tcPr>
            <w:tcW w:w="729" w:type="dxa"/>
            <w:vAlign w:val="center"/>
          </w:tcPr>
          <w:p w14:paraId="4147D639" w14:textId="77777777" w:rsidR="00AE77DE" w:rsidRPr="005954E3" w:rsidRDefault="00AE77DE" w:rsidP="00AE77DE">
            <w:pPr>
              <w:pStyle w:val="tabletextleft"/>
              <w:jc w:val="right"/>
              <w:rPr>
                <w:szCs w:val="18"/>
              </w:rPr>
            </w:pPr>
          </w:p>
        </w:tc>
      </w:tr>
      <w:tr w:rsidR="00AE77DE" w:rsidRPr="005954E3" w14:paraId="3A3CBC11" w14:textId="77777777" w:rsidTr="00656EBA">
        <w:trPr>
          <w:trHeight w:val="312"/>
          <w:jc w:val="center"/>
        </w:trPr>
        <w:tc>
          <w:tcPr>
            <w:tcW w:w="9077" w:type="dxa"/>
            <w:gridSpan w:val="9"/>
            <w:vAlign w:val="center"/>
          </w:tcPr>
          <w:p w14:paraId="0FEE0B86" w14:textId="77777777" w:rsidR="00AE77DE" w:rsidRPr="005954E3" w:rsidRDefault="00AE77DE" w:rsidP="00AE77DE">
            <w:pPr>
              <w:pStyle w:val="tabletextleft"/>
              <w:jc w:val="right"/>
              <w:rPr>
                <w:szCs w:val="18"/>
              </w:rPr>
            </w:pPr>
          </w:p>
        </w:tc>
      </w:tr>
      <w:tr w:rsidR="005602EA" w:rsidRPr="005954E3" w14:paraId="1EAF5D35" w14:textId="77777777" w:rsidTr="00656EBA">
        <w:trPr>
          <w:trHeight w:val="312"/>
          <w:jc w:val="center"/>
        </w:trPr>
        <w:tc>
          <w:tcPr>
            <w:tcW w:w="3247" w:type="dxa"/>
          </w:tcPr>
          <w:p w14:paraId="4707AE58" w14:textId="77777777" w:rsidR="005602EA" w:rsidRPr="005954E3" w:rsidRDefault="005602EA" w:rsidP="005602EA">
            <w:pPr>
              <w:pStyle w:val="tabletextleft"/>
            </w:pPr>
            <w:r w:rsidRPr="005954E3">
              <w:t>Растеж на производителността на труда</w:t>
            </w:r>
            <w:r w:rsidRPr="005954E3">
              <w:rPr>
                <w:rStyle w:val="FootnoteReference"/>
              </w:rPr>
              <w:footnoteReference w:id="53"/>
            </w:r>
          </w:p>
        </w:tc>
        <w:tc>
          <w:tcPr>
            <w:tcW w:w="728" w:type="dxa"/>
            <w:vAlign w:val="bottom"/>
          </w:tcPr>
          <w:p w14:paraId="0CB83B77" w14:textId="2E878D72" w:rsidR="005602EA" w:rsidRPr="005954E3" w:rsidRDefault="005602EA" w:rsidP="005602EA">
            <w:pPr>
              <w:pStyle w:val="tabletextleft"/>
              <w:jc w:val="right"/>
              <w:rPr>
                <w:szCs w:val="18"/>
              </w:rPr>
            </w:pPr>
            <w:r w:rsidRPr="00C933F4">
              <w:rPr>
                <w:szCs w:val="18"/>
              </w:rPr>
              <w:t>1.9</w:t>
            </w:r>
          </w:p>
        </w:tc>
        <w:tc>
          <w:tcPr>
            <w:tcW w:w="729" w:type="dxa"/>
            <w:vAlign w:val="bottom"/>
          </w:tcPr>
          <w:p w14:paraId="12CE0160" w14:textId="30CCA744" w:rsidR="005602EA" w:rsidRPr="005954E3" w:rsidRDefault="005602EA" w:rsidP="005602EA">
            <w:pPr>
              <w:pStyle w:val="tabletextleft"/>
              <w:jc w:val="right"/>
              <w:rPr>
                <w:szCs w:val="18"/>
              </w:rPr>
            </w:pPr>
            <w:r w:rsidRPr="00C933F4">
              <w:rPr>
                <w:szCs w:val="18"/>
              </w:rPr>
              <w:t>8.2</w:t>
            </w:r>
          </w:p>
        </w:tc>
        <w:tc>
          <w:tcPr>
            <w:tcW w:w="729" w:type="dxa"/>
            <w:vAlign w:val="bottom"/>
          </w:tcPr>
          <w:p w14:paraId="04177BBF" w14:textId="5E0D91A4" w:rsidR="005602EA" w:rsidRPr="005954E3" w:rsidRDefault="005602EA" w:rsidP="005602EA">
            <w:pPr>
              <w:pStyle w:val="tabletextleft"/>
              <w:jc w:val="right"/>
              <w:rPr>
                <w:szCs w:val="18"/>
              </w:rPr>
            </w:pPr>
            <w:r w:rsidRPr="00C933F4">
              <w:rPr>
                <w:szCs w:val="18"/>
              </w:rPr>
              <w:t>-0.5</w:t>
            </w:r>
          </w:p>
        </w:tc>
        <w:tc>
          <w:tcPr>
            <w:tcW w:w="729" w:type="dxa"/>
            <w:vAlign w:val="bottom"/>
          </w:tcPr>
          <w:p w14:paraId="13F306E3" w14:textId="158DFEE5" w:rsidR="005602EA" w:rsidRPr="005954E3" w:rsidRDefault="005602EA" w:rsidP="005602EA">
            <w:pPr>
              <w:pStyle w:val="tabletextleft"/>
              <w:jc w:val="right"/>
              <w:rPr>
                <w:szCs w:val="18"/>
              </w:rPr>
            </w:pPr>
            <w:r w:rsidRPr="00C933F4">
              <w:rPr>
                <w:szCs w:val="18"/>
              </w:rPr>
              <w:t>3.0</w:t>
            </w:r>
          </w:p>
        </w:tc>
        <w:tc>
          <w:tcPr>
            <w:tcW w:w="728" w:type="dxa"/>
            <w:vAlign w:val="bottom"/>
          </w:tcPr>
          <w:p w14:paraId="6D5BE44A" w14:textId="3939EF44" w:rsidR="005602EA" w:rsidRPr="005954E3" w:rsidRDefault="005602EA" w:rsidP="005602EA">
            <w:pPr>
              <w:pStyle w:val="tabletextleft"/>
              <w:jc w:val="right"/>
              <w:rPr>
                <w:szCs w:val="18"/>
              </w:rPr>
            </w:pPr>
            <w:r w:rsidRPr="00C933F4">
              <w:rPr>
                <w:szCs w:val="18"/>
              </w:rPr>
              <w:t>2.3</w:t>
            </w:r>
          </w:p>
        </w:tc>
        <w:tc>
          <w:tcPr>
            <w:tcW w:w="729" w:type="dxa"/>
            <w:vAlign w:val="bottom"/>
          </w:tcPr>
          <w:p w14:paraId="7951E311" w14:textId="643C4009" w:rsidR="005602EA" w:rsidRPr="005954E3" w:rsidRDefault="005602EA" w:rsidP="005602EA">
            <w:pPr>
              <w:pStyle w:val="tabletextleft"/>
              <w:jc w:val="right"/>
              <w:rPr>
                <w:szCs w:val="18"/>
              </w:rPr>
            </w:pPr>
            <w:r w:rsidRPr="00C933F4">
              <w:rPr>
                <w:szCs w:val="18"/>
              </w:rPr>
              <w:t>2.2</w:t>
            </w:r>
          </w:p>
        </w:tc>
        <w:tc>
          <w:tcPr>
            <w:tcW w:w="729" w:type="dxa"/>
            <w:vAlign w:val="bottom"/>
          </w:tcPr>
          <w:p w14:paraId="5580EA80" w14:textId="7BC6AEE8" w:rsidR="005602EA" w:rsidRPr="005954E3" w:rsidRDefault="005602EA" w:rsidP="005602EA">
            <w:pPr>
              <w:pStyle w:val="tabletextleft"/>
              <w:jc w:val="right"/>
              <w:rPr>
                <w:szCs w:val="18"/>
              </w:rPr>
            </w:pPr>
            <w:r w:rsidRPr="00C933F4">
              <w:rPr>
                <w:szCs w:val="18"/>
              </w:rPr>
              <w:t>1.8</w:t>
            </w:r>
          </w:p>
        </w:tc>
        <w:tc>
          <w:tcPr>
            <w:tcW w:w="729" w:type="dxa"/>
            <w:vAlign w:val="bottom"/>
          </w:tcPr>
          <w:p w14:paraId="4DB11CEC" w14:textId="40CFC6C3" w:rsidR="005602EA" w:rsidRPr="005954E3" w:rsidRDefault="005602EA" w:rsidP="005602EA">
            <w:pPr>
              <w:pStyle w:val="tabletextleft"/>
              <w:jc w:val="right"/>
              <w:rPr>
                <w:szCs w:val="18"/>
              </w:rPr>
            </w:pPr>
            <w:r w:rsidRPr="00C933F4">
              <w:rPr>
                <w:szCs w:val="18"/>
              </w:rPr>
              <w:t>1.5</w:t>
            </w:r>
          </w:p>
        </w:tc>
      </w:tr>
      <w:tr w:rsidR="005602EA" w:rsidRPr="005954E3" w14:paraId="1967DDC4" w14:textId="77777777" w:rsidTr="00656EBA">
        <w:trPr>
          <w:trHeight w:val="312"/>
          <w:jc w:val="center"/>
        </w:trPr>
        <w:tc>
          <w:tcPr>
            <w:tcW w:w="3247" w:type="dxa"/>
          </w:tcPr>
          <w:p w14:paraId="48977B11" w14:textId="77777777" w:rsidR="005602EA" w:rsidRPr="005954E3" w:rsidRDefault="005602EA" w:rsidP="005602EA">
            <w:pPr>
              <w:pStyle w:val="tabletextleft"/>
            </w:pPr>
            <w:r w:rsidRPr="005954E3">
              <w:t>Растеж на реалния БВП</w:t>
            </w:r>
          </w:p>
        </w:tc>
        <w:tc>
          <w:tcPr>
            <w:tcW w:w="728" w:type="dxa"/>
            <w:vAlign w:val="bottom"/>
          </w:tcPr>
          <w:p w14:paraId="76591995" w14:textId="391B9404" w:rsidR="005602EA" w:rsidRPr="005954E3" w:rsidRDefault="005602EA" w:rsidP="005602EA">
            <w:pPr>
              <w:pStyle w:val="tabletextleft"/>
              <w:jc w:val="right"/>
              <w:rPr>
                <w:szCs w:val="18"/>
              </w:rPr>
            </w:pPr>
            <w:r w:rsidRPr="00C933F4">
              <w:rPr>
                <w:szCs w:val="18"/>
              </w:rPr>
              <w:t>6.6</w:t>
            </w:r>
          </w:p>
        </w:tc>
        <w:tc>
          <w:tcPr>
            <w:tcW w:w="729" w:type="dxa"/>
            <w:vAlign w:val="bottom"/>
          </w:tcPr>
          <w:p w14:paraId="5337643C" w14:textId="0A6E6726" w:rsidR="005602EA" w:rsidRPr="005954E3" w:rsidRDefault="005602EA" w:rsidP="005602EA">
            <w:pPr>
              <w:pStyle w:val="tabletextleft"/>
              <w:jc w:val="right"/>
              <w:rPr>
                <w:szCs w:val="18"/>
              </w:rPr>
            </w:pPr>
            <w:r w:rsidRPr="00C933F4">
              <w:rPr>
                <w:szCs w:val="18"/>
              </w:rPr>
              <w:t>1.5</w:t>
            </w:r>
          </w:p>
        </w:tc>
        <w:tc>
          <w:tcPr>
            <w:tcW w:w="729" w:type="dxa"/>
            <w:vAlign w:val="bottom"/>
          </w:tcPr>
          <w:p w14:paraId="0F0D3C6C" w14:textId="39051A3E" w:rsidR="005602EA" w:rsidRPr="005954E3" w:rsidRDefault="005602EA" w:rsidP="005602EA">
            <w:pPr>
              <w:pStyle w:val="tabletextleft"/>
              <w:jc w:val="right"/>
              <w:rPr>
                <w:szCs w:val="18"/>
              </w:rPr>
            </w:pPr>
            <w:r w:rsidRPr="00C933F4">
              <w:rPr>
                <w:szCs w:val="18"/>
              </w:rPr>
              <w:t>-4.0</w:t>
            </w:r>
          </w:p>
        </w:tc>
        <w:tc>
          <w:tcPr>
            <w:tcW w:w="729" w:type="dxa"/>
            <w:vAlign w:val="bottom"/>
          </w:tcPr>
          <w:p w14:paraId="09D3C0EC" w14:textId="271F2896" w:rsidR="005602EA" w:rsidRPr="005954E3" w:rsidRDefault="005602EA" w:rsidP="005602EA">
            <w:pPr>
              <w:pStyle w:val="tabletextleft"/>
              <w:jc w:val="right"/>
              <w:rPr>
                <w:szCs w:val="18"/>
              </w:rPr>
            </w:pPr>
            <w:r w:rsidRPr="00C933F4">
              <w:rPr>
                <w:szCs w:val="18"/>
              </w:rPr>
              <w:t>1.8</w:t>
            </w:r>
          </w:p>
        </w:tc>
        <w:tc>
          <w:tcPr>
            <w:tcW w:w="728" w:type="dxa"/>
            <w:vAlign w:val="bottom"/>
          </w:tcPr>
          <w:p w14:paraId="1B9CCE5E" w14:textId="408032F0" w:rsidR="005602EA" w:rsidRPr="005954E3" w:rsidRDefault="005602EA" w:rsidP="005602EA">
            <w:pPr>
              <w:pStyle w:val="tabletextleft"/>
              <w:jc w:val="right"/>
              <w:rPr>
                <w:szCs w:val="18"/>
              </w:rPr>
            </w:pPr>
            <w:r w:rsidRPr="00C933F4">
              <w:rPr>
                <w:szCs w:val="18"/>
              </w:rPr>
              <w:t>1.2</w:t>
            </w:r>
          </w:p>
        </w:tc>
        <w:tc>
          <w:tcPr>
            <w:tcW w:w="729" w:type="dxa"/>
            <w:vAlign w:val="bottom"/>
          </w:tcPr>
          <w:p w14:paraId="69A59B34" w14:textId="51641898" w:rsidR="005602EA" w:rsidRPr="005954E3" w:rsidRDefault="005602EA" w:rsidP="005602EA">
            <w:pPr>
              <w:pStyle w:val="tabletextleft"/>
              <w:jc w:val="right"/>
              <w:rPr>
                <w:szCs w:val="18"/>
              </w:rPr>
            </w:pPr>
            <w:r w:rsidRPr="00C933F4">
              <w:rPr>
                <w:szCs w:val="18"/>
              </w:rPr>
              <w:t>1.0</w:t>
            </w:r>
          </w:p>
        </w:tc>
        <w:tc>
          <w:tcPr>
            <w:tcW w:w="729" w:type="dxa"/>
            <w:vAlign w:val="bottom"/>
          </w:tcPr>
          <w:p w14:paraId="113FF66E" w14:textId="78BF08E4" w:rsidR="005602EA" w:rsidRPr="005954E3" w:rsidRDefault="005602EA" w:rsidP="005602EA">
            <w:pPr>
              <w:pStyle w:val="tabletextleft"/>
              <w:jc w:val="right"/>
              <w:rPr>
                <w:szCs w:val="18"/>
              </w:rPr>
            </w:pPr>
            <w:r w:rsidRPr="00C933F4">
              <w:rPr>
                <w:szCs w:val="18"/>
              </w:rPr>
              <w:t>1.3</w:t>
            </w:r>
          </w:p>
        </w:tc>
        <w:tc>
          <w:tcPr>
            <w:tcW w:w="729" w:type="dxa"/>
            <w:vAlign w:val="bottom"/>
          </w:tcPr>
          <w:p w14:paraId="5DDD99F3" w14:textId="48CE7ECB" w:rsidR="005602EA" w:rsidRPr="005954E3" w:rsidRDefault="005602EA" w:rsidP="005602EA">
            <w:pPr>
              <w:pStyle w:val="tabletextleft"/>
              <w:jc w:val="right"/>
              <w:rPr>
                <w:szCs w:val="18"/>
              </w:rPr>
            </w:pPr>
            <w:r w:rsidRPr="00C933F4">
              <w:rPr>
                <w:szCs w:val="18"/>
              </w:rPr>
              <w:t>1.3</w:t>
            </w:r>
          </w:p>
        </w:tc>
      </w:tr>
      <w:tr w:rsidR="005602EA" w:rsidRPr="005954E3" w14:paraId="35926086" w14:textId="77777777" w:rsidTr="00656EBA">
        <w:trPr>
          <w:trHeight w:val="312"/>
          <w:jc w:val="center"/>
        </w:trPr>
        <w:tc>
          <w:tcPr>
            <w:tcW w:w="3247" w:type="dxa"/>
          </w:tcPr>
          <w:p w14:paraId="40B35D8D" w14:textId="69AAD391" w:rsidR="005602EA" w:rsidRPr="005954E3" w:rsidRDefault="005602EA" w:rsidP="005602EA">
            <w:pPr>
              <w:pStyle w:val="tabletextleft"/>
            </w:pPr>
            <w:r w:rsidRPr="005954E3">
              <w:t>Коефициент на икономическа активност. мъже (на възраст 20-64</w:t>
            </w:r>
            <w:r w:rsidR="00B552D5">
              <w:t> г.</w:t>
            </w:r>
            <w:r w:rsidRPr="005954E3">
              <w:t>)</w:t>
            </w:r>
          </w:p>
        </w:tc>
        <w:tc>
          <w:tcPr>
            <w:tcW w:w="728" w:type="dxa"/>
            <w:vAlign w:val="bottom"/>
          </w:tcPr>
          <w:p w14:paraId="3C18D0A6" w14:textId="05A4E6A4" w:rsidR="005602EA" w:rsidRPr="005954E3" w:rsidRDefault="005602EA" w:rsidP="005602EA">
            <w:pPr>
              <w:pStyle w:val="tabletextleft"/>
              <w:jc w:val="right"/>
              <w:rPr>
                <w:szCs w:val="18"/>
              </w:rPr>
            </w:pPr>
            <w:r w:rsidRPr="00C933F4">
              <w:rPr>
                <w:szCs w:val="18"/>
              </w:rPr>
              <w:t>78.3</w:t>
            </w:r>
          </w:p>
        </w:tc>
        <w:tc>
          <w:tcPr>
            <w:tcW w:w="729" w:type="dxa"/>
            <w:vAlign w:val="bottom"/>
          </w:tcPr>
          <w:p w14:paraId="1F0955C3" w14:textId="47BA9CA0" w:rsidR="005602EA" w:rsidRPr="005954E3" w:rsidRDefault="005602EA" w:rsidP="005602EA">
            <w:pPr>
              <w:pStyle w:val="tabletextleft"/>
              <w:jc w:val="right"/>
              <w:rPr>
                <w:szCs w:val="18"/>
              </w:rPr>
            </w:pPr>
            <w:r w:rsidRPr="00C933F4">
              <w:rPr>
                <w:szCs w:val="18"/>
              </w:rPr>
              <w:t>76.8</w:t>
            </w:r>
          </w:p>
        </w:tc>
        <w:tc>
          <w:tcPr>
            <w:tcW w:w="729" w:type="dxa"/>
            <w:vAlign w:val="bottom"/>
          </w:tcPr>
          <w:p w14:paraId="442BCB11" w14:textId="6BFEFC98" w:rsidR="005602EA" w:rsidRPr="005954E3" w:rsidRDefault="005602EA" w:rsidP="005602EA">
            <w:pPr>
              <w:pStyle w:val="tabletextleft"/>
              <w:jc w:val="right"/>
              <w:rPr>
                <w:szCs w:val="18"/>
              </w:rPr>
            </w:pPr>
            <w:r w:rsidRPr="00C933F4">
              <w:rPr>
                <w:szCs w:val="18"/>
              </w:rPr>
              <w:t>82.2</w:t>
            </w:r>
          </w:p>
        </w:tc>
        <w:tc>
          <w:tcPr>
            <w:tcW w:w="729" w:type="dxa"/>
            <w:vAlign w:val="bottom"/>
          </w:tcPr>
          <w:p w14:paraId="5F1A31FA" w14:textId="55480F05" w:rsidR="005602EA" w:rsidRPr="005954E3" w:rsidRDefault="005602EA" w:rsidP="005602EA">
            <w:pPr>
              <w:pStyle w:val="tabletextleft"/>
              <w:jc w:val="right"/>
              <w:rPr>
                <w:szCs w:val="18"/>
              </w:rPr>
            </w:pPr>
            <w:r w:rsidRPr="00C933F4">
              <w:rPr>
                <w:szCs w:val="18"/>
              </w:rPr>
              <w:t>86.8</w:t>
            </w:r>
          </w:p>
        </w:tc>
        <w:tc>
          <w:tcPr>
            <w:tcW w:w="728" w:type="dxa"/>
            <w:vAlign w:val="bottom"/>
          </w:tcPr>
          <w:p w14:paraId="0AFC25C1" w14:textId="4CDB018F" w:rsidR="005602EA" w:rsidRPr="005954E3" w:rsidRDefault="005602EA" w:rsidP="005602EA">
            <w:pPr>
              <w:pStyle w:val="tabletextleft"/>
              <w:jc w:val="right"/>
              <w:rPr>
                <w:szCs w:val="18"/>
              </w:rPr>
            </w:pPr>
            <w:r w:rsidRPr="00C933F4">
              <w:rPr>
                <w:szCs w:val="18"/>
              </w:rPr>
              <w:t>86.2</w:t>
            </w:r>
          </w:p>
        </w:tc>
        <w:tc>
          <w:tcPr>
            <w:tcW w:w="729" w:type="dxa"/>
            <w:vAlign w:val="bottom"/>
          </w:tcPr>
          <w:p w14:paraId="0641201A" w14:textId="52052022" w:rsidR="005602EA" w:rsidRPr="005954E3" w:rsidRDefault="005602EA" w:rsidP="005602EA">
            <w:pPr>
              <w:pStyle w:val="tabletextleft"/>
              <w:jc w:val="right"/>
              <w:rPr>
                <w:szCs w:val="18"/>
              </w:rPr>
            </w:pPr>
            <w:r w:rsidRPr="00C933F4">
              <w:rPr>
                <w:szCs w:val="18"/>
              </w:rPr>
              <w:t>87.2</w:t>
            </w:r>
          </w:p>
        </w:tc>
        <w:tc>
          <w:tcPr>
            <w:tcW w:w="729" w:type="dxa"/>
            <w:vAlign w:val="bottom"/>
          </w:tcPr>
          <w:p w14:paraId="0B7947C3" w14:textId="2C08327F" w:rsidR="005602EA" w:rsidRPr="005954E3" w:rsidRDefault="005602EA" w:rsidP="005602EA">
            <w:pPr>
              <w:pStyle w:val="tabletextleft"/>
              <w:jc w:val="right"/>
              <w:rPr>
                <w:szCs w:val="18"/>
              </w:rPr>
            </w:pPr>
            <w:r w:rsidRPr="00C933F4">
              <w:rPr>
                <w:szCs w:val="18"/>
              </w:rPr>
              <w:t>88.6</w:t>
            </w:r>
          </w:p>
        </w:tc>
        <w:tc>
          <w:tcPr>
            <w:tcW w:w="729" w:type="dxa"/>
            <w:vAlign w:val="bottom"/>
          </w:tcPr>
          <w:p w14:paraId="46C2ADCD" w14:textId="1C334244" w:rsidR="005602EA" w:rsidRPr="005954E3" w:rsidRDefault="005602EA" w:rsidP="005602EA">
            <w:pPr>
              <w:pStyle w:val="tabletextleft"/>
              <w:jc w:val="right"/>
              <w:rPr>
                <w:szCs w:val="18"/>
              </w:rPr>
            </w:pPr>
            <w:r w:rsidRPr="00C933F4">
              <w:rPr>
                <w:szCs w:val="18"/>
              </w:rPr>
              <w:t>87.9</w:t>
            </w:r>
          </w:p>
        </w:tc>
      </w:tr>
      <w:tr w:rsidR="005602EA" w:rsidRPr="005954E3" w14:paraId="2C2C2DEB" w14:textId="77777777" w:rsidTr="00656EBA">
        <w:trPr>
          <w:trHeight w:val="312"/>
          <w:jc w:val="center"/>
        </w:trPr>
        <w:tc>
          <w:tcPr>
            <w:tcW w:w="3247" w:type="dxa"/>
          </w:tcPr>
          <w:p w14:paraId="4B8DC05B" w14:textId="1F1294A3" w:rsidR="005602EA" w:rsidRPr="005954E3" w:rsidRDefault="005602EA" w:rsidP="005602EA">
            <w:pPr>
              <w:pStyle w:val="tabletextleft"/>
            </w:pPr>
            <w:r w:rsidRPr="005954E3">
              <w:t>Коефициент на икономическа активност.жени (на възраст 20-64</w:t>
            </w:r>
            <w:r w:rsidR="00B552D5">
              <w:t> г.</w:t>
            </w:r>
            <w:r w:rsidRPr="005954E3">
              <w:t>)</w:t>
            </w:r>
          </w:p>
        </w:tc>
        <w:tc>
          <w:tcPr>
            <w:tcW w:w="728" w:type="dxa"/>
            <w:vAlign w:val="bottom"/>
          </w:tcPr>
          <w:p w14:paraId="18194E6F" w14:textId="1C9FB121" w:rsidR="005602EA" w:rsidRPr="005954E3" w:rsidRDefault="005602EA" w:rsidP="009624B2">
            <w:pPr>
              <w:pStyle w:val="tabletextleft"/>
              <w:jc w:val="right"/>
              <w:rPr>
                <w:szCs w:val="18"/>
              </w:rPr>
            </w:pPr>
            <w:r w:rsidRPr="00C933F4">
              <w:rPr>
                <w:szCs w:val="18"/>
              </w:rPr>
              <w:t>68.</w:t>
            </w:r>
            <w:r w:rsidR="009624B2">
              <w:rPr>
                <w:szCs w:val="18"/>
              </w:rPr>
              <w:t>4</w:t>
            </w:r>
          </w:p>
        </w:tc>
        <w:tc>
          <w:tcPr>
            <w:tcW w:w="729" w:type="dxa"/>
            <w:vAlign w:val="bottom"/>
          </w:tcPr>
          <w:p w14:paraId="1DE2B6F7" w14:textId="5A7F69B0" w:rsidR="005602EA" w:rsidRPr="005954E3" w:rsidRDefault="005602EA" w:rsidP="005602EA">
            <w:pPr>
              <w:pStyle w:val="tabletextleft"/>
              <w:jc w:val="right"/>
              <w:rPr>
                <w:szCs w:val="18"/>
              </w:rPr>
            </w:pPr>
            <w:r w:rsidRPr="00C933F4">
              <w:rPr>
                <w:szCs w:val="18"/>
              </w:rPr>
              <w:t>67.0</w:t>
            </w:r>
          </w:p>
        </w:tc>
        <w:tc>
          <w:tcPr>
            <w:tcW w:w="729" w:type="dxa"/>
            <w:vAlign w:val="bottom"/>
          </w:tcPr>
          <w:p w14:paraId="1D91F5E1" w14:textId="4040CC09" w:rsidR="005602EA" w:rsidRPr="005954E3" w:rsidRDefault="005602EA" w:rsidP="005602EA">
            <w:pPr>
              <w:pStyle w:val="tabletextleft"/>
              <w:jc w:val="right"/>
              <w:rPr>
                <w:szCs w:val="18"/>
              </w:rPr>
            </w:pPr>
            <w:r w:rsidRPr="00C933F4">
              <w:rPr>
                <w:szCs w:val="18"/>
              </w:rPr>
              <w:t>72.4</w:t>
            </w:r>
          </w:p>
        </w:tc>
        <w:tc>
          <w:tcPr>
            <w:tcW w:w="729" w:type="dxa"/>
            <w:vAlign w:val="bottom"/>
          </w:tcPr>
          <w:p w14:paraId="03926B8B" w14:textId="06988A3F" w:rsidR="005602EA" w:rsidRPr="005954E3" w:rsidRDefault="005602EA" w:rsidP="005602EA">
            <w:pPr>
              <w:pStyle w:val="tabletextleft"/>
              <w:jc w:val="right"/>
              <w:rPr>
                <w:szCs w:val="18"/>
              </w:rPr>
            </w:pPr>
            <w:r w:rsidRPr="00C933F4">
              <w:rPr>
                <w:szCs w:val="18"/>
              </w:rPr>
              <w:t>77.7</w:t>
            </w:r>
          </w:p>
        </w:tc>
        <w:tc>
          <w:tcPr>
            <w:tcW w:w="728" w:type="dxa"/>
            <w:vAlign w:val="bottom"/>
          </w:tcPr>
          <w:p w14:paraId="23346CD1" w14:textId="7DB9A8BB" w:rsidR="005602EA" w:rsidRPr="005954E3" w:rsidRDefault="005602EA" w:rsidP="005602EA">
            <w:pPr>
              <w:pStyle w:val="tabletextleft"/>
              <w:jc w:val="right"/>
              <w:rPr>
                <w:szCs w:val="18"/>
              </w:rPr>
            </w:pPr>
            <w:r w:rsidRPr="00C933F4">
              <w:rPr>
                <w:szCs w:val="18"/>
              </w:rPr>
              <w:t>77.7</w:t>
            </w:r>
          </w:p>
        </w:tc>
        <w:tc>
          <w:tcPr>
            <w:tcW w:w="729" w:type="dxa"/>
            <w:vAlign w:val="bottom"/>
          </w:tcPr>
          <w:p w14:paraId="2D3F660B" w14:textId="2C3A8E09" w:rsidR="005602EA" w:rsidRPr="005954E3" w:rsidRDefault="005602EA" w:rsidP="005602EA">
            <w:pPr>
              <w:pStyle w:val="tabletextleft"/>
              <w:jc w:val="right"/>
              <w:rPr>
                <w:szCs w:val="18"/>
              </w:rPr>
            </w:pPr>
            <w:r w:rsidRPr="00C933F4">
              <w:rPr>
                <w:szCs w:val="18"/>
              </w:rPr>
              <w:t>77.8</w:t>
            </w:r>
          </w:p>
        </w:tc>
        <w:tc>
          <w:tcPr>
            <w:tcW w:w="729" w:type="dxa"/>
            <w:vAlign w:val="bottom"/>
          </w:tcPr>
          <w:p w14:paraId="743A7ED9" w14:textId="71D76620" w:rsidR="005602EA" w:rsidRPr="005954E3" w:rsidRDefault="005602EA" w:rsidP="005602EA">
            <w:pPr>
              <w:pStyle w:val="tabletextleft"/>
              <w:jc w:val="right"/>
              <w:rPr>
                <w:szCs w:val="18"/>
              </w:rPr>
            </w:pPr>
            <w:r w:rsidRPr="00C933F4">
              <w:rPr>
                <w:szCs w:val="18"/>
              </w:rPr>
              <w:t>79.4</w:t>
            </w:r>
          </w:p>
        </w:tc>
        <w:tc>
          <w:tcPr>
            <w:tcW w:w="729" w:type="dxa"/>
            <w:vAlign w:val="bottom"/>
          </w:tcPr>
          <w:p w14:paraId="03213649" w14:textId="15A89D8F" w:rsidR="005602EA" w:rsidRPr="005954E3" w:rsidRDefault="005602EA" w:rsidP="005602EA">
            <w:pPr>
              <w:pStyle w:val="tabletextleft"/>
              <w:jc w:val="right"/>
              <w:rPr>
                <w:szCs w:val="18"/>
              </w:rPr>
            </w:pPr>
            <w:r w:rsidRPr="00C933F4">
              <w:rPr>
                <w:szCs w:val="18"/>
              </w:rPr>
              <w:t>78.7</w:t>
            </w:r>
          </w:p>
        </w:tc>
      </w:tr>
      <w:tr w:rsidR="005602EA" w:rsidRPr="005954E3" w14:paraId="08611264" w14:textId="77777777" w:rsidTr="00656EBA">
        <w:trPr>
          <w:trHeight w:val="312"/>
          <w:jc w:val="center"/>
        </w:trPr>
        <w:tc>
          <w:tcPr>
            <w:tcW w:w="3247" w:type="dxa"/>
          </w:tcPr>
          <w:p w14:paraId="35EA47F9" w14:textId="07DE76B2" w:rsidR="005602EA" w:rsidRPr="005954E3" w:rsidRDefault="005602EA" w:rsidP="005602EA">
            <w:pPr>
              <w:pStyle w:val="tabletextleft"/>
            </w:pPr>
            <w:r w:rsidRPr="005954E3">
              <w:t>Коефициент на икономическа активност. общо (на възраст 20-64</w:t>
            </w:r>
            <w:r w:rsidR="00B552D5">
              <w:t> г.</w:t>
            </w:r>
            <w:r w:rsidRPr="005954E3">
              <w:t>)</w:t>
            </w:r>
          </w:p>
        </w:tc>
        <w:tc>
          <w:tcPr>
            <w:tcW w:w="728" w:type="dxa"/>
            <w:vAlign w:val="bottom"/>
          </w:tcPr>
          <w:p w14:paraId="77D7DD64" w14:textId="281CE49E" w:rsidR="005602EA" w:rsidRPr="005954E3" w:rsidRDefault="005602EA" w:rsidP="005602EA">
            <w:pPr>
              <w:pStyle w:val="tabletextleft"/>
              <w:jc w:val="right"/>
              <w:rPr>
                <w:szCs w:val="18"/>
              </w:rPr>
            </w:pPr>
            <w:r w:rsidRPr="00C933F4">
              <w:rPr>
                <w:szCs w:val="18"/>
              </w:rPr>
              <w:t>73.3</w:t>
            </w:r>
          </w:p>
        </w:tc>
        <w:tc>
          <w:tcPr>
            <w:tcW w:w="729" w:type="dxa"/>
            <w:vAlign w:val="bottom"/>
          </w:tcPr>
          <w:p w14:paraId="2F553F8A" w14:textId="4D5A8A88" w:rsidR="005602EA" w:rsidRPr="005954E3" w:rsidRDefault="005602EA" w:rsidP="005602EA">
            <w:pPr>
              <w:pStyle w:val="tabletextleft"/>
              <w:jc w:val="right"/>
              <w:rPr>
                <w:szCs w:val="18"/>
              </w:rPr>
            </w:pPr>
            <w:r w:rsidRPr="00C933F4">
              <w:rPr>
                <w:szCs w:val="18"/>
              </w:rPr>
              <w:t>71.9</w:t>
            </w:r>
          </w:p>
        </w:tc>
        <w:tc>
          <w:tcPr>
            <w:tcW w:w="729" w:type="dxa"/>
            <w:vAlign w:val="bottom"/>
          </w:tcPr>
          <w:p w14:paraId="74734E7F" w14:textId="6D399EB2" w:rsidR="005602EA" w:rsidRPr="005954E3" w:rsidRDefault="005602EA" w:rsidP="005602EA">
            <w:pPr>
              <w:pStyle w:val="tabletextleft"/>
              <w:jc w:val="right"/>
              <w:rPr>
                <w:szCs w:val="18"/>
              </w:rPr>
            </w:pPr>
            <w:r w:rsidRPr="00C933F4">
              <w:rPr>
                <w:szCs w:val="18"/>
              </w:rPr>
              <w:t>77.3</w:t>
            </w:r>
          </w:p>
        </w:tc>
        <w:tc>
          <w:tcPr>
            <w:tcW w:w="729" w:type="dxa"/>
            <w:vAlign w:val="bottom"/>
          </w:tcPr>
          <w:p w14:paraId="06975547" w14:textId="095BE7E6" w:rsidR="005602EA" w:rsidRPr="005954E3" w:rsidRDefault="005602EA" w:rsidP="005602EA">
            <w:pPr>
              <w:pStyle w:val="tabletextleft"/>
              <w:jc w:val="right"/>
              <w:rPr>
                <w:szCs w:val="18"/>
              </w:rPr>
            </w:pPr>
            <w:r w:rsidRPr="00C933F4">
              <w:rPr>
                <w:szCs w:val="18"/>
              </w:rPr>
              <w:t>82.3</w:t>
            </w:r>
          </w:p>
        </w:tc>
        <w:tc>
          <w:tcPr>
            <w:tcW w:w="728" w:type="dxa"/>
            <w:vAlign w:val="bottom"/>
          </w:tcPr>
          <w:p w14:paraId="76AF3113" w14:textId="09934812" w:rsidR="005602EA" w:rsidRPr="005954E3" w:rsidRDefault="005602EA" w:rsidP="005602EA">
            <w:pPr>
              <w:pStyle w:val="tabletextleft"/>
              <w:jc w:val="right"/>
              <w:rPr>
                <w:szCs w:val="18"/>
              </w:rPr>
            </w:pPr>
            <w:r w:rsidRPr="00C933F4">
              <w:rPr>
                <w:szCs w:val="18"/>
              </w:rPr>
              <w:t>82.1</w:t>
            </w:r>
          </w:p>
        </w:tc>
        <w:tc>
          <w:tcPr>
            <w:tcW w:w="729" w:type="dxa"/>
            <w:vAlign w:val="bottom"/>
          </w:tcPr>
          <w:p w14:paraId="39FA8D27" w14:textId="31642353" w:rsidR="005602EA" w:rsidRPr="005954E3" w:rsidRDefault="005602EA" w:rsidP="005602EA">
            <w:pPr>
              <w:pStyle w:val="tabletextleft"/>
              <w:jc w:val="right"/>
              <w:rPr>
                <w:szCs w:val="18"/>
              </w:rPr>
            </w:pPr>
            <w:r w:rsidRPr="00C933F4">
              <w:rPr>
                <w:szCs w:val="18"/>
              </w:rPr>
              <w:t>82.6</w:t>
            </w:r>
          </w:p>
        </w:tc>
        <w:tc>
          <w:tcPr>
            <w:tcW w:w="729" w:type="dxa"/>
            <w:vAlign w:val="bottom"/>
          </w:tcPr>
          <w:p w14:paraId="5C05F6B2" w14:textId="05A0AE1B" w:rsidR="005602EA" w:rsidRPr="005954E3" w:rsidRDefault="005602EA" w:rsidP="005602EA">
            <w:pPr>
              <w:pStyle w:val="tabletextleft"/>
              <w:jc w:val="right"/>
              <w:rPr>
                <w:szCs w:val="18"/>
              </w:rPr>
            </w:pPr>
            <w:r w:rsidRPr="00C933F4">
              <w:rPr>
                <w:szCs w:val="18"/>
              </w:rPr>
              <w:t>84.1</w:t>
            </w:r>
          </w:p>
        </w:tc>
        <w:tc>
          <w:tcPr>
            <w:tcW w:w="729" w:type="dxa"/>
            <w:vAlign w:val="bottom"/>
          </w:tcPr>
          <w:p w14:paraId="6BD5E939" w14:textId="4AA43D80" w:rsidR="005602EA" w:rsidRPr="005954E3" w:rsidRDefault="005602EA" w:rsidP="005602EA">
            <w:pPr>
              <w:pStyle w:val="tabletextleft"/>
              <w:jc w:val="right"/>
              <w:rPr>
                <w:szCs w:val="18"/>
              </w:rPr>
            </w:pPr>
            <w:r w:rsidRPr="00C933F4">
              <w:rPr>
                <w:szCs w:val="18"/>
              </w:rPr>
              <w:t>83.4</w:t>
            </w:r>
          </w:p>
        </w:tc>
      </w:tr>
      <w:tr w:rsidR="005602EA" w:rsidRPr="005954E3" w14:paraId="5D26EC75" w14:textId="77777777" w:rsidTr="00656EBA">
        <w:trPr>
          <w:trHeight w:val="312"/>
          <w:jc w:val="center"/>
        </w:trPr>
        <w:tc>
          <w:tcPr>
            <w:tcW w:w="3247" w:type="dxa"/>
          </w:tcPr>
          <w:p w14:paraId="0F0B4259" w14:textId="43DC0E99" w:rsidR="005602EA" w:rsidRPr="005954E3" w:rsidRDefault="005602EA" w:rsidP="005602EA">
            <w:pPr>
              <w:pStyle w:val="tabletextleft"/>
            </w:pPr>
            <w:r w:rsidRPr="005954E3">
              <w:t>Безработица (%. 15-64</w:t>
            </w:r>
            <w:r w:rsidR="00B552D5">
              <w:t> г.</w:t>
            </w:r>
            <w:r w:rsidRPr="005954E3">
              <w:t>)</w:t>
            </w:r>
          </w:p>
        </w:tc>
        <w:tc>
          <w:tcPr>
            <w:tcW w:w="728" w:type="dxa"/>
            <w:vAlign w:val="bottom"/>
          </w:tcPr>
          <w:p w14:paraId="3DFD16C4" w14:textId="176AE556" w:rsidR="005602EA" w:rsidRPr="005954E3" w:rsidRDefault="005602EA" w:rsidP="005602EA">
            <w:pPr>
              <w:pStyle w:val="tabletextleft"/>
              <w:jc w:val="right"/>
              <w:rPr>
                <w:szCs w:val="18"/>
              </w:rPr>
            </w:pPr>
            <w:r w:rsidRPr="00C933F4">
              <w:rPr>
                <w:szCs w:val="18"/>
              </w:rPr>
              <w:t>6.9</w:t>
            </w:r>
          </w:p>
        </w:tc>
        <w:tc>
          <w:tcPr>
            <w:tcW w:w="729" w:type="dxa"/>
            <w:vAlign w:val="bottom"/>
          </w:tcPr>
          <w:p w14:paraId="315F2D27" w14:textId="5E5E9448" w:rsidR="005602EA" w:rsidRPr="005954E3" w:rsidRDefault="005602EA" w:rsidP="009624B2">
            <w:pPr>
              <w:pStyle w:val="tabletextleft"/>
              <w:jc w:val="right"/>
              <w:rPr>
                <w:szCs w:val="18"/>
              </w:rPr>
            </w:pPr>
            <w:r w:rsidRPr="00C933F4">
              <w:rPr>
                <w:szCs w:val="18"/>
              </w:rPr>
              <w:t>10.</w:t>
            </w:r>
            <w:r w:rsidR="009624B2">
              <w:rPr>
                <w:szCs w:val="18"/>
              </w:rPr>
              <w:t>3</w:t>
            </w:r>
          </w:p>
        </w:tc>
        <w:tc>
          <w:tcPr>
            <w:tcW w:w="729" w:type="dxa"/>
            <w:vAlign w:val="bottom"/>
          </w:tcPr>
          <w:p w14:paraId="2B5403BE" w14:textId="0D0DD2AD" w:rsidR="005602EA" w:rsidRPr="005954E3" w:rsidRDefault="005602EA" w:rsidP="005602EA">
            <w:pPr>
              <w:pStyle w:val="tabletextleft"/>
              <w:jc w:val="right"/>
              <w:rPr>
                <w:szCs w:val="18"/>
              </w:rPr>
            </w:pPr>
            <w:r w:rsidRPr="00C933F4">
              <w:rPr>
                <w:szCs w:val="18"/>
              </w:rPr>
              <w:t>5.1</w:t>
            </w:r>
          </w:p>
        </w:tc>
        <w:tc>
          <w:tcPr>
            <w:tcW w:w="729" w:type="dxa"/>
            <w:vAlign w:val="bottom"/>
          </w:tcPr>
          <w:p w14:paraId="512049F1" w14:textId="5909BE30" w:rsidR="005602EA" w:rsidRPr="005954E3" w:rsidRDefault="005602EA" w:rsidP="005602EA">
            <w:pPr>
              <w:pStyle w:val="tabletextleft"/>
              <w:jc w:val="right"/>
              <w:rPr>
                <w:szCs w:val="18"/>
              </w:rPr>
            </w:pPr>
            <w:r w:rsidRPr="00C933F4">
              <w:rPr>
                <w:szCs w:val="18"/>
              </w:rPr>
              <w:t>4.8</w:t>
            </w:r>
          </w:p>
        </w:tc>
        <w:tc>
          <w:tcPr>
            <w:tcW w:w="728" w:type="dxa"/>
            <w:vAlign w:val="bottom"/>
          </w:tcPr>
          <w:p w14:paraId="5EC18C0C" w14:textId="4B1DD23A" w:rsidR="005602EA" w:rsidRPr="005954E3" w:rsidRDefault="005602EA" w:rsidP="005602EA">
            <w:pPr>
              <w:pStyle w:val="tabletextleft"/>
              <w:jc w:val="right"/>
              <w:rPr>
                <w:szCs w:val="18"/>
              </w:rPr>
            </w:pPr>
            <w:r w:rsidRPr="00C933F4">
              <w:rPr>
                <w:szCs w:val="18"/>
              </w:rPr>
              <w:t>5.3</w:t>
            </w:r>
          </w:p>
        </w:tc>
        <w:tc>
          <w:tcPr>
            <w:tcW w:w="729" w:type="dxa"/>
            <w:vAlign w:val="bottom"/>
          </w:tcPr>
          <w:p w14:paraId="42269EF9" w14:textId="507CE59E" w:rsidR="005602EA" w:rsidRPr="005954E3" w:rsidRDefault="005602EA" w:rsidP="005602EA">
            <w:pPr>
              <w:pStyle w:val="tabletextleft"/>
              <w:jc w:val="right"/>
              <w:rPr>
                <w:szCs w:val="18"/>
              </w:rPr>
            </w:pPr>
            <w:r w:rsidRPr="00C933F4">
              <w:rPr>
                <w:szCs w:val="18"/>
              </w:rPr>
              <w:t>5.3</w:t>
            </w:r>
          </w:p>
        </w:tc>
        <w:tc>
          <w:tcPr>
            <w:tcW w:w="729" w:type="dxa"/>
            <w:vAlign w:val="bottom"/>
          </w:tcPr>
          <w:p w14:paraId="5EAD7E89" w14:textId="27C793D7" w:rsidR="005602EA" w:rsidRPr="005954E3" w:rsidRDefault="005602EA" w:rsidP="005602EA">
            <w:pPr>
              <w:pStyle w:val="tabletextleft"/>
              <w:jc w:val="right"/>
              <w:rPr>
                <w:szCs w:val="18"/>
              </w:rPr>
            </w:pPr>
            <w:r w:rsidRPr="00C933F4">
              <w:rPr>
                <w:szCs w:val="18"/>
              </w:rPr>
              <w:t>5.3</w:t>
            </w:r>
          </w:p>
        </w:tc>
        <w:tc>
          <w:tcPr>
            <w:tcW w:w="729" w:type="dxa"/>
            <w:vAlign w:val="bottom"/>
          </w:tcPr>
          <w:p w14:paraId="40DC43EF" w14:textId="67D7758C" w:rsidR="005602EA" w:rsidRPr="005954E3" w:rsidRDefault="005602EA" w:rsidP="005602EA">
            <w:pPr>
              <w:pStyle w:val="tabletextleft"/>
              <w:jc w:val="right"/>
              <w:rPr>
                <w:szCs w:val="18"/>
              </w:rPr>
            </w:pPr>
            <w:r w:rsidRPr="00C933F4">
              <w:rPr>
                <w:szCs w:val="18"/>
              </w:rPr>
              <w:t>5.3</w:t>
            </w:r>
          </w:p>
        </w:tc>
      </w:tr>
      <w:tr w:rsidR="005602EA" w:rsidRPr="005954E3" w14:paraId="7EE9AF69" w14:textId="77777777" w:rsidTr="00656EBA">
        <w:trPr>
          <w:trHeight w:val="312"/>
          <w:jc w:val="center"/>
        </w:trPr>
        <w:tc>
          <w:tcPr>
            <w:tcW w:w="3247" w:type="dxa"/>
          </w:tcPr>
          <w:p w14:paraId="394A2D08" w14:textId="77777777" w:rsidR="005602EA" w:rsidRPr="005954E3" w:rsidRDefault="005602EA" w:rsidP="005602EA">
            <w:pPr>
              <w:pStyle w:val="tabletextleft"/>
            </w:pPr>
            <w:r w:rsidRPr="005954E3">
              <w:t>Население на възраст 65+ към цялото население</w:t>
            </w:r>
          </w:p>
        </w:tc>
        <w:tc>
          <w:tcPr>
            <w:tcW w:w="728" w:type="dxa"/>
            <w:vAlign w:val="bottom"/>
          </w:tcPr>
          <w:p w14:paraId="6DAE4E4A" w14:textId="6180D9AC" w:rsidR="005602EA" w:rsidRPr="005954E3" w:rsidRDefault="005602EA" w:rsidP="005602EA">
            <w:pPr>
              <w:pStyle w:val="tabletextleft"/>
              <w:jc w:val="right"/>
              <w:rPr>
                <w:szCs w:val="18"/>
              </w:rPr>
            </w:pPr>
            <w:r w:rsidRPr="00C933F4">
              <w:rPr>
                <w:szCs w:val="18"/>
              </w:rPr>
              <w:t>17.8</w:t>
            </w:r>
          </w:p>
        </w:tc>
        <w:tc>
          <w:tcPr>
            <w:tcW w:w="729" w:type="dxa"/>
            <w:vAlign w:val="bottom"/>
          </w:tcPr>
          <w:p w14:paraId="52FE6A89" w14:textId="493DE2F4" w:rsidR="005602EA" w:rsidRPr="005954E3" w:rsidRDefault="005602EA" w:rsidP="005602EA">
            <w:pPr>
              <w:pStyle w:val="tabletextleft"/>
              <w:jc w:val="right"/>
              <w:rPr>
                <w:szCs w:val="18"/>
              </w:rPr>
            </w:pPr>
            <w:r w:rsidRPr="00C933F4">
              <w:rPr>
                <w:szCs w:val="18"/>
              </w:rPr>
              <w:t>18.2</w:t>
            </w:r>
          </w:p>
        </w:tc>
        <w:tc>
          <w:tcPr>
            <w:tcW w:w="729" w:type="dxa"/>
            <w:vAlign w:val="bottom"/>
          </w:tcPr>
          <w:p w14:paraId="0549FB24" w14:textId="21CC0E05" w:rsidR="005602EA" w:rsidRPr="005954E3" w:rsidRDefault="005602EA" w:rsidP="005602EA">
            <w:pPr>
              <w:pStyle w:val="tabletextleft"/>
              <w:jc w:val="right"/>
              <w:rPr>
                <w:szCs w:val="18"/>
              </w:rPr>
            </w:pPr>
            <w:r w:rsidRPr="00C933F4">
              <w:rPr>
                <w:szCs w:val="18"/>
              </w:rPr>
              <w:t>21.6</w:t>
            </w:r>
          </w:p>
        </w:tc>
        <w:tc>
          <w:tcPr>
            <w:tcW w:w="729" w:type="dxa"/>
            <w:vAlign w:val="bottom"/>
          </w:tcPr>
          <w:p w14:paraId="023440BD" w14:textId="13C443F1" w:rsidR="005602EA" w:rsidRPr="005954E3" w:rsidRDefault="005602EA" w:rsidP="005602EA">
            <w:pPr>
              <w:pStyle w:val="tabletextleft"/>
              <w:jc w:val="right"/>
              <w:rPr>
                <w:szCs w:val="18"/>
              </w:rPr>
            </w:pPr>
            <w:r w:rsidRPr="00C933F4">
              <w:rPr>
                <w:szCs w:val="18"/>
              </w:rPr>
              <w:t>23.1</w:t>
            </w:r>
          </w:p>
        </w:tc>
        <w:tc>
          <w:tcPr>
            <w:tcW w:w="728" w:type="dxa"/>
            <w:vAlign w:val="bottom"/>
          </w:tcPr>
          <w:p w14:paraId="29A45007" w14:textId="2325BD4B" w:rsidR="005602EA" w:rsidRPr="005954E3" w:rsidRDefault="005602EA" w:rsidP="005602EA">
            <w:pPr>
              <w:pStyle w:val="tabletextleft"/>
              <w:jc w:val="right"/>
              <w:rPr>
                <w:szCs w:val="18"/>
              </w:rPr>
            </w:pPr>
            <w:r w:rsidRPr="00C933F4">
              <w:rPr>
                <w:szCs w:val="18"/>
              </w:rPr>
              <w:t>26.3</w:t>
            </w:r>
          </w:p>
        </w:tc>
        <w:tc>
          <w:tcPr>
            <w:tcW w:w="729" w:type="dxa"/>
            <w:vAlign w:val="bottom"/>
          </w:tcPr>
          <w:p w14:paraId="1F9EED52" w14:textId="7BF7F998" w:rsidR="005602EA" w:rsidRPr="005954E3" w:rsidRDefault="005602EA" w:rsidP="005602EA">
            <w:pPr>
              <w:pStyle w:val="tabletextleft"/>
              <w:jc w:val="right"/>
              <w:rPr>
                <w:szCs w:val="18"/>
              </w:rPr>
            </w:pPr>
            <w:r w:rsidRPr="00C933F4">
              <w:rPr>
                <w:szCs w:val="18"/>
              </w:rPr>
              <w:t>30.1</w:t>
            </w:r>
          </w:p>
        </w:tc>
        <w:tc>
          <w:tcPr>
            <w:tcW w:w="729" w:type="dxa"/>
            <w:vAlign w:val="bottom"/>
          </w:tcPr>
          <w:p w14:paraId="2F0325ED" w14:textId="774D400C" w:rsidR="005602EA" w:rsidRPr="005954E3" w:rsidRDefault="005602EA" w:rsidP="005602EA">
            <w:pPr>
              <w:pStyle w:val="tabletextleft"/>
              <w:jc w:val="right"/>
              <w:rPr>
                <w:szCs w:val="18"/>
              </w:rPr>
            </w:pPr>
            <w:r w:rsidRPr="00C933F4">
              <w:rPr>
                <w:szCs w:val="18"/>
              </w:rPr>
              <w:t>32.4</w:t>
            </w:r>
          </w:p>
        </w:tc>
        <w:tc>
          <w:tcPr>
            <w:tcW w:w="729" w:type="dxa"/>
            <w:vAlign w:val="bottom"/>
          </w:tcPr>
          <w:p w14:paraId="26D2C559" w14:textId="126A67D3" w:rsidR="005602EA" w:rsidRPr="005954E3" w:rsidRDefault="005602EA" w:rsidP="005602EA">
            <w:pPr>
              <w:pStyle w:val="tabletextleft"/>
              <w:jc w:val="right"/>
              <w:rPr>
                <w:szCs w:val="18"/>
              </w:rPr>
            </w:pPr>
            <w:r w:rsidRPr="00C933F4">
              <w:rPr>
                <w:szCs w:val="18"/>
              </w:rPr>
              <w:t>30.9</w:t>
            </w:r>
          </w:p>
        </w:tc>
      </w:tr>
    </w:tbl>
    <w:p w14:paraId="78A64CA3" w14:textId="3EAAB877" w:rsidR="00007B60" w:rsidRPr="006668E3" w:rsidRDefault="00007B60" w:rsidP="00EE53B2">
      <w:pPr>
        <w:pStyle w:val="Heading2"/>
        <w:numPr>
          <w:ilvl w:val="0"/>
          <w:numId w:val="0"/>
        </w:numPr>
        <w:rPr>
          <w:sz w:val="22"/>
        </w:rPr>
      </w:pPr>
      <w:bookmarkStart w:id="198" w:name="_Toc448227324"/>
      <w:bookmarkStart w:id="199" w:name="_Toc479332475"/>
      <w:r>
        <w:rPr>
          <w:sz w:val="22"/>
        </w:rPr>
        <w:lastRenderedPageBreak/>
        <w:br/>
      </w:r>
      <w:bookmarkStart w:id="200" w:name="_Toc133597305"/>
      <w:r w:rsidRPr="00007B60">
        <w:t>Табл. 7а: Условни задължения</w:t>
      </w:r>
      <w:bookmarkEnd w:id="200"/>
    </w:p>
    <w:tbl>
      <w:tblPr>
        <w:tblStyle w:val="TableGrid1"/>
        <w:tblW w:w="5000"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20" w:firstRow="1" w:lastRow="0" w:firstColumn="0" w:lastColumn="0" w:noHBand="0" w:noVBand="1"/>
      </w:tblPr>
      <w:tblGrid>
        <w:gridCol w:w="4924"/>
        <w:gridCol w:w="2151"/>
        <w:gridCol w:w="1989"/>
      </w:tblGrid>
      <w:tr w:rsidR="00007B60" w:rsidRPr="006668E3" w14:paraId="0C67CC1B" w14:textId="77777777" w:rsidTr="0092591C">
        <w:trPr>
          <w:trHeight w:val="397"/>
        </w:trPr>
        <w:tc>
          <w:tcPr>
            <w:tcW w:w="4922" w:type="dxa"/>
            <w:noWrap/>
            <w:vAlign w:val="center"/>
            <w:hideMark/>
          </w:tcPr>
          <w:p w14:paraId="1ED6F198" w14:textId="77777777" w:rsidR="00007B60" w:rsidRPr="006668E3" w:rsidRDefault="00007B60" w:rsidP="0092591C">
            <w:pPr>
              <w:pStyle w:val="tabletextleft"/>
            </w:pPr>
            <w:r w:rsidRPr="006668E3">
              <w:t>% от БВП</w:t>
            </w:r>
          </w:p>
        </w:tc>
        <w:tc>
          <w:tcPr>
            <w:tcW w:w="2150" w:type="dxa"/>
            <w:noWrap/>
            <w:vAlign w:val="center"/>
            <w:hideMark/>
          </w:tcPr>
          <w:p w14:paraId="36FF08BF" w14:textId="77777777" w:rsidR="00007B60" w:rsidRPr="0092591C" w:rsidRDefault="00007B60" w:rsidP="0092591C">
            <w:pPr>
              <w:pStyle w:val="tabletextleft"/>
              <w:jc w:val="center"/>
              <w:rPr>
                <w:b/>
              </w:rPr>
            </w:pPr>
            <w:r w:rsidRPr="0092591C">
              <w:rPr>
                <w:b/>
              </w:rPr>
              <w:t>2023</w:t>
            </w:r>
          </w:p>
        </w:tc>
        <w:tc>
          <w:tcPr>
            <w:tcW w:w="1988" w:type="dxa"/>
            <w:noWrap/>
            <w:vAlign w:val="center"/>
            <w:hideMark/>
          </w:tcPr>
          <w:p w14:paraId="70FF4786" w14:textId="77777777" w:rsidR="00007B60" w:rsidRPr="0092591C" w:rsidRDefault="00007B60" w:rsidP="0092591C">
            <w:pPr>
              <w:pStyle w:val="tabletextleft"/>
              <w:jc w:val="center"/>
              <w:rPr>
                <w:b/>
              </w:rPr>
            </w:pPr>
            <w:r w:rsidRPr="0092591C">
              <w:rPr>
                <w:b/>
              </w:rPr>
              <w:t>2024</w:t>
            </w:r>
          </w:p>
        </w:tc>
      </w:tr>
      <w:tr w:rsidR="00651480" w:rsidRPr="006668E3" w14:paraId="56E43B11" w14:textId="77777777" w:rsidTr="0092591C">
        <w:trPr>
          <w:trHeight w:val="397"/>
        </w:trPr>
        <w:tc>
          <w:tcPr>
            <w:tcW w:w="4922" w:type="dxa"/>
            <w:noWrap/>
            <w:vAlign w:val="center"/>
            <w:hideMark/>
          </w:tcPr>
          <w:p w14:paraId="050DD4FF" w14:textId="77777777" w:rsidR="00651480" w:rsidRPr="006668E3" w:rsidRDefault="00651480" w:rsidP="0092591C">
            <w:pPr>
              <w:pStyle w:val="tabletextleft"/>
            </w:pPr>
            <w:r w:rsidRPr="006668E3">
              <w:t>Гарантиран дълг на сектор "Държавно управление"</w:t>
            </w:r>
          </w:p>
        </w:tc>
        <w:tc>
          <w:tcPr>
            <w:tcW w:w="2150" w:type="dxa"/>
            <w:noWrap/>
            <w:vAlign w:val="center"/>
          </w:tcPr>
          <w:p w14:paraId="7EB0DC0D" w14:textId="3E9796D3" w:rsidR="00651480" w:rsidRPr="006668E3" w:rsidRDefault="00E72D37" w:rsidP="0092591C">
            <w:pPr>
              <w:pStyle w:val="tabletextleft"/>
              <w:jc w:val="center"/>
            </w:pPr>
            <w:r>
              <w:rPr>
                <w:rFonts w:ascii="Calibri" w:eastAsia="MS Mincho" w:hAnsi="Calibri"/>
                <w:lang w:val="en-US" w:eastAsia="bg-BG"/>
              </w:rPr>
              <w:t>1.</w:t>
            </w:r>
            <w:r w:rsidR="00651480" w:rsidRPr="00694E9E">
              <w:rPr>
                <w:rFonts w:ascii="Calibri" w:eastAsia="MS Mincho" w:hAnsi="Calibri"/>
                <w:lang w:val="en-US" w:eastAsia="bg-BG"/>
              </w:rPr>
              <w:t>3</w:t>
            </w:r>
          </w:p>
        </w:tc>
        <w:tc>
          <w:tcPr>
            <w:tcW w:w="1988" w:type="dxa"/>
            <w:noWrap/>
            <w:vAlign w:val="center"/>
          </w:tcPr>
          <w:p w14:paraId="61F6DF5F" w14:textId="17AB6C71" w:rsidR="00651480" w:rsidRPr="006668E3" w:rsidRDefault="00E72D37" w:rsidP="0092591C">
            <w:pPr>
              <w:pStyle w:val="tabletextleft"/>
              <w:jc w:val="center"/>
            </w:pPr>
            <w:r>
              <w:rPr>
                <w:rFonts w:ascii="Calibri" w:eastAsia="MS Mincho" w:hAnsi="Calibri"/>
                <w:lang w:val="en-US" w:eastAsia="bg-BG"/>
              </w:rPr>
              <w:t>1.</w:t>
            </w:r>
            <w:r w:rsidR="00651480" w:rsidRPr="00694E9E">
              <w:rPr>
                <w:rFonts w:ascii="Calibri" w:eastAsia="MS Mincho" w:hAnsi="Calibri"/>
                <w:lang w:val="en-US" w:eastAsia="bg-BG"/>
              </w:rPr>
              <w:t>2</w:t>
            </w:r>
          </w:p>
        </w:tc>
      </w:tr>
      <w:tr w:rsidR="00651480" w:rsidRPr="006668E3" w14:paraId="45BACB5F" w14:textId="77777777" w:rsidTr="0092591C">
        <w:trPr>
          <w:trHeight w:val="397"/>
        </w:trPr>
        <w:tc>
          <w:tcPr>
            <w:tcW w:w="4922" w:type="dxa"/>
            <w:noWrap/>
            <w:vAlign w:val="center"/>
            <w:hideMark/>
          </w:tcPr>
          <w:p w14:paraId="0CBAE92D" w14:textId="77777777" w:rsidR="00651480" w:rsidRPr="006668E3" w:rsidRDefault="00651480" w:rsidP="0092591C">
            <w:pPr>
              <w:pStyle w:val="tabletextleft"/>
            </w:pPr>
            <w:r w:rsidRPr="006668E3">
              <w:t xml:space="preserve"> От който: свързан с финансовия сектор</w:t>
            </w:r>
          </w:p>
        </w:tc>
        <w:tc>
          <w:tcPr>
            <w:tcW w:w="2150" w:type="dxa"/>
            <w:noWrap/>
            <w:vAlign w:val="center"/>
          </w:tcPr>
          <w:p w14:paraId="79900955" w14:textId="40CE05A2" w:rsidR="00651480" w:rsidRPr="006668E3" w:rsidRDefault="00E72D37" w:rsidP="0092591C">
            <w:pPr>
              <w:pStyle w:val="tabletextleft"/>
              <w:jc w:val="center"/>
            </w:pPr>
            <w:r>
              <w:rPr>
                <w:rFonts w:ascii="Calibri" w:eastAsia="MS Mincho" w:hAnsi="Calibri"/>
                <w:lang w:val="en-US" w:eastAsia="bg-BG"/>
              </w:rPr>
              <w:t>0.</w:t>
            </w:r>
            <w:r w:rsidR="00651480" w:rsidRPr="00694E9E">
              <w:rPr>
                <w:rFonts w:ascii="Calibri" w:eastAsia="MS Mincho" w:hAnsi="Calibri"/>
                <w:lang w:val="en-US" w:eastAsia="bg-BG"/>
              </w:rPr>
              <w:t>4</w:t>
            </w:r>
          </w:p>
        </w:tc>
        <w:tc>
          <w:tcPr>
            <w:tcW w:w="1988" w:type="dxa"/>
            <w:noWrap/>
            <w:vAlign w:val="center"/>
          </w:tcPr>
          <w:p w14:paraId="25C3059B" w14:textId="2E8D5D96" w:rsidR="00651480" w:rsidRPr="006668E3" w:rsidRDefault="00E72D37" w:rsidP="0092591C">
            <w:pPr>
              <w:pStyle w:val="tabletextleft"/>
              <w:jc w:val="center"/>
            </w:pPr>
            <w:r>
              <w:rPr>
                <w:rFonts w:ascii="Calibri" w:eastAsia="MS Mincho" w:hAnsi="Calibri"/>
                <w:lang w:val="en-US" w:eastAsia="bg-BG"/>
              </w:rPr>
              <w:t>0.</w:t>
            </w:r>
            <w:r w:rsidR="00651480" w:rsidRPr="00694E9E">
              <w:rPr>
                <w:rFonts w:ascii="Calibri" w:eastAsia="MS Mincho" w:hAnsi="Calibri"/>
                <w:lang w:val="en-US" w:eastAsia="bg-BG"/>
              </w:rPr>
              <w:t>4</w:t>
            </w:r>
          </w:p>
        </w:tc>
      </w:tr>
    </w:tbl>
    <w:p w14:paraId="446DC5DA" w14:textId="77777777" w:rsidR="0092591C" w:rsidRDefault="0092591C" w:rsidP="0092591C"/>
    <w:p w14:paraId="65FB454E" w14:textId="44EDB108" w:rsidR="006D2755" w:rsidRPr="005954E3" w:rsidRDefault="006D2755" w:rsidP="00EE53B2">
      <w:pPr>
        <w:pStyle w:val="Heading2"/>
        <w:numPr>
          <w:ilvl w:val="0"/>
          <w:numId w:val="0"/>
        </w:numPr>
      </w:pPr>
      <w:bookmarkStart w:id="201" w:name="_Toc133597306"/>
      <w:r w:rsidRPr="005954E3">
        <w:t>Табл. 8: Основни допускания</w:t>
      </w:r>
      <w:bookmarkEnd w:id="198"/>
      <w:bookmarkEnd w:id="199"/>
      <w:bookmarkEnd w:id="201"/>
    </w:p>
    <w:tbl>
      <w:tblPr>
        <w:tblStyle w:val="Style1"/>
        <w:tblW w:w="5000" w:type="pct"/>
        <w:jc w:val="cente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CellMar>
          <w:left w:w="85" w:type="dxa"/>
          <w:right w:w="85" w:type="dxa"/>
        </w:tblCellMar>
        <w:tblLook w:val="0620" w:firstRow="1" w:lastRow="0" w:firstColumn="0" w:lastColumn="0" w:noHBand="1" w:noVBand="1"/>
      </w:tblPr>
      <w:tblGrid>
        <w:gridCol w:w="5061"/>
        <w:gridCol w:w="796"/>
        <w:gridCol w:w="796"/>
        <w:gridCol w:w="796"/>
        <w:gridCol w:w="796"/>
        <w:gridCol w:w="819"/>
      </w:tblGrid>
      <w:tr w:rsidR="006D2755" w:rsidRPr="005954E3" w14:paraId="3FFA16E4" w14:textId="77777777" w:rsidTr="006D2755">
        <w:trPr>
          <w:trHeight w:val="454"/>
          <w:jc w:val="center"/>
        </w:trPr>
        <w:tc>
          <w:tcPr>
            <w:tcW w:w="0" w:type="auto"/>
            <w:shd w:val="clear" w:color="auto" w:fill="auto"/>
            <w:vAlign w:val="center"/>
          </w:tcPr>
          <w:p w14:paraId="739EAC68" w14:textId="77777777" w:rsidR="006D2755" w:rsidRPr="005954E3" w:rsidRDefault="006D2755" w:rsidP="006D2755">
            <w:pPr>
              <w:pStyle w:val="tabletextleft"/>
              <w:spacing w:before="40" w:after="40"/>
              <w:rPr>
                <w:szCs w:val="18"/>
              </w:rPr>
            </w:pPr>
          </w:p>
        </w:tc>
        <w:tc>
          <w:tcPr>
            <w:tcW w:w="0" w:type="auto"/>
            <w:shd w:val="clear" w:color="auto" w:fill="auto"/>
            <w:vAlign w:val="center"/>
          </w:tcPr>
          <w:p w14:paraId="29490147" w14:textId="77777777" w:rsidR="006D2755" w:rsidRPr="005954E3" w:rsidRDefault="006D2755" w:rsidP="006D2755">
            <w:pPr>
              <w:pStyle w:val="tabletextleft"/>
              <w:spacing w:before="40" w:after="40"/>
              <w:jc w:val="right"/>
              <w:rPr>
                <w:b/>
                <w:szCs w:val="18"/>
              </w:rPr>
            </w:pPr>
            <w:r w:rsidRPr="005954E3">
              <w:rPr>
                <w:b/>
                <w:szCs w:val="18"/>
              </w:rPr>
              <w:t>2022</w:t>
            </w:r>
          </w:p>
        </w:tc>
        <w:tc>
          <w:tcPr>
            <w:tcW w:w="0" w:type="auto"/>
            <w:shd w:val="clear" w:color="auto" w:fill="auto"/>
            <w:vAlign w:val="center"/>
          </w:tcPr>
          <w:p w14:paraId="70C2BF0E" w14:textId="77777777" w:rsidR="006D2755" w:rsidRPr="005954E3" w:rsidRDefault="006D2755" w:rsidP="006D2755">
            <w:pPr>
              <w:pStyle w:val="tabletextleft"/>
              <w:spacing w:before="40" w:after="40"/>
              <w:jc w:val="right"/>
              <w:rPr>
                <w:b/>
                <w:szCs w:val="18"/>
              </w:rPr>
            </w:pPr>
            <w:r w:rsidRPr="005954E3">
              <w:rPr>
                <w:b/>
                <w:szCs w:val="18"/>
              </w:rPr>
              <w:t>2023</w:t>
            </w:r>
          </w:p>
        </w:tc>
        <w:tc>
          <w:tcPr>
            <w:tcW w:w="0" w:type="auto"/>
            <w:shd w:val="clear" w:color="auto" w:fill="auto"/>
            <w:vAlign w:val="center"/>
          </w:tcPr>
          <w:p w14:paraId="7A287A1D" w14:textId="77777777" w:rsidR="006D2755" w:rsidRPr="005954E3" w:rsidRDefault="006D2755" w:rsidP="006D2755">
            <w:pPr>
              <w:pStyle w:val="tabletextleft"/>
              <w:spacing w:before="40" w:after="40"/>
              <w:jc w:val="right"/>
              <w:rPr>
                <w:b/>
                <w:szCs w:val="18"/>
              </w:rPr>
            </w:pPr>
            <w:r w:rsidRPr="005954E3">
              <w:rPr>
                <w:b/>
                <w:szCs w:val="18"/>
              </w:rPr>
              <w:t>2024</w:t>
            </w:r>
          </w:p>
        </w:tc>
        <w:tc>
          <w:tcPr>
            <w:tcW w:w="0" w:type="auto"/>
            <w:shd w:val="clear" w:color="auto" w:fill="auto"/>
            <w:vAlign w:val="center"/>
          </w:tcPr>
          <w:p w14:paraId="7DE19874" w14:textId="77777777" w:rsidR="006D2755" w:rsidRPr="005954E3" w:rsidRDefault="006D2755" w:rsidP="006D2755">
            <w:pPr>
              <w:pStyle w:val="tabletextleft"/>
              <w:spacing w:before="40" w:after="40"/>
              <w:jc w:val="right"/>
              <w:rPr>
                <w:b/>
                <w:szCs w:val="18"/>
              </w:rPr>
            </w:pPr>
            <w:r w:rsidRPr="005954E3">
              <w:rPr>
                <w:b/>
                <w:szCs w:val="18"/>
              </w:rPr>
              <w:t>2025</w:t>
            </w:r>
          </w:p>
        </w:tc>
        <w:tc>
          <w:tcPr>
            <w:tcW w:w="452" w:type="pct"/>
            <w:shd w:val="clear" w:color="auto" w:fill="auto"/>
            <w:vAlign w:val="center"/>
          </w:tcPr>
          <w:p w14:paraId="52A285F6" w14:textId="77777777" w:rsidR="006D2755" w:rsidRPr="005954E3" w:rsidRDefault="006D2755" w:rsidP="006D2755">
            <w:pPr>
              <w:pStyle w:val="tabletextleft"/>
              <w:spacing w:before="40" w:after="40"/>
              <w:jc w:val="right"/>
              <w:rPr>
                <w:b/>
                <w:szCs w:val="18"/>
              </w:rPr>
            </w:pPr>
            <w:r w:rsidRPr="005954E3">
              <w:rPr>
                <w:b/>
                <w:szCs w:val="18"/>
              </w:rPr>
              <w:t>2026</w:t>
            </w:r>
          </w:p>
        </w:tc>
      </w:tr>
      <w:tr w:rsidR="00AE77DE" w:rsidRPr="005954E3" w14:paraId="581C710D" w14:textId="77777777" w:rsidTr="006D2755">
        <w:trPr>
          <w:trHeight w:val="454"/>
          <w:jc w:val="center"/>
        </w:trPr>
        <w:tc>
          <w:tcPr>
            <w:tcW w:w="0" w:type="auto"/>
            <w:vAlign w:val="center"/>
            <w:hideMark/>
          </w:tcPr>
          <w:p w14:paraId="784D1193" w14:textId="77777777" w:rsidR="00AE77DE" w:rsidRPr="005954E3" w:rsidRDefault="00AE77DE" w:rsidP="00AE77DE">
            <w:pPr>
              <w:pStyle w:val="tabletextleft"/>
              <w:spacing w:before="40" w:after="40"/>
              <w:rPr>
                <w:szCs w:val="18"/>
              </w:rPr>
            </w:pPr>
            <w:r w:rsidRPr="005954E3">
              <w:rPr>
                <w:szCs w:val="18"/>
              </w:rPr>
              <w:t xml:space="preserve">Краткосрочен лихвен процент (средногодишна стойност), </w:t>
            </w:r>
            <w:r w:rsidRPr="005954E3">
              <w:rPr>
                <w:szCs w:val="18"/>
              </w:rPr>
              <w:br/>
              <w:t xml:space="preserve">3-месечен </w:t>
            </w:r>
            <w:r w:rsidRPr="005954E3">
              <w:rPr>
                <w:szCs w:val="18"/>
                <w:lang w:val="en-US"/>
              </w:rPr>
              <w:t>EURI</w:t>
            </w:r>
            <w:r w:rsidRPr="005954E3">
              <w:rPr>
                <w:szCs w:val="18"/>
              </w:rPr>
              <w:t>BOR</w:t>
            </w:r>
            <w:r w:rsidRPr="005954E3">
              <w:rPr>
                <w:szCs w:val="18"/>
                <w:lang w:val="en-US"/>
              </w:rPr>
              <w:t>,</w:t>
            </w:r>
            <w:r w:rsidRPr="005954E3">
              <w:rPr>
                <w:szCs w:val="18"/>
              </w:rPr>
              <w:t>%</w:t>
            </w:r>
          </w:p>
        </w:tc>
        <w:tc>
          <w:tcPr>
            <w:tcW w:w="0" w:type="auto"/>
            <w:vAlign w:val="bottom"/>
          </w:tcPr>
          <w:p w14:paraId="3FA8320F" w14:textId="6F72C431" w:rsidR="00AE77DE" w:rsidRPr="005954E3" w:rsidRDefault="00AE77DE" w:rsidP="00AE77DE">
            <w:pPr>
              <w:pStyle w:val="tabletextleft"/>
              <w:spacing w:before="40" w:after="40"/>
              <w:jc w:val="right"/>
              <w:rPr>
                <w:szCs w:val="18"/>
              </w:rPr>
            </w:pPr>
            <w:r w:rsidRPr="00E27712">
              <w:rPr>
                <w:szCs w:val="18"/>
              </w:rPr>
              <w:t>0.34</w:t>
            </w:r>
          </w:p>
        </w:tc>
        <w:tc>
          <w:tcPr>
            <w:tcW w:w="0" w:type="auto"/>
            <w:vAlign w:val="bottom"/>
          </w:tcPr>
          <w:p w14:paraId="32953474" w14:textId="20DD6D23" w:rsidR="00AE77DE" w:rsidRPr="005954E3" w:rsidRDefault="00AE77DE" w:rsidP="00AE77DE">
            <w:pPr>
              <w:pStyle w:val="tabletextleft"/>
              <w:spacing w:before="40" w:after="40"/>
              <w:jc w:val="right"/>
              <w:rPr>
                <w:szCs w:val="18"/>
              </w:rPr>
            </w:pPr>
            <w:r w:rsidRPr="00E27712">
              <w:rPr>
                <w:szCs w:val="18"/>
              </w:rPr>
              <w:t>3.30</w:t>
            </w:r>
          </w:p>
        </w:tc>
        <w:tc>
          <w:tcPr>
            <w:tcW w:w="0" w:type="auto"/>
            <w:vAlign w:val="bottom"/>
          </w:tcPr>
          <w:p w14:paraId="210A192A" w14:textId="69B08964" w:rsidR="00AE77DE" w:rsidRPr="005954E3" w:rsidRDefault="00AE77DE" w:rsidP="00AE77DE">
            <w:pPr>
              <w:pStyle w:val="tabletextleft"/>
              <w:spacing w:before="40" w:after="40"/>
              <w:jc w:val="right"/>
              <w:rPr>
                <w:szCs w:val="18"/>
              </w:rPr>
            </w:pPr>
            <w:r w:rsidRPr="00E27712">
              <w:rPr>
                <w:szCs w:val="18"/>
              </w:rPr>
              <w:t>3.30</w:t>
            </w:r>
          </w:p>
        </w:tc>
        <w:tc>
          <w:tcPr>
            <w:tcW w:w="0" w:type="auto"/>
            <w:vAlign w:val="bottom"/>
          </w:tcPr>
          <w:p w14:paraId="1B741DA0" w14:textId="3493AB94" w:rsidR="00AE77DE" w:rsidRPr="005954E3" w:rsidRDefault="00AE77DE" w:rsidP="00AE77DE">
            <w:pPr>
              <w:pStyle w:val="tabletextleft"/>
              <w:spacing w:before="40" w:after="40"/>
              <w:jc w:val="right"/>
              <w:rPr>
                <w:szCs w:val="18"/>
              </w:rPr>
            </w:pPr>
            <w:r w:rsidRPr="00E27712">
              <w:rPr>
                <w:szCs w:val="18"/>
              </w:rPr>
              <w:t>2.80</w:t>
            </w:r>
          </w:p>
        </w:tc>
        <w:tc>
          <w:tcPr>
            <w:tcW w:w="452" w:type="pct"/>
            <w:vAlign w:val="bottom"/>
          </w:tcPr>
          <w:p w14:paraId="50A153E6" w14:textId="202A15F9" w:rsidR="00AE77DE" w:rsidRPr="005954E3" w:rsidRDefault="00AE77DE" w:rsidP="00AE77DE">
            <w:pPr>
              <w:pStyle w:val="tabletextleft"/>
              <w:spacing w:before="40" w:after="40"/>
              <w:jc w:val="right"/>
              <w:rPr>
                <w:szCs w:val="18"/>
              </w:rPr>
            </w:pPr>
            <w:r w:rsidRPr="00E27712">
              <w:rPr>
                <w:szCs w:val="18"/>
              </w:rPr>
              <w:t>2.30</w:t>
            </w:r>
          </w:p>
        </w:tc>
      </w:tr>
      <w:tr w:rsidR="00AE77DE" w:rsidRPr="005954E3" w14:paraId="02A64261" w14:textId="77777777" w:rsidTr="006D2755">
        <w:trPr>
          <w:trHeight w:val="454"/>
          <w:jc w:val="center"/>
        </w:trPr>
        <w:tc>
          <w:tcPr>
            <w:tcW w:w="0" w:type="auto"/>
            <w:vAlign w:val="center"/>
            <w:hideMark/>
          </w:tcPr>
          <w:p w14:paraId="5629D909" w14:textId="77777777" w:rsidR="00AE77DE" w:rsidRPr="005954E3" w:rsidRDefault="00AE77DE" w:rsidP="00AE77DE">
            <w:pPr>
              <w:pStyle w:val="tabletextleft"/>
              <w:spacing w:before="40" w:after="40"/>
              <w:rPr>
                <w:szCs w:val="18"/>
              </w:rPr>
            </w:pPr>
            <w:r w:rsidRPr="005954E3">
              <w:rPr>
                <w:szCs w:val="18"/>
              </w:rPr>
              <w:t>Краткосрочен лихвен процент (средногодишна стойност),</w:t>
            </w:r>
            <w:r w:rsidRPr="005954E3">
              <w:rPr>
                <w:szCs w:val="18"/>
              </w:rPr>
              <w:br/>
              <w:t>6-месечен LIBOR в долари, %</w:t>
            </w:r>
          </w:p>
        </w:tc>
        <w:tc>
          <w:tcPr>
            <w:tcW w:w="0" w:type="auto"/>
            <w:vAlign w:val="center"/>
          </w:tcPr>
          <w:p w14:paraId="1E781BE4" w14:textId="77777777" w:rsidR="00AE77DE" w:rsidRPr="005954E3" w:rsidRDefault="00AE77DE" w:rsidP="00AE77DE">
            <w:pPr>
              <w:pStyle w:val="tabletextleft"/>
              <w:spacing w:before="40" w:after="40"/>
              <w:jc w:val="right"/>
              <w:rPr>
                <w:szCs w:val="18"/>
              </w:rPr>
            </w:pPr>
          </w:p>
        </w:tc>
        <w:tc>
          <w:tcPr>
            <w:tcW w:w="0" w:type="auto"/>
            <w:vAlign w:val="center"/>
          </w:tcPr>
          <w:p w14:paraId="00D2C9B5" w14:textId="77777777" w:rsidR="00AE77DE" w:rsidRPr="005954E3" w:rsidRDefault="00AE77DE" w:rsidP="00AE77DE">
            <w:pPr>
              <w:pStyle w:val="tabletextleft"/>
              <w:spacing w:before="40" w:after="40"/>
              <w:jc w:val="right"/>
              <w:rPr>
                <w:szCs w:val="18"/>
              </w:rPr>
            </w:pPr>
          </w:p>
        </w:tc>
        <w:tc>
          <w:tcPr>
            <w:tcW w:w="0" w:type="auto"/>
            <w:vAlign w:val="center"/>
          </w:tcPr>
          <w:p w14:paraId="3190C9FF" w14:textId="77777777" w:rsidR="00AE77DE" w:rsidRPr="005954E3" w:rsidRDefault="00AE77DE" w:rsidP="00AE77DE">
            <w:pPr>
              <w:pStyle w:val="tabletextleft"/>
              <w:spacing w:before="40" w:after="40"/>
              <w:jc w:val="right"/>
              <w:rPr>
                <w:szCs w:val="18"/>
              </w:rPr>
            </w:pPr>
          </w:p>
        </w:tc>
        <w:tc>
          <w:tcPr>
            <w:tcW w:w="0" w:type="auto"/>
            <w:vAlign w:val="center"/>
          </w:tcPr>
          <w:p w14:paraId="1AA1F9AE" w14:textId="77777777" w:rsidR="00AE77DE" w:rsidRPr="005954E3" w:rsidRDefault="00AE77DE" w:rsidP="00AE77DE">
            <w:pPr>
              <w:pStyle w:val="tabletextleft"/>
              <w:spacing w:before="40" w:after="40"/>
              <w:jc w:val="right"/>
              <w:rPr>
                <w:szCs w:val="18"/>
              </w:rPr>
            </w:pPr>
          </w:p>
        </w:tc>
        <w:tc>
          <w:tcPr>
            <w:tcW w:w="452" w:type="pct"/>
            <w:vAlign w:val="center"/>
          </w:tcPr>
          <w:p w14:paraId="52F45679" w14:textId="77777777" w:rsidR="00AE77DE" w:rsidRPr="005954E3" w:rsidRDefault="00AE77DE" w:rsidP="00AE77DE">
            <w:pPr>
              <w:pStyle w:val="tabletextleft"/>
              <w:spacing w:before="40" w:after="40"/>
              <w:jc w:val="right"/>
              <w:rPr>
                <w:szCs w:val="18"/>
              </w:rPr>
            </w:pPr>
          </w:p>
        </w:tc>
      </w:tr>
      <w:tr w:rsidR="00AE77DE" w:rsidRPr="005954E3" w14:paraId="53D070D2" w14:textId="77777777" w:rsidTr="006D2755">
        <w:trPr>
          <w:trHeight w:val="454"/>
          <w:jc w:val="center"/>
        </w:trPr>
        <w:tc>
          <w:tcPr>
            <w:tcW w:w="0" w:type="auto"/>
            <w:vAlign w:val="center"/>
            <w:hideMark/>
          </w:tcPr>
          <w:p w14:paraId="3F4D39F0" w14:textId="77777777" w:rsidR="00AE77DE" w:rsidRPr="005954E3" w:rsidRDefault="00AE77DE" w:rsidP="00AE77DE">
            <w:pPr>
              <w:pStyle w:val="tabletextleft"/>
              <w:spacing w:before="40" w:after="40"/>
              <w:rPr>
                <w:szCs w:val="18"/>
              </w:rPr>
            </w:pPr>
            <w:r w:rsidRPr="005954E3">
              <w:rPr>
                <w:szCs w:val="18"/>
              </w:rPr>
              <w:t xml:space="preserve"> Дългосрочен лихвен процент (средногодишна стойност), %</w:t>
            </w:r>
          </w:p>
        </w:tc>
        <w:tc>
          <w:tcPr>
            <w:tcW w:w="0" w:type="auto"/>
            <w:vAlign w:val="center"/>
          </w:tcPr>
          <w:p w14:paraId="10B47699" w14:textId="77777777" w:rsidR="00AE77DE" w:rsidRPr="005954E3" w:rsidRDefault="00AE77DE" w:rsidP="00AE77DE">
            <w:pPr>
              <w:pStyle w:val="tabletextleft"/>
              <w:spacing w:before="40" w:after="40"/>
              <w:jc w:val="right"/>
              <w:rPr>
                <w:szCs w:val="18"/>
              </w:rPr>
            </w:pPr>
          </w:p>
        </w:tc>
        <w:tc>
          <w:tcPr>
            <w:tcW w:w="0" w:type="auto"/>
            <w:vAlign w:val="center"/>
          </w:tcPr>
          <w:p w14:paraId="76367DDB" w14:textId="77777777" w:rsidR="00AE77DE" w:rsidRPr="005954E3" w:rsidRDefault="00AE77DE" w:rsidP="00AE77DE">
            <w:pPr>
              <w:pStyle w:val="tabletextleft"/>
              <w:spacing w:before="40" w:after="40"/>
              <w:jc w:val="right"/>
              <w:rPr>
                <w:szCs w:val="18"/>
              </w:rPr>
            </w:pPr>
          </w:p>
        </w:tc>
        <w:tc>
          <w:tcPr>
            <w:tcW w:w="0" w:type="auto"/>
            <w:vAlign w:val="center"/>
          </w:tcPr>
          <w:p w14:paraId="23873631" w14:textId="77777777" w:rsidR="00AE77DE" w:rsidRPr="005954E3" w:rsidRDefault="00AE77DE" w:rsidP="00AE77DE">
            <w:pPr>
              <w:pStyle w:val="tabletextleft"/>
              <w:spacing w:before="40" w:after="40"/>
              <w:jc w:val="right"/>
              <w:rPr>
                <w:szCs w:val="18"/>
              </w:rPr>
            </w:pPr>
          </w:p>
        </w:tc>
        <w:tc>
          <w:tcPr>
            <w:tcW w:w="0" w:type="auto"/>
            <w:vAlign w:val="center"/>
          </w:tcPr>
          <w:p w14:paraId="1536C48E" w14:textId="77777777" w:rsidR="00AE77DE" w:rsidRPr="005954E3" w:rsidRDefault="00AE77DE" w:rsidP="00AE77DE">
            <w:pPr>
              <w:pStyle w:val="tabletextleft"/>
              <w:spacing w:before="40" w:after="40"/>
              <w:jc w:val="right"/>
              <w:rPr>
                <w:szCs w:val="18"/>
              </w:rPr>
            </w:pPr>
          </w:p>
        </w:tc>
        <w:tc>
          <w:tcPr>
            <w:tcW w:w="452" w:type="pct"/>
            <w:vAlign w:val="center"/>
          </w:tcPr>
          <w:p w14:paraId="711F2B63" w14:textId="77777777" w:rsidR="00AE77DE" w:rsidRPr="005954E3" w:rsidRDefault="00AE77DE" w:rsidP="00AE77DE">
            <w:pPr>
              <w:pStyle w:val="tabletextleft"/>
              <w:spacing w:before="40" w:after="40"/>
              <w:jc w:val="right"/>
              <w:rPr>
                <w:szCs w:val="18"/>
              </w:rPr>
            </w:pPr>
          </w:p>
        </w:tc>
      </w:tr>
      <w:tr w:rsidR="00AE77DE" w:rsidRPr="005954E3" w14:paraId="0039A18D" w14:textId="77777777" w:rsidTr="006D2755">
        <w:trPr>
          <w:trHeight w:val="454"/>
          <w:jc w:val="center"/>
        </w:trPr>
        <w:tc>
          <w:tcPr>
            <w:tcW w:w="0" w:type="auto"/>
            <w:vAlign w:val="center"/>
            <w:hideMark/>
          </w:tcPr>
          <w:p w14:paraId="7E850BDE" w14:textId="77777777" w:rsidR="00AE77DE" w:rsidRPr="005954E3" w:rsidRDefault="00AE77DE" w:rsidP="00AE77DE">
            <w:pPr>
              <w:pStyle w:val="tabletextleft"/>
              <w:spacing w:before="40" w:after="40"/>
              <w:rPr>
                <w:szCs w:val="18"/>
              </w:rPr>
            </w:pPr>
            <w:r w:rsidRPr="005954E3">
              <w:rPr>
                <w:szCs w:val="18"/>
              </w:rPr>
              <w:t>Валутен курс USD/EUR (средногодишна стойност)</w:t>
            </w:r>
          </w:p>
        </w:tc>
        <w:tc>
          <w:tcPr>
            <w:tcW w:w="0" w:type="auto"/>
            <w:vAlign w:val="center"/>
          </w:tcPr>
          <w:p w14:paraId="51252CD9" w14:textId="0999B6B2" w:rsidR="00AE77DE" w:rsidRPr="005954E3" w:rsidRDefault="00AE77DE" w:rsidP="00AE77DE">
            <w:pPr>
              <w:pStyle w:val="tabletextleft"/>
              <w:spacing w:before="40" w:after="40"/>
              <w:jc w:val="right"/>
              <w:rPr>
                <w:szCs w:val="18"/>
              </w:rPr>
            </w:pPr>
            <w:r w:rsidRPr="00E27712">
              <w:rPr>
                <w:szCs w:val="18"/>
              </w:rPr>
              <w:t>1.05</w:t>
            </w:r>
          </w:p>
        </w:tc>
        <w:tc>
          <w:tcPr>
            <w:tcW w:w="0" w:type="auto"/>
            <w:vAlign w:val="center"/>
          </w:tcPr>
          <w:p w14:paraId="1A365B93" w14:textId="690277D8" w:rsidR="00AE77DE" w:rsidRPr="005954E3" w:rsidRDefault="00AE77DE" w:rsidP="00AE77DE">
            <w:pPr>
              <w:pStyle w:val="tabletextleft"/>
              <w:spacing w:before="40" w:after="40"/>
              <w:jc w:val="right"/>
              <w:rPr>
                <w:szCs w:val="18"/>
              </w:rPr>
            </w:pPr>
            <w:r w:rsidRPr="00E27712">
              <w:rPr>
                <w:szCs w:val="18"/>
              </w:rPr>
              <w:t>1.06</w:t>
            </w:r>
          </w:p>
        </w:tc>
        <w:tc>
          <w:tcPr>
            <w:tcW w:w="0" w:type="auto"/>
            <w:vAlign w:val="center"/>
          </w:tcPr>
          <w:p w14:paraId="3263C89B" w14:textId="1EBC879E" w:rsidR="00AE77DE" w:rsidRPr="005954E3" w:rsidRDefault="00AE77DE" w:rsidP="00AE77DE">
            <w:pPr>
              <w:pStyle w:val="tabletextleft"/>
              <w:spacing w:before="40" w:after="40"/>
              <w:jc w:val="right"/>
              <w:rPr>
                <w:szCs w:val="18"/>
              </w:rPr>
            </w:pPr>
            <w:r w:rsidRPr="00E27712">
              <w:rPr>
                <w:szCs w:val="18"/>
              </w:rPr>
              <w:t>1.06</w:t>
            </w:r>
          </w:p>
        </w:tc>
        <w:tc>
          <w:tcPr>
            <w:tcW w:w="0" w:type="auto"/>
            <w:vAlign w:val="center"/>
          </w:tcPr>
          <w:p w14:paraId="3913B09C" w14:textId="41AB6C53" w:rsidR="00AE77DE" w:rsidRPr="005954E3" w:rsidRDefault="00AE77DE" w:rsidP="00AE77DE">
            <w:pPr>
              <w:pStyle w:val="tabletextleft"/>
              <w:spacing w:before="40" w:after="40"/>
              <w:jc w:val="right"/>
              <w:rPr>
                <w:szCs w:val="18"/>
              </w:rPr>
            </w:pPr>
            <w:r w:rsidRPr="00E27712">
              <w:rPr>
                <w:szCs w:val="18"/>
              </w:rPr>
              <w:t>1.06</w:t>
            </w:r>
          </w:p>
        </w:tc>
        <w:tc>
          <w:tcPr>
            <w:tcW w:w="452" w:type="pct"/>
            <w:vAlign w:val="center"/>
          </w:tcPr>
          <w:p w14:paraId="436B2365" w14:textId="68678145" w:rsidR="00AE77DE" w:rsidRPr="005954E3" w:rsidRDefault="00AE77DE" w:rsidP="00AE77DE">
            <w:pPr>
              <w:pStyle w:val="tabletextleft"/>
              <w:spacing w:before="40" w:after="40"/>
              <w:jc w:val="right"/>
              <w:rPr>
                <w:szCs w:val="18"/>
              </w:rPr>
            </w:pPr>
            <w:r w:rsidRPr="00E27712">
              <w:rPr>
                <w:szCs w:val="18"/>
              </w:rPr>
              <w:t>1.06</w:t>
            </w:r>
          </w:p>
        </w:tc>
      </w:tr>
      <w:tr w:rsidR="00AE77DE" w:rsidRPr="005954E3" w14:paraId="530248DD" w14:textId="77777777" w:rsidTr="006D2755">
        <w:trPr>
          <w:trHeight w:val="454"/>
          <w:jc w:val="center"/>
        </w:trPr>
        <w:tc>
          <w:tcPr>
            <w:tcW w:w="0" w:type="auto"/>
            <w:vAlign w:val="center"/>
            <w:hideMark/>
          </w:tcPr>
          <w:p w14:paraId="3DF7591E" w14:textId="77777777" w:rsidR="00AE77DE" w:rsidRPr="005954E3" w:rsidRDefault="00AE77DE" w:rsidP="00AE77DE">
            <w:pPr>
              <w:pStyle w:val="tabletextleft"/>
              <w:spacing w:before="40" w:after="40"/>
              <w:rPr>
                <w:b/>
                <w:szCs w:val="18"/>
              </w:rPr>
            </w:pPr>
            <w:r w:rsidRPr="005954E3">
              <w:rPr>
                <w:b/>
                <w:szCs w:val="18"/>
              </w:rPr>
              <w:t xml:space="preserve">Номинален ефективен валутен курс. процентно </w:t>
            </w:r>
            <w:r w:rsidRPr="005954E3">
              <w:rPr>
                <w:b/>
                <w:szCs w:val="18"/>
              </w:rPr>
              <w:br/>
              <w:t>изменение. предходна година = 100</w:t>
            </w:r>
            <w:r w:rsidRPr="005954E3">
              <w:rPr>
                <w:b/>
                <w:szCs w:val="18"/>
                <w:vertAlign w:val="superscript"/>
              </w:rPr>
              <w:footnoteReference w:id="54"/>
            </w:r>
          </w:p>
        </w:tc>
        <w:tc>
          <w:tcPr>
            <w:tcW w:w="0" w:type="auto"/>
            <w:vAlign w:val="center"/>
          </w:tcPr>
          <w:p w14:paraId="5522A4E5" w14:textId="77777777" w:rsidR="00AE77DE" w:rsidRPr="005954E3" w:rsidRDefault="00AE77DE" w:rsidP="00AE77DE">
            <w:pPr>
              <w:pStyle w:val="tabletextleft"/>
              <w:spacing w:before="40" w:after="40"/>
              <w:jc w:val="right"/>
              <w:rPr>
                <w:szCs w:val="18"/>
              </w:rPr>
            </w:pPr>
          </w:p>
        </w:tc>
        <w:tc>
          <w:tcPr>
            <w:tcW w:w="0" w:type="auto"/>
            <w:vAlign w:val="center"/>
          </w:tcPr>
          <w:p w14:paraId="2D1CDAFB" w14:textId="77777777" w:rsidR="00AE77DE" w:rsidRPr="005954E3" w:rsidRDefault="00AE77DE" w:rsidP="00AE77DE">
            <w:pPr>
              <w:pStyle w:val="tabletextleft"/>
              <w:spacing w:before="40" w:after="40"/>
              <w:jc w:val="right"/>
              <w:rPr>
                <w:szCs w:val="18"/>
              </w:rPr>
            </w:pPr>
          </w:p>
        </w:tc>
        <w:tc>
          <w:tcPr>
            <w:tcW w:w="0" w:type="auto"/>
            <w:vAlign w:val="center"/>
          </w:tcPr>
          <w:p w14:paraId="47099757" w14:textId="77777777" w:rsidR="00AE77DE" w:rsidRPr="005954E3" w:rsidRDefault="00AE77DE" w:rsidP="00AE77DE">
            <w:pPr>
              <w:pStyle w:val="tabletextleft"/>
              <w:spacing w:before="40" w:after="40"/>
              <w:jc w:val="right"/>
              <w:rPr>
                <w:szCs w:val="18"/>
              </w:rPr>
            </w:pPr>
          </w:p>
        </w:tc>
        <w:tc>
          <w:tcPr>
            <w:tcW w:w="0" w:type="auto"/>
            <w:vAlign w:val="center"/>
          </w:tcPr>
          <w:p w14:paraId="55FFBB5F" w14:textId="77777777" w:rsidR="00AE77DE" w:rsidRPr="005954E3" w:rsidRDefault="00AE77DE" w:rsidP="00AE77DE">
            <w:pPr>
              <w:pStyle w:val="tabletextleft"/>
              <w:spacing w:before="40" w:after="40"/>
              <w:jc w:val="right"/>
              <w:rPr>
                <w:szCs w:val="18"/>
              </w:rPr>
            </w:pPr>
          </w:p>
        </w:tc>
        <w:tc>
          <w:tcPr>
            <w:tcW w:w="452" w:type="pct"/>
            <w:vAlign w:val="center"/>
          </w:tcPr>
          <w:p w14:paraId="4EC41263" w14:textId="77777777" w:rsidR="00AE77DE" w:rsidRPr="005954E3" w:rsidRDefault="00AE77DE" w:rsidP="00AE77DE">
            <w:pPr>
              <w:pStyle w:val="tabletextleft"/>
              <w:spacing w:before="40" w:after="40"/>
              <w:jc w:val="right"/>
              <w:rPr>
                <w:szCs w:val="18"/>
              </w:rPr>
            </w:pPr>
          </w:p>
        </w:tc>
      </w:tr>
      <w:tr w:rsidR="00AE77DE" w:rsidRPr="005954E3" w14:paraId="2D4722B8" w14:textId="77777777" w:rsidTr="006D2755">
        <w:trPr>
          <w:trHeight w:val="454"/>
          <w:jc w:val="center"/>
        </w:trPr>
        <w:tc>
          <w:tcPr>
            <w:tcW w:w="0" w:type="auto"/>
            <w:vAlign w:val="center"/>
            <w:hideMark/>
          </w:tcPr>
          <w:p w14:paraId="19B22B84" w14:textId="77777777" w:rsidR="00AE77DE" w:rsidRPr="005954E3" w:rsidRDefault="00AE77DE" w:rsidP="00AE77DE">
            <w:pPr>
              <w:pStyle w:val="tabletextleft"/>
              <w:spacing w:before="40" w:after="40"/>
              <w:rPr>
                <w:szCs w:val="18"/>
              </w:rPr>
            </w:pPr>
            <w:r w:rsidRPr="005954E3">
              <w:rPr>
                <w:szCs w:val="18"/>
              </w:rPr>
              <w:t>Валутен курс спрямо EUR (средногодишна стойност)</w:t>
            </w:r>
          </w:p>
        </w:tc>
        <w:tc>
          <w:tcPr>
            <w:tcW w:w="0" w:type="auto"/>
            <w:vAlign w:val="center"/>
          </w:tcPr>
          <w:p w14:paraId="633C29A3" w14:textId="77777777" w:rsidR="00AE77DE" w:rsidRPr="005954E3" w:rsidRDefault="00AE77DE" w:rsidP="00AE77DE">
            <w:pPr>
              <w:pStyle w:val="tabletextleft"/>
              <w:spacing w:before="40" w:after="40"/>
              <w:jc w:val="right"/>
              <w:rPr>
                <w:szCs w:val="18"/>
              </w:rPr>
            </w:pPr>
            <w:r w:rsidRPr="005954E3">
              <w:rPr>
                <w:szCs w:val="18"/>
              </w:rPr>
              <w:t>1.95583</w:t>
            </w:r>
          </w:p>
        </w:tc>
        <w:tc>
          <w:tcPr>
            <w:tcW w:w="0" w:type="auto"/>
            <w:vAlign w:val="center"/>
          </w:tcPr>
          <w:p w14:paraId="16164562" w14:textId="77777777" w:rsidR="00AE77DE" w:rsidRPr="005954E3" w:rsidRDefault="00AE77DE" w:rsidP="00AE77DE">
            <w:pPr>
              <w:pStyle w:val="tabletextleft"/>
              <w:spacing w:before="40" w:after="40"/>
              <w:jc w:val="right"/>
              <w:rPr>
                <w:szCs w:val="18"/>
              </w:rPr>
            </w:pPr>
            <w:r w:rsidRPr="005954E3">
              <w:rPr>
                <w:szCs w:val="18"/>
              </w:rPr>
              <w:t>1.95583</w:t>
            </w:r>
          </w:p>
        </w:tc>
        <w:tc>
          <w:tcPr>
            <w:tcW w:w="0" w:type="auto"/>
            <w:vAlign w:val="center"/>
          </w:tcPr>
          <w:p w14:paraId="6F707B0B" w14:textId="77777777" w:rsidR="00AE77DE" w:rsidRPr="005954E3" w:rsidRDefault="00AE77DE" w:rsidP="00AE77DE">
            <w:pPr>
              <w:pStyle w:val="tabletextleft"/>
              <w:spacing w:before="40" w:after="40"/>
              <w:jc w:val="right"/>
              <w:rPr>
                <w:szCs w:val="18"/>
              </w:rPr>
            </w:pPr>
            <w:r w:rsidRPr="005954E3">
              <w:rPr>
                <w:szCs w:val="18"/>
              </w:rPr>
              <w:t>1.95583</w:t>
            </w:r>
          </w:p>
        </w:tc>
        <w:tc>
          <w:tcPr>
            <w:tcW w:w="0" w:type="auto"/>
            <w:vAlign w:val="center"/>
          </w:tcPr>
          <w:p w14:paraId="492D48E9" w14:textId="77777777" w:rsidR="00AE77DE" w:rsidRPr="005954E3" w:rsidRDefault="00AE77DE" w:rsidP="00AE77DE">
            <w:pPr>
              <w:pStyle w:val="tabletextleft"/>
              <w:spacing w:before="40" w:after="40"/>
              <w:jc w:val="right"/>
              <w:rPr>
                <w:szCs w:val="18"/>
              </w:rPr>
            </w:pPr>
            <w:r w:rsidRPr="005954E3">
              <w:rPr>
                <w:szCs w:val="18"/>
              </w:rPr>
              <w:t>1.95583</w:t>
            </w:r>
          </w:p>
        </w:tc>
        <w:tc>
          <w:tcPr>
            <w:tcW w:w="452" w:type="pct"/>
            <w:vAlign w:val="center"/>
          </w:tcPr>
          <w:p w14:paraId="6952EC7B" w14:textId="77777777" w:rsidR="00AE77DE" w:rsidRPr="005954E3" w:rsidRDefault="00AE77DE" w:rsidP="00AE77DE">
            <w:pPr>
              <w:pStyle w:val="tabletextleft"/>
              <w:spacing w:before="40" w:after="40"/>
              <w:jc w:val="right"/>
              <w:rPr>
                <w:szCs w:val="18"/>
              </w:rPr>
            </w:pPr>
            <w:r w:rsidRPr="005954E3">
              <w:rPr>
                <w:szCs w:val="18"/>
              </w:rPr>
              <w:t>1.95583</w:t>
            </w:r>
          </w:p>
        </w:tc>
      </w:tr>
      <w:tr w:rsidR="00AE77DE" w:rsidRPr="005954E3" w14:paraId="5DD8FE47" w14:textId="77777777" w:rsidTr="006D2755">
        <w:trPr>
          <w:trHeight w:val="454"/>
          <w:jc w:val="center"/>
        </w:trPr>
        <w:tc>
          <w:tcPr>
            <w:tcW w:w="0" w:type="auto"/>
            <w:vAlign w:val="center"/>
            <w:hideMark/>
          </w:tcPr>
          <w:p w14:paraId="1D0BC63C" w14:textId="77777777" w:rsidR="00AE77DE" w:rsidRPr="005954E3" w:rsidRDefault="00AE77DE" w:rsidP="00AE77DE">
            <w:pPr>
              <w:pStyle w:val="tabletextleft"/>
              <w:spacing w:before="40" w:after="40"/>
              <w:rPr>
                <w:szCs w:val="18"/>
              </w:rPr>
            </w:pPr>
            <w:r w:rsidRPr="005954E3">
              <w:rPr>
                <w:szCs w:val="18"/>
              </w:rPr>
              <w:t>Световна икономика</w:t>
            </w:r>
            <w:r w:rsidRPr="005954E3">
              <w:rPr>
                <w:szCs w:val="18"/>
                <w:lang w:val="en-US"/>
              </w:rPr>
              <w:t>,</w:t>
            </w:r>
            <w:r w:rsidRPr="005954E3">
              <w:rPr>
                <w:szCs w:val="18"/>
              </w:rPr>
              <w:t xml:space="preserve"> растеж на БВП. %</w:t>
            </w:r>
          </w:p>
        </w:tc>
        <w:tc>
          <w:tcPr>
            <w:tcW w:w="0" w:type="auto"/>
            <w:vAlign w:val="center"/>
          </w:tcPr>
          <w:p w14:paraId="67C0BA05" w14:textId="75278192" w:rsidR="00AE77DE" w:rsidRPr="005954E3" w:rsidRDefault="00AE77DE" w:rsidP="00AE77DE">
            <w:pPr>
              <w:pStyle w:val="tabletextleft"/>
              <w:spacing w:before="40" w:after="40"/>
              <w:jc w:val="right"/>
              <w:rPr>
                <w:szCs w:val="18"/>
              </w:rPr>
            </w:pPr>
            <w:r w:rsidRPr="00E27712">
              <w:rPr>
                <w:szCs w:val="18"/>
              </w:rPr>
              <w:t>3.4</w:t>
            </w:r>
          </w:p>
        </w:tc>
        <w:tc>
          <w:tcPr>
            <w:tcW w:w="0" w:type="auto"/>
            <w:vAlign w:val="center"/>
          </w:tcPr>
          <w:p w14:paraId="67AD43EE" w14:textId="07A2B2DB" w:rsidR="00AE77DE" w:rsidRPr="005954E3" w:rsidRDefault="00AE77DE" w:rsidP="00AE77DE">
            <w:pPr>
              <w:pStyle w:val="tabletextleft"/>
              <w:spacing w:before="40" w:after="40"/>
              <w:jc w:val="right"/>
              <w:rPr>
                <w:szCs w:val="18"/>
              </w:rPr>
            </w:pPr>
            <w:r w:rsidRPr="00E27712">
              <w:rPr>
                <w:szCs w:val="18"/>
              </w:rPr>
              <w:t>2.8</w:t>
            </w:r>
          </w:p>
        </w:tc>
        <w:tc>
          <w:tcPr>
            <w:tcW w:w="0" w:type="auto"/>
            <w:vAlign w:val="center"/>
          </w:tcPr>
          <w:p w14:paraId="7D13F3CC" w14:textId="07B435EE" w:rsidR="00AE77DE" w:rsidRPr="005954E3" w:rsidRDefault="00AE77DE" w:rsidP="00AE77DE">
            <w:pPr>
              <w:pStyle w:val="tabletextleft"/>
              <w:spacing w:before="40" w:after="40"/>
              <w:jc w:val="right"/>
              <w:rPr>
                <w:szCs w:val="18"/>
              </w:rPr>
            </w:pPr>
            <w:r w:rsidRPr="00E27712">
              <w:rPr>
                <w:szCs w:val="18"/>
              </w:rPr>
              <w:t>3.1</w:t>
            </w:r>
          </w:p>
        </w:tc>
        <w:tc>
          <w:tcPr>
            <w:tcW w:w="0" w:type="auto"/>
            <w:vAlign w:val="center"/>
          </w:tcPr>
          <w:p w14:paraId="017CE05C" w14:textId="2785B20C" w:rsidR="00AE77DE" w:rsidRPr="005954E3" w:rsidRDefault="00AE77DE" w:rsidP="00AE77DE">
            <w:pPr>
              <w:pStyle w:val="tabletextleft"/>
              <w:spacing w:before="40" w:after="40"/>
              <w:jc w:val="right"/>
              <w:rPr>
                <w:szCs w:val="18"/>
              </w:rPr>
            </w:pPr>
            <w:r w:rsidRPr="00E27712">
              <w:rPr>
                <w:szCs w:val="18"/>
              </w:rPr>
              <w:t>3.2</w:t>
            </w:r>
          </w:p>
        </w:tc>
        <w:tc>
          <w:tcPr>
            <w:tcW w:w="452" w:type="pct"/>
            <w:vAlign w:val="center"/>
          </w:tcPr>
          <w:p w14:paraId="2EB7D7A7" w14:textId="4F0C2DE1" w:rsidR="00AE77DE" w:rsidRPr="005954E3" w:rsidRDefault="00AE77DE" w:rsidP="00AE77DE">
            <w:pPr>
              <w:pStyle w:val="tabletextleft"/>
              <w:spacing w:before="40" w:after="40"/>
              <w:jc w:val="right"/>
              <w:rPr>
                <w:szCs w:val="18"/>
              </w:rPr>
            </w:pPr>
            <w:r w:rsidRPr="00E27712">
              <w:rPr>
                <w:szCs w:val="18"/>
              </w:rPr>
              <w:t>3.2</w:t>
            </w:r>
          </w:p>
        </w:tc>
      </w:tr>
      <w:tr w:rsidR="00AE77DE" w:rsidRPr="005954E3" w14:paraId="5FC24463" w14:textId="77777777" w:rsidTr="006D2755">
        <w:trPr>
          <w:trHeight w:val="454"/>
          <w:jc w:val="center"/>
        </w:trPr>
        <w:tc>
          <w:tcPr>
            <w:tcW w:w="0" w:type="auto"/>
            <w:vAlign w:val="center"/>
            <w:hideMark/>
          </w:tcPr>
          <w:p w14:paraId="689FE29D" w14:textId="77777777" w:rsidR="00AE77DE" w:rsidRPr="005954E3" w:rsidRDefault="00AE77DE" w:rsidP="00AE77DE">
            <w:pPr>
              <w:pStyle w:val="tabletextleft"/>
              <w:spacing w:before="40" w:after="40"/>
              <w:rPr>
                <w:szCs w:val="18"/>
              </w:rPr>
            </w:pPr>
            <w:r w:rsidRPr="005954E3">
              <w:rPr>
                <w:szCs w:val="18"/>
              </w:rPr>
              <w:t>Растеж на БВП на ЕС, %</w:t>
            </w:r>
          </w:p>
        </w:tc>
        <w:tc>
          <w:tcPr>
            <w:tcW w:w="0" w:type="auto"/>
            <w:vAlign w:val="center"/>
          </w:tcPr>
          <w:p w14:paraId="58C58A15" w14:textId="2149016F" w:rsidR="00AE77DE" w:rsidRPr="005954E3" w:rsidRDefault="00AE77DE" w:rsidP="00AE77DE">
            <w:pPr>
              <w:pStyle w:val="tabletextleft"/>
              <w:spacing w:before="40" w:after="40"/>
              <w:jc w:val="right"/>
              <w:rPr>
                <w:szCs w:val="18"/>
              </w:rPr>
            </w:pPr>
            <w:r w:rsidRPr="00E27712">
              <w:rPr>
                <w:szCs w:val="18"/>
              </w:rPr>
              <w:t>3.5</w:t>
            </w:r>
          </w:p>
        </w:tc>
        <w:tc>
          <w:tcPr>
            <w:tcW w:w="0" w:type="auto"/>
            <w:vAlign w:val="center"/>
          </w:tcPr>
          <w:p w14:paraId="2D4F3ACC" w14:textId="08C8B9FF" w:rsidR="00AE77DE" w:rsidRPr="005954E3" w:rsidRDefault="00AE77DE" w:rsidP="00AE77DE">
            <w:pPr>
              <w:pStyle w:val="tabletextleft"/>
              <w:spacing w:before="40" w:after="40"/>
              <w:jc w:val="right"/>
              <w:rPr>
                <w:szCs w:val="18"/>
              </w:rPr>
            </w:pPr>
            <w:r w:rsidRPr="00E27712">
              <w:rPr>
                <w:szCs w:val="18"/>
              </w:rPr>
              <w:t>0.7</w:t>
            </w:r>
          </w:p>
        </w:tc>
        <w:tc>
          <w:tcPr>
            <w:tcW w:w="0" w:type="auto"/>
            <w:vAlign w:val="center"/>
          </w:tcPr>
          <w:p w14:paraId="538F5E8D" w14:textId="179427BB" w:rsidR="00AE77DE" w:rsidRPr="005954E3" w:rsidRDefault="00AE77DE" w:rsidP="00AE77DE">
            <w:pPr>
              <w:pStyle w:val="tabletextleft"/>
              <w:spacing w:before="40" w:after="40"/>
              <w:jc w:val="right"/>
              <w:rPr>
                <w:szCs w:val="18"/>
              </w:rPr>
            </w:pPr>
            <w:r w:rsidRPr="00E27712">
              <w:rPr>
                <w:szCs w:val="18"/>
              </w:rPr>
              <w:t>1.8</w:t>
            </w:r>
          </w:p>
        </w:tc>
        <w:tc>
          <w:tcPr>
            <w:tcW w:w="0" w:type="auto"/>
            <w:vAlign w:val="center"/>
          </w:tcPr>
          <w:p w14:paraId="3E2B3B23" w14:textId="29C4FE56" w:rsidR="00AE77DE" w:rsidRPr="005954E3" w:rsidRDefault="00AE77DE" w:rsidP="00AE77DE">
            <w:pPr>
              <w:pStyle w:val="tabletextleft"/>
              <w:spacing w:before="40" w:after="40"/>
              <w:jc w:val="right"/>
              <w:rPr>
                <w:szCs w:val="18"/>
              </w:rPr>
            </w:pPr>
            <w:r w:rsidRPr="00E27712">
              <w:rPr>
                <w:szCs w:val="18"/>
              </w:rPr>
              <w:t>2.1</w:t>
            </w:r>
          </w:p>
        </w:tc>
        <w:tc>
          <w:tcPr>
            <w:tcW w:w="452" w:type="pct"/>
            <w:vAlign w:val="center"/>
          </w:tcPr>
          <w:p w14:paraId="1B88877B" w14:textId="055DF513" w:rsidR="00AE77DE" w:rsidRPr="005954E3" w:rsidRDefault="00AE77DE" w:rsidP="00AE77DE">
            <w:pPr>
              <w:pStyle w:val="tabletextleft"/>
              <w:spacing w:before="40" w:after="40"/>
              <w:jc w:val="right"/>
              <w:rPr>
                <w:szCs w:val="18"/>
              </w:rPr>
            </w:pPr>
            <w:r w:rsidRPr="00E27712">
              <w:rPr>
                <w:szCs w:val="18"/>
              </w:rPr>
              <w:t>1.9</w:t>
            </w:r>
          </w:p>
        </w:tc>
      </w:tr>
      <w:tr w:rsidR="00AE77DE" w:rsidRPr="005954E3" w14:paraId="2B48EEEF" w14:textId="77777777" w:rsidTr="006D2755">
        <w:trPr>
          <w:trHeight w:val="454"/>
          <w:jc w:val="center"/>
        </w:trPr>
        <w:tc>
          <w:tcPr>
            <w:tcW w:w="0" w:type="auto"/>
            <w:vAlign w:val="center"/>
            <w:hideMark/>
          </w:tcPr>
          <w:p w14:paraId="3AC6677A" w14:textId="77777777" w:rsidR="00AE77DE" w:rsidRPr="005954E3" w:rsidRDefault="00AE77DE" w:rsidP="00AE77DE">
            <w:pPr>
              <w:pStyle w:val="tabletextleft"/>
              <w:spacing w:before="40" w:after="40"/>
              <w:rPr>
                <w:b/>
                <w:szCs w:val="18"/>
              </w:rPr>
            </w:pPr>
            <w:r w:rsidRPr="005954E3">
              <w:rPr>
                <w:b/>
                <w:szCs w:val="18"/>
              </w:rPr>
              <w:t>Растеж на релевантните чужди пазари, %</w:t>
            </w:r>
          </w:p>
        </w:tc>
        <w:tc>
          <w:tcPr>
            <w:tcW w:w="0" w:type="auto"/>
            <w:vAlign w:val="center"/>
          </w:tcPr>
          <w:p w14:paraId="687C812B" w14:textId="77777777" w:rsidR="00AE77DE" w:rsidRPr="005954E3" w:rsidRDefault="00AE77DE" w:rsidP="00AE77DE">
            <w:pPr>
              <w:pStyle w:val="tabletextleft"/>
              <w:spacing w:before="40" w:after="40"/>
              <w:jc w:val="right"/>
              <w:rPr>
                <w:szCs w:val="18"/>
              </w:rPr>
            </w:pPr>
          </w:p>
        </w:tc>
        <w:tc>
          <w:tcPr>
            <w:tcW w:w="0" w:type="auto"/>
            <w:vAlign w:val="center"/>
          </w:tcPr>
          <w:p w14:paraId="0B744443" w14:textId="77777777" w:rsidR="00AE77DE" w:rsidRPr="005954E3" w:rsidRDefault="00AE77DE" w:rsidP="00AE77DE">
            <w:pPr>
              <w:pStyle w:val="tabletextleft"/>
              <w:spacing w:before="40" w:after="40"/>
              <w:jc w:val="right"/>
              <w:rPr>
                <w:szCs w:val="18"/>
              </w:rPr>
            </w:pPr>
          </w:p>
        </w:tc>
        <w:tc>
          <w:tcPr>
            <w:tcW w:w="0" w:type="auto"/>
            <w:vAlign w:val="center"/>
          </w:tcPr>
          <w:p w14:paraId="066B7890" w14:textId="77777777" w:rsidR="00AE77DE" w:rsidRPr="005954E3" w:rsidRDefault="00AE77DE" w:rsidP="00AE77DE">
            <w:pPr>
              <w:pStyle w:val="tabletextleft"/>
              <w:spacing w:before="40" w:after="40"/>
              <w:jc w:val="right"/>
              <w:rPr>
                <w:szCs w:val="18"/>
              </w:rPr>
            </w:pPr>
          </w:p>
        </w:tc>
        <w:tc>
          <w:tcPr>
            <w:tcW w:w="0" w:type="auto"/>
            <w:vAlign w:val="center"/>
          </w:tcPr>
          <w:p w14:paraId="63FCE4F5" w14:textId="77777777" w:rsidR="00AE77DE" w:rsidRPr="005954E3" w:rsidRDefault="00AE77DE" w:rsidP="00AE77DE">
            <w:pPr>
              <w:pStyle w:val="tabletextleft"/>
              <w:spacing w:before="40" w:after="40"/>
              <w:jc w:val="right"/>
              <w:rPr>
                <w:szCs w:val="18"/>
              </w:rPr>
            </w:pPr>
          </w:p>
        </w:tc>
        <w:tc>
          <w:tcPr>
            <w:tcW w:w="452" w:type="pct"/>
            <w:vAlign w:val="center"/>
          </w:tcPr>
          <w:p w14:paraId="77E87121" w14:textId="77777777" w:rsidR="00AE77DE" w:rsidRPr="005954E3" w:rsidRDefault="00AE77DE" w:rsidP="00AE77DE">
            <w:pPr>
              <w:pStyle w:val="tabletextleft"/>
              <w:spacing w:before="40" w:after="40"/>
              <w:jc w:val="right"/>
              <w:rPr>
                <w:szCs w:val="18"/>
              </w:rPr>
            </w:pPr>
          </w:p>
        </w:tc>
      </w:tr>
      <w:tr w:rsidR="00AE77DE" w:rsidRPr="005954E3" w14:paraId="350D276C" w14:textId="77777777" w:rsidTr="006D2755">
        <w:trPr>
          <w:trHeight w:val="454"/>
          <w:jc w:val="center"/>
        </w:trPr>
        <w:tc>
          <w:tcPr>
            <w:tcW w:w="0" w:type="auto"/>
            <w:vAlign w:val="center"/>
            <w:hideMark/>
          </w:tcPr>
          <w:p w14:paraId="280308B0" w14:textId="71FD27B1" w:rsidR="00AE77DE" w:rsidRPr="005954E3" w:rsidRDefault="00AE77DE" w:rsidP="00AE77DE">
            <w:pPr>
              <w:pStyle w:val="tabletextleft"/>
              <w:spacing w:before="40" w:after="40"/>
              <w:rPr>
                <w:szCs w:val="18"/>
              </w:rPr>
            </w:pPr>
            <w:r w:rsidRPr="005954E3">
              <w:rPr>
                <w:szCs w:val="18"/>
              </w:rPr>
              <w:t>Обем на световния внос, без ЕС,</w:t>
            </w:r>
            <w:r w:rsidR="008B5514">
              <w:rPr>
                <w:szCs w:val="18"/>
              </w:rPr>
              <w:t>%</w:t>
            </w:r>
          </w:p>
        </w:tc>
        <w:tc>
          <w:tcPr>
            <w:tcW w:w="0" w:type="auto"/>
            <w:vAlign w:val="center"/>
          </w:tcPr>
          <w:p w14:paraId="177114D1" w14:textId="77777777" w:rsidR="00AE77DE" w:rsidRPr="005954E3" w:rsidRDefault="00AE77DE" w:rsidP="00AE77DE">
            <w:pPr>
              <w:pStyle w:val="tabletextleft"/>
              <w:spacing w:before="40" w:after="40"/>
              <w:jc w:val="right"/>
              <w:rPr>
                <w:szCs w:val="18"/>
              </w:rPr>
            </w:pPr>
          </w:p>
        </w:tc>
        <w:tc>
          <w:tcPr>
            <w:tcW w:w="0" w:type="auto"/>
            <w:vAlign w:val="center"/>
          </w:tcPr>
          <w:p w14:paraId="68385756" w14:textId="77777777" w:rsidR="00AE77DE" w:rsidRPr="005954E3" w:rsidRDefault="00AE77DE" w:rsidP="00AE77DE">
            <w:pPr>
              <w:pStyle w:val="tabletextleft"/>
              <w:spacing w:before="40" w:after="40"/>
              <w:jc w:val="right"/>
              <w:rPr>
                <w:szCs w:val="18"/>
              </w:rPr>
            </w:pPr>
          </w:p>
        </w:tc>
        <w:tc>
          <w:tcPr>
            <w:tcW w:w="0" w:type="auto"/>
            <w:vAlign w:val="center"/>
          </w:tcPr>
          <w:p w14:paraId="547B6E09" w14:textId="77777777" w:rsidR="00AE77DE" w:rsidRPr="005954E3" w:rsidRDefault="00AE77DE" w:rsidP="00AE77DE">
            <w:pPr>
              <w:pStyle w:val="tabletextleft"/>
              <w:spacing w:before="40" w:after="40"/>
              <w:jc w:val="right"/>
              <w:rPr>
                <w:szCs w:val="18"/>
              </w:rPr>
            </w:pPr>
          </w:p>
        </w:tc>
        <w:tc>
          <w:tcPr>
            <w:tcW w:w="0" w:type="auto"/>
            <w:vAlign w:val="center"/>
          </w:tcPr>
          <w:p w14:paraId="1E392969" w14:textId="77777777" w:rsidR="00AE77DE" w:rsidRPr="005954E3" w:rsidRDefault="00AE77DE" w:rsidP="00AE77DE">
            <w:pPr>
              <w:pStyle w:val="tabletextleft"/>
              <w:spacing w:before="40" w:after="40"/>
              <w:jc w:val="right"/>
              <w:rPr>
                <w:szCs w:val="18"/>
              </w:rPr>
            </w:pPr>
          </w:p>
        </w:tc>
        <w:tc>
          <w:tcPr>
            <w:tcW w:w="452" w:type="pct"/>
            <w:vAlign w:val="center"/>
          </w:tcPr>
          <w:p w14:paraId="11F66854" w14:textId="77777777" w:rsidR="00AE77DE" w:rsidRPr="005954E3" w:rsidRDefault="00AE77DE" w:rsidP="00AE77DE">
            <w:pPr>
              <w:pStyle w:val="tabletextleft"/>
              <w:spacing w:before="40" w:after="40"/>
              <w:jc w:val="right"/>
              <w:rPr>
                <w:szCs w:val="18"/>
              </w:rPr>
            </w:pPr>
          </w:p>
        </w:tc>
      </w:tr>
      <w:tr w:rsidR="00AE77DE" w:rsidRPr="005954E3" w14:paraId="46CC7566" w14:textId="77777777" w:rsidTr="006D2755">
        <w:trPr>
          <w:trHeight w:val="454"/>
          <w:jc w:val="center"/>
        </w:trPr>
        <w:tc>
          <w:tcPr>
            <w:tcW w:w="0" w:type="auto"/>
            <w:vAlign w:val="center"/>
            <w:hideMark/>
          </w:tcPr>
          <w:p w14:paraId="54AE29F5" w14:textId="77777777" w:rsidR="00AE77DE" w:rsidRPr="005954E3" w:rsidRDefault="00AE77DE" w:rsidP="00AE77DE">
            <w:pPr>
              <w:pStyle w:val="tabletextleft"/>
              <w:spacing w:before="40" w:after="40"/>
              <w:rPr>
                <w:szCs w:val="18"/>
              </w:rPr>
            </w:pPr>
            <w:r w:rsidRPr="005954E3">
              <w:rPr>
                <w:szCs w:val="18"/>
              </w:rPr>
              <w:t>Цена на петрол сорт „Брент“ (щ.д./барел)</w:t>
            </w:r>
          </w:p>
        </w:tc>
        <w:tc>
          <w:tcPr>
            <w:tcW w:w="0" w:type="auto"/>
            <w:vAlign w:val="center"/>
          </w:tcPr>
          <w:p w14:paraId="388C8009" w14:textId="571F0D3C" w:rsidR="00AE77DE" w:rsidRPr="005954E3" w:rsidRDefault="00AE77DE" w:rsidP="00AE77DE">
            <w:pPr>
              <w:pStyle w:val="tabletextleft"/>
              <w:spacing w:before="40" w:after="40"/>
              <w:jc w:val="right"/>
              <w:rPr>
                <w:szCs w:val="18"/>
              </w:rPr>
            </w:pPr>
            <w:r w:rsidRPr="00E27712">
              <w:rPr>
                <w:szCs w:val="18"/>
              </w:rPr>
              <w:t>99.8</w:t>
            </w:r>
          </w:p>
        </w:tc>
        <w:tc>
          <w:tcPr>
            <w:tcW w:w="0" w:type="auto"/>
            <w:vAlign w:val="center"/>
          </w:tcPr>
          <w:p w14:paraId="01189F8E" w14:textId="5D4BA264" w:rsidR="00AE77DE" w:rsidRPr="005954E3" w:rsidRDefault="00AE77DE" w:rsidP="00AE77DE">
            <w:pPr>
              <w:pStyle w:val="tabletextleft"/>
              <w:spacing w:before="40" w:after="40"/>
              <w:jc w:val="right"/>
              <w:rPr>
                <w:szCs w:val="18"/>
              </w:rPr>
            </w:pPr>
            <w:r w:rsidRPr="00E27712">
              <w:rPr>
                <w:szCs w:val="18"/>
              </w:rPr>
              <w:t>82.2</w:t>
            </w:r>
          </w:p>
        </w:tc>
        <w:tc>
          <w:tcPr>
            <w:tcW w:w="0" w:type="auto"/>
            <w:vAlign w:val="center"/>
          </w:tcPr>
          <w:p w14:paraId="28ADCC99" w14:textId="39A1D03D" w:rsidR="00AE77DE" w:rsidRPr="005954E3" w:rsidRDefault="00AE77DE" w:rsidP="00AE77DE">
            <w:pPr>
              <w:pStyle w:val="tabletextleft"/>
              <w:spacing w:before="40" w:after="40"/>
              <w:jc w:val="right"/>
              <w:rPr>
                <w:szCs w:val="18"/>
              </w:rPr>
            </w:pPr>
            <w:r w:rsidRPr="00E27712">
              <w:rPr>
                <w:szCs w:val="18"/>
              </w:rPr>
              <w:t>77.4</w:t>
            </w:r>
          </w:p>
        </w:tc>
        <w:tc>
          <w:tcPr>
            <w:tcW w:w="0" w:type="auto"/>
            <w:vAlign w:val="center"/>
          </w:tcPr>
          <w:p w14:paraId="2E8EE466" w14:textId="0FBE7BF2" w:rsidR="00AE77DE" w:rsidRPr="005954E3" w:rsidRDefault="00AE77DE" w:rsidP="00AE77DE">
            <w:pPr>
              <w:pStyle w:val="tabletextleft"/>
              <w:spacing w:before="40" w:after="40"/>
              <w:jc w:val="right"/>
              <w:rPr>
                <w:szCs w:val="18"/>
              </w:rPr>
            </w:pPr>
            <w:r w:rsidRPr="00E27712">
              <w:rPr>
                <w:szCs w:val="18"/>
              </w:rPr>
              <w:t>73.3</w:t>
            </w:r>
          </w:p>
        </w:tc>
        <w:tc>
          <w:tcPr>
            <w:tcW w:w="452" w:type="pct"/>
            <w:vAlign w:val="center"/>
          </w:tcPr>
          <w:p w14:paraId="3ADCE1BA" w14:textId="19A5A6D8" w:rsidR="00AE77DE" w:rsidRPr="005954E3" w:rsidRDefault="00AE77DE" w:rsidP="00AE77DE">
            <w:pPr>
              <w:pStyle w:val="tabletextleft"/>
              <w:spacing w:before="40" w:after="40"/>
              <w:jc w:val="right"/>
              <w:rPr>
                <w:szCs w:val="18"/>
              </w:rPr>
            </w:pPr>
            <w:r w:rsidRPr="00E27712">
              <w:rPr>
                <w:szCs w:val="18"/>
              </w:rPr>
              <w:t>70.0</w:t>
            </w:r>
          </w:p>
        </w:tc>
      </w:tr>
      <w:tr w:rsidR="00AE77DE" w:rsidRPr="005954E3" w14:paraId="53E80C38" w14:textId="77777777" w:rsidTr="006D2755">
        <w:trPr>
          <w:trHeight w:val="454"/>
          <w:jc w:val="center"/>
        </w:trPr>
        <w:tc>
          <w:tcPr>
            <w:tcW w:w="0" w:type="auto"/>
            <w:vAlign w:val="center"/>
            <w:hideMark/>
          </w:tcPr>
          <w:p w14:paraId="2CC09D87" w14:textId="77777777" w:rsidR="00AE77DE" w:rsidRPr="005954E3" w:rsidRDefault="00AE77DE" w:rsidP="00AE77DE">
            <w:pPr>
              <w:pStyle w:val="tabletextleft"/>
              <w:spacing w:before="40" w:after="40"/>
              <w:rPr>
                <w:szCs w:val="18"/>
              </w:rPr>
            </w:pPr>
            <w:r w:rsidRPr="005954E3">
              <w:rPr>
                <w:szCs w:val="18"/>
              </w:rPr>
              <w:t>Международни цени на неенергийните стоки, %</w:t>
            </w:r>
          </w:p>
        </w:tc>
        <w:tc>
          <w:tcPr>
            <w:tcW w:w="0" w:type="auto"/>
            <w:vAlign w:val="center"/>
          </w:tcPr>
          <w:p w14:paraId="746804DA" w14:textId="02FE5B3A" w:rsidR="00AE77DE" w:rsidRPr="005954E3" w:rsidRDefault="00AE77DE" w:rsidP="00AE77DE">
            <w:pPr>
              <w:pStyle w:val="tabletextleft"/>
              <w:spacing w:before="40" w:after="40"/>
              <w:jc w:val="right"/>
              <w:rPr>
                <w:szCs w:val="18"/>
              </w:rPr>
            </w:pPr>
            <w:r w:rsidRPr="00E27712">
              <w:rPr>
                <w:szCs w:val="18"/>
              </w:rPr>
              <w:t>8.7</w:t>
            </w:r>
          </w:p>
        </w:tc>
        <w:tc>
          <w:tcPr>
            <w:tcW w:w="0" w:type="auto"/>
            <w:vAlign w:val="center"/>
          </w:tcPr>
          <w:p w14:paraId="558F23F8" w14:textId="72FE80BB" w:rsidR="00AE77DE" w:rsidRPr="005954E3" w:rsidRDefault="00AE77DE" w:rsidP="00AE77DE">
            <w:pPr>
              <w:pStyle w:val="tabletextleft"/>
              <w:spacing w:before="40" w:after="40"/>
              <w:jc w:val="right"/>
              <w:rPr>
                <w:szCs w:val="18"/>
              </w:rPr>
            </w:pPr>
            <w:r w:rsidRPr="00E27712">
              <w:rPr>
                <w:szCs w:val="18"/>
              </w:rPr>
              <w:t>-10.6</w:t>
            </w:r>
          </w:p>
        </w:tc>
        <w:tc>
          <w:tcPr>
            <w:tcW w:w="0" w:type="auto"/>
            <w:vAlign w:val="center"/>
          </w:tcPr>
          <w:p w14:paraId="6F63B5D6" w14:textId="289D7CC6" w:rsidR="00AE77DE" w:rsidRPr="005954E3" w:rsidRDefault="00AE77DE" w:rsidP="00AE77DE">
            <w:pPr>
              <w:pStyle w:val="tabletextleft"/>
              <w:spacing w:before="40" w:after="40"/>
              <w:jc w:val="right"/>
              <w:rPr>
                <w:szCs w:val="18"/>
              </w:rPr>
            </w:pPr>
            <w:r w:rsidRPr="00E27712">
              <w:rPr>
                <w:szCs w:val="18"/>
              </w:rPr>
              <w:t>-2.1</w:t>
            </w:r>
          </w:p>
        </w:tc>
        <w:tc>
          <w:tcPr>
            <w:tcW w:w="0" w:type="auto"/>
            <w:vAlign w:val="center"/>
          </w:tcPr>
          <w:p w14:paraId="5F43BD4A" w14:textId="3CC885A1" w:rsidR="00AE77DE" w:rsidRPr="005954E3" w:rsidRDefault="00AE77DE" w:rsidP="00AE77DE">
            <w:pPr>
              <w:pStyle w:val="tabletextleft"/>
              <w:spacing w:before="40" w:after="40"/>
              <w:jc w:val="right"/>
              <w:rPr>
                <w:szCs w:val="18"/>
              </w:rPr>
            </w:pPr>
            <w:r w:rsidRPr="00E27712">
              <w:rPr>
                <w:szCs w:val="18"/>
              </w:rPr>
              <w:t>-1.4</w:t>
            </w:r>
          </w:p>
        </w:tc>
        <w:tc>
          <w:tcPr>
            <w:tcW w:w="452" w:type="pct"/>
            <w:vAlign w:val="center"/>
          </w:tcPr>
          <w:p w14:paraId="44C1A51C" w14:textId="73BB5930" w:rsidR="00AE77DE" w:rsidRPr="005954E3" w:rsidRDefault="00AE77DE" w:rsidP="00AE77DE">
            <w:pPr>
              <w:pStyle w:val="tabletextleft"/>
              <w:spacing w:before="40" w:after="40"/>
              <w:jc w:val="right"/>
              <w:rPr>
                <w:szCs w:val="18"/>
              </w:rPr>
            </w:pPr>
            <w:r w:rsidRPr="00E27712">
              <w:rPr>
                <w:szCs w:val="18"/>
              </w:rPr>
              <w:t>-0.6</w:t>
            </w:r>
          </w:p>
        </w:tc>
      </w:tr>
      <w:tr w:rsidR="00AE77DE" w:rsidRPr="005954E3" w14:paraId="586C7356" w14:textId="77777777" w:rsidTr="006D2755">
        <w:trPr>
          <w:trHeight w:val="454"/>
          <w:jc w:val="center"/>
        </w:trPr>
        <w:tc>
          <w:tcPr>
            <w:tcW w:w="0" w:type="auto"/>
            <w:vAlign w:val="center"/>
            <w:hideMark/>
          </w:tcPr>
          <w:p w14:paraId="0829B383" w14:textId="77777777" w:rsidR="00AE77DE" w:rsidRPr="005954E3" w:rsidRDefault="00AE77DE" w:rsidP="00AE77DE">
            <w:pPr>
              <w:pStyle w:val="tabletextleft"/>
              <w:spacing w:before="40" w:after="40"/>
              <w:rPr>
                <w:szCs w:val="18"/>
              </w:rPr>
            </w:pPr>
            <w:r w:rsidRPr="005954E3">
              <w:rPr>
                <w:szCs w:val="18"/>
              </w:rPr>
              <w:t>Международни цени на хранителните продукти, %</w:t>
            </w:r>
          </w:p>
        </w:tc>
        <w:tc>
          <w:tcPr>
            <w:tcW w:w="0" w:type="auto"/>
            <w:vAlign w:val="center"/>
          </w:tcPr>
          <w:p w14:paraId="42D86309" w14:textId="75596F42" w:rsidR="00AE77DE" w:rsidRPr="005954E3" w:rsidRDefault="00AE77DE" w:rsidP="00AE77DE">
            <w:pPr>
              <w:pStyle w:val="tabletextleft"/>
              <w:spacing w:before="40" w:after="40"/>
              <w:jc w:val="right"/>
              <w:rPr>
                <w:szCs w:val="18"/>
              </w:rPr>
            </w:pPr>
            <w:r w:rsidRPr="00E27712">
              <w:rPr>
                <w:szCs w:val="18"/>
              </w:rPr>
              <w:t>16.2</w:t>
            </w:r>
          </w:p>
        </w:tc>
        <w:tc>
          <w:tcPr>
            <w:tcW w:w="0" w:type="auto"/>
            <w:vAlign w:val="center"/>
          </w:tcPr>
          <w:p w14:paraId="025C1DD3" w14:textId="030E3BAE" w:rsidR="00AE77DE" w:rsidRPr="005954E3" w:rsidRDefault="00AE77DE" w:rsidP="00AE77DE">
            <w:pPr>
              <w:pStyle w:val="tabletextleft"/>
              <w:spacing w:before="40" w:after="40"/>
              <w:jc w:val="right"/>
              <w:rPr>
                <w:szCs w:val="18"/>
              </w:rPr>
            </w:pPr>
            <w:r w:rsidRPr="00E27712">
              <w:rPr>
                <w:szCs w:val="18"/>
              </w:rPr>
              <w:t>-6.9</w:t>
            </w:r>
          </w:p>
        </w:tc>
        <w:tc>
          <w:tcPr>
            <w:tcW w:w="0" w:type="auto"/>
            <w:vAlign w:val="center"/>
          </w:tcPr>
          <w:p w14:paraId="22F0DB0E" w14:textId="541429B2" w:rsidR="00AE77DE" w:rsidRPr="005954E3" w:rsidRDefault="00AE77DE" w:rsidP="00AE77DE">
            <w:pPr>
              <w:pStyle w:val="tabletextleft"/>
              <w:spacing w:before="40" w:after="40"/>
              <w:jc w:val="right"/>
              <w:rPr>
                <w:szCs w:val="18"/>
              </w:rPr>
            </w:pPr>
            <w:r w:rsidRPr="00E27712">
              <w:rPr>
                <w:szCs w:val="18"/>
              </w:rPr>
              <w:t>-5.2</w:t>
            </w:r>
          </w:p>
        </w:tc>
        <w:tc>
          <w:tcPr>
            <w:tcW w:w="0" w:type="auto"/>
            <w:vAlign w:val="center"/>
          </w:tcPr>
          <w:p w14:paraId="0D1072CC" w14:textId="2490874E" w:rsidR="00AE77DE" w:rsidRPr="005954E3" w:rsidRDefault="00AE77DE" w:rsidP="00AE77DE">
            <w:pPr>
              <w:pStyle w:val="tabletextleft"/>
              <w:spacing w:before="40" w:after="40"/>
              <w:jc w:val="right"/>
              <w:rPr>
                <w:szCs w:val="18"/>
              </w:rPr>
            </w:pPr>
            <w:r w:rsidRPr="00E27712">
              <w:rPr>
                <w:szCs w:val="18"/>
              </w:rPr>
              <w:t>-3.1</w:t>
            </w:r>
          </w:p>
        </w:tc>
        <w:tc>
          <w:tcPr>
            <w:tcW w:w="452" w:type="pct"/>
            <w:vAlign w:val="center"/>
          </w:tcPr>
          <w:p w14:paraId="4B10A3E5" w14:textId="57A38C8F" w:rsidR="00AE77DE" w:rsidRPr="005954E3" w:rsidRDefault="00AE77DE" w:rsidP="00AE77DE">
            <w:pPr>
              <w:pStyle w:val="tabletextleft"/>
              <w:spacing w:before="40" w:after="40"/>
              <w:jc w:val="right"/>
              <w:rPr>
                <w:szCs w:val="18"/>
              </w:rPr>
            </w:pPr>
            <w:r w:rsidRPr="00E27712">
              <w:rPr>
                <w:szCs w:val="18"/>
              </w:rPr>
              <w:t>-1.6</w:t>
            </w:r>
          </w:p>
        </w:tc>
      </w:tr>
      <w:tr w:rsidR="00AE77DE" w:rsidRPr="005954E3" w14:paraId="143C992C" w14:textId="77777777" w:rsidTr="006D2755">
        <w:trPr>
          <w:trHeight w:val="454"/>
          <w:jc w:val="center"/>
        </w:trPr>
        <w:tc>
          <w:tcPr>
            <w:tcW w:w="0" w:type="auto"/>
            <w:vAlign w:val="center"/>
            <w:hideMark/>
          </w:tcPr>
          <w:p w14:paraId="5391A0B4" w14:textId="77777777" w:rsidR="00AE77DE" w:rsidRPr="005954E3" w:rsidRDefault="00AE77DE" w:rsidP="00AE77DE">
            <w:pPr>
              <w:pStyle w:val="tabletextleft"/>
              <w:spacing w:before="40" w:after="40"/>
              <w:rPr>
                <w:szCs w:val="18"/>
              </w:rPr>
            </w:pPr>
            <w:r w:rsidRPr="005954E3">
              <w:rPr>
                <w:szCs w:val="18"/>
              </w:rPr>
              <w:t>Международни цени на селскостопанските суровини, %</w:t>
            </w:r>
          </w:p>
        </w:tc>
        <w:tc>
          <w:tcPr>
            <w:tcW w:w="0" w:type="auto"/>
            <w:vAlign w:val="center"/>
          </w:tcPr>
          <w:p w14:paraId="14CEF9E7" w14:textId="38541FE5" w:rsidR="00AE77DE" w:rsidRPr="005954E3" w:rsidRDefault="00AE77DE" w:rsidP="00AE77DE">
            <w:pPr>
              <w:pStyle w:val="tabletextleft"/>
              <w:spacing w:before="40" w:after="40"/>
              <w:jc w:val="right"/>
              <w:rPr>
                <w:szCs w:val="18"/>
              </w:rPr>
            </w:pPr>
            <w:r w:rsidRPr="00E27712">
              <w:rPr>
                <w:szCs w:val="18"/>
              </w:rPr>
              <w:t>5.0</w:t>
            </w:r>
          </w:p>
        </w:tc>
        <w:tc>
          <w:tcPr>
            <w:tcW w:w="0" w:type="auto"/>
            <w:vAlign w:val="center"/>
          </w:tcPr>
          <w:p w14:paraId="6355C498" w14:textId="0E5854C8" w:rsidR="00AE77DE" w:rsidRPr="005954E3" w:rsidRDefault="00AE77DE" w:rsidP="00AE77DE">
            <w:pPr>
              <w:pStyle w:val="tabletextleft"/>
              <w:spacing w:before="40" w:after="40"/>
              <w:jc w:val="right"/>
              <w:rPr>
                <w:szCs w:val="18"/>
              </w:rPr>
            </w:pPr>
            <w:r w:rsidRPr="00E27712">
              <w:rPr>
                <w:szCs w:val="18"/>
              </w:rPr>
              <w:t>-35.0</w:t>
            </w:r>
          </w:p>
        </w:tc>
        <w:tc>
          <w:tcPr>
            <w:tcW w:w="0" w:type="auto"/>
            <w:vAlign w:val="center"/>
          </w:tcPr>
          <w:p w14:paraId="6C63E577" w14:textId="6DB94629" w:rsidR="00AE77DE" w:rsidRPr="005954E3" w:rsidRDefault="00AE77DE" w:rsidP="00AE77DE">
            <w:pPr>
              <w:pStyle w:val="tabletextleft"/>
              <w:spacing w:before="40" w:after="40"/>
              <w:jc w:val="right"/>
              <w:rPr>
                <w:szCs w:val="18"/>
              </w:rPr>
            </w:pPr>
            <w:r w:rsidRPr="00E27712">
              <w:rPr>
                <w:szCs w:val="18"/>
              </w:rPr>
              <w:t>1.4</w:t>
            </w:r>
          </w:p>
        </w:tc>
        <w:tc>
          <w:tcPr>
            <w:tcW w:w="0" w:type="auto"/>
            <w:vAlign w:val="center"/>
          </w:tcPr>
          <w:p w14:paraId="4F66F5CC" w14:textId="77C57400" w:rsidR="00AE77DE" w:rsidRPr="005954E3" w:rsidRDefault="00AE77DE" w:rsidP="00AE77DE">
            <w:pPr>
              <w:pStyle w:val="tabletextleft"/>
              <w:spacing w:before="40" w:after="40"/>
              <w:jc w:val="right"/>
              <w:rPr>
                <w:szCs w:val="18"/>
              </w:rPr>
            </w:pPr>
            <w:r w:rsidRPr="00E27712">
              <w:rPr>
                <w:szCs w:val="18"/>
              </w:rPr>
              <w:t>-0.4</w:t>
            </w:r>
          </w:p>
        </w:tc>
        <w:tc>
          <w:tcPr>
            <w:tcW w:w="452" w:type="pct"/>
            <w:vAlign w:val="center"/>
          </w:tcPr>
          <w:p w14:paraId="3BF07EC8" w14:textId="6D000D6C" w:rsidR="00AE77DE" w:rsidRPr="005954E3" w:rsidRDefault="00AE77DE" w:rsidP="00AE77DE">
            <w:pPr>
              <w:pStyle w:val="tabletextleft"/>
              <w:spacing w:before="40" w:after="40"/>
              <w:jc w:val="right"/>
              <w:rPr>
                <w:szCs w:val="18"/>
              </w:rPr>
            </w:pPr>
            <w:r w:rsidRPr="00E27712">
              <w:rPr>
                <w:szCs w:val="18"/>
              </w:rPr>
              <w:t>-0.4</w:t>
            </w:r>
          </w:p>
        </w:tc>
      </w:tr>
      <w:tr w:rsidR="00AE77DE" w:rsidRPr="005954E3" w14:paraId="7D4983BD" w14:textId="77777777" w:rsidTr="006D2755">
        <w:trPr>
          <w:trHeight w:val="454"/>
          <w:jc w:val="center"/>
        </w:trPr>
        <w:tc>
          <w:tcPr>
            <w:tcW w:w="0" w:type="auto"/>
            <w:vAlign w:val="center"/>
            <w:hideMark/>
          </w:tcPr>
          <w:p w14:paraId="73CCF0A4" w14:textId="77777777" w:rsidR="00AE77DE" w:rsidRPr="005954E3" w:rsidRDefault="00AE77DE" w:rsidP="00AE77DE">
            <w:pPr>
              <w:pStyle w:val="tabletextleft"/>
              <w:spacing w:before="40" w:after="40"/>
              <w:rPr>
                <w:szCs w:val="18"/>
              </w:rPr>
            </w:pPr>
            <w:r w:rsidRPr="005954E3">
              <w:rPr>
                <w:szCs w:val="18"/>
              </w:rPr>
              <w:t>Международни цени на металите, %</w:t>
            </w:r>
          </w:p>
        </w:tc>
        <w:tc>
          <w:tcPr>
            <w:tcW w:w="0" w:type="auto"/>
            <w:vAlign w:val="center"/>
          </w:tcPr>
          <w:p w14:paraId="1838C49B" w14:textId="360FD7F4" w:rsidR="00AE77DE" w:rsidRPr="005954E3" w:rsidRDefault="00AE77DE" w:rsidP="00AE77DE">
            <w:pPr>
              <w:pStyle w:val="tabletextleft"/>
              <w:spacing w:before="40" w:after="40"/>
              <w:jc w:val="right"/>
              <w:rPr>
                <w:szCs w:val="18"/>
              </w:rPr>
            </w:pPr>
            <w:r w:rsidRPr="00E27712">
              <w:rPr>
                <w:szCs w:val="18"/>
              </w:rPr>
              <w:t>-0.4</w:t>
            </w:r>
          </w:p>
        </w:tc>
        <w:tc>
          <w:tcPr>
            <w:tcW w:w="0" w:type="auto"/>
            <w:vAlign w:val="center"/>
          </w:tcPr>
          <w:p w14:paraId="54DB400E" w14:textId="18DC7EE4" w:rsidR="00AE77DE" w:rsidRPr="005954E3" w:rsidRDefault="00AE77DE" w:rsidP="00AE77DE">
            <w:pPr>
              <w:pStyle w:val="tabletextleft"/>
              <w:spacing w:before="40" w:after="40"/>
              <w:jc w:val="right"/>
              <w:rPr>
                <w:szCs w:val="18"/>
              </w:rPr>
            </w:pPr>
            <w:r w:rsidRPr="00E27712">
              <w:rPr>
                <w:szCs w:val="18"/>
              </w:rPr>
              <w:t>-5.0</w:t>
            </w:r>
          </w:p>
        </w:tc>
        <w:tc>
          <w:tcPr>
            <w:tcW w:w="0" w:type="auto"/>
            <w:vAlign w:val="center"/>
          </w:tcPr>
          <w:p w14:paraId="7A353971" w14:textId="5DFC9CBC" w:rsidR="00AE77DE" w:rsidRPr="005954E3" w:rsidRDefault="00AE77DE" w:rsidP="00AE77DE">
            <w:pPr>
              <w:pStyle w:val="tabletextleft"/>
              <w:spacing w:before="40" w:after="40"/>
              <w:jc w:val="right"/>
              <w:rPr>
                <w:szCs w:val="18"/>
              </w:rPr>
            </w:pPr>
            <w:r w:rsidRPr="00E27712">
              <w:rPr>
                <w:szCs w:val="18"/>
              </w:rPr>
              <w:t>-0.3</w:t>
            </w:r>
          </w:p>
        </w:tc>
        <w:tc>
          <w:tcPr>
            <w:tcW w:w="0" w:type="auto"/>
            <w:vAlign w:val="center"/>
          </w:tcPr>
          <w:p w14:paraId="66E99484" w14:textId="3F15C312" w:rsidR="00AE77DE" w:rsidRPr="005954E3" w:rsidRDefault="00AE77DE" w:rsidP="00AE77DE">
            <w:pPr>
              <w:pStyle w:val="tabletextleft"/>
              <w:spacing w:before="40" w:after="40"/>
              <w:jc w:val="right"/>
              <w:rPr>
                <w:szCs w:val="18"/>
              </w:rPr>
            </w:pPr>
            <w:r w:rsidRPr="00E27712">
              <w:rPr>
                <w:szCs w:val="18"/>
              </w:rPr>
              <w:t>0.3</w:t>
            </w:r>
          </w:p>
        </w:tc>
        <w:tc>
          <w:tcPr>
            <w:tcW w:w="452" w:type="pct"/>
            <w:vAlign w:val="center"/>
          </w:tcPr>
          <w:p w14:paraId="29F37E85" w14:textId="40E95D29" w:rsidR="00AE77DE" w:rsidRPr="005954E3" w:rsidRDefault="00AE77DE" w:rsidP="00AE77DE">
            <w:pPr>
              <w:pStyle w:val="tabletextleft"/>
              <w:spacing w:before="40" w:after="40"/>
              <w:jc w:val="right"/>
              <w:rPr>
                <w:szCs w:val="18"/>
              </w:rPr>
            </w:pPr>
            <w:r w:rsidRPr="00E27712">
              <w:rPr>
                <w:szCs w:val="18"/>
              </w:rPr>
              <w:t>1.0</w:t>
            </w:r>
          </w:p>
        </w:tc>
      </w:tr>
    </w:tbl>
    <w:p w14:paraId="084FD82F" w14:textId="77777777" w:rsidR="006D2755" w:rsidRPr="005954E3" w:rsidRDefault="006D2755" w:rsidP="006D2755">
      <w:pPr>
        <w:jc w:val="right"/>
      </w:pPr>
    </w:p>
    <w:p w14:paraId="7A25338D" w14:textId="77777777" w:rsidR="006D2755" w:rsidRPr="005954E3" w:rsidRDefault="006D2755" w:rsidP="006D2755">
      <w:pPr>
        <w:jc w:val="right"/>
      </w:pPr>
    </w:p>
    <w:p w14:paraId="00379612" w14:textId="77777777" w:rsidR="006D2755" w:rsidRPr="005954E3" w:rsidRDefault="006D2755" w:rsidP="006D2755"/>
    <w:p w14:paraId="21D67885" w14:textId="77777777" w:rsidR="00207054" w:rsidRPr="005B2032" w:rsidRDefault="00207054" w:rsidP="001F71EF">
      <w:pPr>
        <w:jc w:val="right"/>
        <w:rPr>
          <w:rFonts w:asciiTheme="minorHAnsi" w:hAnsiTheme="minorHAnsi" w:cstheme="minorHAnsi"/>
        </w:rPr>
      </w:pPr>
    </w:p>
    <w:p w14:paraId="3BDA4C86" w14:textId="77777777" w:rsidR="00207054" w:rsidRPr="005E6318" w:rsidRDefault="00207054" w:rsidP="00B552D5">
      <w:pPr>
        <w:pStyle w:val="Heading1"/>
      </w:pPr>
      <w:bookmarkStart w:id="202" w:name="_Toc133597307"/>
      <w:r w:rsidRPr="005E6318">
        <w:lastRenderedPageBreak/>
        <w:t>Приложение Б</w:t>
      </w:r>
      <w:bookmarkEnd w:id="202"/>
    </w:p>
    <w:p w14:paraId="01B516A4" w14:textId="0F5759CA" w:rsidR="00D61ADD" w:rsidRPr="002C1C40" w:rsidRDefault="00B206D1" w:rsidP="00B206D1">
      <w:pPr>
        <w:pStyle w:val="Heading2"/>
        <w:numPr>
          <w:ilvl w:val="0"/>
          <w:numId w:val="0"/>
        </w:numPr>
      </w:pPr>
      <w:bookmarkStart w:id="203" w:name="_Toc133597308"/>
      <w:r>
        <w:t>Табл.</w:t>
      </w:r>
      <w:r w:rsidR="00D61ADD" w:rsidRPr="002C1C40">
        <w:t xml:space="preserve"> 1: Отражение на МВУ върху прогнозите в програмата</w:t>
      </w:r>
      <w:r w:rsidR="00B552D5">
        <w:t xml:space="preserve"> – </w:t>
      </w:r>
      <w:r w:rsidR="00D61ADD" w:rsidRPr="002C1C40">
        <w:t>Грантове</w:t>
      </w:r>
      <w:bookmarkEnd w:id="203"/>
    </w:p>
    <w:tbl>
      <w:tblPr>
        <w:tblStyle w:val="TableGrid12"/>
        <w:tblW w:w="5000"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4540"/>
        <w:gridCol w:w="646"/>
        <w:gridCol w:w="645"/>
        <w:gridCol w:w="645"/>
        <w:gridCol w:w="645"/>
        <w:gridCol w:w="645"/>
        <w:gridCol w:w="645"/>
        <w:gridCol w:w="653"/>
      </w:tblGrid>
      <w:tr w:rsidR="00D61ADD" w:rsidRPr="002C1C40" w14:paraId="74D4A1A2" w14:textId="77777777" w:rsidTr="00B206D1">
        <w:trPr>
          <w:trHeight w:val="397"/>
        </w:trPr>
        <w:tc>
          <w:tcPr>
            <w:tcW w:w="5000" w:type="pct"/>
            <w:gridSpan w:val="8"/>
            <w:noWrap/>
            <w:vAlign w:val="center"/>
            <w:hideMark/>
          </w:tcPr>
          <w:p w14:paraId="1B325431" w14:textId="77777777" w:rsidR="00D61ADD" w:rsidRPr="005379B7" w:rsidRDefault="00D61ADD" w:rsidP="00B206D1">
            <w:pPr>
              <w:jc w:val="center"/>
              <w:rPr>
                <w:rFonts w:ascii="Times New Roman" w:hAnsi="Times New Roman" w:cs="Times New Roman"/>
                <w:b/>
                <w:bCs/>
                <w:sz w:val="20"/>
              </w:rPr>
            </w:pPr>
            <w:r w:rsidRPr="005379B7">
              <w:rPr>
                <w:rFonts w:ascii="Times New Roman" w:hAnsi="Times New Roman" w:cs="Times New Roman"/>
                <w:b/>
                <w:bCs/>
                <w:sz w:val="20"/>
              </w:rPr>
              <w:t>Приходи от грантове (% от БВП)</w:t>
            </w:r>
          </w:p>
        </w:tc>
      </w:tr>
      <w:tr w:rsidR="00D61ADD" w:rsidRPr="002C1C40" w14:paraId="736AF745" w14:textId="77777777" w:rsidTr="00B206D1">
        <w:trPr>
          <w:trHeight w:val="397"/>
        </w:trPr>
        <w:tc>
          <w:tcPr>
            <w:tcW w:w="2504" w:type="pct"/>
            <w:noWrap/>
            <w:vAlign w:val="center"/>
            <w:hideMark/>
          </w:tcPr>
          <w:p w14:paraId="1C49BFC9" w14:textId="77777777" w:rsidR="00D61ADD" w:rsidRPr="005379B7" w:rsidRDefault="00D61ADD" w:rsidP="00B206D1">
            <w:pPr>
              <w:rPr>
                <w:rFonts w:ascii="Times New Roman" w:hAnsi="Times New Roman" w:cs="Times New Roman"/>
                <w:i/>
                <w:iCs/>
                <w:sz w:val="20"/>
              </w:rPr>
            </w:pPr>
            <w:r w:rsidRPr="005379B7">
              <w:rPr>
                <w:rFonts w:ascii="Times New Roman" w:hAnsi="Times New Roman" w:cs="Times New Roman"/>
                <w:i/>
                <w:iCs/>
                <w:sz w:val="20"/>
              </w:rPr>
              <w:t> </w:t>
            </w:r>
          </w:p>
        </w:tc>
        <w:tc>
          <w:tcPr>
            <w:tcW w:w="356" w:type="pct"/>
            <w:noWrap/>
            <w:vAlign w:val="center"/>
            <w:hideMark/>
          </w:tcPr>
          <w:p w14:paraId="544F4647" w14:textId="77777777" w:rsidR="00D61ADD" w:rsidRPr="005379B7" w:rsidRDefault="00D61ADD" w:rsidP="00B206D1">
            <w:pPr>
              <w:jc w:val="center"/>
              <w:rPr>
                <w:rFonts w:ascii="Times New Roman" w:hAnsi="Times New Roman" w:cs="Times New Roman"/>
                <w:b/>
                <w:bCs/>
                <w:sz w:val="20"/>
              </w:rPr>
            </w:pPr>
            <w:r w:rsidRPr="005379B7">
              <w:rPr>
                <w:rFonts w:ascii="Times New Roman" w:hAnsi="Times New Roman" w:cs="Times New Roman"/>
                <w:b/>
                <w:bCs/>
                <w:sz w:val="20"/>
              </w:rPr>
              <w:t>2020</w:t>
            </w:r>
          </w:p>
        </w:tc>
        <w:tc>
          <w:tcPr>
            <w:tcW w:w="356" w:type="pct"/>
            <w:noWrap/>
            <w:vAlign w:val="center"/>
            <w:hideMark/>
          </w:tcPr>
          <w:p w14:paraId="0047FDD8" w14:textId="77777777" w:rsidR="00D61ADD" w:rsidRPr="005379B7" w:rsidRDefault="00D61ADD" w:rsidP="00B206D1">
            <w:pPr>
              <w:jc w:val="center"/>
              <w:rPr>
                <w:rFonts w:ascii="Times New Roman" w:hAnsi="Times New Roman" w:cs="Times New Roman"/>
                <w:b/>
                <w:bCs/>
                <w:sz w:val="20"/>
              </w:rPr>
            </w:pPr>
            <w:r w:rsidRPr="005379B7">
              <w:rPr>
                <w:rFonts w:ascii="Times New Roman" w:hAnsi="Times New Roman" w:cs="Times New Roman"/>
                <w:b/>
                <w:bCs/>
                <w:sz w:val="20"/>
              </w:rPr>
              <w:t>2021</w:t>
            </w:r>
          </w:p>
        </w:tc>
        <w:tc>
          <w:tcPr>
            <w:tcW w:w="356" w:type="pct"/>
            <w:noWrap/>
            <w:vAlign w:val="center"/>
            <w:hideMark/>
          </w:tcPr>
          <w:p w14:paraId="64E1F818" w14:textId="77777777" w:rsidR="00D61ADD" w:rsidRPr="005379B7" w:rsidRDefault="00D61ADD" w:rsidP="00B206D1">
            <w:pPr>
              <w:jc w:val="center"/>
              <w:rPr>
                <w:rFonts w:ascii="Times New Roman" w:hAnsi="Times New Roman" w:cs="Times New Roman"/>
                <w:b/>
                <w:bCs/>
                <w:sz w:val="20"/>
              </w:rPr>
            </w:pPr>
            <w:r w:rsidRPr="005379B7">
              <w:rPr>
                <w:rFonts w:ascii="Times New Roman" w:hAnsi="Times New Roman" w:cs="Times New Roman"/>
                <w:b/>
                <w:bCs/>
                <w:sz w:val="20"/>
              </w:rPr>
              <w:t>2022</w:t>
            </w:r>
          </w:p>
        </w:tc>
        <w:tc>
          <w:tcPr>
            <w:tcW w:w="356" w:type="pct"/>
            <w:noWrap/>
            <w:vAlign w:val="center"/>
            <w:hideMark/>
          </w:tcPr>
          <w:p w14:paraId="4BF7AC80" w14:textId="77777777" w:rsidR="00D61ADD" w:rsidRPr="005379B7" w:rsidRDefault="00D61ADD" w:rsidP="00B206D1">
            <w:pPr>
              <w:jc w:val="center"/>
              <w:rPr>
                <w:rFonts w:ascii="Times New Roman" w:hAnsi="Times New Roman" w:cs="Times New Roman"/>
                <w:b/>
                <w:bCs/>
                <w:sz w:val="20"/>
              </w:rPr>
            </w:pPr>
            <w:r w:rsidRPr="005379B7">
              <w:rPr>
                <w:rFonts w:ascii="Times New Roman" w:hAnsi="Times New Roman" w:cs="Times New Roman"/>
                <w:b/>
                <w:bCs/>
                <w:sz w:val="20"/>
              </w:rPr>
              <w:t>2023</w:t>
            </w:r>
          </w:p>
        </w:tc>
        <w:tc>
          <w:tcPr>
            <w:tcW w:w="356" w:type="pct"/>
            <w:noWrap/>
            <w:vAlign w:val="center"/>
            <w:hideMark/>
          </w:tcPr>
          <w:p w14:paraId="77A1956B" w14:textId="77777777" w:rsidR="00D61ADD" w:rsidRPr="005379B7" w:rsidRDefault="00D61ADD" w:rsidP="00B206D1">
            <w:pPr>
              <w:jc w:val="center"/>
              <w:rPr>
                <w:rFonts w:ascii="Times New Roman" w:hAnsi="Times New Roman" w:cs="Times New Roman"/>
                <w:b/>
                <w:bCs/>
                <w:sz w:val="20"/>
              </w:rPr>
            </w:pPr>
            <w:r w:rsidRPr="005379B7">
              <w:rPr>
                <w:rFonts w:ascii="Times New Roman" w:hAnsi="Times New Roman" w:cs="Times New Roman"/>
                <w:b/>
                <w:bCs/>
                <w:sz w:val="20"/>
              </w:rPr>
              <w:t>2024</w:t>
            </w:r>
          </w:p>
        </w:tc>
        <w:tc>
          <w:tcPr>
            <w:tcW w:w="356" w:type="pct"/>
            <w:noWrap/>
            <w:vAlign w:val="center"/>
            <w:hideMark/>
          </w:tcPr>
          <w:p w14:paraId="0CEE31CB" w14:textId="77777777" w:rsidR="00D61ADD" w:rsidRPr="005379B7" w:rsidRDefault="00D61ADD" w:rsidP="00B206D1">
            <w:pPr>
              <w:jc w:val="center"/>
              <w:rPr>
                <w:rFonts w:ascii="Times New Roman" w:hAnsi="Times New Roman" w:cs="Times New Roman"/>
                <w:b/>
                <w:bCs/>
                <w:sz w:val="20"/>
              </w:rPr>
            </w:pPr>
            <w:r w:rsidRPr="005379B7">
              <w:rPr>
                <w:rFonts w:ascii="Times New Roman" w:hAnsi="Times New Roman" w:cs="Times New Roman"/>
                <w:b/>
                <w:bCs/>
                <w:sz w:val="20"/>
              </w:rPr>
              <w:t>2025</w:t>
            </w:r>
          </w:p>
        </w:tc>
        <w:tc>
          <w:tcPr>
            <w:tcW w:w="360" w:type="pct"/>
            <w:noWrap/>
            <w:vAlign w:val="center"/>
            <w:hideMark/>
          </w:tcPr>
          <w:p w14:paraId="28F8FF68" w14:textId="77777777" w:rsidR="00D61ADD" w:rsidRPr="005379B7" w:rsidRDefault="00D61ADD" w:rsidP="00B206D1">
            <w:pPr>
              <w:jc w:val="center"/>
              <w:rPr>
                <w:rFonts w:ascii="Times New Roman" w:hAnsi="Times New Roman" w:cs="Times New Roman"/>
                <w:b/>
                <w:bCs/>
                <w:sz w:val="20"/>
              </w:rPr>
            </w:pPr>
            <w:r w:rsidRPr="005379B7">
              <w:rPr>
                <w:rFonts w:ascii="Times New Roman" w:hAnsi="Times New Roman" w:cs="Times New Roman"/>
                <w:b/>
                <w:bCs/>
                <w:sz w:val="20"/>
              </w:rPr>
              <w:t>2026</w:t>
            </w:r>
          </w:p>
        </w:tc>
      </w:tr>
      <w:tr w:rsidR="00340DF0" w:rsidRPr="002C1C40" w14:paraId="78CF981D" w14:textId="77777777" w:rsidTr="00B206D1">
        <w:trPr>
          <w:trHeight w:val="397"/>
        </w:trPr>
        <w:tc>
          <w:tcPr>
            <w:tcW w:w="2504" w:type="pct"/>
            <w:vAlign w:val="center"/>
            <w:hideMark/>
          </w:tcPr>
          <w:p w14:paraId="699CFEA3" w14:textId="77777777" w:rsidR="00340DF0" w:rsidRPr="005379B7" w:rsidRDefault="00340DF0" w:rsidP="00B206D1">
            <w:pPr>
              <w:rPr>
                <w:rFonts w:ascii="Times New Roman" w:hAnsi="Times New Roman" w:cs="Times New Roman"/>
                <w:b/>
                <w:bCs/>
                <w:sz w:val="20"/>
              </w:rPr>
            </w:pPr>
            <w:r w:rsidRPr="005379B7">
              <w:rPr>
                <w:rFonts w:ascii="Times New Roman" w:hAnsi="Times New Roman" w:cs="Times New Roman"/>
                <w:b/>
                <w:bCs/>
                <w:sz w:val="20"/>
              </w:rPr>
              <w:t xml:space="preserve">МВУ Грантове според прогнозите за приходите </w:t>
            </w:r>
          </w:p>
        </w:tc>
        <w:tc>
          <w:tcPr>
            <w:tcW w:w="356" w:type="pct"/>
            <w:noWrap/>
            <w:vAlign w:val="center"/>
            <w:hideMark/>
          </w:tcPr>
          <w:p w14:paraId="46E194B2" w14:textId="06DA4F0E" w:rsidR="00340DF0" w:rsidRPr="005379B7" w:rsidRDefault="00340DF0" w:rsidP="00B206D1">
            <w:pPr>
              <w:jc w:val="center"/>
              <w:rPr>
                <w:rFonts w:ascii="Times New Roman" w:hAnsi="Times New Roman" w:cs="Times New Roman"/>
                <w:sz w:val="20"/>
              </w:rPr>
            </w:pPr>
          </w:p>
        </w:tc>
        <w:tc>
          <w:tcPr>
            <w:tcW w:w="356" w:type="pct"/>
            <w:noWrap/>
            <w:vAlign w:val="center"/>
            <w:hideMark/>
          </w:tcPr>
          <w:p w14:paraId="57125691" w14:textId="0017887B" w:rsidR="00340DF0" w:rsidRPr="005379B7" w:rsidRDefault="00340DF0" w:rsidP="00B206D1">
            <w:pPr>
              <w:jc w:val="center"/>
              <w:rPr>
                <w:rFonts w:ascii="Times New Roman" w:hAnsi="Times New Roman" w:cs="Times New Roman"/>
                <w:i/>
                <w:iCs/>
                <w:sz w:val="20"/>
              </w:rPr>
            </w:pPr>
          </w:p>
        </w:tc>
        <w:tc>
          <w:tcPr>
            <w:tcW w:w="356" w:type="pct"/>
            <w:noWrap/>
            <w:vAlign w:val="center"/>
            <w:hideMark/>
          </w:tcPr>
          <w:p w14:paraId="758FD3B6" w14:textId="26934E9B" w:rsidR="00340DF0" w:rsidRPr="005379B7" w:rsidRDefault="00340DF0" w:rsidP="00B206D1">
            <w:pPr>
              <w:jc w:val="center"/>
              <w:rPr>
                <w:rFonts w:ascii="Times New Roman" w:hAnsi="Times New Roman" w:cs="Times New Roman"/>
                <w:i/>
                <w:iCs/>
                <w:sz w:val="20"/>
              </w:rPr>
            </w:pPr>
            <w:r w:rsidRPr="00450CE4">
              <w:rPr>
                <w:rFonts w:cstheme="minorHAnsi"/>
                <w:i/>
                <w:iCs/>
                <w:color w:val="000000"/>
                <w:sz w:val="18"/>
                <w:szCs w:val="18"/>
              </w:rPr>
              <w:t>0</w:t>
            </w:r>
            <w:r>
              <w:rPr>
                <w:rFonts w:cstheme="minorHAnsi"/>
                <w:i/>
                <w:iCs/>
                <w:color w:val="000000"/>
                <w:sz w:val="18"/>
                <w:szCs w:val="18"/>
              </w:rPr>
              <w:t>.</w:t>
            </w:r>
            <w:r w:rsidRPr="00450CE4">
              <w:rPr>
                <w:rFonts w:cstheme="minorHAnsi"/>
                <w:i/>
                <w:iCs/>
                <w:color w:val="000000"/>
                <w:sz w:val="18"/>
                <w:szCs w:val="18"/>
              </w:rPr>
              <w:t>02</w:t>
            </w:r>
          </w:p>
        </w:tc>
        <w:tc>
          <w:tcPr>
            <w:tcW w:w="356" w:type="pct"/>
            <w:noWrap/>
            <w:vAlign w:val="center"/>
            <w:hideMark/>
          </w:tcPr>
          <w:p w14:paraId="29B9E18F" w14:textId="0C1F6B1B" w:rsidR="00340DF0" w:rsidRPr="005379B7" w:rsidRDefault="00340DF0" w:rsidP="00B206D1">
            <w:pPr>
              <w:jc w:val="center"/>
              <w:rPr>
                <w:rFonts w:ascii="Times New Roman" w:hAnsi="Times New Roman" w:cs="Times New Roman"/>
                <w:sz w:val="20"/>
              </w:rPr>
            </w:pPr>
            <w:r w:rsidRPr="00450CE4">
              <w:rPr>
                <w:rFonts w:cstheme="minorHAnsi"/>
                <w:i/>
                <w:iCs/>
                <w:color w:val="000000"/>
                <w:sz w:val="18"/>
                <w:szCs w:val="18"/>
              </w:rPr>
              <w:t>0</w:t>
            </w:r>
            <w:r>
              <w:rPr>
                <w:rFonts w:cstheme="minorHAnsi"/>
                <w:i/>
                <w:iCs/>
                <w:color w:val="000000"/>
                <w:sz w:val="18"/>
                <w:szCs w:val="18"/>
              </w:rPr>
              <w:t>.</w:t>
            </w:r>
            <w:r w:rsidRPr="00450CE4">
              <w:rPr>
                <w:rFonts w:cstheme="minorHAnsi"/>
                <w:i/>
                <w:iCs/>
                <w:color w:val="000000"/>
                <w:sz w:val="18"/>
                <w:szCs w:val="18"/>
              </w:rPr>
              <w:t>28</w:t>
            </w:r>
          </w:p>
        </w:tc>
        <w:tc>
          <w:tcPr>
            <w:tcW w:w="356" w:type="pct"/>
            <w:noWrap/>
            <w:vAlign w:val="center"/>
            <w:hideMark/>
          </w:tcPr>
          <w:p w14:paraId="5B0EE8EA" w14:textId="7898A388" w:rsidR="00340DF0" w:rsidRPr="005379B7" w:rsidRDefault="00340DF0" w:rsidP="00B206D1">
            <w:pPr>
              <w:jc w:val="center"/>
              <w:rPr>
                <w:rFonts w:ascii="Times New Roman" w:hAnsi="Times New Roman" w:cs="Times New Roman"/>
                <w:sz w:val="20"/>
              </w:rPr>
            </w:pPr>
            <w:r w:rsidRPr="00450CE4">
              <w:rPr>
                <w:rFonts w:cstheme="minorHAnsi"/>
                <w:i/>
                <w:iCs/>
                <w:color w:val="000000"/>
                <w:sz w:val="18"/>
                <w:szCs w:val="18"/>
              </w:rPr>
              <w:t>1</w:t>
            </w:r>
            <w:r>
              <w:rPr>
                <w:rFonts w:cstheme="minorHAnsi"/>
                <w:i/>
                <w:iCs/>
                <w:color w:val="000000"/>
                <w:sz w:val="18"/>
                <w:szCs w:val="18"/>
              </w:rPr>
              <w:t>.</w:t>
            </w:r>
            <w:r w:rsidRPr="00450CE4">
              <w:rPr>
                <w:rFonts w:cstheme="minorHAnsi"/>
                <w:i/>
                <w:iCs/>
                <w:color w:val="000000"/>
                <w:sz w:val="18"/>
                <w:szCs w:val="18"/>
              </w:rPr>
              <w:t>34</w:t>
            </w:r>
          </w:p>
        </w:tc>
        <w:tc>
          <w:tcPr>
            <w:tcW w:w="356" w:type="pct"/>
            <w:noWrap/>
            <w:vAlign w:val="center"/>
            <w:hideMark/>
          </w:tcPr>
          <w:p w14:paraId="660A3B29" w14:textId="688BA266" w:rsidR="00340DF0" w:rsidRPr="005379B7" w:rsidRDefault="00340DF0" w:rsidP="00B206D1">
            <w:pPr>
              <w:jc w:val="center"/>
              <w:rPr>
                <w:rFonts w:ascii="Times New Roman" w:hAnsi="Times New Roman" w:cs="Times New Roman"/>
                <w:sz w:val="20"/>
              </w:rPr>
            </w:pPr>
            <w:r w:rsidRPr="00450CE4">
              <w:rPr>
                <w:rFonts w:cstheme="minorHAnsi"/>
                <w:i/>
                <w:iCs/>
                <w:color w:val="000000"/>
                <w:sz w:val="18"/>
                <w:szCs w:val="18"/>
              </w:rPr>
              <w:t>1</w:t>
            </w:r>
            <w:r>
              <w:rPr>
                <w:rFonts w:cstheme="minorHAnsi"/>
                <w:i/>
                <w:iCs/>
                <w:color w:val="000000"/>
                <w:sz w:val="18"/>
                <w:szCs w:val="18"/>
              </w:rPr>
              <w:t>.</w:t>
            </w:r>
            <w:r w:rsidRPr="00450CE4">
              <w:rPr>
                <w:rFonts w:cstheme="minorHAnsi"/>
                <w:i/>
                <w:iCs/>
                <w:color w:val="000000"/>
                <w:sz w:val="18"/>
                <w:szCs w:val="18"/>
              </w:rPr>
              <w:t>10</w:t>
            </w:r>
          </w:p>
        </w:tc>
        <w:tc>
          <w:tcPr>
            <w:tcW w:w="360" w:type="pct"/>
            <w:noWrap/>
            <w:vAlign w:val="center"/>
            <w:hideMark/>
          </w:tcPr>
          <w:p w14:paraId="318C9226" w14:textId="2E9DED1C" w:rsidR="00340DF0" w:rsidRPr="005379B7" w:rsidRDefault="00340DF0" w:rsidP="00B206D1">
            <w:pPr>
              <w:jc w:val="center"/>
              <w:rPr>
                <w:rFonts w:ascii="Times New Roman" w:hAnsi="Times New Roman" w:cs="Times New Roman"/>
                <w:sz w:val="20"/>
              </w:rPr>
            </w:pPr>
            <w:r w:rsidRPr="00450CE4">
              <w:rPr>
                <w:rFonts w:cstheme="minorHAnsi"/>
                <w:i/>
                <w:iCs/>
                <w:color w:val="000000"/>
                <w:sz w:val="18"/>
                <w:szCs w:val="18"/>
              </w:rPr>
              <w:t>0</w:t>
            </w:r>
            <w:r>
              <w:rPr>
                <w:rFonts w:cstheme="minorHAnsi"/>
                <w:i/>
                <w:iCs/>
                <w:color w:val="000000"/>
                <w:sz w:val="18"/>
                <w:szCs w:val="18"/>
              </w:rPr>
              <w:t>.</w:t>
            </w:r>
            <w:r w:rsidRPr="00450CE4">
              <w:rPr>
                <w:rFonts w:cstheme="minorHAnsi"/>
                <w:i/>
                <w:iCs/>
                <w:color w:val="000000"/>
                <w:sz w:val="18"/>
                <w:szCs w:val="18"/>
              </w:rPr>
              <w:t>46</w:t>
            </w:r>
          </w:p>
        </w:tc>
      </w:tr>
      <w:tr w:rsidR="00340DF0" w:rsidRPr="002C1C40" w14:paraId="3D9066DB" w14:textId="77777777" w:rsidTr="008C553D">
        <w:trPr>
          <w:trHeight w:val="397"/>
        </w:trPr>
        <w:tc>
          <w:tcPr>
            <w:tcW w:w="2504" w:type="pct"/>
            <w:tcBorders>
              <w:bottom w:val="single" w:sz="2" w:space="0" w:color="A6A6A6" w:themeColor="background1" w:themeShade="A6"/>
            </w:tcBorders>
            <w:noWrap/>
            <w:vAlign w:val="center"/>
            <w:hideMark/>
          </w:tcPr>
          <w:p w14:paraId="4F0B8858" w14:textId="77777777" w:rsidR="00340DF0" w:rsidRPr="005379B7" w:rsidRDefault="00340DF0" w:rsidP="00B206D1">
            <w:pPr>
              <w:rPr>
                <w:rFonts w:ascii="Times New Roman" w:hAnsi="Times New Roman" w:cs="Times New Roman"/>
                <w:b/>
                <w:bCs/>
                <w:sz w:val="20"/>
              </w:rPr>
            </w:pPr>
            <w:r w:rsidRPr="005379B7">
              <w:rPr>
                <w:rFonts w:ascii="Times New Roman" w:hAnsi="Times New Roman" w:cs="Times New Roman"/>
                <w:b/>
                <w:bCs/>
                <w:sz w:val="20"/>
              </w:rPr>
              <w:t>Касови плащания от МВУ грантове от ЕС</w:t>
            </w:r>
          </w:p>
        </w:tc>
        <w:tc>
          <w:tcPr>
            <w:tcW w:w="356" w:type="pct"/>
            <w:tcBorders>
              <w:bottom w:val="single" w:sz="2" w:space="0" w:color="A6A6A6" w:themeColor="background1" w:themeShade="A6"/>
            </w:tcBorders>
            <w:noWrap/>
            <w:vAlign w:val="center"/>
            <w:hideMark/>
          </w:tcPr>
          <w:p w14:paraId="087A82E5" w14:textId="21DB9999" w:rsidR="00340DF0" w:rsidRPr="005379B7" w:rsidRDefault="00340DF0" w:rsidP="00B206D1">
            <w:pPr>
              <w:jc w:val="center"/>
              <w:rPr>
                <w:rFonts w:ascii="Times New Roman" w:hAnsi="Times New Roman" w:cs="Times New Roman"/>
                <w:i/>
                <w:iCs/>
                <w:sz w:val="20"/>
              </w:rPr>
            </w:pPr>
          </w:p>
        </w:tc>
        <w:tc>
          <w:tcPr>
            <w:tcW w:w="356" w:type="pct"/>
            <w:tcBorders>
              <w:bottom w:val="single" w:sz="2" w:space="0" w:color="A6A6A6" w:themeColor="background1" w:themeShade="A6"/>
            </w:tcBorders>
            <w:noWrap/>
            <w:vAlign w:val="center"/>
            <w:hideMark/>
          </w:tcPr>
          <w:p w14:paraId="5EFC4662" w14:textId="00A03DEE" w:rsidR="00340DF0" w:rsidRPr="005379B7" w:rsidRDefault="00340DF0" w:rsidP="00B206D1">
            <w:pPr>
              <w:jc w:val="center"/>
              <w:rPr>
                <w:rFonts w:ascii="Times New Roman" w:hAnsi="Times New Roman" w:cs="Times New Roman"/>
                <w:i/>
                <w:iCs/>
                <w:sz w:val="20"/>
              </w:rPr>
            </w:pPr>
          </w:p>
        </w:tc>
        <w:tc>
          <w:tcPr>
            <w:tcW w:w="356" w:type="pct"/>
            <w:tcBorders>
              <w:bottom w:val="single" w:sz="2" w:space="0" w:color="A6A6A6" w:themeColor="background1" w:themeShade="A6"/>
            </w:tcBorders>
            <w:noWrap/>
            <w:vAlign w:val="center"/>
            <w:hideMark/>
          </w:tcPr>
          <w:p w14:paraId="0F250A7A" w14:textId="7CB6D8FE" w:rsidR="00340DF0" w:rsidRPr="005379B7" w:rsidRDefault="00340DF0" w:rsidP="00B206D1">
            <w:pPr>
              <w:jc w:val="center"/>
              <w:rPr>
                <w:rFonts w:ascii="Times New Roman" w:hAnsi="Times New Roman" w:cs="Times New Roman"/>
                <w:i/>
                <w:iCs/>
                <w:sz w:val="20"/>
              </w:rPr>
            </w:pPr>
            <w:r w:rsidRPr="00450CE4">
              <w:rPr>
                <w:rFonts w:cstheme="minorHAnsi"/>
                <w:i/>
                <w:iCs/>
                <w:color w:val="000000"/>
                <w:sz w:val="18"/>
                <w:szCs w:val="18"/>
              </w:rPr>
              <w:t>1</w:t>
            </w:r>
            <w:r>
              <w:rPr>
                <w:rFonts w:cstheme="minorHAnsi"/>
                <w:i/>
                <w:iCs/>
                <w:color w:val="000000"/>
                <w:sz w:val="18"/>
                <w:szCs w:val="18"/>
              </w:rPr>
              <w:t>.</w:t>
            </w:r>
            <w:r w:rsidRPr="00450CE4">
              <w:rPr>
                <w:rFonts w:cstheme="minorHAnsi"/>
                <w:i/>
                <w:iCs/>
                <w:color w:val="000000"/>
                <w:sz w:val="18"/>
                <w:szCs w:val="18"/>
              </w:rPr>
              <w:t>62</w:t>
            </w:r>
          </w:p>
        </w:tc>
        <w:tc>
          <w:tcPr>
            <w:tcW w:w="356" w:type="pct"/>
            <w:tcBorders>
              <w:bottom w:val="single" w:sz="2" w:space="0" w:color="A6A6A6" w:themeColor="background1" w:themeShade="A6"/>
            </w:tcBorders>
            <w:noWrap/>
            <w:vAlign w:val="center"/>
            <w:hideMark/>
          </w:tcPr>
          <w:p w14:paraId="1B0F9AE0" w14:textId="2036578A" w:rsidR="00340DF0" w:rsidRPr="005379B7" w:rsidRDefault="00340DF0" w:rsidP="00B206D1">
            <w:pPr>
              <w:jc w:val="center"/>
              <w:rPr>
                <w:rFonts w:ascii="Times New Roman" w:hAnsi="Times New Roman" w:cs="Times New Roman"/>
                <w:i/>
                <w:iCs/>
                <w:sz w:val="20"/>
              </w:rPr>
            </w:pPr>
            <w:r w:rsidRPr="00450CE4">
              <w:rPr>
                <w:rFonts w:cstheme="minorHAnsi"/>
                <w:i/>
                <w:iCs/>
                <w:color w:val="000000"/>
                <w:sz w:val="18"/>
                <w:szCs w:val="18"/>
              </w:rPr>
              <w:t>0</w:t>
            </w:r>
            <w:r>
              <w:rPr>
                <w:rFonts w:cstheme="minorHAnsi"/>
                <w:i/>
                <w:iCs/>
                <w:color w:val="000000"/>
                <w:sz w:val="18"/>
                <w:szCs w:val="18"/>
              </w:rPr>
              <w:t>.</w:t>
            </w:r>
            <w:r w:rsidRPr="00450CE4">
              <w:rPr>
                <w:rFonts w:cstheme="minorHAnsi"/>
                <w:i/>
                <w:iCs/>
                <w:color w:val="000000"/>
                <w:sz w:val="18"/>
                <w:szCs w:val="18"/>
              </w:rPr>
              <w:t>00</w:t>
            </w:r>
          </w:p>
        </w:tc>
        <w:tc>
          <w:tcPr>
            <w:tcW w:w="356" w:type="pct"/>
            <w:tcBorders>
              <w:bottom w:val="single" w:sz="2" w:space="0" w:color="A6A6A6" w:themeColor="background1" w:themeShade="A6"/>
            </w:tcBorders>
            <w:noWrap/>
            <w:vAlign w:val="center"/>
            <w:hideMark/>
          </w:tcPr>
          <w:p w14:paraId="40B551D3" w14:textId="3C929E37" w:rsidR="00340DF0" w:rsidRPr="005379B7" w:rsidRDefault="00340DF0" w:rsidP="00B206D1">
            <w:pPr>
              <w:jc w:val="center"/>
              <w:rPr>
                <w:rFonts w:ascii="Times New Roman" w:hAnsi="Times New Roman" w:cs="Times New Roman"/>
                <w:i/>
                <w:iCs/>
                <w:sz w:val="20"/>
              </w:rPr>
            </w:pPr>
            <w:r w:rsidRPr="00450CE4">
              <w:rPr>
                <w:rFonts w:cstheme="minorHAnsi"/>
                <w:i/>
                <w:iCs/>
                <w:color w:val="000000"/>
                <w:sz w:val="18"/>
                <w:szCs w:val="18"/>
              </w:rPr>
              <w:t>1</w:t>
            </w:r>
            <w:r>
              <w:rPr>
                <w:rFonts w:cstheme="minorHAnsi"/>
                <w:i/>
                <w:iCs/>
                <w:color w:val="000000"/>
                <w:sz w:val="18"/>
                <w:szCs w:val="18"/>
              </w:rPr>
              <w:t>.</w:t>
            </w:r>
            <w:r w:rsidRPr="00450CE4">
              <w:rPr>
                <w:rFonts w:cstheme="minorHAnsi"/>
                <w:i/>
                <w:iCs/>
                <w:color w:val="000000"/>
                <w:sz w:val="18"/>
                <w:szCs w:val="18"/>
              </w:rPr>
              <w:t>46</w:t>
            </w:r>
          </w:p>
        </w:tc>
        <w:tc>
          <w:tcPr>
            <w:tcW w:w="356" w:type="pct"/>
            <w:tcBorders>
              <w:bottom w:val="single" w:sz="2" w:space="0" w:color="A6A6A6" w:themeColor="background1" w:themeShade="A6"/>
            </w:tcBorders>
            <w:noWrap/>
            <w:vAlign w:val="center"/>
            <w:hideMark/>
          </w:tcPr>
          <w:p w14:paraId="0710EC50" w14:textId="42545ADA" w:rsidR="00340DF0" w:rsidRPr="005379B7" w:rsidRDefault="00340DF0" w:rsidP="00B206D1">
            <w:pPr>
              <w:jc w:val="center"/>
              <w:rPr>
                <w:rFonts w:ascii="Times New Roman" w:hAnsi="Times New Roman" w:cs="Times New Roman"/>
                <w:i/>
                <w:iCs/>
                <w:sz w:val="20"/>
              </w:rPr>
            </w:pPr>
            <w:r w:rsidRPr="00450CE4">
              <w:rPr>
                <w:rFonts w:cstheme="minorHAnsi"/>
                <w:i/>
                <w:iCs/>
                <w:color w:val="000000"/>
                <w:sz w:val="18"/>
                <w:szCs w:val="18"/>
              </w:rPr>
              <w:t>1</w:t>
            </w:r>
            <w:r>
              <w:rPr>
                <w:rFonts w:cstheme="minorHAnsi"/>
                <w:i/>
                <w:iCs/>
                <w:color w:val="000000"/>
                <w:sz w:val="18"/>
                <w:szCs w:val="18"/>
              </w:rPr>
              <w:t>.</w:t>
            </w:r>
            <w:r w:rsidRPr="00450CE4">
              <w:rPr>
                <w:rFonts w:cstheme="minorHAnsi"/>
                <w:i/>
                <w:iCs/>
                <w:color w:val="000000"/>
                <w:sz w:val="18"/>
                <w:szCs w:val="18"/>
              </w:rPr>
              <w:t>67</w:t>
            </w:r>
          </w:p>
        </w:tc>
        <w:tc>
          <w:tcPr>
            <w:tcW w:w="360" w:type="pct"/>
            <w:tcBorders>
              <w:bottom w:val="single" w:sz="2" w:space="0" w:color="A6A6A6" w:themeColor="background1" w:themeShade="A6"/>
            </w:tcBorders>
            <w:noWrap/>
            <w:vAlign w:val="center"/>
            <w:hideMark/>
          </w:tcPr>
          <w:p w14:paraId="2F4678AE" w14:textId="3A5EA455" w:rsidR="00340DF0" w:rsidRPr="005379B7" w:rsidRDefault="00340DF0" w:rsidP="00B206D1">
            <w:pPr>
              <w:jc w:val="center"/>
              <w:rPr>
                <w:rFonts w:ascii="Times New Roman" w:hAnsi="Times New Roman" w:cs="Times New Roman"/>
                <w:i/>
                <w:iCs/>
                <w:sz w:val="20"/>
              </w:rPr>
            </w:pPr>
            <w:r w:rsidRPr="00450CE4">
              <w:rPr>
                <w:rFonts w:cstheme="minorHAnsi"/>
                <w:i/>
                <w:iCs/>
                <w:color w:val="000000"/>
                <w:sz w:val="18"/>
                <w:szCs w:val="18"/>
              </w:rPr>
              <w:t>1</w:t>
            </w:r>
            <w:r>
              <w:rPr>
                <w:rFonts w:cstheme="minorHAnsi"/>
                <w:i/>
                <w:iCs/>
                <w:color w:val="000000"/>
                <w:sz w:val="18"/>
                <w:szCs w:val="18"/>
              </w:rPr>
              <w:t>.</w:t>
            </w:r>
            <w:r w:rsidRPr="00450CE4">
              <w:rPr>
                <w:rFonts w:cstheme="minorHAnsi"/>
                <w:i/>
                <w:iCs/>
                <w:color w:val="000000"/>
                <w:sz w:val="18"/>
                <w:szCs w:val="18"/>
              </w:rPr>
              <w:t>43</w:t>
            </w:r>
          </w:p>
        </w:tc>
      </w:tr>
      <w:tr w:rsidR="00D61ADD" w:rsidRPr="002C1C40" w14:paraId="4B61EB25" w14:textId="77777777" w:rsidTr="008C553D">
        <w:trPr>
          <w:trHeight w:val="397"/>
        </w:trPr>
        <w:tc>
          <w:tcPr>
            <w:tcW w:w="5000" w:type="pct"/>
            <w:gridSpan w:val="8"/>
            <w:tcBorders>
              <w:left w:val="nil"/>
              <w:right w:val="nil"/>
            </w:tcBorders>
            <w:noWrap/>
          </w:tcPr>
          <w:p w14:paraId="67C6A983" w14:textId="77777777" w:rsidR="00D61ADD" w:rsidRPr="002C1C40" w:rsidRDefault="00D61ADD" w:rsidP="00777E7B">
            <w:pPr>
              <w:rPr>
                <w:rFonts w:ascii="Times New Roman" w:hAnsi="Times New Roman" w:cs="Times New Roman"/>
              </w:rPr>
            </w:pPr>
          </w:p>
        </w:tc>
      </w:tr>
      <w:tr w:rsidR="00D61ADD" w:rsidRPr="002C1C40" w14:paraId="79C61F9A" w14:textId="77777777" w:rsidTr="00B206D1">
        <w:trPr>
          <w:trHeight w:val="397"/>
        </w:trPr>
        <w:tc>
          <w:tcPr>
            <w:tcW w:w="5000" w:type="pct"/>
            <w:gridSpan w:val="8"/>
            <w:noWrap/>
            <w:vAlign w:val="center"/>
            <w:hideMark/>
          </w:tcPr>
          <w:p w14:paraId="0686BB25"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Разходи финансирани от МВУ грантове (% от БВП)</w:t>
            </w:r>
          </w:p>
        </w:tc>
      </w:tr>
      <w:tr w:rsidR="00D61ADD" w:rsidRPr="002C1C40" w14:paraId="22F1066A" w14:textId="77777777" w:rsidTr="00B206D1">
        <w:trPr>
          <w:trHeight w:val="397"/>
        </w:trPr>
        <w:tc>
          <w:tcPr>
            <w:tcW w:w="2504" w:type="pct"/>
            <w:noWrap/>
            <w:hideMark/>
          </w:tcPr>
          <w:p w14:paraId="40B75ABF" w14:textId="77777777" w:rsidR="00D61ADD" w:rsidRPr="005379B7" w:rsidRDefault="00D61ADD" w:rsidP="00777E7B">
            <w:pPr>
              <w:rPr>
                <w:rFonts w:ascii="Times New Roman" w:hAnsi="Times New Roman" w:cs="Times New Roman"/>
                <w:b/>
                <w:bCs/>
                <w:sz w:val="18"/>
              </w:rPr>
            </w:pPr>
            <w:r w:rsidRPr="005379B7">
              <w:rPr>
                <w:rFonts w:ascii="Times New Roman" w:hAnsi="Times New Roman" w:cs="Times New Roman"/>
                <w:b/>
                <w:bCs/>
                <w:sz w:val="18"/>
              </w:rPr>
              <w:t> </w:t>
            </w:r>
          </w:p>
        </w:tc>
        <w:tc>
          <w:tcPr>
            <w:tcW w:w="356" w:type="pct"/>
            <w:noWrap/>
            <w:vAlign w:val="center"/>
            <w:hideMark/>
          </w:tcPr>
          <w:p w14:paraId="55211858"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2020</w:t>
            </w:r>
          </w:p>
        </w:tc>
        <w:tc>
          <w:tcPr>
            <w:tcW w:w="356" w:type="pct"/>
            <w:noWrap/>
            <w:vAlign w:val="center"/>
            <w:hideMark/>
          </w:tcPr>
          <w:p w14:paraId="71AFC254"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2021</w:t>
            </w:r>
          </w:p>
        </w:tc>
        <w:tc>
          <w:tcPr>
            <w:tcW w:w="356" w:type="pct"/>
            <w:noWrap/>
            <w:vAlign w:val="center"/>
            <w:hideMark/>
          </w:tcPr>
          <w:p w14:paraId="7EBF12F6"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2022</w:t>
            </w:r>
          </w:p>
        </w:tc>
        <w:tc>
          <w:tcPr>
            <w:tcW w:w="356" w:type="pct"/>
            <w:noWrap/>
            <w:vAlign w:val="center"/>
            <w:hideMark/>
          </w:tcPr>
          <w:p w14:paraId="034770B7"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2023</w:t>
            </w:r>
          </w:p>
        </w:tc>
        <w:tc>
          <w:tcPr>
            <w:tcW w:w="356" w:type="pct"/>
            <w:noWrap/>
            <w:vAlign w:val="center"/>
            <w:hideMark/>
          </w:tcPr>
          <w:p w14:paraId="66BBCE02"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2024</w:t>
            </w:r>
          </w:p>
        </w:tc>
        <w:tc>
          <w:tcPr>
            <w:tcW w:w="356" w:type="pct"/>
            <w:noWrap/>
            <w:vAlign w:val="center"/>
            <w:hideMark/>
          </w:tcPr>
          <w:p w14:paraId="4DDAFF0A"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2025</w:t>
            </w:r>
          </w:p>
        </w:tc>
        <w:tc>
          <w:tcPr>
            <w:tcW w:w="360" w:type="pct"/>
            <w:noWrap/>
            <w:vAlign w:val="center"/>
            <w:hideMark/>
          </w:tcPr>
          <w:p w14:paraId="65770B15"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2026</w:t>
            </w:r>
          </w:p>
        </w:tc>
      </w:tr>
      <w:tr w:rsidR="00340DF0" w:rsidRPr="002C1C40" w14:paraId="2F0C7FAA" w14:textId="77777777" w:rsidTr="00B206D1">
        <w:trPr>
          <w:trHeight w:val="397"/>
        </w:trPr>
        <w:tc>
          <w:tcPr>
            <w:tcW w:w="2504" w:type="pct"/>
            <w:noWrap/>
            <w:vAlign w:val="center"/>
            <w:hideMark/>
          </w:tcPr>
          <w:p w14:paraId="138FC58F" w14:textId="77777777" w:rsidR="00340DF0" w:rsidRPr="005379B7" w:rsidRDefault="00340DF0" w:rsidP="00B206D1">
            <w:pPr>
              <w:rPr>
                <w:rFonts w:ascii="Times New Roman" w:hAnsi="Times New Roman" w:cs="Times New Roman"/>
                <w:sz w:val="18"/>
              </w:rPr>
            </w:pPr>
            <w:r w:rsidRPr="005379B7">
              <w:rPr>
                <w:rFonts w:ascii="Times New Roman" w:hAnsi="Times New Roman" w:cs="Times New Roman"/>
                <w:sz w:val="18"/>
              </w:rPr>
              <w:t>Компенсация на наетите лица D.1</w:t>
            </w:r>
          </w:p>
        </w:tc>
        <w:tc>
          <w:tcPr>
            <w:tcW w:w="356" w:type="pct"/>
            <w:noWrap/>
            <w:hideMark/>
          </w:tcPr>
          <w:p w14:paraId="0D9AC982"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hideMark/>
          </w:tcPr>
          <w:p w14:paraId="06312971"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vAlign w:val="center"/>
            <w:hideMark/>
          </w:tcPr>
          <w:p w14:paraId="270F83C8" w14:textId="4863D15F"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0.00</w:t>
            </w:r>
          </w:p>
        </w:tc>
        <w:tc>
          <w:tcPr>
            <w:tcW w:w="356" w:type="pct"/>
            <w:noWrap/>
            <w:vAlign w:val="center"/>
            <w:hideMark/>
          </w:tcPr>
          <w:p w14:paraId="193F5E2F" w14:textId="71CCEF40"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0.01</w:t>
            </w:r>
          </w:p>
        </w:tc>
        <w:tc>
          <w:tcPr>
            <w:tcW w:w="356" w:type="pct"/>
            <w:noWrap/>
            <w:vAlign w:val="center"/>
            <w:hideMark/>
          </w:tcPr>
          <w:p w14:paraId="2F0CF257" w14:textId="41E72F08"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0.01</w:t>
            </w:r>
          </w:p>
        </w:tc>
        <w:tc>
          <w:tcPr>
            <w:tcW w:w="356" w:type="pct"/>
            <w:noWrap/>
            <w:vAlign w:val="center"/>
            <w:hideMark/>
          </w:tcPr>
          <w:p w14:paraId="1EB9AF1A" w14:textId="01E3D855"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0.02</w:t>
            </w:r>
          </w:p>
        </w:tc>
        <w:tc>
          <w:tcPr>
            <w:tcW w:w="360" w:type="pct"/>
            <w:noWrap/>
            <w:vAlign w:val="center"/>
            <w:hideMark/>
          </w:tcPr>
          <w:p w14:paraId="547F3476" w14:textId="11A5BBA5"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0.01</w:t>
            </w:r>
          </w:p>
        </w:tc>
      </w:tr>
      <w:tr w:rsidR="00340DF0" w:rsidRPr="002C1C40" w14:paraId="6A0DAF6D" w14:textId="77777777" w:rsidTr="00B206D1">
        <w:trPr>
          <w:trHeight w:val="397"/>
        </w:trPr>
        <w:tc>
          <w:tcPr>
            <w:tcW w:w="2504" w:type="pct"/>
            <w:noWrap/>
            <w:vAlign w:val="center"/>
            <w:hideMark/>
          </w:tcPr>
          <w:p w14:paraId="0D8A6CB6" w14:textId="77777777" w:rsidR="00340DF0" w:rsidRPr="005379B7" w:rsidRDefault="00340DF0" w:rsidP="00B206D1">
            <w:pPr>
              <w:rPr>
                <w:rFonts w:ascii="Times New Roman" w:hAnsi="Times New Roman" w:cs="Times New Roman"/>
                <w:sz w:val="18"/>
              </w:rPr>
            </w:pPr>
            <w:r w:rsidRPr="005379B7">
              <w:rPr>
                <w:rFonts w:ascii="Times New Roman" w:hAnsi="Times New Roman" w:cs="Times New Roman"/>
                <w:sz w:val="18"/>
              </w:rPr>
              <w:t>Междинно потребление P.2</w:t>
            </w:r>
          </w:p>
        </w:tc>
        <w:tc>
          <w:tcPr>
            <w:tcW w:w="356" w:type="pct"/>
            <w:noWrap/>
            <w:hideMark/>
          </w:tcPr>
          <w:p w14:paraId="12792E54"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hideMark/>
          </w:tcPr>
          <w:p w14:paraId="4DF3066F"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vAlign w:val="center"/>
            <w:hideMark/>
          </w:tcPr>
          <w:p w14:paraId="7F4AB9D2" w14:textId="42937537"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0.00</w:t>
            </w:r>
          </w:p>
        </w:tc>
        <w:tc>
          <w:tcPr>
            <w:tcW w:w="356" w:type="pct"/>
            <w:noWrap/>
            <w:vAlign w:val="center"/>
            <w:hideMark/>
          </w:tcPr>
          <w:p w14:paraId="70C7A3E6" w14:textId="7F119CDB"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0.03</w:t>
            </w:r>
          </w:p>
        </w:tc>
        <w:tc>
          <w:tcPr>
            <w:tcW w:w="356" w:type="pct"/>
            <w:noWrap/>
            <w:vAlign w:val="center"/>
            <w:hideMark/>
          </w:tcPr>
          <w:p w14:paraId="35E79D13" w14:textId="72BD1D99"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0.08</w:t>
            </w:r>
          </w:p>
        </w:tc>
        <w:tc>
          <w:tcPr>
            <w:tcW w:w="356" w:type="pct"/>
            <w:noWrap/>
            <w:vAlign w:val="center"/>
            <w:hideMark/>
          </w:tcPr>
          <w:p w14:paraId="1181B8BF" w14:textId="23C3B4C6"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0.07</w:t>
            </w:r>
          </w:p>
        </w:tc>
        <w:tc>
          <w:tcPr>
            <w:tcW w:w="360" w:type="pct"/>
            <w:noWrap/>
            <w:vAlign w:val="center"/>
            <w:hideMark/>
          </w:tcPr>
          <w:p w14:paraId="38993EDE" w14:textId="205DDC00"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0.02</w:t>
            </w:r>
          </w:p>
        </w:tc>
      </w:tr>
      <w:tr w:rsidR="00340DF0" w:rsidRPr="002C1C40" w14:paraId="3000C465" w14:textId="77777777" w:rsidTr="00B206D1">
        <w:trPr>
          <w:trHeight w:val="397"/>
        </w:trPr>
        <w:tc>
          <w:tcPr>
            <w:tcW w:w="2504" w:type="pct"/>
            <w:noWrap/>
            <w:vAlign w:val="center"/>
            <w:hideMark/>
          </w:tcPr>
          <w:p w14:paraId="2A0FCE34" w14:textId="77777777" w:rsidR="00340DF0" w:rsidRPr="005379B7" w:rsidRDefault="00340DF0" w:rsidP="00B206D1">
            <w:pPr>
              <w:rPr>
                <w:rFonts w:ascii="Times New Roman" w:hAnsi="Times New Roman" w:cs="Times New Roman"/>
                <w:sz w:val="18"/>
              </w:rPr>
            </w:pPr>
            <w:r w:rsidRPr="005379B7">
              <w:rPr>
                <w:rFonts w:ascii="Times New Roman" w:hAnsi="Times New Roman" w:cs="Times New Roman"/>
                <w:sz w:val="18"/>
              </w:rPr>
              <w:t>Социални трансфери D.62+D.632</w:t>
            </w:r>
          </w:p>
        </w:tc>
        <w:tc>
          <w:tcPr>
            <w:tcW w:w="356" w:type="pct"/>
            <w:noWrap/>
            <w:hideMark/>
          </w:tcPr>
          <w:p w14:paraId="3B66600E"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hideMark/>
          </w:tcPr>
          <w:p w14:paraId="617FD7A5"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vAlign w:val="center"/>
            <w:hideMark/>
          </w:tcPr>
          <w:p w14:paraId="0080B7A0" w14:textId="2A1E407C"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c>
          <w:tcPr>
            <w:tcW w:w="356" w:type="pct"/>
            <w:noWrap/>
            <w:vAlign w:val="center"/>
            <w:hideMark/>
          </w:tcPr>
          <w:p w14:paraId="65113111" w14:textId="464A3382"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c>
          <w:tcPr>
            <w:tcW w:w="356" w:type="pct"/>
            <w:noWrap/>
            <w:vAlign w:val="center"/>
            <w:hideMark/>
          </w:tcPr>
          <w:p w14:paraId="5F943F01" w14:textId="47F9227A"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c>
          <w:tcPr>
            <w:tcW w:w="356" w:type="pct"/>
            <w:noWrap/>
            <w:vAlign w:val="center"/>
            <w:hideMark/>
          </w:tcPr>
          <w:p w14:paraId="5541E8E5" w14:textId="625DAB7D"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c>
          <w:tcPr>
            <w:tcW w:w="360" w:type="pct"/>
            <w:noWrap/>
            <w:vAlign w:val="center"/>
            <w:hideMark/>
          </w:tcPr>
          <w:p w14:paraId="5C9089BB" w14:textId="1FC5126A"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r>
      <w:tr w:rsidR="00340DF0" w:rsidRPr="002C1C40" w14:paraId="5B9969FA" w14:textId="77777777" w:rsidTr="00B206D1">
        <w:trPr>
          <w:trHeight w:val="397"/>
        </w:trPr>
        <w:tc>
          <w:tcPr>
            <w:tcW w:w="2504" w:type="pct"/>
            <w:noWrap/>
            <w:vAlign w:val="center"/>
            <w:hideMark/>
          </w:tcPr>
          <w:p w14:paraId="287B1B07" w14:textId="77777777" w:rsidR="00340DF0" w:rsidRPr="005379B7" w:rsidRDefault="00340DF0" w:rsidP="00B206D1">
            <w:pPr>
              <w:rPr>
                <w:rFonts w:ascii="Times New Roman" w:hAnsi="Times New Roman" w:cs="Times New Roman"/>
                <w:sz w:val="18"/>
              </w:rPr>
            </w:pPr>
            <w:r w:rsidRPr="005379B7">
              <w:rPr>
                <w:rFonts w:ascii="Times New Roman" w:hAnsi="Times New Roman" w:cs="Times New Roman"/>
                <w:sz w:val="18"/>
              </w:rPr>
              <w:t>Лихвени разходи D.41</w:t>
            </w:r>
          </w:p>
        </w:tc>
        <w:tc>
          <w:tcPr>
            <w:tcW w:w="356" w:type="pct"/>
            <w:noWrap/>
            <w:hideMark/>
          </w:tcPr>
          <w:p w14:paraId="15C8A833"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hideMark/>
          </w:tcPr>
          <w:p w14:paraId="4DE95909"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vAlign w:val="center"/>
            <w:hideMark/>
          </w:tcPr>
          <w:p w14:paraId="0C098411" w14:textId="1086FA6C"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c>
          <w:tcPr>
            <w:tcW w:w="356" w:type="pct"/>
            <w:noWrap/>
            <w:vAlign w:val="center"/>
            <w:hideMark/>
          </w:tcPr>
          <w:p w14:paraId="641C32D3" w14:textId="63AD6813"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c>
          <w:tcPr>
            <w:tcW w:w="356" w:type="pct"/>
            <w:noWrap/>
            <w:vAlign w:val="center"/>
            <w:hideMark/>
          </w:tcPr>
          <w:p w14:paraId="28D6C0C4" w14:textId="26542FE5"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c>
          <w:tcPr>
            <w:tcW w:w="356" w:type="pct"/>
            <w:noWrap/>
            <w:vAlign w:val="center"/>
            <w:hideMark/>
          </w:tcPr>
          <w:p w14:paraId="51ADD932" w14:textId="47A71563"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c>
          <w:tcPr>
            <w:tcW w:w="360" w:type="pct"/>
            <w:noWrap/>
            <w:vAlign w:val="center"/>
            <w:hideMark/>
          </w:tcPr>
          <w:p w14:paraId="157243A2" w14:textId="5546FEA4" w:rsidR="00340DF0" w:rsidRPr="005379B7" w:rsidRDefault="00340DF0" w:rsidP="00340DF0">
            <w:pPr>
              <w:rPr>
                <w:rFonts w:ascii="Times New Roman" w:hAnsi="Times New Roman" w:cs="Times New Roman"/>
                <w:sz w:val="18"/>
              </w:rPr>
            </w:pPr>
            <w:r w:rsidRPr="00450CE4">
              <w:rPr>
                <w:rFonts w:asciiTheme="majorHAnsi" w:hAnsiTheme="majorHAnsi" w:cstheme="majorHAnsi"/>
                <w:color w:val="000000"/>
                <w:sz w:val="18"/>
                <w:szCs w:val="18"/>
              </w:rPr>
              <w:t> </w:t>
            </w:r>
          </w:p>
        </w:tc>
      </w:tr>
      <w:tr w:rsidR="00340DF0" w:rsidRPr="002C1C40" w14:paraId="7FC6B5BF" w14:textId="77777777" w:rsidTr="00B206D1">
        <w:trPr>
          <w:trHeight w:val="397"/>
        </w:trPr>
        <w:tc>
          <w:tcPr>
            <w:tcW w:w="2504" w:type="pct"/>
            <w:noWrap/>
            <w:vAlign w:val="center"/>
            <w:hideMark/>
          </w:tcPr>
          <w:p w14:paraId="27838AA4" w14:textId="77777777" w:rsidR="00340DF0" w:rsidRPr="005379B7" w:rsidRDefault="00340DF0" w:rsidP="00B206D1">
            <w:pPr>
              <w:rPr>
                <w:rFonts w:ascii="Times New Roman" w:hAnsi="Times New Roman" w:cs="Times New Roman"/>
                <w:sz w:val="18"/>
              </w:rPr>
            </w:pPr>
            <w:r w:rsidRPr="005379B7">
              <w:rPr>
                <w:rFonts w:ascii="Times New Roman" w:hAnsi="Times New Roman" w:cs="Times New Roman"/>
                <w:sz w:val="18"/>
              </w:rPr>
              <w:t>Субсидии D.3</w:t>
            </w:r>
          </w:p>
        </w:tc>
        <w:tc>
          <w:tcPr>
            <w:tcW w:w="356" w:type="pct"/>
            <w:noWrap/>
            <w:hideMark/>
          </w:tcPr>
          <w:p w14:paraId="7C6A81DA"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hideMark/>
          </w:tcPr>
          <w:p w14:paraId="1D0484F4"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vAlign w:val="center"/>
            <w:hideMark/>
          </w:tcPr>
          <w:p w14:paraId="516D48C0" w14:textId="1FA3B42B" w:rsidR="00340DF0" w:rsidRPr="005379B7" w:rsidRDefault="00340DF0" w:rsidP="00340DF0">
            <w:pPr>
              <w:rPr>
                <w:rFonts w:ascii="Times New Roman" w:hAnsi="Times New Roman" w:cs="Times New Roman"/>
                <w:sz w:val="18"/>
              </w:rPr>
            </w:pPr>
          </w:p>
        </w:tc>
        <w:tc>
          <w:tcPr>
            <w:tcW w:w="356" w:type="pct"/>
            <w:noWrap/>
            <w:vAlign w:val="center"/>
            <w:hideMark/>
          </w:tcPr>
          <w:p w14:paraId="688CCBDC" w14:textId="6643A03F" w:rsidR="00340DF0" w:rsidRPr="005379B7" w:rsidRDefault="00340DF0" w:rsidP="00340DF0">
            <w:pPr>
              <w:rPr>
                <w:rFonts w:ascii="Times New Roman" w:hAnsi="Times New Roman" w:cs="Times New Roman"/>
                <w:sz w:val="18"/>
              </w:rPr>
            </w:pPr>
          </w:p>
        </w:tc>
        <w:tc>
          <w:tcPr>
            <w:tcW w:w="356" w:type="pct"/>
            <w:noWrap/>
            <w:vAlign w:val="center"/>
            <w:hideMark/>
          </w:tcPr>
          <w:p w14:paraId="7C759627" w14:textId="4B678DCB" w:rsidR="00340DF0" w:rsidRPr="005379B7" w:rsidRDefault="00340DF0" w:rsidP="00340DF0">
            <w:pPr>
              <w:rPr>
                <w:rFonts w:ascii="Times New Roman" w:hAnsi="Times New Roman" w:cs="Times New Roman"/>
                <w:sz w:val="18"/>
              </w:rPr>
            </w:pPr>
          </w:p>
        </w:tc>
        <w:tc>
          <w:tcPr>
            <w:tcW w:w="356" w:type="pct"/>
            <w:noWrap/>
            <w:vAlign w:val="center"/>
            <w:hideMark/>
          </w:tcPr>
          <w:p w14:paraId="460E5133" w14:textId="5EB776B7" w:rsidR="00340DF0" w:rsidRPr="005379B7" w:rsidRDefault="00340DF0" w:rsidP="00340DF0">
            <w:pPr>
              <w:rPr>
                <w:rFonts w:ascii="Times New Roman" w:hAnsi="Times New Roman" w:cs="Times New Roman"/>
                <w:sz w:val="18"/>
              </w:rPr>
            </w:pPr>
          </w:p>
        </w:tc>
        <w:tc>
          <w:tcPr>
            <w:tcW w:w="360" w:type="pct"/>
            <w:noWrap/>
            <w:vAlign w:val="center"/>
            <w:hideMark/>
          </w:tcPr>
          <w:p w14:paraId="2E4DF542" w14:textId="3F523FBE" w:rsidR="00340DF0" w:rsidRPr="005379B7" w:rsidRDefault="00340DF0" w:rsidP="00340DF0">
            <w:pPr>
              <w:rPr>
                <w:rFonts w:ascii="Times New Roman" w:hAnsi="Times New Roman" w:cs="Times New Roman"/>
                <w:sz w:val="18"/>
              </w:rPr>
            </w:pPr>
          </w:p>
        </w:tc>
      </w:tr>
      <w:tr w:rsidR="00340DF0" w:rsidRPr="002C1C40" w14:paraId="445CA020" w14:textId="77777777" w:rsidTr="00B206D1">
        <w:trPr>
          <w:trHeight w:val="397"/>
        </w:trPr>
        <w:tc>
          <w:tcPr>
            <w:tcW w:w="2504" w:type="pct"/>
            <w:noWrap/>
            <w:vAlign w:val="center"/>
            <w:hideMark/>
          </w:tcPr>
          <w:p w14:paraId="05375940" w14:textId="77777777" w:rsidR="00340DF0" w:rsidRPr="005379B7" w:rsidRDefault="00340DF0" w:rsidP="00B206D1">
            <w:pPr>
              <w:rPr>
                <w:rFonts w:ascii="Times New Roman" w:hAnsi="Times New Roman" w:cs="Times New Roman"/>
                <w:sz w:val="18"/>
              </w:rPr>
            </w:pPr>
            <w:r w:rsidRPr="005379B7">
              <w:rPr>
                <w:rFonts w:ascii="Times New Roman" w:hAnsi="Times New Roman" w:cs="Times New Roman"/>
                <w:sz w:val="18"/>
              </w:rPr>
              <w:t>Текущи трансфери D.7</w:t>
            </w:r>
          </w:p>
        </w:tc>
        <w:tc>
          <w:tcPr>
            <w:tcW w:w="356" w:type="pct"/>
            <w:noWrap/>
            <w:hideMark/>
          </w:tcPr>
          <w:p w14:paraId="37679F47"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hideMark/>
          </w:tcPr>
          <w:p w14:paraId="1D563505"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vAlign w:val="center"/>
            <w:hideMark/>
          </w:tcPr>
          <w:p w14:paraId="0F3CCC92" w14:textId="51644020" w:rsidR="00340DF0" w:rsidRPr="005379B7" w:rsidRDefault="00340DF0" w:rsidP="00340DF0">
            <w:pPr>
              <w:rPr>
                <w:rFonts w:ascii="Times New Roman" w:hAnsi="Times New Roman" w:cs="Times New Roman"/>
                <w:sz w:val="18"/>
              </w:rPr>
            </w:pPr>
          </w:p>
        </w:tc>
        <w:tc>
          <w:tcPr>
            <w:tcW w:w="356" w:type="pct"/>
            <w:noWrap/>
            <w:vAlign w:val="center"/>
            <w:hideMark/>
          </w:tcPr>
          <w:p w14:paraId="2A80C905" w14:textId="0DFCFF3E" w:rsidR="00340DF0" w:rsidRPr="005379B7" w:rsidRDefault="00340DF0" w:rsidP="00340DF0">
            <w:pPr>
              <w:rPr>
                <w:rFonts w:ascii="Times New Roman" w:hAnsi="Times New Roman" w:cs="Times New Roman"/>
                <w:sz w:val="18"/>
              </w:rPr>
            </w:pPr>
          </w:p>
        </w:tc>
        <w:tc>
          <w:tcPr>
            <w:tcW w:w="356" w:type="pct"/>
            <w:noWrap/>
            <w:vAlign w:val="center"/>
            <w:hideMark/>
          </w:tcPr>
          <w:p w14:paraId="29AC7F56" w14:textId="3DD8AB6A" w:rsidR="00340DF0" w:rsidRPr="005379B7" w:rsidRDefault="00340DF0" w:rsidP="00340DF0">
            <w:pPr>
              <w:rPr>
                <w:rFonts w:ascii="Times New Roman" w:hAnsi="Times New Roman" w:cs="Times New Roman"/>
                <w:sz w:val="18"/>
              </w:rPr>
            </w:pPr>
          </w:p>
        </w:tc>
        <w:tc>
          <w:tcPr>
            <w:tcW w:w="356" w:type="pct"/>
            <w:noWrap/>
            <w:vAlign w:val="center"/>
            <w:hideMark/>
          </w:tcPr>
          <w:p w14:paraId="599DDAC3" w14:textId="3C34DCB2" w:rsidR="00340DF0" w:rsidRPr="005379B7" w:rsidRDefault="00340DF0" w:rsidP="00340DF0">
            <w:pPr>
              <w:rPr>
                <w:rFonts w:ascii="Times New Roman" w:hAnsi="Times New Roman" w:cs="Times New Roman"/>
                <w:sz w:val="18"/>
              </w:rPr>
            </w:pPr>
          </w:p>
        </w:tc>
        <w:tc>
          <w:tcPr>
            <w:tcW w:w="360" w:type="pct"/>
            <w:noWrap/>
            <w:vAlign w:val="center"/>
            <w:hideMark/>
          </w:tcPr>
          <w:p w14:paraId="17DE407C" w14:textId="530374AD" w:rsidR="00340DF0" w:rsidRPr="005379B7" w:rsidRDefault="00340DF0" w:rsidP="00340DF0">
            <w:pPr>
              <w:rPr>
                <w:rFonts w:ascii="Times New Roman" w:hAnsi="Times New Roman" w:cs="Times New Roman"/>
                <w:sz w:val="18"/>
              </w:rPr>
            </w:pPr>
          </w:p>
        </w:tc>
      </w:tr>
      <w:tr w:rsidR="00340DF0" w:rsidRPr="002C1C40" w14:paraId="03EBE311" w14:textId="77777777" w:rsidTr="00B206D1">
        <w:trPr>
          <w:trHeight w:val="397"/>
        </w:trPr>
        <w:tc>
          <w:tcPr>
            <w:tcW w:w="2504" w:type="pct"/>
            <w:noWrap/>
            <w:vAlign w:val="center"/>
            <w:hideMark/>
          </w:tcPr>
          <w:p w14:paraId="3077C59D" w14:textId="77777777" w:rsidR="00340DF0" w:rsidRPr="005379B7" w:rsidRDefault="00340DF0" w:rsidP="00B206D1">
            <w:pPr>
              <w:rPr>
                <w:rFonts w:ascii="Times New Roman" w:hAnsi="Times New Roman" w:cs="Times New Roman"/>
                <w:b/>
                <w:bCs/>
                <w:sz w:val="18"/>
              </w:rPr>
            </w:pPr>
            <w:r w:rsidRPr="005379B7">
              <w:rPr>
                <w:rFonts w:ascii="Times New Roman" w:hAnsi="Times New Roman" w:cs="Times New Roman"/>
                <w:b/>
                <w:bCs/>
                <w:sz w:val="18"/>
              </w:rPr>
              <w:t>Общо текущи разходи</w:t>
            </w:r>
          </w:p>
        </w:tc>
        <w:tc>
          <w:tcPr>
            <w:tcW w:w="356" w:type="pct"/>
            <w:noWrap/>
            <w:hideMark/>
          </w:tcPr>
          <w:p w14:paraId="7DE4F7A4" w14:textId="77777777" w:rsidR="00340DF0" w:rsidRPr="005379B7" w:rsidRDefault="00340DF0" w:rsidP="00340DF0">
            <w:pPr>
              <w:rPr>
                <w:rFonts w:ascii="Times New Roman" w:hAnsi="Times New Roman" w:cs="Times New Roman"/>
                <w:b/>
                <w:bCs/>
                <w:sz w:val="18"/>
              </w:rPr>
            </w:pPr>
            <w:r w:rsidRPr="005379B7">
              <w:rPr>
                <w:rFonts w:ascii="Times New Roman" w:hAnsi="Times New Roman" w:cs="Times New Roman"/>
                <w:b/>
                <w:bCs/>
                <w:sz w:val="18"/>
              </w:rPr>
              <w:t> </w:t>
            </w:r>
          </w:p>
        </w:tc>
        <w:tc>
          <w:tcPr>
            <w:tcW w:w="356" w:type="pct"/>
            <w:noWrap/>
            <w:hideMark/>
          </w:tcPr>
          <w:p w14:paraId="53FD4616" w14:textId="77777777" w:rsidR="00340DF0" w:rsidRPr="005379B7" w:rsidRDefault="00340DF0" w:rsidP="00340DF0">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56" w:type="pct"/>
            <w:noWrap/>
            <w:vAlign w:val="center"/>
            <w:hideMark/>
          </w:tcPr>
          <w:p w14:paraId="3676AF68" w14:textId="004BAFFE"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0.00</w:t>
            </w:r>
          </w:p>
        </w:tc>
        <w:tc>
          <w:tcPr>
            <w:tcW w:w="356" w:type="pct"/>
            <w:noWrap/>
            <w:vAlign w:val="center"/>
            <w:hideMark/>
          </w:tcPr>
          <w:p w14:paraId="0233F477" w14:textId="320F16B8"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0.03</w:t>
            </w:r>
          </w:p>
        </w:tc>
        <w:tc>
          <w:tcPr>
            <w:tcW w:w="356" w:type="pct"/>
            <w:noWrap/>
            <w:vAlign w:val="center"/>
            <w:hideMark/>
          </w:tcPr>
          <w:p w14:paraId="1E3617E1" w14:textId="50B8B27E"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0.10</w:t>
            </w:r>
          </w:p>
        </w:tc>
        <w:tc>
          <w:tcPr>
            <w:tcW w:w="356" w:type="pct"/>
            <w:noWrap/>
            <w:vAlign w:val="center"/>
            <w:hideMark/>
          </w:tcPr>
          <w:p w14:paraId="1C3ED162" w14:textId="356DCE9F"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0.08</w:t>
            </w:r>
          </w:p>
        </w:tc>
        <w:tc>
          <w:tcPr>
            <w:tcW w:w="360" w:type="pct"/>
            <w:noWrap/>
            <w:vAlign w:val="center"/>
            <w:hideMark/>
          </w:tcPr>
          <w:p w14:paraId="30F36163" w14:textId="1FD8F7F7"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0.03</w:t>
            </w:r>
          </w:p>
        </w:tc>
      </w:tr>
      <w:tr w:rsidR="00340DF0" w:rsidRPr="002C1C40" w14:paraId="1CAD2F34" w14:textId="77777777" w:rsidTr="00B206D1">
        <w:trPr>
          <w:trHeight w:val="397"/>
        </w:trPr>
        <w:tc>
          <w:tcPr>
            <w:tcW w:w="2504" w:type="pct"/>
            <w:noWrap/>
            <w:vAlign w:val="center"/>
            <w:hideMark/>
          </w:tcPr>
          <w:p w14:paraId="0B72BD53" w14:textId="77777777" w:rsidR="00340DF0" w:rsidRPr="005379B7" w:rsidRDefault="00340DF0" w:rsidP="00B206D1">
            <w:pPr>
              <w:rPr>
                <w:rFonts w:ascii="Times New Roman" w:hAnsi="Times New Roman" w:cs="Times New Roman"/>
                <w:b/>
                <w:bCs/>
                <w:sz w:val="18"/>
              </w:rPr>
            </w:pPr>
            <w:r w:rsidRPr="005379B7">
              <w:rPr>
                <w:rFonts w:ascii="Times New Roman" w:hAnsi="Times New Roman" w:cs="Times New Roman"/>
                <w:b/>
                <w:bCs/>
                <w:sz w:val="18"/>
              </w:rPr>
              <w:t>Бруто образуване на основен капитал P.51g</w:t>
            </w:r>
          </w:p>
        </w:tc>
        <w:tc>
          <w:tcPr>
            <w:tcW w:w="356" w:type="pct"/>
            <w:noWrap/>
            <w:hideMark/>
          </w:tcPr>
          <w:p w14:paraId="4BD5CAD4" w14:textId="77777777" w:rsidR="00340DF0" w:rsidRPr="005379B7" w:rsidRDefault="00340DF0" w:rsidP="00340DF0">
            <w:pPr>
              <w:rPr>
                <w:rFonts w:ascii="Times New Roman" w:hAnsi="Times New Roman" w:cs="Times New Roman"/>
                <w:sz w:val="18"/>
              </w:rPr>
            </w:pPr>
            <w:r w:rsidRPr="005379B7">
              <w:rPr>
                <w:rFonts w:ascii="Times New Roman" w:hAnsi="Times New Roman" w:cs="Times New Roman"/>
                <w:sz w:val="18"/>
              </w:rPr>
              <w:t> </w:t>
            </w:r>
          </w:p>
        </w:tc>
        <w:tc>
          <w:tcPr>
            <w:tcW w:w="356" w:type="pct"/>
            <w:noWrap/>
            <w:hideMark/>
          </w:tcPr>
          <w:p w14:paraId="63D31143" w14:textId="77777777" w:rsidR="00340DF0" w:rsidRPr="005379B7" w:rsidRDefault="00340DF0" w:rsidP="00340DF0">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vAlign w:val="center"/>
            <w:hideMark/>
          </w:tcPr>
          <w:p w14:paraId="334A26E9" w14:textId="56B564E8" w:rsidR="00340DF0" w:rsidRPr="005379B7" w:rsidRDefault="00340DF0" w:rsidP="00340DF0">
            <w:pPr>
              <w:rPr>
                <w:rFonts w:ascii="Times New Roman" w:hAnsi="Times New Roman" w:cs="Times New Roman"/>
                <w:i/>
                <w:iCs/>
                <w:sz w:val="18"/>
              </w:rPr>
            </w:pPr>
            <w:r w:rsidRPr="00450CE4">
              <w:rPr>
                <w:rFonts w:asciiTheme="majorHAnsi" w:hAnsiTheme="majorHAnsi" w:cstheme="majorHAnsi"/>
                <w:b/>
                <w:bCs/>
                <w:i/>
                <w:iCs/>
                <w:color w:val="000000"/>
                <w:sz w:val="18"/>
                <w:szCs w:val="18"/>
              </w:rPr>
              <w:t>0.02</w:t>
            </w:r>
          </w:p>
        </w:tc>
        <w:tc>
          <w:tcPr>
            <w:tcW w:w="356" w:type="pct"/>
            <w:noWrap/>
            <w:vAlign w:val="center"/>
            <w:hideMark/>
          </w:tcPr>
          <w:p w14:paraId="3EC37DE1" w14:textId="29F44B35" w:rsidR="00340DF0" w:rsidRPr="005379B7" w:rsidRDefault="00340DF0" w:rsidP="00340DF0">
            <w:pPr>
              <w:rPr>
                <w:rFonts w:ascii="Times New Roman" w:hAnsi="Times New Roman" w:cs="Times New Roman"/>
                <w:i/>
                <w:iCs/>
                <w:sz w:val="18"/>
              </w:rPr>
            </w:pPr>
            <w:r w:rsidRPr="00450CE4">
              <w:rPr>
                <w:rFonts w:asciiTheme="majorHAnsi" w:hAnsiTheme="majorHAnsi" w:cstheme="majorHAnsi"/>
                <w:b/>
                <w:bCs/>
                <w:i/>
                <w:iCs/>
                <w:color w:val="000000"/>
                <w:sz w:val="18"/>
                <w:szCs w:val="18"/>
              </w:rPr>
              <w:t>0.25</w:t>
            </w:r>
          </w:p>
        </w:tc>
        <w:tc>
          <w:tcPr>
            <w:tcW w:w="356" w:type="pct"/>
            <w:noWrap/>
            <w:vAlign w:val="center"/>
            <w:hideMark/>
          </w:tcPr>
          <w:p w14:paraId="6CC0F448" w14:textId="4897D045" w:rsidR="00340DF0" w:rsidRPr="005379B7" w:rsidRDefault="00340DF0" w:rsidP="00340DF0">
            <w:pPr>
              <w:rPr>
                <w:rFonts w:ascii="Times New Roman" w:hAnsi="Times New Roman" w:cs="Times New Roman"/>
                <w:i/>
                <w:iCs/>
                <w:sz w:val="18"/>
              </w:rPr>
            </w:pPr>
            <w:r w:rsidRPr="00450CE4">
              <w:rPr>
                <w:rFonts w:asciiTheme="majorHAnsi" w:hAnsiTheme="majorHAnsi" w:cstheme="majorHAnsi"/>
                <w:b/>
                <w:bCs/>
                <w:i/>
                <w:iCs/>
                <w:color w:val="000000"/>
                <w:sz w:val="18"/>
                <w:szCs w:val="18"/>
              </w:rPr>
              <w:t>1.24</w:t>
            </w:r>
          </w:p>
        </w:tc>
        <w:tc>
          <w:tcPr>
            <w:tcW w:w="356" w:type="pct"/>
            <w:noWrap/>
            <w:vAlign w:val="center"/>
            <w:hideMark/>
          </w:tcPr>
          <w:p w14:paraId="41685C4D" w14:textId="28B4C7FD" w:rsidR="00340DF0" w:rsidRPr="005379B7" w:rsidRDefault="00340DF0" w:rsidP="00340DF0">
            <w:pPr>
              <w:rPr>
                <w:rFonts w:ascii="Times New Roman" w:hAnsi="Times New Roman" w:cs="Times New Roman"/>
                <w:i/>
                <w:iCs/>
                <w:sz w:val="18"/>
              </w:rPr>
            </w:pPr>
            <w:r w:rsidRPr="00450CE4">
              <w:rPr>
                <w:rFonts w:asciiTheme="majorHAnsi" w:hAnsiTheme="majorHAnsi" w:cstheme="majorHAnsi"/>
                <w:b/>
                <w:bCs/>
                <w:i/>
                <w:iCs/>
                <w:color w:val="000000"/>
                <w:sz w:val="18"/>
                <w:szCs w:val="18"/>
              </w:rPr>
              <w:t>1.02</w:t>
            </w:r>
          </w:p>
        </w:tc>
        <w:tc>
          <w:tcPr>
            <w:tcW w:w="360" w:type="pct"/>
            <w:noWrap/>
            <w:vAlign w:val="center"/>
            <w:hideMark/>
          </w:tcPr>
          <w:p w14:paraId="5BA9D069" w14:textId="67E12D08" w:rsidR="00340DF0" w:rsidRPr="005379B7" w:rsidRDefault="00340DF0" w:rsidP="00340DF0">
            <w:pPr>
              <w:rPr>
                <w:rFonts w:ascii="Times New Roman" w:hAnsi="Times New Roman" w:cs="Times New Roman"/>
                <w:i/>
                <w:iCs/>
                <w:sz w:val="18"/>
              </w:rPr>
            </w:pPr>
            <w:r w:rsidRPr="00450CE4">
              <w:rPr>
                <w:rFonts w:asciiTheme="majorHAnsi" w:hAnsiTheme="majorHAnsi" w:cstheme="majorHAnsi"/>
                <w:b/>
                <w:bCs/>
                <w:i/>
                <w:iCs/>
                <w:color w:val="000000"/>
                <w:sz w:val="18"/>
                <w:szCs w:val="18"/>
              </w:rPr>
              <w:t>0.43</w:t>
            </w:r>
          </w:p>
        </w:tc>
      </w:tr>
      <w:tr w:rsidR="00340DF0" w:rsidRPr="002C1C40" w14:paraId="3B0D021B" w14:textId="77777777" w:rsidTr="00B206D1">
        <w:trPr>
          <w:trHeight w:val="397"/>
        </w:trPr>
        <w:tc>
          <w:tcPr>
            <w:tcW w:w="2504" w:type="pct"/>
            <w:noWrap/>
            <w:vAlign w:val="center"/>
            <w:hideMark/>
          </w:tcPr>
          <w:p w14:paraId="3AF89650" w14:textId="77777777" w:rsidR="00340DF0" w:rsidRPr="005379B7" w:rsidRDefault="00340DF0" w:rsidP="00B206D1">
            <w:pPr>
              <w:rPr>
                <w:rFonts w:ascii="Times New Roman" w:hAnsi="Times New Roman" w:cs="Times New Roman"/>
                <w:b/>
                <w:bCs/>
                <w:sz w:val="18"/>
              </w:rPr>
            </w:pPr>
            <w:r w:rsidRPr="005379B7">
              <w:rPr>
                <w:rFonts w:ascii="Times New Roman" w:hAnsi="Times New Roman" w:cs="Times New Roman"/>
                <w:b/>
                <w:bCs/>
                <w:sz w:val="18"/>
              </w:rPr>
              <w:t>Капиталови трансфери D.9</w:t>
            </w:r>
          </w:p>
        </w:tc>
        <w:tc>
          <w:tcPr>
            <w:tcW w:w="356" w:type="pct"/>
            <w:noWrap/>
            <w:hideMark/>
          </w:tcPr>
          <w:p w14:paraId="6DAB4C48" w14:textId="77777777" w:rsidR="00340DF0" w:rsidRPr="005379B7" w:rsidRDefault="00340DF0" w:rsidP="00340DF0">
            <w:pPr>
              <w:rPr>
                <w:rFonts w:ascii="Times New Roman" w:hAnsi="Times New Roman" w:cs="Times New Roman"/>
                <w:b/>
                <w:bCs/>
                <w:sz w:val="18"/>
              </w:rPr>
            </w:pPr>
            <w:r w:rsidRPr="005379B7">
              <w:rPr>
                <w:rFonts w:ascii="Times New Roman" w:hAnsi="Times New Roman" w:cs="Times New Roman"/>
                <w:b/>
                <w:bCs/>
                <w:sz w:val="18"/>
              </w:rPr>
              <w:t> </w:t>
            </w:r>
          </w:p>
        </w:tc>
        <w:tc>
          <w:tcPr>
            <w:tcW w:w="356" w:type="pct"/>
            <w:noWrap/>
            <w:hideMark/>
          </w:tcPr>
          <w:p w14:paraId="5F9A6276" w14:textId="77777777" w:rsidR="00340DF0" w:rsidRPr="005379B7" w:rsidRDefault="00340DF0" w:rsidP="00340DF0">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56" w:type="pct"/>
            <w:noWrap/>
            <w:vAlign w:val="center"/>
            <w:hideMark/>
          </w:tcPr>
          <w:p w14:paraId="40C02FE5" w14:textId="44897841" w:rsidR="00340DF0" w:rsidRPr="005379B7" w:rsidRDefault="00340DF0" w:rsidP="00340DF0">
            <w:pPr>
              <w:rPr>
                <w:rFonts w:ascii="Times New Roman" w:hAnsi="Times New Roman" w:cs="Times New Roman"/>
                <w:b/>
                <w:bCs/>
                <w:i/>
                <w:iCs/>
                <w:sz w:val="18"/>
              </w:rPr>
            </w:pPr>
          </w:p>
        </w:tc>
        <w:tc>
          <w:tcPr>
            <w:tcW w:w="356" w:type="pct"/>
            <w:noWrap/>
            <w:vAlign w:val="center"/>
            <w:hideMark/>
          </w:tcPr>
          <w:p w14:paraId="27FA34AB" w14:textId="68D7221D" w:rsidR="00340DF0" w:rsidRPr="005379B7" w:rsidRDefault="00340DF0" w:rsidP="00340DF0">
            <w:pPr>
              <w:rPr>
                <w:rFonts w:ascii="Times New Roman" w:hAnsi="Times New Roman" w:cs="Times New Roman"/>
                <w:b/>
                <w:bCs/>
                <w:sz w:val="18"/>
              </w:rPr>
            </w:pPr>
          </w:p>
        </w:tc>
        <w:tc>
          <w:tcPr>
            <w:tcW w:w="356" w:type="pct"/>
            <w:noWrap/>
            <w:vAlign w:val="center"/>
            <w:hideMark/>
          </w:tcPr>
          <w:p w14:paraId="44C33ABE" w14:textId="20449DD6" w:rsidR="00340DF0" w:rsidRPr="005379B7" w:rsidRDefault="00340DF0" w:rsidP="00340DF0">
            <w:pPr>
              <w:rPr>
                <w:rFonts w:ascii="Times New Roman" w:hAnsi="Times New Roman" w:cs="Times New Roman"/>
                <w:b/>
                <w:bCs/>
                <w:sz w:val="18"/>
              </w:rPr>
            </w:pPr>
          </w:p>
        </w:tc>
        <w:tc>
          <w:tcPr>
            <w:tcW w:w="356" w:type="pct"/>
            <w:noWrap/>
            <w:vAlign w:val="center"/>
            <w:hideMark/>
          </w:tcPr>
          <w:p w14:paraId="10B174D3" w14:textId="0367D26B" w:rsidR="00340DF0" w:rsidRPr="005379B7" w:rsidRDefault="00340DF0" w:rsidP="00340DF0">
            <w:pPr>
              <w:rPr>
                <w:rFonts w:ascii="Times New Roman" w:hAnsi="Times New Roman" w:cs="Times New Roman"/>
                <w:b/>
                <w:bCs/>
                <w:sz w:val="18"/>
              </w:rPr>
            </w:pPr>
          </w:p>
        </w:tc>
        <w:tc>
          <w:tcPr>
            <w:tcW w:w="360" w:type="pct"/>
            <w:noWrap/>
            <w:vAlign w:val="center"/>
            <w:hideMark/>
          </w:tcPr>
          <w:p w14:paraId="02DB886A" w14:textId="410004C6" w:rsidR="00340DF0" w:rsidRPr="005379B7" w:rsidRDefault="00340DF0" w:rsidP="00340DF0">
            <w:pPr>
              <w:rPr>
                <w:rFonts w:ascii="Times New Roman" w:hAnsi="Times New Roman" w:cs="Times New Roman"/>
                <w:b/>
                <w:bCs/>
                <w:sz w:val="18"/>
              </w:rPr>
            </w:pPr>
          </w:p>
        </w:tc>
      </w:tr>
      <w:tr w:rsidR="00340DF0" w:rsidRPr="002C1C40" w14:paraId="7032066A" w14:textId="77777777" w:rsidTr="008C553D">
        <w:trPr>
          <w:trHeight w:val="397"/>
        </w:trPr>
        <w:tc>
          <w:tcPr>
            <w:tcW w:w="2504" w:type="pct"/>
            <w:tcBorders>
              <w:bottom w:val="single" w:sz="2" w:space="0" w:color="A6A6A6" w:themeColor="background1" w:themeShade="A6"/>
            </w:tcBorders>
            <w:noWrap/>
            <w:vAlign w:val="center"/>
            <w:hideMark/>
          </w:tcPr>
          <w:p w14:paraId="7D16971B" w14:textId="77777777" w:rsidR="00340DF0" w:rsidRPr="005379B7" w:rsidRDefault="00340DF0" w:rsidP="00B206D1">
            <w:pPr>
              <w:rPr>
                <w:rFonts w:ascii="Times New Roman" w:hAnsi="Times New Roman" w:cs="Times New Roman"/>
                <w:b/>
                <w:bCs/>
                <w:sz w:val="18"/>
              </w:rPr>
            </w:pPr>
            <w:r w:rsidRPr="005379B7">
              <w:rPr>
                <w:rFonts w:ascii="Times New Roman" w:hAnsi="Times New Roman" w:cs="Times New Roman"/>
                <w:b/>
                <w:bCs/>
                <w:sz w:val="18"/>
              </w:rPr>
              <w:t xml:space="preserve">Общо капиталови разходи </w:t>
            </w:r>
          </w:p>
        </w:tc>
        <w:tc>
          <w:tcPr>
            <w:tcW w:w="356" w:type="pct"/>
            <w:tcBorders>
              <w:bottom w:val="single" w:sz="2" w:space="0" w:color="A6A6A6" w:themeColor="background1" w:themeShade="A6"/>
            </w:tcBorders>
            <w:noWrap/>
            <w:hideMark/>
          </w:tcPr>
          <w:p w14:paraId="66AFDAB8" w14:textId="77777777" w:rsidR="00340DF0" w:rsidRPr="005379B7" w:rsidRDefault="00340DF0" w:rsidP="00340DF0">
            <w:pPr>
              <w:rPr>
                <w:rFonts w:ascii="Times New Roman" w:hAnsi="Times New Roman" w:cs="Times New Roman"/>
                <w:b/>
                <w:bCs/>
                <w:sz w:val="18"/>
              </w:rPr>
            </w:pPr>
            <w:r w:rsidRPr="005379B7">
              <w:rPr>
                <w:rFonts w:ascii="Times New Roman" w:hAnsi="Times New Roman" w:cs="Times New Roman"/>
                <w:b/>
                <w:bCs/>
                <w:sz w:val="18"/>
              </w:rPr>
              <w:t> </w:t>
            </w:r>
          </w:p>
        </w:tc>
        <w:tc>
          <w:tcPr>
            <w:tcW w:w="356" w:type="pct"/>
            <w:tcBorders>
              <w:bottom w:val="single" w:sz="2" w:space="0" w:color="A6A6A6" w:themeColor="background1" w:themeShade="A6"/>
            </w:tcBorders>
            <w:noWrap/>
            <w:hideMark/>
          </w:tcPr>
          <w:p w14:paraId="0366C50D" w14:textId="77777777" w:rsidR="00340DF0" w:rsidRPr="005379B7" w:rsidRDefault="00340DF0" w:rsidP="00340DF0">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56" w:type="pct"/>
            <w:tcBorders>
              <w:bottom w:val="single" w:sz="2" w:space="0" w:color="A6A6A6" w:themeColor="background1" w:themeShade="A6"/>
            </w:tcBorders>
            <w:noWrap/>
            <w:vAlign w:val="center"/>
            <w:hideMark/>
          </w:tcPr>
          <w:p w14:paraId="18A22F09" w14:textId="51298E0C"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0.02</w:t>
            </w:r>
          </w:p>
        </w:tc>
        <w:tc>
          <w:tcPr>
            <w:tcW w:w="356" w:type="pct"/>
            <w:tcBorders>
              <w:bottom w:val="single" w:sz="2" w:space="0" w:color="A6A6A6" w:themeColor="background1" w:themeShade="A6"/>
            </w:tcBorders>
            <w:noWrap/>
            <w:vAlign w:val="center"/>
            <w:hideMark/>
          </w:tcPr>
          <w:p w14:paraId="20F31F4C" w14:textId="7855A19B"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0.25</w:t>
            </w:r>
          </w:p>
        </w:tc>
        <w:tc>
          <w:tcPr>
            <w:tcW w:w="356" w:type="pct"/>
            <w:tcBorders>
              <w:bottom w:val="single" w:sz="2" w:space="0" w:color="A6A6A6" w:themeColor="background1" w:themeShade="A6"/>
            </w:tcBorders>
            <w:noWrap/>
            <w:vAlign w:val="center"/>
            <w:hideMark/>
          </w:tcPr>
          <w:p w14:paraId="2A0474D6" w14:textId="298533C5"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1.24</w:t>
            </w:r>
          </w:p>
        </w:tc>
        <w:tc>
          <w:tcPr>
            <w:tcW w:w="356" w:type="pct"/>
            <w:tcBorders>
              <w:bottom w:val="single" w:sz="2" w:space="0" w:color="A6A6A6" w:themeColor="background1" w:themeShade="A6"/>
            </w:tcBorders>
            <w:noWrap/>
            <w:vAlign w:val="center"/>
            <w:hideMark/>
          </w:tcPr>
          <w:p w14:paraId="08030180" w14:textId="3F026A89"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1.02</w:t>
            </w:r>
          </w:p>
        </w:tc>
        <w:tc>
          <w:tcPr>
            <w:tcW w:w="360" w:type="pct"/>
            <w:tcBorders>
              <w:bottom w:val="single" w:sz="2" w:space="0" w:color="A6A6A6" w:themeColor="background1" w:themeShade="A6"/>
            </w:tcBorders>
            <w:noWrap/>
            <w:vAlign w:val="center"/>
            <w:hideMark/>
          </w:tcPr>
          <w:p w14:paraId="765D311C" w14:textId="3EF1CA74" w:rsidR="00340DF0" w:rsidRPr="005379B7" w:rsidRDefault="00340DF0" w:rsidP="00340DF0">
            <w:pPr>
              <w:rPr>
                <w:rFonts w:ascii="Times New Roman" w:hAnsi="Times New Roman" w:cs="Times New Roman"/>
                <w:b/>
                <w:bCs/>
                <w:i/>
                <w:iCs/>
                <w:sz w:val="18"/>
              </w:rPr>
            </w:pPr>
            <w:r w:rsidRPr="00450CE4">
              <w:rPr>
                <w:rFonts w:asciiTheme="majorHAnsi" w:hAnsiTheme="majorHAnsi" w:cstheme="majorHAnsi"/>
                <w:b/>
                <w:bCs/>
                <w:i/>
                <w:iCs/>
                <w:color w:val="000000"/>
                <w:sz w:val="18"/>
                <w:szCs w:val="18"/>
              </w:rPr>
              <w:t>0.43</w:t>
            </w:r>
          </w:p>
        </w:tc>
      </w:tr>
      <w:tr w:rsidR="00D61ADD" w:rsidRPr="002C1C40" w14:paraId="3D1DB0EB" w14:textId="77777777" w:rsidTr="008C553D">
        <w:trPr>
          <w:trHeight w:val="397"/>
        </w:trPr>
        <w:tc>
          <w:tcPr>
            <w:tcW w:w="5000" w:type="pct"/>
            <w:gridSpan w:val="8"/>
            <w:tcBorders>
              <w:left w:val="nil"/>
              <w:right w:val="nil"/>
            </w:tcBorders>
            <w:noWrap/>
          </w:tcPr>
          <w:p w14:paraId="4A2D0B77" w14:textId="77777777" w:rsidR="00D61ADD" w:rsidRPr="005379B7" w:rsidRDefault="00D61ADD" w:rsidP="00777E7B">
            <w:pPr>
              <w:rPr>
                <w:rFonts w:ascii="Times New Roman" w:hAnsi="Times New Roman" w:cs="Times New Roman"/>
                <w:b/>
                <w:bCs/>
                <w:i/>
                <w:iCs/>
                <w:sz w:val="18"/>
              </w:rPr>
            </w:pPr>
          </w:p>
        </w:tc>
      </w:tr>
      <w:tr w:rsidR="00D61ADD" w:rsidRPr="002C1C40" w14:paraId="53873ADA" w14:textId="77777777" w:rsidTr="00B206D1">
        <w:trPr>
          <w:trHeight w:val="397"/>
        </w:trPr>
        <w:tc>
          <w:tcPr>
            <w:tcW w:w="5000" w:type="pct"/>
            <w:gridSpan w:val="8"/>
            <w:noWrap/>
            <w:vAlign w:val="center"/>
            <w:hideMark/>
          </w:tcPr>
          <w:p w14:paraId="3718F54C"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Други разходи финансирани чрез МВУ грантове (% от БВП)</w:t>
            </w:r>
            <w:r w:rsidRPr="005379B7">
              <w:rPr>
                <w:rFonts w:ascii="Times New Roman" w:hAnsi="Times New Roman" w:cs="Times New Roman"/>
                <w:b/>
                <w:bCs/>
                <w:sz w:val="18"/>
                <w:vertAlign w:val="superscript"/>
              </w:rPr>
              <w:t xml:space="preserve"> 1</w:t>
            </w:r>
          </w:p>
        </w:tc>
      </w:tr>
      <w:tr w:rsidR="00D61ADD" w:rsidRPr="002C1C40" w14:paraId="2B36C403" w14:textId="77777777" w:rsidTr="00B206D1">
        <w:trPr>
          <w:trHeight w:val="397"/>
        </w:trPr>
        <w:tc>
          <w:tcPr>
            <w:tcW w:w="2504" w:type="pct"/>
            <w:noWrap/>
            <w:hideMark/>
          </w:tcPr>
          <w:p w14:paraId="05E999A9"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vAlign w:val="center"/>
            <w:hideMark/>
          </w:tcPr>
          <w:p w14:paraId="6DB8A16A"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2020</w:t>
            </w:r>
          </w:p>
        </w:tc>
        <w:tc>
          <w:tcPr>
            <w:tcW w:w="356" w:type="pct"/>
            <w:noWrap/>
            <w:vAlign w:val="center"/>
            <w:hideMark/>
          </w:tcPr>
          <w:p w14:paraId="5F15421D"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2021</w:t>
            </w:r>
          </w:p>
        </w:tc>
        <w:tc>
          <w:tcPr>
            <w:tcW w:w="356" w:type="pct"/>
            <w:noWrap/>
            <w:vAlign w:val="center"/>
            <w:hideMark/>
          </w:tcPr>
          <w:p w14:paraId="4D962DDF"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2022</w:t>
            </w:r>
          </w:p>
        </w:tc>
        <w:tc>
          <w:tcPr>
            <w:tcW w:w="356" w:type="pct"/>
            <w:noWrap/>
            <w:vAlign w:val="center"/>
            <w:hideMark/>
          </w:tcPr>
          <w:p w14:paraId="156AADF7"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2023</w:t>
            </w:r>
          </w:p>
        </w:tc>
        <w:tc>
          <w:tcPr>
            <w:tcW w:w="356" w:type="pct"/>
            <w:noWrap/>
            <w:vAlign w:val="center"/>
            <w:hideMark/>
          </w:tcPr>
          <w:p w14:paraId="38A08A10"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2024</w:t>
            </w:r>
          </w:p>
        </w:tc>
        <w:tc>
          <w:tcPr>
            <w:tcW w:w="356" w:type="pct"/>
            <w:noWrap/>
            <w:vAlign w:val="center"/>
            <w:hideMark/>
          </w:tcPr>
          <w:p w14:paraId="01DD5D89"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2025</w:t>
            </w:r>
          </w:p>
        </w:tc>
        <w:tc>
          <w:tcPr>
            <w:tcW w:w="360" w:type="pct"/>
            <w:noWrap/>
            <w:vAlign w:val="center"/>
            <w:hideMark/>
          </w:tcPr>
          <w:p w14:paraId="2459FC74" w14:textId="77777777" w:rsidR="00D61ADD" w:rsidRPr="005379B7" w:rsidRDefault="00D61ADD" w:rsidP="00B206D1">
            <w:pPr>
              <w:jc w:val="center"/>
              <w:rPr>
                <w:rFonts w:ascii="Times New Roman" w:hAnsi="Times New Roman" w:cs="Times New Roman"/>
                <w:b/>
                <w:bCs/>
                <w:sz w:val="18"/>
              </w:rPr>
            </w:pPr>
            <w:r w:rsidRPr="005379B7">
              <w:rPr>
                <w:rFonts w:ascii="Times New Roman" w:hAnsi="Times New Roman" w:cs="Times New Roman"/>
                <w:b/>
                <w:bCs/>
                <w:sz w:val="18"/>
              </w:rPr>
              <w:t>2026</w:t>
            </w:r>
          </w:p>
        </w:tc>
      </w:tr>
      <w:tr w:rsidR="00D61ADD" w:rsidRPr="002C1C40" w14:paraId="54054408" w14:textId="77777777" w:rsidTr="00B206D1">
        <w:trPr>
          <w:trHeight w:val="397"/>
        </w:trPr>
        <w:tc>
          <w:tcPr>
            <w:tcW w:w="2504" w:type="pct"/>
            <w:noWrap/>
            <w:vAlign w:val="center"/>
            <w:hideMark/>
          </w:tcPr>
          <w:p w14:paraId="6F0A77B6" w14:textId="77777777" w:rsidR="00D61ADD" w:rsidRPr="005379B7" w:rsidRDefault="00D61ADD" w:rsidP="00B206D1">
            <w:pPr>
              <w:rPr>
                <w:rFonts w:ascii="Times New Roman" w:hAnsi="Times New Roman" w:cs="Times New Roman"/>
                <w:b/>
                <w:bCs/>
                <w:sz w:val="18"/>
              </w:rPr>
            </w:pPr>
            <w:r w:rsidRPr="005379B7">
              <w:rPr>
                <w:rFonts w:ascii="Times New Roman" w:hAnsi="Times New Roman" w:cs="Times New Roman"/>
                <w:b/>
                <w:bCs/>
                <w:sz w:val="18"/>
              </w:rPr>
              <w:t xml:space="preserve">Спад в данъчни приходи </w:t>
            </w:r>
          </w:p>
        </w:tc>
        <w:tc>
          <w:tcPr>
            <w:tcW w:w="356" w:type="pct"/>
            <w:noWrap/>
            <w:hideMark/>
          </w:tcPr>
          <w:p w14:paraId="7F9F6C09"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22009D44"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0C9E0742"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25892261"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18F8ADF2"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1735D410"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0" w:type="pct"/>
            <w:noWrap/>
            <w:hideMark/>
          </w:tcPr>
          <w:p w14:paraId="071537AB"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r>
      <w:tr w:rsidR="00D61ADD" w:rsidRPr="002C1C40" w14:paraId="7FA3EE59" w14:textId="77777777" w:rsidTr="00B206D1">
        <w:trPr>
          <w:trHeight w:val="397"/>
        </w:trPr>
        <w:tc>
          <w:tcPr>
            <w:tcW w:w="2504" w:type="pct"/>
            <w:noWrap/>
            <w:vAlign w:val="center"/>
            <w:hideMark/>
          </w:tcPr>
          <w:p w14:paraId="690FC77D" w14:textId="77777777" w:rsidR="00D61ADD" w:rsidRPr="005379B7" w:rsidRDefault="00D61ADD" w:rsidP="00B206D1">
            <w:pPr>
              <w:rPr>
                <w:rFonts w:ascii="Times New Roman" w:hAnsi="Times New Roman" w:cs="Times New Roman"/>
                <w:b/>
                <w:bCs/>
                <w:sz w:val="18"/>
              </w:rPr>
            </w:pPr>
            <w:r w:rsidRPr="005379B7">
              <w:rPr>
                <w:rFonts w:ascii="Times New Roman" w:hAnsi="Times New Roman" w:cs="Times New Roman"/>
                <w:b/>
                <w:bCs/>
                <w:sz w:val="18"/>
              </w:rPr>
              <w:t xml:space="preserve">Други разходи с отражение върху приходите </w:t>
            </w:r>
          </w:p>
        </w:tc>
        <w:tc>
          <w:tcPr>
            <w:tcW w:w="356" w:type="pct"/>
            <w:noWrap/>
            <w:hideMark/>
          </w:tcPr>
          <w:p w14:paraId="1D64E56C"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42C22000"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2C526995"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70A93AD7"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27432F69"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577E98CC"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0" w:type="pct"/>
            <w:noWrap/>
            <w:hideMark/>
          </w:tcPr>
          <w:p w14:paraId="2EB8B928"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r>
      <w:tr w:rsidR="00D61ADD" w:rsidRPr="002C1C40" w14:paraId="2D099752" w14:textId="77777777" w:rsidTr="00B206D1">
        <w:trPr>
          <w:trHeight w:val="397"/>
        </w:trPr>
        <w:tc>
          <w:tcPr>
            <w:tcW w:w="2504" w:type="pct"/>
            <w:noWrap/>
            <w:vAlign w:val="center"/>
            <w:hideMark/>
          </w:tcPr>
          <w:p w14:paraId="4EFBBCB9" w14:textId="77777777" w:rsidR="00D61ADD" w:rsidRPr="005379B7" w:rsidRDefault="00D61ADD" w:rsidP="00B206D1">
            <w:pPr>
              <w:rPr>
                <w:rFonts w:ascii="Times New Roman" w:hAnsi="Times New Roman" w:cs="Times New Roman"/>
                <w:b/>
                <w:bCs/>
                <w:sz w:val="18"/>
              </w:rPr>
            </w:pPr>
            <w:r w:rsidRPr="005379B7">
              <w:rPr>
                <w:rFonts w:ascii="Times New Roman" w:hAnsi="Times New Roman" w:cs="Times New Roman"/>
                <w:b/>
                <w:bCs/>
                <w:sz w:val="18"/>
              </w:rPr>
              <w:t xml:space="preserve">Финансови трансакции </w:t>
            </w:r>
          </w:p>
        </w:tc>
        <w:tc>
          <w:tcPr>
            <w:tcW w:w="356" w:type="pct"/>
            <w:noWrap/>
            <w:hideMark/>
          </w:tcPr>
          <w:p w14:paraId="2A83F0BB"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22B70283"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61E8277E"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223FE6B1"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0881C695"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56" w:type="pct"/>
            <w:noWrap/>
            <w:hideMark/>
          </w:tcPr>
          <w:p w14:paraId="75ABF108"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0" w:type="pct"/>
            <w:noWrap/>
            <w:hideMark/>
          </w:tcPr>
          <w:p w14:paraId="604AB4DE"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r>
    </w:tbl>
    <w:p w14:paraId="72D85DCA" w14:textId="77777777" w:rsidR="00B206D1" w:rsidRPr="005379B7" w:rsidRDefault="00B206D1" w:rsidP="00B206D1">
      <w:pPr>
        <w:spacing w:before="240"/>
        <w:rPr>
          <w:sz w:val="18"/>
        </w:rPr>
      </w:pPr>
      <w:r w:rsidRPr="005379B7">
        <w:rPr>
          <w:sz w:val="18"/>
          <w:vertAlign w:val="superscript"/>
        </w:rPr>
        <w:t>1</w:t>
      </w:r>
      <w:r w:rsidRPr="005379B7">
        <w:rPr>
          <w:sz w:val="18"/>
        </w:rPr>
        <w:t xml:space="preserve"> Включва разходи, които не се отчитат като такива в националните сметки.</w:t>
      </w:r>
    </w:p>
    <w:p w14:paraId="3124E7EE" w14:textId="10B16FF4" w:rsidR="00B206D1" w:rsidRPr="005379B7" w:rsidRDefault="00B206D1" w:rsidP="00777E7B">
      <w:pPr>
        <w:rPr>
          <w:sz w:val="18"/>
        </w:rPr>
      </w:pPr>
      <w:r w:rsidRPr="005379B7">
        <w:rPr>
          <w:sz w:val="18"/>
        </w:rPr>
        <w:t>  </w:t>
      </w:r>
      <w:r w:rsidRPr="005379B7">
        <w:rPr>
          <w:b/>
          <w:bCs/>
          <w:sz w:val="18"/>
        </w:rPr>
        <w:t>Удебеленият шрифт обозначава задължителната информация.</w:t>
      </w:r>
    </w:p>
    <w:p w14:paraId="180036B8" w14:textId="77777777" w:rsidR="00D61ADD" w:rsidRDefault="00D61ADD" w:rsidP="00D61ADD">
      <w:pPr>
        <w:spacing w:after="160" w:line="259" w:lineRule="auto"/>
        <w:jc w:val="left"/>
        <w:rPr>
          <w:rFonts w:eastAsiaTheme="minorHAnsi"/>
          <w:b/>
          <w:bCs/>
          <w:sz w:val="22"/>
        </w:rPr>
      </w:pPr>
    </w:p>
    <w:p w14:paraId="5B400164" w14:textId="77777777" w:rsidR="00D61ADD" w:rsidRDefault="00D61ADD" w:rsidP="00D61ADD">
      <w:pPr>
        <w:spacing w:after="160" w:line="259" w:lineRule="auto"/>
        <w:jc w:val="left"/>
        <w:rPr>
          <w:rFonts w:eastAsiaTheme="minorHAnsi"/>
          <w:b/>
          <w:bCs/>
          <w:sz w:val="22"/>
        </w:rPr>
      </w:pPr>
    </w:p>
    <w:p w14:paraId="41823D48" w14:textId="77777777" w:rsidR="00D61ADD" w:rsidRDefault="00D61ADD" w:rsidP="00D61ADD">
      <w:pPr>
        <w:spacing w:after="160" w:line="259" w:lineRule="auto"/>
        <w:jc w:val="left"/>
        <w:rPr>
          <w:rFonts w:eastAsiaTheme="minorHAnsi"/>
          <w:b/>
          <w:bCs/>
          <w:sz w:val="22"/>
        </w:rPr>
      </w:pPr>
    </w:p>
    <w:p w14:paraId="3C75D8D6" w14:textId="77777777" w:rsidR="00D61ADD" w:rsidRDefault="00D61ADD" w:rsidP="00D61ADD">
      <w:pPr>
        <w:spacing w:after="160" w:line="259" w:lineRule="auto"/>
        <w:jc w:val="left"/>
        <w:rPr>
          <w:rFonts w:eastAsiaTheme="minorHAnsi"/>
          <w:b/>
          <w:bCs/>
          <w:sz w:val="22"/>
        </w:rPr>
      </w:pPr>
    </w:p>
    <w:p w14:paraId="2835FCAB" w14:textId="36ABFE34" w:rsidR="00D61ADD" w:rsidRPr="002C1C40" w:rsidRDefault="00887C7A" w:rsidP="00887C7A">
      <w:pPr>
        <w:pStyle w:val="Heading2"/>
        <w:numPr>
          <w:ilvl w:val="0"/>
          <w:numId w:val="0"/>
        </w:numPr>
      </w:pPr>
      <w:bookmarkStart w:id="204" w:name="_Toc133597309"/>
      <w:r>
        <w:lastRenderedPageBreak/>
        <w:t>Табл.</w:t>
      </w:r>
      <w:r w:rsidR="00D61ADD" w:rsidRPr="002C1C40">
        <w:t xml:space="preserve"> 2: Отражение на МВУ върху прогнозите в програмата</w:t>
      </w:r>
      <w:r w:rsidR="00B552D5">
        <w:t xml:space="preserve"> – </w:t>
      </w:r>
      <w:r w:rsidR="00D61ADD" w:rsidRPr="002C1C40">
        <w:t>Заеми</w:t>
      </w:r>
      <w:bookmarkEnd w:id="204"/>
    </w:p>
    <w:tbl>
      <w:tblPr>
        <w:tblStyle w:val="TableGrid12"/>
        <w:tblW w:w="5000" w:type="pct"/>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4429"/>
        <w:gridCol w:w="662"/>
        <w:gridCol w:w="662"/>
        <w:gridCol w:w="662"/>
        <w:gridCol w:w="662"/>
        <w:gridCol w:w="662"/>
        <w:gridCol w:w="662"/>
        <w:gridCol w:w="663"/>
      </w:tblGrid>
      <w:tr w:rsidR="00D61ADD" w:rsidRPr="002C1C40" w14:paraId="1AFE94AD" w14:textId="77777777" w:rsidTr="00887C7A">
        <w:trPr>
          <w:trHeight w:val="397"/>
        </w:trPr>
        <w:tc>
          <w:tcPr>
            <w:tcW w:w="5000" w:type="pct"/>
            <w:gridSpan w:val="8"/>
            <w:noWrap/>
            <w:vAlign w:val="center"/>
            <w:hideMark/>
          </w:tcPr>
          <w:p w14:paraId="3A2AE777"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Паричен поток от МВУ заеми според прогнозите в програмата (% от БВП)</w:t>
            </w:r>
          </w:p>
        </w:tc>
      </w:tr>
      <w:tr w:rsidR="00D61ADD" w:rsidRPr="002C1C40" w14:paraId="205EBD50" w14:textId="77777777" w:rsidTr="00887C7A">
        <w:trPr>
          <w:trHeight w:val="397"/>
        </w:trPr>
        <w:tc>
          <w:tcPr>
            <w:tcW w:w="2444" w:type="pct"/>
            <w:noWrap/>
            <w:hideMark/>
          </w:tcPr>
          <w:p w14:paraId="339A7F86"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vAlign w:val="center"/>
            <w:hideMark/>
          </w:tcPr>
          <w:p w14:paraId="491B06E1"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2020</w:t>
            </w:r>
          </w:p>
        </w:tc>
        <w:tc>
          <w:tcPr>
            <w:tcW w:w="365" w:type="pct"/>
            <w:noWrap/>
            <w:vAlign w:val="center"/>
            <w:hideMark/>
          </w:tcPr>
          <w:p w14:paraId="2CE3BF5B"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2021</w:t>
            </w:r>
          </w:p>
        </w:tc>
        <w:tc>
          <w:tcPr>
            <w:tcW w:w="365" w:type="pct"/>
            <w:noWrap/>
            <w:vAlign w:val="center"/>
            <w:hideMark/>
          </w:tcPr>
          <w:p w14:paraId="3830C2D4"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2022</w:t>
            </w:r>
          </w:p>
        </w:tc>
        <w:tc>
          <w:tcPr>
            <w:tcW w:w="365" w:type="pct"/>
            <w:noWrap/>
            <w:vAlign w:val="center"/>
            <w:hideMark/>
          </w:tcPr>
          <w:p w14:paraId="41AEFE68"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2023</w:t>
            </w:r>
          </w:p>
        </w:tc>
        <w:tc>
          <w:tcPr>
            <w:tcW w:w="365" w:type="pct"/>
            <w:noWrap/>
            <w:vAlign w:val="center"/>
            <w:hideMark/>
          </w:tcPr>
          <w:p w14:paraId="7162A8E1"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2024</w:t>
            </w:r>
          </w:p>
        </w:tc>
        <w:tc>
          <w:tcPr>
            <w:tcW w:w="365" w:type="pct"/>
            <w:noWrap/>
            <w:vAlign w:val="center"/>
            <w:hideMark/>
          </w:tcPr>
          <w:p w14:paraId="70F5BC6B"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2025</w:t>
            </w:r>
          </w:p>
        </w:tc>
        <w:tc>
          <w:tcPr>
            <w:tcW w:w="367" w:type="pct"/>
            <w:noWrap/>
            <w:vAlign w:val="center"/>
            <w:hideMark/>
          </w:tcPr>
          <w:p w14:paraId="1E4A384E"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2026</w:t>
            </w:r>
          </w:p>
        </w:tc>
      </w:tr>
      <w:tr w:rsidR="00D61ADD" w:rsidRPr="002C1C40" w14:paraId="78C0EFB2" w14:textId="77777777" w:rsidTr="00887C7A">
        <w:trPr>
          <w:trHeight w:val="397"/>
        </w:trPr>
        <w:tc>
          <w:tcPr>
            <w:tcW w:w="2444" w:type="pct"/>
            <w:vAlign w:val="center"/>
            <w:hideMark/>
          </w:tcPr>
          <w:p w14:paraId="6D9169A5" w14:textId="77777777" w:rsidR="00D61ADD" w:rsidRPr="005379B7" w:rsidRDefault="00D61ADD" w:rsidP="00887C7A">
            <w:pPr>
              <w:rPr>
                <w:rFonts w:ascii="Times New Roman" w:hAnsi="Times New Roman" w:cs="Times New Roman"/>
                <w:b/>
                <w:bCs/>
                <w:sz w:val="18"/>
              </w:rPr>
            </w:pPr>
            <w:r w:rsidRPr="005379B7">
              <w:rPr>
                <w:rFonts w:ascii="Times New Roman" w:hAnsi="Times New Roman" w:cs="Times New Roman"/>
                <w:b/>
                <w:bCs/>
                <w:sz w:val="18"/>
              </w:rPr>
              <w:t xml:space="preserve">Отпуснати заеми по линия на МВУ от ЕС </w:t>
            </w:r>
          </w:p>
        </w:tc>
        <w:tc>
          <w:tcPr>
            <w:tcW w:w="365" w:type="pct"/>
            <w:noWrap/>
            <w:hideMark/>
          </w:tcPr>
          <w:p w14:paraId="7E8ED8FF"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4927AACB"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11D006D7"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74A31874"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2FEE1CBE"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5CD16F93"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7" w:type="pct"/>
            <w:noWrap/>
            <w:hideMark/>
          </w:tcPr>
          <w:p w14:paraId="69B25056"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r>
      <w:tr w:rsidR="00D61ADD" w:rsidRPr="002C1C40" w14:paraId="32257962" w14:textId="77777777" w:rsidTr="008C553D">
        <w:trPr>
          <w:trHeight w:val="397"/>
        </w:trPr>
        <w:tc>
          <w:tcPr>
            <w:tcW w:w="2444" w:type="pct"/>
            <w:tcBorders>
              <w:bottom w:val="single" w:sz="2" w:space="0" w:color="A6A6A6" w:themeColor="background1" w:themeShade="A6"/>
            </w:tcBorders>
            <w:noWrap/>
            <w:vAlign w:val="center"/>
            <w:hideMark/>
          </w:tcPr>
          <w:p w14:paraId="1CB8748E" w14:textId="77777777" w:rsidR="00D61ADD" w:rsidRPr="005379B7" w:rsidRDefault="00D61ADD" w:rsidP="00887C7A">
            <w:pPr>
              <w:rPr>
                <w:rFonts w:ascii="Times New Roman" w:hAnsi="Times New Roman" w:cs="Times New Roman"/>
                <w:b/>
                <w:bCs/>
                <w:sz w:val="18"/>
              </w:rPr>
            </w:pPr>
            <w:r w:rsidRPr="005379B7">
              <w:rPr>
                <w:rFonts w:ascii="Times New Roman" w:hAnsi="Times New Roman" w:cs="Times New Roman"/>
                <w:b/>
                <w:bCs/>
                <w:sz w:val="18"/>
              </w:rPr>
              <w:t xml:space="preserve">Погашение на заеми по линия на МВУ от ЕС </w:t>
            </w:r>
          </w:p>
        </w:tc>
        <w:tc>
          <w:tcPr>
            <w:tcW w:w="365" w:type="pct"/>
            <w:tcBorders>
              <w:bottom w:val="single" w:sz="2" w:space="0" w:color="A6A6A6" w:themeColor="background1" w:themeShade="A6"/>
            </w:tcBorders>
            <w:noWrap/>
            <w:hideMark/>
          </w:tcPr>
          <w:p w14:paraId="6B5C2CD9"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tcBorders>
              <w:bottom w:val="single" w:sz="2" w:space="0" w:color="A6A6A6" w:themeColor="background1" w:themeShade="A6"/>
            </w:tcBorders>
            <w:noWrap/>
            <w:hideMark/>
          </w:tcPr>
          <w:p w14:paraId="4A3162B0"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tcBorders>
              <w:bottom w:val="single" w:sz="2" w:space="0" w:color="A6A6A6" w:themeColor="background1" w:themeShade="A6"/>
            </w:tcBorders>
            <w:noWrap/>
            <w:hideMark/>
          </w:tcPr>
          <w:p w14:paraId="63A3DC77"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tcBorders>
              <w:bottom w:val="single" w:sz="2" w:space="0" w:color="A6A6A6" w:themeColor="background1" w:themeShade="A6"/>
            </w:tcBorders>
            <w:noWrap/>
            <w:hideMark/>
          </w:tcPr>
          <w:p w14:paraId="204DBBF7"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tcBorders>
              <w:bottom w:val="single" w:sz="2" w:space="0" w:color="A6A6A6" w:themeColor="background1" w:themeShade="A6"/>
            </w:tcBorders>
            <w:noWrap/>
            <w:hideMark/>
          </w:tcPr>
          <w:p w14:paraId="6130BA6F"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tcBorders>
              <w:bottom w:val="single" w:sz="2" w:space="0" w:color="A6A6A6" w:themeColor="background1" w:themeShade="A6"/>
            </w:tcBorders>
            <w:noWrap/>
            <w:hideMark/>
          </w:tcPr>
          <w:p w14:paraId="256D2E02"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7" w:type="pct"/>
            <w:tcBorders>
              <w:bottom w:val="single" w:sz="2" w:space="0" w:color="A6A6A6" w:themeColor="background1" w:themeShade="A6"/>
            </w:tcBorders>
            <w:noWrap/>
            <w:hideMark/>
          </w:tcPr>
          <w:p w14:paraId="688ADBF7"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r>
      <w:tr w:rsidR="00D61ADD" w:rsidRPr="002C1C40" w14:paraId="5A5550CF" w14:textId="77777777" w:rsidTr="008C553D">
        <w:trPr>
          <w:trHeight w:val="397"/>
        </w:trPr>
        <w:tc>
          <w:tcPr>
            <w:tcW w:w="5000" w:type="pct"/>
            <w:gridSpan w:val="8"/>
            <w:tcBorders>
              <w:left w:val="nil"/>
              <w:right w:val="nil"/>
            </w:tcBorders>
            <w:noWrap/>
            <w:hideMark/>
          </w:tcPr>
          <w:p w14:paraId="62AE7898" w14:textId="77777777" w:rsidR="00D61ADD" w:rsidRPr="00A82EAD" w:rsidRDefault="00D61ADD" w:rsidP="00777E7B">
            <w:pPr>
              <w:rPr>
                <w:rFonts w:ascii="Times New Roman" w:hAnsi="Times New Roman" w:cs="Times New Roman"/>
              </w:rPr>
            </w:pPr>
          </w:p>
        </w:tc>
      </w:tr>
      <w:tr w:rsidR="00D61ADD" w:rsidRPr="002C1C40" w14:paraId="18408BFE" w14:textId="77777777" w:rsidTr="00887C7A">
        <w:trPr>
          <w:trHeight w:val="397"/>
        </w:trPr>
        <w:tc>
          <w:tcPr>
            <w:tcW w:w="5000" w:type="pct"/>
            <w:gridSpan w:val="8"/>
            <w:noWrap/>
            <w:vAlign w:val="center"/>
            <w:hideMark/>
          </w:tcPr>
          <w:p w14:paraId="1609FD21"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Разходи финансирани от МВУ заеми (% от БВП)</w:t>
            </w:r>
          </w:p>
        </w:tc>
      </w:tr>
      <w:tr w:rsidR="00D61ADD" w:rsidRPr="002C1C40" w14:paraId="68EEDDE3" w14:textId="77777777" w:rsidTr="00887C7A">
        <w:trPr>
          <w:trHeight w:val="397"/>
        </w:trPr>
        <w:tc>
          <w:tcPr>
            <w:tcW w:w="2444" w:type="pct"/>
            <w:noWrap/>
            <w:hideMark/>
          </w:tcPr>
          <w:p w14:paraId="7F47612B" w14:textId="77777777" w:rsidR="00D61ADD" w:rsidRPr="005379B7" w:rsidRDefault="00D61ADD" w:rsidP="00777E7B">
            <w:pPr>
              <w:rPr>
                <w:rFonts w:ascii="Times New Roman" w:hAnsi="Times New Roman" w:cs="Times New Roman"/>
                <w:b/>
                <w:bCs/>
                <w:sz w:val="18"/>
              </w:rPr>
            </w:pPr>
            <w:r w:rsidRPr="005379B7">
              <w:rPr>
                <w:rFonts w:ascii="Times New Roman" w:hAnsi="Times New Roman" w:cs="Times New Roman"/>
                <w:b/>
                <w:bCs/>
                <w:sz w:val="18"/>
              </w:rPr>
              <w:t> </w:t>
            </w:r>
          </w:p>
        </w:tc>
        <w:tc>
          <w:tcPr>
            <w:tcW w:w="365" w:type="pct"/>
            <w:noWrap/>
            <w:vAlign w:val="center"/>
            <w:hideMark/>
          </w:tcPr>
          <w:p w14:paraId="70679CEA"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2020</w:t>
            </w:r>
          </w:p>
        </w:tc>
        <w:tc>
          <w:tcPr>
            <w:tcW w:w="365" w:type="pct"/>
            <w:noWrap/>
            <w:vAlign w:val="center"/>
            <w:hideMark/>
          </w:tcPr>
          <w:p w14:paraId="51FBA53B"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2021</w:t>
            </w:r>
          </w:p>
        </w:tc>
        <w:tc>
          <w:tcPr>
            <w:tcW w:w="365" w:type="pct"/>
            <w:noWrap/>
            <w:vAlign w:val="center"/>
            <w:hideMark/>
          </w:tcPr>
          <w:p w14:paraId="3DFEBBC0"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2022</w:t>
            </w:r>
          </w:p>
        </w:tc>
        <w:tc>
          <w:tcPr>
            <w:tcW w:w="365" w:type="pct"/>
            <w:noWrap/>
            <w:vAlign w:val="center"/>
            <w:hideMark/>
          </w:tcPr>
          <w:p w14:paraId="70757D21"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2023</w:t>
            </w:r>
          </w:p>
        </w:tc>
        <w:tc>
          <w:tcPr>
            <w:tcW w:w="365" w:type="pct"/>
            <w:noWrap/>
            <w:vAlign w:val="center"/>
            <w:hideMark/>
          </w:tcPr>
          <w:p w14:paraId="664E46A9"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2024</w:t>
            </w:r>
          </w:p>
        </w:tc>
        <w:tc>
          <w:tcPr>
            <w:tcW w:w="365" w:type="pct"/>
            <w:noWrap/>
            <w:vAlign w:val="center"/>
            <w:hideMark/>
          </w:tcPr>
          <w:p w14:paraId="63F99BFB"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2025</w:t>
            </w:r>
          </w:p>
        </w:tc>
        <w:tc>
          <w:tcPr>
            <w:tcW w:w="367" w:type="pct"/>
            <w:noWrap/>
            <w:vAlign w:val="center"/>
            <w:hideMark/>
          </w:tcPr>
          <w:p w14:paraId="79E1DD2C"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2026</w:t>
            </w:r>
          </w:p>
        </w:tc>
      </w:tr>
      <w:tr w:rsidR="00D61ADD" w:rsidRPr="002C1C40" w14:paraId="701C89FE" w14:textId="77777777" w:rsidTr="00887C7A">
        <w:trPr>
          <w:trHeight w:val="397"/>
        </w:trPr>
        <w:tc>
          <w:tcPr>
            <w:tcW w:w="2444" w:type="pct"/>
            <w:noWrap/>
            <w:vAlign w:val="center"/>
            <w:hideMark/>
          </w:tcPr>
          <w:p w14:paraId="2EC345E0" w14:textId="77777777" w:rsidR="00D61ADD" w:rsidRPr="005379B7" w:rsidRDefault="00D61ADD" w:rsidP="00887C7A">
            <w:pPr>
              <w:rPr>
                <w:rFonts w:ascii="Times New Roman" w:hAnsi="Times New Roman" w:cs="Times New Roman"/>
                <w:sz w:val="18"/>
              </w:rPr>
            </w:pPr>
            <w:r w:rsidRPr="005379B7">
              <w:rPr>
                <w:rFonts w:ascii="Times New Roman" w:hAnsi="Times New Roman" w:cs="Times New Roman"/>
                <w:sz w:val="18"/>
              </w:rPr>
              <w:t>Компенсация на наетите лица D.1</w:t>
            </w:r>
          </w:p>
        </w:tc>
        <w:tc>
          <w:tcPr>
            <w:tcW w:w="365" w:type="pct"/>
            <w:noWrap/>
            <w:hideMark/>
          </w:tcPr>
          <w:p w14:paraId="145C783F"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3A7DC282"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059BC2DB"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438F05EE"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60E3420B"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09697DE3"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7" w:type="pct"/>
            <w:noWrap/>
            <w:hideMark/>
          </w:tcPr>
          <w:p w14:paraId="2F0F116F"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r>
      <w:tr w:rsidR="00D61ADD" w:rsidRPr="002C1C40" w14:paraId="49BC19D5" w14:textId="77777777" w:rsidTr="00887C7A">
        <w:trPr>
          <w:trHeight w:val="397"/>
        </w:trPr>
        <w:tc>
          <w:tcPr>
            <w:tcW w:w="2444" w:type="pct"/>
            <w:noWrap/>
            <w:vAlign w:val="center"/>
            <w:hideMark/>
          </w:tcPr>
          <w:p w14:paraId="11E6B7BB" w14:textId="77777777" w:rsidR="00D61ADD" w:rsidRPr="005379B7" w:rsidRDefault="00D61ADD" w:rsidP="00887C7A">
            <w:pPr>
              <w:rPr>
                <w:rFonts w:ascii="Times New Roman" w:hAnsi="Times New Roman" w:cs="Times New Roman"/>
                <w:sz w:val="18"/>
              </w:rPr>
            </w:pPr>
            <w:r w:rsidRPr="005379B7">
              <w:rPr>
                <w:rFonts w:ascii="Times New Roman" w:hAnsi="Times New Roman" w:cs="Times New Roman"/>
                <w:sz w:val="18"/>
              </w:rPr>
              <w:t>Междинно потребление P.2</w:t>
            </w:r>
          </w:p>
        </w:tc>
        <w:tc>
          <w:tcPr>
            <w:tcW w:w="365" w:type="pct"/>
            <w:noWrap/>
            <w:hideMark/>
          </w:tcPr>
          <w:p w14:paraId="5B234E7C"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7486C4CF"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71392A43"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3917504A"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4E6FFBC7"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391AD36A"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7" w:type="pct"/>
            <w:noWrap/>
            <w:hideMark/>
          </w:tcPr>
          <w:p w14:paraId="552D6658"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r>
      <w:tr w:rsidR="00D61ADD" w:rsidRPr="002C1C40" w14:paraId="20B8CC41" w14:textId="77777777" w:rsidTr="00887C7A">
        <w:trPr>
          <w:trHeight w:val="397"/>
        </w:trPr>
        <w:tc>
          <w:tcPr>
            <w:tcW w:w="2444" w:type="pct"/>
            <w:noWrap/>
            <w:vAlign w:val="center"/>
            <w:hideMark/>
          </w:tcPr>
          <w:p w14:paraId="5037CE61" w14:textId="77777777" w:rsidR="00D61ADD" w:rsidRPr="005379B7" w:rsidRDefault="00D61ADD" w:rsidP="00887C7A">
            <w:pPr>
              <w:rPr>
                <w:rFonts w:ascii="Times New Roman" w:hAnsi="Times New Roman" w:cs="Times New Roman"/>
                <w:sz w:val="18"/>
              </w:rPr>
            </w:pPr>
            <w:r w:rsidRPr="005379B7">
              <w:rPr>
                <w:rFonts w:ascii="Times New Roman" w:hAnsi="Times New Roman" w:cs="Times New Roman"/>
                <w:sz w:val="18"/>
              </w:rPr>
              <w:t>Социални трансфери D.62+D.632</w:t>
            </w:r>
          </w:p>
        </w:tc>
        <w:tc>
          <w:tcPr>
            <w:tcW w:w="365" w:type="pct"/>
            <w:noWrap/>
            <w:hideMark/>
          </w:tcPr>
          <w:p w14:paraId="07F53C74"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661CE01E"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7CCEBEA7"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2275121E"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0044CFB6"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6AE11F2E"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7" w:type="pct"/>
            <w:noWrap/>
            <w:hideMark/>
          </w:tcPr>
          <w:p w14:paraId="59760C0A"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r>
      <w:tr w:rsidR="00D61ADD" w:rsidRPr="002C1C40" w14:paraId="3C195970" w14:textId="77777777" w:rsidTr="00887C7A">
        <w:trPr>
          <w:trHeight w:val="397"/>
        </w:trPr>
        <w:tc>
          <w:tcPr>
            <w:tcW w:w="2444" w:type="pct"/>
            <w:noWrap/>
            <w:vAlign w:val="center"/>
            <w:hideMark/>
          </w:tcPr>
          <w:p w14:paraId="6C808D50" w14:textId="77777777" w:rsidR="00D61ADD" w:rsidRPr="005379B7" w:rsidRDefault="00D61ADD" w:rsidP="00887C7A">
            <w:pPr>
              <w:rPr>
                <w:rFonts w:ascii="Times New Roman" w:hAnsi="Times New Roman" w:cs="Times New Roman"/>
                <w:sz w:val="18"/>
              </w:rPr>
            </w:pPr>
            <w:r w:rsidRPr="005379B7">
              <w:rPr>
                <w:rFonts w:ascii="Times New Roman" w:hAnsi="Times New Roman" w:cs="Times New Roman"/>
                <w:sz w:val="18"/>
              </w:rPr>
              <w:t>Лихвени разходи D.41</w:t>
            </w:r>
          </w:p>
        </w:tc>
        <w:tc>
          <w:tcPr>
            <w:tcW w:w="365" w:type="pct"/>
            <w:noWrap/>
            <w:hideMark/>
          </w:tcPr>
          <w:p w14:paraId="1ABA1CA4"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70E98CAD"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4AC6C587"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4694AF79"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511C9038"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4FD59753"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7" w:type="pct"/>
            <w:noWrap/>
            <w:hideMark/>
          </w:tcPr>
          <w:p w14:paraId="501B22F8"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r>
      <w:tr w:rsidR="00D61ADD" w:rsidRPr="002C1C40" w14:paraId="68E0CE41" w14:textId="77777777" w:rsidTr="00887C7A">
        <w:trPr>
          <w:trHeight w:val="397"/>
        </w:trPr>
        <w:tc>
          <w:tcPr>
            <w:tcW w:w="2444" w:type="pct"/>
            <w:noWrap/>
            <w:vAlign w:val="center"/>
            <w:hideMark/>
          </w:tcPr>
          <w:p w14:paraId="3388F342" w14:textId="77777777" w:rsidR="00D61ADD" w:rsidRPr="005379B7" w:rsidRDefault="00D61ADD" w:rsidP="00887C7A">
            <w:pPr>
              <w:rPr>
                <w:rFonts w:ascii="Times New Roman" w:hAnsi="Times New Roman" w:cs="Times New Roman"/>
                <w:sz w:val="18"/>
              </w:rPr>
            </w:pPr>
            <w:r w:rsidRPr="005379B7">
              <w:rPr>
                <w:rFonts w:ascii="Times New Roman" w:hAnsi="Times New Roman" w:cs="Times New Roman"/>
                <w:sz w:val="18"/>
              </w:rPr>
              <w:t>Субсидии D.3</w:t>
            </w:r>
          </w:p>
        </w:tc>
        <w:tc>
          <w:tcPr>
            <w:tcW w:w="365" w:type="pct"/>
            <w:noWrap/>
            <w:hideMark/>
          </w:tcPr>
          <w:p w14:paraId="27E8EF17"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2E28FD1B"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7582ADAD"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314DC0E2"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0EED5B79"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42DADB5E"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7" w:type="pct"/>
            <w:noWrap/>
            <w:hideMark/>
          </w:tcPr>
          <w:p w14:paraId="611E77A5"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r>
      <w:tr w:rsidR="00D61ADD" w:rsidRPr="002C1C40" w14:paraId="4C54D547" w14:textId="77777777" w:rsidTr="00887C7A">
        <w:trPr>
          <w:trHeight w:val="397"/>
        </w:trPr>
        <w:tc>
          <w:tcPr>
            <w:tcW w:w="2444" w:type="pct"/>
            <w:noWrap/>
            <w:vAlign w:val="center"/>
            <w:hideMark/>
          </w:tcPr>
          <w:p w14:paraId="1355813D" w14:textId="77777777" w:rsidR="00D61ADD" w:rsidRPr="005379B7" w:rsidRDefault="00D61ADD" w:rsidP="00887C7A">
            <w:pPr>
              <w:rPr>
                <w:rFonts w:ascii="Times New Roman" w:hAnsi="Times New Roman" w:cs="Times New Roman"/>
                <w:sz w:val="18"/>
              </w:rPr>
            </w:pPr>
            <w:r w:rsidRPr="005379B7">
              <w:rPr>
                <w:rFonts w:ascii="Times New Roman" w:hAnsi="Times New Roman" w:cs="Times New Roman"/>
                <w:sz w:val="18"/>
              </w:rPr>
              <w:t>Текущи трансфери D.7</w:t>
            </w:r>
          </w:p>
        </w:tc>
        <w:tc>
          <w:tcPr>
            <w:tcW w:w="365" w:type="pct"/>
            <w:noWrap/>
            <w:hideMark/>
          </w:tcPr>
          <w:p w14:paraId="524BAAAB"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3BDF5416"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01A9B466"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667A6FD0"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022078B3"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32C32CD1"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7" w:type="pct"/>
            <w:noWrap/>
            <w:hideMark/>
          </w:tcPr>
          <w:p w14:paraId="049B13D7"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r>
      <w:tr w:rsidR="00D61ADD" w:rsidRPr="002C1C40" w14:paraId="48222359" w14:textId="77777777" w:rsidTr="00887C7A">
        <w:trPr>
          <w:trHeight w:val="397"/>
        </w:trPr>
        <w:tc>
          <w:tcPr>
            <w:tcW w:w="2444" w:type="pct"/>
            <w:noWrap/>
            <w:vAlign w:val="center"/>
            <w:hideMark/>
          </w:tcPr>
          <w:p w14:paraId="6D86EB24" w14:textId="77777777" w:rsidR="00D61ADD" w:rsidRPr="005379B7" w:rsidRDefault="00D61ADD" w:rsidP="00887C7A">
            <w:pPr>
              <w:rPr>
                <w:rFonts w:ascii="Times New Roman" w:hAnsi="Times New Roman" w:cs="Times New Roman"/>
                <w:b/>
                <w:bCs/>
                <w:sz w:val="18"/>
              </w:rPr>
            </w:pPr>
            <w:r w:rsidRPr="005379B7">
              <w:rPr>
                <w:rFonts w:ascii="Times New Roman" w:hAnsi="Times New Roman" w:cs="Times New Roman"/>
                <w:b/>
                <w:bCs/>
                <w:sz w:val="18"/>
              </w:rPr>
              <w:t>Общо текущи разходи</w:t>
            </w:r>
          </w:p>
        </w:tc>
        <w:tc>
          <w:tcPr>
            <w:tcW w:w="365" w:type="pct"/>
            <w:noWrap/>
            <w:hideMark/>
          </w:tcPr>
          <w:p w14:paraId="6BF7C8EC" w14:textId="77777777" w:rsidR="00D61ADD" w:rsidRPr="005379B7" w:rsidRDefault="00D61ADD" w:rsidP="00777E7B">
            <w:pPr>
              <w:rPr>
                <w:rFonts w:ascii="Times New Roman" w:hAnsi="Times New Roman" w:cs="Times New Roman"/>
                <w:b/>
                <w:bCs/>
                <w:sz w:val="18"/>
              </w:rPr>
            </w:pPr>
            <w:r w:rsidRPr="005379B7">
              <w:rPr>
                <w:rFonts w:ascii="Times New Roman" w:hAnsi="Times New Roman" w:cs="Times New Roman"/>
                <w:b/>
                <w:bCs/>
                <w:sz w:val="18"/>
              </w:rPr>
              <w:t> </w:t>
            </w:r>
          </w:p>
        </w:tc>
        <w:tc>
          <w:tcPr>
            <w:tcW w:w="365" w:type="pct"/>
            <w:noWrap/>
            <w:hideMark/>
          </w:tcPr>
          <w:p w14:paraId="1BE407E3"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noWrap/>
            <w:hideMark/>
          </w:tcPr>
          <w:p w14:paraId="160F5693"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noWrap/>
            <w:hideMark/>
          </w:tcPr>
          <w:p w14:paraId="65790756"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noWrap/>
            <w:hideMark/>
          </w:tcPr>
          <w:p w14:paraId="6F1B6873"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noWrap/>
            <w:hideMark/>
          </w:tcPr>
          <w:p w14:paraId="0982E770"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7" w:type="pct"/>
            <w:noWrap/>
            <w:hideMark/>
          </w:tcPr>
          <w:p w14:paraId="7DF55746"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r>
      <w:tr w:rsidR="00D61ADD" w:rsidRPr="002C1C40" w14:paraId="785B8F5B" w14:textId="77777777" w:rsidTr="00887C7A">
        <w:trPr>
          <w:trHeight w:val="397"/>
        </w:trPr>
        <w:tc>
          <w:tcPr>
            <w:tcW w:w="2444" w:type="pct"/>
            <w:noWrap/>
            <w:vAlign w:val="center"/>
            <w:hideMark/>
          </w:tcPr>
          <w:p w14:paraId="60B2DE2E" w14:textId="77777777" w:rsidR="00D61ADD" w:rsidRPr="005379B7" w:rsidRDefault="00D61ADD" w:rsidP="00887C7A">
            <w:pPr>
              <w:rPr>
                <w:rFonts w:ascii="Times New Roman" w:hAnsi="Times New Roman" w:cs="Times New Roman"/>
                <w:b/>
                <w:bCs/>
                <w:sz w:val="18"/>
              </w:rPr>
            </w:pPr>
            <w:r w:rsidRPr="005379B7">
              <w:rPr>
                <w:rFonts w:ascii="Times New Roman" w:hAnsi="Times New Roman" w:cs="Times New Roman"/>
                <w:b/>
                <w:bCs/>
                <w:sz w:val="18"/>
              </w:rPr>
              <w:t>Бруто образуване на основен капитал P.51g</w:t>
            </w:r>
          </w:p>
        </w:tc>
        <w:tc>
          <w:tcPr>
            <w:tcW w:w="365" w:type="pct"/>
            <w:noWrap/>
            <w:hideMark/>
          </w:tcPr>
          <w:p w14:paraId="4902642D" w14:textId="77777777" w:rsidR="00D61ADD" w:rsidRPr="005379B7" w:rsidRDefault="00D61ADD" w:rsidP="00777E7B">
            <w:pPr>
              <w:rPr>
                <w:rFonts w:ascii="Times New Roman" w:hAnsi="Times New Roman" w:cs="Times New Roman"/>
                <w:sz w:val="18"/>
              </w:rPr>
            </w:pPr>
            <w:r w:rsidRPr="005379B7">
              <w:rPr>
                <w:rFonts w:ascii="Times New Roman" w:hAnsi="Times New Roman" w:cs="Times New Roman"/>
                <w:sz w:val="18"/>
              </w:rPr>
              <w:t> </w:t>
            </w:r>
          </w:p>
        </w:tc>
        <w:tc>
          <w:tcPr>
            <w:tcW w:w="365" w:type="pct"/>
            <w:noWrap/>
            <w:hideMark/>
          </w:tcPr>
          <w:p w14:paraId="7BC9E78A"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0BC48722"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0D80C958"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20B8EBF8"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71414901"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7" w:type="pct"/>
            <w:noWrap/>
            <w:hideMark/>
          </w:tcPr>
          <w:p w14:paraId="709AA93D"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r>
      <w:tr w:rsidR="00D61ADD" w:rsidRPr="002C1C40" w14:paraId="014FD800" w14:textId="77777777" w:rsidTr="00887C7A">
        <w:trPr>
          <w:trHeight w:val="397"/>
        </w:trPr>
        <w:tc>
          <w:tcPr>
            <w:tcW w:w="2444" w:type="pct"/>
            <w:noWrap/>
            <w:vAlign w:val="center"/>
            <w:hideMark/>
          </w:tcPr>
          <w:p w14:paraId="6B977C2F" w14:textId="77777777" w:rsidR="00D61ADD" w:rsidRPr="005379B7" w:rsidRDefault="00D61ADD" w:rsidP="00887C7A">
            <w:pPr>
              <w:rPr>
                <w:rFonts w:ascii="Times New Roman" w:hAnsi="Times New Roman" w:cs="Times New Roman"/>
                <w:b/>
                <w:bCs/>
                <w:sz w:val="18"/>
              </w:rPr>
            </w:pPr>
            <w:r w:rsidRPr="005379B7">
              <w:rPr>
                <w:rFonts w:ascii="Times New Roman" w:hAnsi="Times New Roman" w:cs="Times New Roman"/>
                <w:b/>
                <w:bCs/>
                <w:sz w:val="18"/>
              </w:rPr>
              <w:t>Капиталови трансфери D.9</w:t>
            </w:r>
          </w:p>
        </w:tc>
        <w:tc>
          <w:tcPr>
            <w:tcW w:w="365" w:type="pct"/>
            <w:noWrap/>
            <w:hideMark/>
          </w:tcPr>
          <w:p w14:paraId="2D840718" w14:textId="77777777" w:rsidR="00D61ADD" w:rsidRPr="005379B7" w:rsidRDefault="00D61ADD" w:rsidP="00777E7B">
            <w:pPr>
              <w:rPr>
                <w:rFonts w:ascii="Times New Roman" w:hAnsi="Times New Roman" w:cs="Times New Roman"/>
                <w:b/>
                <w:bCs/>
                <w:sz w:val="18"/>
              </w:rPr>
            </w:pPr>
            <w:r w:rsidRPr="005379B7">
              <w:rPr>
                <w:rFonts w:ascii="Times New Roman" w:hAnsi="Times New Roman" w:cs="Times New Roman"/>
                <w:b/>
                <w:bCs/>
                <w:sz w:val="18"/>
              </w:rPr>
              <w:t> </w:t>
            </w:r>
          </w:p>
        </w:tc>
        <w:tc>
          <w:tcPr>
            <w:tcW w:w="365" w:type="pct"/>
            <w:noWrap/>
            <w:hideMark/>
          </w:tcPr>
          <w:p w14:paraId="3D10EC7A"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noWrap/>
            <w:hideMark/>
          </w:tcPr>
          <w:p w14:paraId="4D4CC61B"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noWrap/>
            <w:hideMark/>
          </w:tcPr>
          <w:p w14:paraId="1558E615" w14:textId="77777777" w:rsidR="00D61ADD" w:rsidRPr="005379B7" w:rsidRDefault="00D61ADD" w:rsidP="00777E7B">
            <w:pPr>
              <w:rPr>
                <w:rFonts w:ascii="Times New Roman" w:hAnsi="Times New Roman" w:cs="Times New Roman"/>
                <w:b/>
                <w:bCs/>
                <w:sz w:val="18"/>
              </w:rPr>
            </w:pPr>
            <w:r w:rsidRPr="005379B7">
              <w:rPr>
                <w:rFonts w:ascii="Times New Roman" w:hAnsi="Times New Roman" w:cs="Times New Roman"/>
                <w:b/>
                <w:bCs/>
                <w:sz w:val="18"/>
              </w:rPr>
              <w:t> </w:t>
            </w:r>
          </w:p>
        </w:tc>
        <w:tc>
          <w:tcPr>
            <w:tcW w:w="365" w:type="pct"/>
            <w:noWrap/>
            <w:hideMark/>
          </w:tcPr>
          <w:p w14:paraId="0E7F792A" w14:textId="77777777" w:rsidR="00D61ADD" w:rsidRPr="005379B7" w:rsidRDefault="00D61ADD" w:rsidP="00777E7B">
            <w:pPr>
              <w:rPr>
                <w:rFonts w:ascii="Times New Roman" w:hAnsi="Times New Roman" w:cs="Times New Roman"/>
                <w:b/>
                <w:bCs/>
                <w:sz w:val="18"/>
              </w:rPr>
            </w:pPr>
            <w:r w:rsidRPr="005379B7">
              <w:rPr>
                <w:rFonts w:ascii="Times New Roman" w:hAnsi="Times New Roman" w:cs="Times New Roman"/>
                <w:b/>
                <w:bCs/>
                <w:sz w:val="18"/>
              </w:rPr>
              <w:t> </w:t>
            </w:r>
          </w:p>
        </w:tc>
        <w:tc>
          <w:tcPr>
            <w:tcW w:w="365" w:type="pct"/>
            <w:noWrap/>
            <w:hideMark/>
          </w:tcPr>
          <w:p w14:paraId="4B580950" w14:textId="77777777" w:rsidR="00D61ADD" w:rsidRPr="005379B7" w:rsidRDefault="00D61ADD" w:rsidP="00777E7B">
            <w:pPr>
              <w:rPr>
                <w:rFonts w:ascii="Times New Roman" w:hAnsi="Times New Roman" w:cs="Times New Roman"/>
                <w:b/>
                <w:bCs/>
                <w:sz w:val="18"/>
              </w:rPr>
            </w:pPr>
            <w:r w:rsidRPr="005379B7">
              <w:rPr>
                <w:rFonts w:ascii="Times New Roman" w:hAnsi="Times New Roman" w:cs="Times New Roman"/>
                <w:b/>
                <w:bCs/>
                <w:sz w:val="18"/>
              </w:rPr>
              <w:t> </w:t>
            </w:r>
          </w:p>
        </w:tc>
        <w:tc>
          <w:tcPr>
            <w:tcW w:w="367" w:type="pct"/>
            <w:noWrap/>
            <w:hideMark/>
          </w:tcPr>
          <w:p w14:paraId="0B6A1FBA" w14:textId="77777777" w:rsidR="00D61ADD" w:rsidRPr="005379B7" w:rsidRDefault="00D61ADD" w:rsidP="00777E7B">
            <w:pPr>
              <w:rPr>
                <w:rFonts w:ascii="Times New Roman" w:hAnsi="Times New Roman" w:cs="Times New Roman"/>
                <w:b/>
                <w:bCs/>
                <w:sz w:val="18"/>
              </w:rPr>
            </w:pPr>
            <w:r w:rsidRPr="005379B7">
              <w:rPr>
                <w:rFonts w:ascii="Times New Roman" w:hAnsi="Times New Roman" w:cs="Times New Roman"/>
                <w:b/>
                <w:bCs/>
                <w:sz w:val="18"/>
              </w:rPr>
              <w:t> </w:t>
            </w:r>
          </w:p>
        </w:tc>
      </w:tr>
      <w:tr w:rsidR="00D61ADD" w:rsidRPr="002C1C40" w14:paraId="12FE57BF" w14:textId="77777777" w:rsidTr="008C553D">
        <w:trPr>
          <w:trHeight w:val="397"/>
        </w:trPr>
        <w:tc>
          <w:tcPr>
            <w:tcW w:w="2444" w:type="pct"/>
            <w:tcBorders>
              <w:bottom w:val="single" w:sz="2" w:space="0" w:color="A6A6A6" w:themeColor="background1" w:themeShade="A6"/>
            </w:tcBorders>
            <w:noWrap/>
            <w:vAlign w:val="center"/>
            <w:hideMark/>
          </w:tcPr>
          <w:p w14:paraId="6F1E18AB" w14:textId="77777777" w:rsidR="00D61ADD" w:rsidRPr="005379B7" w:rsidRDefault="00D61ADD" w:rsidP="00887C7A">
            <w:pPr>
              <w:rPr>
                <w:rFonts w:ascii="Times New Roman" w:hAnsi="Times New Roman" w:cs="Times New Roman"/>
                <w:b/>
                <w:bCs/>
                <w:sz w:val="18"/>
              </w:rPr>
            </w:pPr>
            <w:r w:rsidRPr="005379B7">
              <w:rPr>
                <w:rFonts w:ascii="Times New Roman" w:hAnsi="Times New Roman" w:cs="Times New Roman"/>
                <w:b/>
                <w:bCs/>
                <w:sz w:val="18"/>
              </w:rPr>
              <w:t xml:space="preserve">Общо капиталови разходи </w:t>
            </w:r>
          </w:p>
        </w:tc>
        <w:tc>
          <w:tcPr>
            <w:tcW w:w="365" w:type="pct"/>
            <w:tcBorders>
              <w:bottom w:val="single" w:sz="2" w:space="0" w:color="A6A6A6" w:themeColor="background1" w:themeShade="A6"/>
            </w:tcBorders>
            <w:noWrap/>
            <w:hideMark/>
          </w:tcPr>
          <w:p w14:paraId="70A53974" w14:textId="77777777" w:rsidR="00D61ADD" w:rsidRPr="005379B7" w:rsidRDefault="00D61ADD" w:rsidP="00777E7B">
            <w:pPr>
              <w:rPr>
                <w:rFonts w:ascii="Times New Roman" w:hAnsi="Times New Roman" w:cs="Times New Roman"/>
                <w:b/>
                <w:bCs/>
                <w:sz w:val="18"/>
              </w:rPr>
            </w:pPr>
            <w:r w:rsidRPr="005379B7">
              <w:rPr>
                <w:rFonts w:ascii="Times New Roman" w:hAnsi="Times New Roman" w:cs="Times New Roman"/>
                <w:b/>
                <w:bCs/>
                <w:sz w:val="18"/>
              </w:rPr>
              <w:t> </w:t>
            </w:r>
          </w:p>
        </w:tc>
        <w:tc>
          <w:tcPr>
            <w:tcW w:w="365" w:type="pct"/>
            <w:tcBorders>
              <w:bottom w:val="single" w:sz="2" w:space="0" w:color="A6A6A6" w:themeColor="background1" w:themeShade="A6"/>
            </w:tcBorders>
            <w:noWrap/>
            <w:hideMark/>
          </w:tcPr>
          <w:p w14:paraId="0D99FAB9"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tcBorders>
              <w:bottom w:val="single" w:sz="2" w:space="0" w:color="A6A6A6" w:themeColor="background1" w:themeShade="A6"/>
            </w:tcBorders>
            <w:noWrap/>
            <w:hideMark/>
          </w:tcPr>
          <w:p w14:paraId="67344E1E"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tcBorders>
              <w:bottom w:val="single" w:sz="2" w:space="0" w:color="A6A6A6" w:themeColor="background1" w:themeShade="A6"/>
            </w:tcBorders>
            <w:noWrap/>
            <w:hideMark/>
          </w:tcPr>
          <w:p w14:paraId="5CA5B69A"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tcBorders>
              <w:bottom w:val="single" w:sz="2" w:space="0" w:color="A6A6A6" w:themeColor="background1" w:themeShade="A6"/>
            </w:tcBorders>
            <w:noWrap/>
            <w:hideMark/>
          </w:tcPr>
          <w:p w14:paraId="5C5B2CC0"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5" w:type="pct"/>
            <w:tcBorders>
              <w:bottom w:val="single" w:sz="2" w:space="0" w:color="A6A6A6" w:themeColor="background1" w:themeShade="A6"/>
            </w:tcBorders>
            <w:noWrap/>
            <w:hideMark/>
          </w:tcPr>
          <w:p w14:paraId="30D0B6CA"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c>
          <w:tcPr>
            <w:tcW w:w="367" w:type="pct"/>
            <w:tcBorders>
              <w:bottom w:val="single" w:sz="2" w:space="0" w:color="A6A6A6" w:themeColor="background1" w:themeShade="A6"/>
            </w:tcBorders>
            <w:noWrap/>
            <w:hideMark/>
          </w:tcPr>
          <w:p w14:paraId="52013295" w14:textId="77777777" w:rsidR="00D61ADD" w:rsidRPr="005379B7" w:rsidRDefault="00D61ADD" w:rsidP="00777E7B">
            <w:pPr>
              <w:rPr>
                <w:rFonts w:ascii="Times New Roman" w:hAnsi="Times New Roman" w:cs="Times New Roman"/>
                <w:b/>
                <w:bCs/>
                <w:i/>
                <w:iCs/>
                <w:sz w:val="18"/>
              </w:rPr>
            </w:pPr>
            <w:r w:rsidRPr="005379B7">
              <w:rPr>
                <w:rFonts w:ascii="Times New Roman" w:hAnsi="Times New Roman" w:cs="Times New Roman"/>
                <w:b/>
                <w:bCs/>
                <w:i/>
                <w:iCs/>
                <w:sz w:val="18"/>
              </w:rPr>
              <w:t> </w:t>
            </w:r>
          </w:p>
        </w:tc>
      </w:tr>
      <w:tr w:rsidR="00D61ADD" w:rsidRPr="002C1C40" w14:paraId="35AE78EC" w14:textId="77777777" w:rsidTr="008C553D">
        <w:trPr>
          <w:trHeight w:val="397"/>
        </w:trPr>
        <w:tc>
          <w:tcPr>
            <w:tcW w:w="5000" w:type="pct"/>
            <w:gridSpan w:val="8"/>
            <w:tcBorders>
              <w:left w:val="nil"/>
              <w:right w:val="nil"/>
            </w:tcBorders>
            <w:noWrap/>
            <w:hideMark/>
          </w:tcPr>
          <w:p w14:paraId="4278F727" w14:textId="77777777" w:rsidR="00D61ADD" w:rsidRPr="00A82EAD" w:rsidRDefault="00D61ADD" w:rsidP="00777E7B">
            <w:pPr>
              <w:rPr>
                <w:rFonts w:ascii="Times New Roman" w:hAnsi="Times New Roman" w:cs="Times New Roman"/>
                <w:b/>
                <w:bCs/>
              </w:rPr>
            </w:pPr>
            <w:r w:rsidRPr="00A82EAD">
              <w:rPr>
                <w:rFonts w:ascii="Times New Roman" w:hAnsi="Times New Roman" w:cs="Times New Roman"/>
                <w:b/>
                <w:bCs/>
              </w:rPr>
              <w:t> </w:t>
            </w:r>
          </w:p>
        </w:tc>
      </w:tr>
      <w:tr w:rsidR="00D61ADD" w:rsidRPr="002C1C40" w14:paraId="1E7C6210" w14:textId="77777777" w:rsidTr="00887C7A">
        <w:trPr>
          <w:trHeight w:val="397"/>
        </w:trPr>
        <w:tc>
          <w:tcPr>
            <w:tcW w:w="5000" w:type="pct"/>
            <w:gridSpan w:val="8"/>
            <w:noWrap/>
            <w:vAlign w:val="center"/>
            <w:hideMark/>
          </w:tcPr>
          <w:p w14:paraId="0161C2D7"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Други разходи финансирани чрез МВУ заеми (% от БВП)</w:t>
            </w:r>
            <w:r w:rsidRPr="005379B7">
              <w:rPr>
                <w:rFonts w:ascii="Times New Roman" w:hAnsi="Times New Roman" w:cs="Times New Roman"/>
                <w:b/>
                <w:bCs/>
                <w:sz w:val="18"/>
                <w:vertAlign w:val="superscript"/>
              </w:rPr>
              <w:t xml:space="preserve"> 1</w:t>
            </w:r>
          </w:p>
        </w:tc>
      </w:tr>
      <w:tr w:rsidR="00D61ADD" w:rsidRPr="002C1C40" w14:paraId="57274080" w14:textId="77777777" w:rsidTr="00887C7A">
        <w:trPr>
          <w:trHeight w:val="397"/>
        </w:trPr>
        <w:tc>
          <w:tcPr>
            <w:tcW w:w="2444" w:type="pct"/>
            <w:noWrap/>
            <w:hideMark/>
          </w:tcPr>
          <w:p w14:paraId="24CABCE2"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vAlign w:val="center"/>
            <w:hideMark/>
          </w:tcPr>
          <w:p w14:paraId="10BCEA81"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2020</w:t>
            </w:r>
          </w:p>
        </w:tc>
        <w:tc>
          <w:tcPr>
            <w:tcW w:w="365" w:type="pct"/>
            <w:noWrap/>
            <w:vAlign w:val="center"/>
            <w:hideMark/>
          </w:tcPr>
          <w:p w14:paraId="3A7D2221"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2021</w:t>
            </w:r>
          </w:p>
        </w:tc>
        <w:tc>
          <w:tcPr>
            <w:tcW w:w="365" w:type="pct"/>
            <w:noWrap/>
            <w:vAlign w:val="center"/>
            <w:hideMark/>
          </w:tcPr>
          <w:p w14:paraId="6D932437"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2022</w:t>
            </w:r>
          </w:p>
        </w:tc>
        <w:tc>
          <w:tcPr>
            <w:tcW w:w="365" w:type="pct"/>
            <w:noWrap/>
            <w:vAlign w:val="center"/>
            <w:hideMark/>
          </w:tcPr>
          <w:p w14:paraId="40E13A6E"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2023</w:t>
            </w:r>
          </w:p>
        </w:tc>
        <w:tc>
          <w:tcPr>
            <w:tcW w:w="365" w:type="pct"/>
            <w:noWrap/>
            <w:vAlign w:val="center"/>
            <w:hideMark/>
          </w:tcPr>
          <w:p w14:paraId="1B8B6FE5"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2024</w:t>
            </w:r>
          </w:p>
        </w:tc>
        <w:tc>
          <w:tcPr>
            <w:tcW w:w="365" w:type="pct"/>
            <w:noWrap/>
            <w:vAlign w:val="center"/>
            <w:hideMark/>
          </w:tcPr>
          <w:p w14:paraId="4F50672D"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2025</w:t>
            </w:r>
          </w:p>
        </w:tc>
        <w:tc>
          <w:tcPr>
            <w:tcW w:w="367" w:type="pct"/>
            <w:noWrap/>
            <w:vAlign w:val="center"/>
            <w:hideMark/>
          </w:tcPr>
          <w:p w14:paraId="5A931205" w14:textId="77777777" w:rsidR="00D61ADD" w:rsidRPr="005379B7" w:rsidRDefault="00D61ADD" w:rsidP="00887C7A">
            <w:pPr>
              <w:jc w:val="center"/>
              <w:rPr>
                <w:rFonts w:ascii="Times New Roman" w:hAnsi="Times New Roman" w:cs="Times New Roman"/>
                <w:b/>
                <w:bCs/>
                <w:sz w:val="18"/>
              </w:rPr>
            </w:pPr>
            <w:r w:rsidRPr="005379B7">
              <w:rPr>
                <w:rFonts w:ascii="Times New Roman" w:hAnsi="Times New Roman" w:cs="Times New Roman"/>
                <w:b/>
                <w:bCs/>
                <w:sz w:val="18"/>
              </w:rPr>
              <w:t>2026</w:t>
            </w:r>
          </w:p>
        </w:tc>
      </w:tr>
      <w:tr w:rsidR="00D61ADD" w:rsidRPr="002C1C40" w14:paraId="152FE09D" w14:textId="77777777" w:rsidTr="00887C7A">
        <w:trPr>
          <w:trHeight w:val="397"/>
        </w:trPr>
        <w:tc>
          <w:tcPr>
            <w:tcW w:w="2444" w:type="pct"/>
            <w:noWrap/>
            <w:vAlign w:val="center"/>
            <w:hideMark/>
          </w:tcPr>
          <w:p w14:paraId="17E263EA" w14:textId="77777777" w:rsidR="00D61ADD" w:rsidRPr="005379B7" w:rsidRDefault="00D61ADD" w:rsidP="00887C7A">
            <w:pPr>
              <w:rPr>
                <w:rFonts w:ascii="Times New Roman" w:hAnsi="Times New Roman" w:cs="Times New Roman"/>
                <w:b/>
                <w:bCs/>
                <w:sz w:val="18"/>
              </w:rPr>
            </w:pPr>
            <w:r w:rsidRPr="005379B7">
              <w:rPr>
                <w:rFonts w:ascii="Times New Roman" w:hAnsi="Times New Roman" w:cs="Times New Roman"/>
                <w:b/>
                <w:bCs/>
                <w:sz w:val="18"/>
              </w:rPr>
              <w:t xml:space="preserve">Спад в данъчни приходи </w:t>
            </w:r>
          </w:p>
        </w:tc>
        <w:tc>
          <w:tcPr>
            <w:tcW w:w="365" w:type="pct"/>
            <w:noWrap/>
            <w:hideMark/>
          </w:tcPr>
          <w:p w14:paraId="631FD3AF"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5708CBF2"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0784E7EC"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10C1F685"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7C1AFF1D"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32BA0195"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7" w:type="pct"/>
            <w:noWrap/>
            <w:hideMark/>
          </w:tcPr>
          <w:p w14:paraId="24DB8952"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r>
      <w:tr w:rsidR="00D61ADD" w:rsidRPr="002C1C40" w14:paraId="14D54F54" w14:textId="77777777" w:rsidTr="00887C7A">
        <w:trPr>
          <w:trHeight w:val="397"/>
        </w:trPr>
        <w:tc>
          <w:tcPr>
            <w:tcW w:w="2444" w:type="pct"/>
            <w:noWrap/>
            <w:vAlign w:val="center"/>
            <w:hideMark/>
          </w:tcPr>
          <w:p w14:paraId="68C8A7FF" w14:textId="77777777" w:rsidR="00D61ADD" w:rsidRPr="005379B7" w:rsidRDefault="00D61ADD" w:rsidP="00887C7A">
            <w:pPr>
              <w:rPr>
                <w:rFonts w:ascii="Times New Roman" w:hAnsi="Times New Roman" w:cs="Times New Roman"/>
                <w:b/>
                <w:bCs/>
                <w:sz w:val="18"/>
              </w:rPr>
            </w:pPr>
            <w:r w:rsidRPr="005379B7">
              <w:rPr>
                <w:rFonts w:ascii="Times New Roman" w:hAnsi="Times New Roman" w:cs="Times New Roman"/>
                <w:b/>
                <w:bCs/>
                <w:sz w:val="18"/>
              </w:rPr>
              <w:t xml:space="preserve">Други разходи с отражение върху приходите </w:t>
            </w:r>
          </w:p>
        </w:tc>
        <w:tc>
          <w:tcPr>
            <w:tcW w:w="365" w:type="pct"/>
            <w:noWrap/>
            <w:hideMark/>
          </w:tcPr>
          <w:p w14:paraId="74E1CDFB"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15A8090D"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6A6FFCBB"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653F76EF"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4EC2A955"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1CE6FB0C"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7" w:type="pct"/>
            <w:noWrap/>
            <w:hideMark/>
          </w:tcPr>
          <w:p w14:paraId="6439B4AD"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r>
      <w:tr w:rsidR="00D61ADD" w:rsidRPr="002C1C40" w14:paraId="3C5C83FF" w14:textId="77777777" w:rsidTr="00887C7A">
        <w:trPr>
          <w:trHeight w:val="397"/>
        </w:trPr>
        <w:tc>
          <w:tcPr>
            <w:tcW w:w="2444" w:type="pct"/>
            <w:noWrap/>
            <w:vAlign w:val="center"/>
            <w:hideMark/>
          </w:tcPr>
          <w:p w14:paraId="5651145E" w14:textId="77777777" w:rsidR="00D61ADD" w:rsidRPr="005379B7" w:rsidRDefault="00D61ADD" w:rsidP="00887C7A">
            <w:pPr>
              <w:rPr>
                <w:rFonts w:ascii="Times New Roman" w:hAnsi="Times New Roman" w:cs="Times New Roman"/>
                <w:b/>
                <w:bCs/>
                <w:sz w:val="18"/>
              </w:rPr>
            </w:pPr>
            <w:r w:rsidRPr="005379B7">
              <w:rPr>
                <w:rFonts w:ascii="Times New Roman" w:hAnsi="Times New Roman" w:cs="Times New Roman"/>
                <w:b/>
                <w:bCs/>
                <w:sz w:val="18"/>
              </w:rPr>
              <w:t xml:space="preserve">Финансови трансакции </w:t>
            </w:r>
          </w:p>
        </w:tc>
        <w:tc>
          <w:tcPr>
            <w:tcW w:w="365" w:type="pct"/>
            <w:noWrap/>
            <w:hideMark/>
          </w:tcPr>
          <w:p w14:paraId="7F874598"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0385C432"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3DC45BE6"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31066710"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5DACA8DA"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5" w:type="pct"/>
            <w:noWrap/>
            <w:hideMark/>
          </w:tcPr>
          <w:p w14:paraId="43D69D72"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c>
          <w:tcPr>
            <w:tcW w:w="367" w:type="pct"/>
            <w:noWrap/>
            <w:hideMark/>
          </w:tcPr>
          <w:p w14:paraId="1B62E79F" w14:textId="77777777" w:rsidR="00D61ADD" w:rsidRPr="005379B7" w:rsidRDefault="00D61ADD" w:rsidP="00777E7B">
            <w:pPr>
              <w:rPr>
                <w:rFonts w:ascii="Times New Roman" w:hAnsi="Times New Roman" w:cs="Times New Roman"/>
                <w:i/>
                <w:iCs/>
                <w:sz w:val="18"/>
              </w:rPr>
            </w:pPr>
            <w:r w:rsidRPr="005379B7">
              <w:rPr>
                <w:rFonts w:ascii="Times New Roman" w:hAnsi="Times New Roman" w:cs="Times New Roman"/>
                <w:i/>
                <w:iCs/>
                <w:sz w:val="18"/>
              </w:rPr>
              <w:t> </w:t>
            </w:r>
          </w:p>
        </w:tc>
      </w:tr>
    </w:tbl>
    <w:p w14:paraId="2C86F1DB" w14:textId="77777777" w:rsidR="00887C7A" w:rsidRPr="005379B7" w:rsidRDefault="00887C7A" w:rsidP="00887C7A">
      <w:pPr>
        <w:spacing w:before="120"/>
        <w:rPr>
          <w:sz w:val="18"/>
        </w:rPr>
      </w:pPr>
      <w:r w:rsidRPr="005379B7">
        <w:rPr>
          <w:sz w:val="18"/>
          <w:vertAlign w:val="superscript"/>
        </w:rPr>
        <w:t>1</w:t>
      </w:r>
      <w:r w:rsidRPr="005379B7">
        <w:rPr>
          <w:sz w:val="18"/>
        </w:rPr>
        <w:t xml:space="preserve"> Включва разходи, които не се отчитат като такива в националните сметки.</w:t>
      </w:r>
    </w:p>
    <w:p w14:paraId="2388BA2C" w14:textId="236CEB08" w:rsidR="00887C7A" w:rsidRPr="005379B7" w:rsidRDefault="00887C7A" w:rsidP="00777E7B">
      <w:pPr>
        <w:rPr>
          <w:sz w:val="18"/>
        </w:rPr>
      </w:pPr>
      <w:r w:rsidRPr="005379B7">
        <w:rPr>
          <w:sz w:val="18"/>
        </w:rPr>
        <w:t>  </w:t>
      </w:r>
      <w:r w:rsidRPr="005379B7">
        <w:rPr>
          <w:b/>
          <w:bCs/>
          <w:sz w:val="18"/>
        </w:rPr>
        <w:t>Удебеленият шрифт обозначава задължителната информация.</w:t>
      </w:r>
    </w:p>
    <w:p w14:paraId="4BFB542D" w14:textId="77777777" w:rsidR="00D61ADD" w:rsidRPr="002C1C40" w:rsidRDefault="00D61ADD" w:rsidP="00D61ADD">
      <w:pPr>
        <w:ind w:right="684"/>
        <w:jc w:val="left"/>
        <w:rPr>
          <w:i/>
          <w:szCs w:val="24"/>
        </w:rPr>
      </w:pPr>
    </w:p>
    <w:p w14:paraId="03D90EB4" w14:textId="77777777" w:rsidR="00D61ADD" w:rsidRPr="00483467" w:rsidRDefault="00D61ADD" w:rsidP="00D61ADD">
      <w:pPr>
        <w:pStyle w:val="Header"/>
        <w:rPr>
          <w:rFonts w:ascii="Times New Roman" w:hAnsi="Times New Roman"/>
        </w:rPr>
      </w:pPr>
    </w:p>
    <w:p w14:paraId="30DBD51F" w14:textId="4DCC64F0" w:rsidR="00697F78" w:rsidRPr="006A12F4" w:rsidRDefault="00E46E3C" w:rsidP="00E46E3C">
      <w:pPr>
        <w:jc w:val="right"/>
        <w:rPr>
          <w:rFonts w:asciiTheme="minorHAnsi" w:hAnsiTheme="minorHAnsi" w:cstheme="minorHAnsi"/>
          <w:color w:val="0D78CA" w:themeColor="background2" w:themeShade="80"/>
        </w:rPr>
      </w:pPr>
      <w:r w:rsidRPr="006A12F4">
        <w:rPr>
          <w:rFonts w:asciiTheme="minorHAnsi" w:hAnsiTheme="minorHAnsi" w:cstheme="minorHAnsi"/>
          <w:color w:val="0D78CA" w:themeColor="background2" w:themeShade="80"/>
        </w:rPr>
        <w:t>■</w:t>
      </w:r>
    </w:p>
    <w:sectPr w:rsidR="00697F78" w:rsidRPr="006A12F4" w:rsidSect="009C5BD7">
      <w:headerReference w:type="default" r:id="rId64"/>
      <w:pgSz w:w="11906" w:h="16838" w:code="9"/>
      <w:pgMar w:top="1418" w:right="1418" w:bottom="851" w:left="1418"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5AD9E4" w14:textId="77777777" w:rsidR="00B2222A" w:rsidRDefault="00B2222A" w:rsidP="00D359FF">
      <w:pPr>
        <w:spacing w:after="0"/>
      </w:pPr>
      <w:r>
        <w:separator/>
      </w:r>
    </w:p>
    <w:p w14:paraId="4865D014" w14:textId="77777777" w:rsidR="00B2222A" w:rsidRDefault="00B2222A"/>
  </w:endnote>
  <w:endnote w:type="continuationSeparator" w:id="0">
    <w:p w14:paraId="7BF38934" w14:textId="77777777" w:rsidR="00B2222A" w:rsidRDefault="00B2222A" w:rsidP="00D359FF">
      <w:pPr>
        <w:spacing w:after="0"/>
      </w:pPr>
      <w:r>
        <w:continuationSeparator/>
      </w:r>
    </w:p>
    <w:p w14:paraId="48E37FC2" w14:textId="77777777" w:rsidR="00B2222A" w:rsidRDefault="00B2222A"/>
  </w:endnote>
  <w:endnote w:type="continuationNotice" w:id="1">
    <w:p w14:paraId="23D71B6D" w14:textId="77777777" w:rsidR="00B2222A" w:rsidRDefault="00B2222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S Mincho">
    <w:altName w:val="Yu Gothic UI"/>
    <w:panose1 w:val="02020609040205080304"/>
    <w:charset w:val="80"/>
    <w:family w:val="roman"/>
    <w:pitch w:val="fixed"/>
    <w:sig w:usb0="00000001"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1" w:usb1="00000000" w:usb2="00000000" w:usb3="00000000" w:csb0="00000005" w:csb1="00000000"/>
  </w:font>
  <w:font w:name="Consolas">
    <w:panose1 w:val="020B0609020204030204"/>
    <w:charset w:val="CC"/>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7581A7" w14:textId="77777777" w:rsidR="00B2222A" w:rsidRDefault="00B2222A" w:rsidP="00D829F1">
    <w:pPr>
      <w:pStyle w:val="Footer"/>
      <w:ind w:left="-850"/>
      <w:jc w:val="lef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E43E6F" w14:textId="77777777" w:rsidR="00B2222A" w:rsidRDefault="00B2222A" w:rsidP="00D829F1">
    <w:pPr>
      <w:pStyle w:val="Footer"/>
      <w:ind w:right="-850"/>
      <w:jc w:val="righ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075926" w14:textId="77777777" w:rsidR="00B2222A" w:rsidRPr="001745DE" w:rsidRDefault="00B2222A" w:rsidP="001745DE">
    <w:pPr>
      <w:pStyle w:val="Footer"/>
      <w:rPr>
        <w:rStyle w:val="PageNumber"/>
        <w:rFonts w:ascii="Verdana" w:hAnsi="Verdana"/>
        <w:color w:val="404040" w:themeColor="text1" w:themeTint="BF"/>
        <w:sz w:val="18"/>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E3215" w14:textId="77777777" w:rsidR="00B2222A" w:rsidRPr="001745DE" w:rsidRDefault="00B2222A" w:rsidP="001745DE">
    <w:pPr>
      <w:pStyle w:val="Footer"/>
      <w:rPr>
        <w:rStyle w:val="PageNumber"/>
        <w:rFonts w:ascii="Verdana" w:hAnsi="Verdana"/>
        <w:color w:val="404040" w:themeColor="text1" w:themeTint="BF"/>
        <w:sz w:val="18"/>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B4BFCA" w14:textId="33E46F22" w:rsidR="00B2222A" w:rsidRPr="009A3730" w:rsidRDefault="00B2222A" w:rsidP="00925CEB">
    <w:pPr>
      <w:pStyle w:val="Footer"/>
      <w:spacing w:before="240"/>
      <w:ind w:left="0"/>
      <w:jc w:val="left"/>
      <w:rPr>
        <w:color w:val="6768AB"/>
        <w:sz w:val="20"/>
        <w:szCs w:val="20"/>
      </w:rPr>
    </w:pPr>
    <w:r w:rsidRPr="009A3730">
      <w:rPr>
        <w:color w:val="6768AB"/>
        <w:sz w:val="20"/>
        <w:szCs w:val="20"/>
      </w:rPr>
      <w:fldChar w:fldCharType="begin"/>
    </w:r>
    <w:r w:rsidRPr="009A3730">
      <w:rPr>
        <w:color w:val="6768AB"/>
        <w:sz w:val="20"/>
        <w:szCs w:val="20"/>
      </w:rPr>
      <w:instrText>PAGE   \* MERGEFORMAT</w:instrText>
    </w:r>
    <w:r w:rsidRPr="009A3730">
      <w:rPr>
        <w:color w:val="6768AB"/>
        <w:sz w:val="20"/>
        <w:szCs w:val="20"/>
      </w:rPr>
      <w:fldChar w:fldCharType="separate"/>
    </w:r>
    <w:r w:rsidR="00031455">
      <w:rPr>
        <w:noProof/>
        <w:color w:val="6768AB"/>
        <w:sz w:val="20"/>
        <w:szCs w:val="20"/>
      </w:rPr>
      <w:t>44</w:t>
    </w:r>
    <w:r w:rsidRPr="009A3730">
      <w:rPr>
        <w:color w:val="6768AB"/>
        <w:sz w:val="20"/>
        <w:szCs w:val="20"/>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7E0D79" w14:textId="6A98FE62" w:rsidR="00B2222A" w:rsidRPr="00E8359A" w:rsidRDefault="00B2222A" w:rsidP="00925CEB">
    <w:pPr>
      <w:pStyle w:val="Footer"/>
      <w:spacing w:before="240"/>
      <w:ind w:left="0" w:right="0"/>
      <w:jc w:val="right"/>
      <w:rPr>
        <w:rStyle w:val="PageNumber"/>
        <w:color w:val="6768AB"/>
      </w:rPr>
    </w:pPr>
    <w:r w:rsidRPr="00E8359A">
      <w:rPr>
        <w:rStyle w:val="PageNumber"/>
        <w:color w:val="6768AB"/>
      </w:rPr>
      <w:fldChar w:fldCharType="begin"/>
    </w:r>
    <w:r w:rsidRPr="00E8359A">
      <w:rPr>
        <w:rStyle w:val="PageNumber"/>
        <w:color w:val="6768AB"/>
      </w:rPr>
      <w:instrText>PAGE   \* MERGEFORMAT</w:instrText>
    </w:r>
    <w:r w:rsidRPr="00E8359A">
      <w:rPr>
        <w:rStyle w:val="PageNumber"/>
        <w:color w:val="6768AB"/>
      </w:rPr>
      <w:fldChar w:fldCharType="separate"/>
    </w:r>
    <w:r w:rsidR="00031455">
      <w:rPr>
        <w:rStyle w:val="PageNumber"/>
        <w:noProof/>
        <w:color w:val="6768AB"/>
      </w:rPr>
      <w:t>43</w:t>
    </w:r>
    <w:r w:rsidRPr="00E8359A">
      <w:rPr>
        <w:rStyle w:val="PageNumber"/>
        <w:color w:val="6768AB"/>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197909" w14:textId="77777777" w:rsidR="00B2222A" w:rsidRDefault="00B2222A" w:rsidP="0072763F">
      <w:pPr>
        <w:spacing w:before="120" w:after="0"/>
      </w:pPr>
      <w:r>
        <w:separator/>
      </w:r>
    </w:p>
  </w:footnote>
  <w:footnote w:type="continuationSeparator" w:id="0">
    <w:p w14:paraId="3E7B03EB" w14:textId="77777777" w:rsidR="00B2222A" w:rsidRDefault="00B2222A" w:rsidP="00D359FF">
      <w:pPr>
        <w:spacing w:after="0"/>
      </w:pPr>
      <w:r>
        <w:continuationSeparator/>
      </w:r>
    </w:p>
  </w:footnote>
  <w:footnote w:type="continuationNotice" w:id="1">
    <w:p w14:paraId="3962025C" w14:textId="77777777" w:rsidR="00B2222A" w:rsidRDefault="00B2222A">
      <w:pPr>
        <w:spacing w:after="0"/>
      </w:pPr>
    </w:p>
  </w:footnote>
  <w:footnote w:id="2">
    <w:p w14:paraId="230A5E58" w14:textId="77777777" w:rsidR="00B2222A" w:rsidRDefault="00B2222A" w:rsidP="00007B25">
      <w:pPr>
        <w:pStyle w:val="FootnoteText"/>
      </w:pPr>
      <w:r w:rsidRPr="00637F00">
        <w:rPr>
          <w:rStyle w:val="FootnoteReference"/>
        </w:rPr>
        <w:footnoteRef/>
      </w:r>
      <w:r>
        <w:t xml:space="preserve"> </w:t>
      </w:r>
      <w:r>
        <w:tab/>
      </w:r>
      <w:hyperlink r:id="rId1" w:history="1">
        <w:r w:rsidRPr="009E6EB9">
          <w:rPr>
            <w:rStyle w:val="Hyperlink"/>
          </w:rPr>
          <w:t>http://data.consilium.europa.eu/doc/document/ST-9344-2017-INIT/en/pdf</w:t>
        </w:r>
      </w:hyperlink>
    </w:p>
  </w:footnote>
  <w:footnote w:id="3">
    <w:p w14:paraId="2ADC260E" w14:textId="4F8AC514" w:rsidR="00B2222A" w:rsidRPr="00EA0259" w:rsidRDefault="00B2222A" w:rsidP="00007B25">
      <w:pPr>
        <w:pStyle w:val="FootnoteText"/>
        <w:rPr>
          <w:lang w:val="en-US"/>
        </w:rPr>
      </w:pPr>
      <w:r w:rsidRPr="00637F00">
        <w:rPr>
          <w:rStyle w:val="FootnoteReference"/>
        </w:rPr>
        <w:footnoteRef/>
      </w:r>
      <w:r>
        <w:t xml:space="preserve"> </w:t>
      </w:r>
      <w:r>
        <w:tab/>
      </w:r>
      <w:hyperlink r:id="rId2" w:history="1">
        <w:r w:rsidRPr="004B6C3F">
          <w:rPr>
            <w:rStyle w:val="Hyperlink"/>
          </w:rPr>
          <w:t>https://eur-lex.europa.eu/legal-content/BG/TXT/HTML/?uri=CELEX:32022H0901(02)&amp;qid=1681213087562&amp;from=EN</w:t>
        </w:r>
      </w:hyperlink>
      <w:r>
        <w:rPr>
          <w:lang w:val="en-US"/>
        </w:rPr>
        <w:t xml:space="preserve"> </w:t>
      </w:r>
    </w:p>
    <w:p w14:paraId="3658B8E6" w14:textId="71BF3CCC" w:rsidR="00B2222A" w:rsidRDefault="00B2222A" w:rsidP="00007B25">
      <w:pPr>
        <w:pStyle w:val="FootnoteText"/>
      </w:pPr>
    </w:p>
  </w:footnote>
  <w:footnote w:id="4">
    <w:p w14:paraId="1F57BF01" w14:textId="530006C0" w:rsidR="00B2222A" w:rsidRPr="00B552D5" w:rsidRDefault="00B2222A" w:rsidP="00007B25">
      <w:pPr>
        <w:pStyle w:val="FootnoteText"/>
      </w:pPr>
      <w:r w:rsidRPr="00637F00">
        <w:rPr>
          <w:rStyle w:val="FootnoteReference"/>
        </w:rPr>
        <w:footnoteRef/>
      </w:r>
      <w:r w:rsidRPr="00637F00">
        <w:rPr>
          <w:vertAlign w:val="superscript"/>
        </w:rPr>
        <w:t xml:space="preserve"> </w:t>
      </w:r>
      <w:r>
        <w:tab/>
      </w:r>
      <w:r w:rsidRPr="00B552D5">
        <w:t>Цикличното развитие на икономиката се измерва с индикатора отклонение от потенциала. Той се изчислява като разлика между фактическия и потенциалния БВП в съотношение към потенциалния. Потенциалният БВП за българската икономика е изчислен с помощта на производствена функция по методология, разработена от ЕК: Havik, K., &amp; Kieran Mc Morrow, K., &amp; Fabrice Orlandi, F., Christophe Planas, C., Rafal Raciborski, R., Werner Roeger, W., Alessandro Rossi, A., Anna Thum-Thysen, A. &amp; Valerie Vandermeulen, V.,"The Production Function Methodology for Calculating Potential Growth Rates &amp; Output Gaps," European Economy – Economic Papers 535, 2014.</w:t>
      </w:r>
    </w:p>
  </w:footnote>
  <w:footnote w:id="5">
    <w:p w14:paraId="0462A522" w14:textId="77DA2F4E" w:rsidR="00B2222A" w:rsidRPr="00B552D5" w:rsidRDefault="00B2222A" w:rsidP="00007B25">
      <w:pPr>
        <w:pStyle w:val="FootnoteText"/>
      </w:pPr>
      <w:r w:rsidRPr="00FF6C6B">
        <w:rPr>
          <w:rStyle w:val="FootnoteReference"/>
        </w:rPr>
        <w:footnoteRef/>
      </w:r>
      <w:r w:rsidRPr="00B552D5">
        <w:t xml:space="preserve"> </w:t>
      </w:r>
      <w:r>
        <w:tab/>
      </w:r>
      <w:r w:rsidRPr="00B552D5">
        <w:t>По данни от краткосрочната и годишната статистика на заетостта и разходите за труд.</w:t>
      </w:r>
    </w:p>
  </w:footnote>
  <w:footnote w:id="6">
    <w:p w14:paraId="5765AB25" w14:textId="0592E767" w:rsidR="00B2222A" w:rsidRPr="00B552D5" w:rsidRDefault="00B2222A" w:rsidP="00007B25">
      <w:pPr>
        <w:pStyle w:val="FootnoteText"/>
      </w:pPr>
      <w:r w:rsidRPr="00FF6C6B">
        <w:rPr>
          <w:rStyle w:val="FootnoteReference"/>
        </w:rPr>
        <w:footnoteRef/>
      </w:r>
      <w:r w:rsidRPr="00B552D5">
        <w:t xml:space="preserve"> </w:t>
      </w:r>
      <w:r>
        <w:tab/>
      </w:r>
      <w:r w:rsidRPr="00B552D5">
        <w:t>При изчисляване на производителността на труда в сектор услуги от БДС не е изваден условно начисленият наем на лицата, живеещи в собствени жилища.</w:t>
      </w:r>
    </w:p>
  </w:footnote>
  <w:footnote w:id="7">
    <w:p w14:paraId="5B817394" w14:textId="5590FD70" w:rsidR="00B2222A" w:rsidRPr="00204472" w:rsidRDefault="00B2222A" w:rsidP="00007B25">
      <w:pPr>
        <w:pStyle w:val="FootnoteText"/>
        <w:rPr>
          <w:lang w:val="en-US"/>
        </w:rPr>
      </w:pPr>
      <w:r w:rsidRPr="005C4B58">
        <w:rPr>
          <w:rStyle w:val="FootnoteReference"/>
        </w:rPr>
        <w:footnoteRef/>
      </w:r>
      <w:r>
        <w:t xml:space="preserve"> </w:t>
      </w:r>
      <w:r>
        <w:tab/>
      </w:r>
      <w:r w:rsidRPr="00204472">
        <w:t>Базисната инфлация включва услуги и неенергийни промишлени стоки.</w:t>
      </w:r>
    </w:p>
  </w:footnote>
  <w:footnote w:id="8">
    <w:p w14:paraId="7453100B" w14:textId="79DCEDB5" w:rsidR="00B2222A" w:rsidRDefault="00B2222A" w:rsidP="00007B25">
      <w:pPr>
        <w:pStyle w:val="FootnoteText"/>
      </w:pPr>
      <w:r w:rsidRPr="00DD04BC">
        <w:rPr>
          <w:rStyle w:val="FootnoteReference"/>
        </w:rPr>
        <w:footnoteRef/>
      </w:r>
      <w:r>
        <w:t xml:space="preserve"> </w:t>
      </w:r>
      <w:r>
        <w:tab/>
        <w:t>Анализът за Външен сектор е разработен със статистически данни за Платежния баланс (аналитично представяне), с изключение на графиките и данните, за които изрично е посочен различен източник.</w:t>
      </w:r>
    </w:p>
  </w:footnote>
  <w:footnote w:id="9">
    <w:p w14:paraId="47E1C483" w14:textId="77777777" w:rsidR="00B2222A" w:rsidRDefault="00B2222A" w:rsidP="00007B25">
      <w:pPr>
        <w:pStyle w:val="FootnoteText"/>
      </w:pPr>
      <w:r w:rsidRPr="002A6765">
        <w:rPr>
          <w:rStyle w:val="FootnoteReference"/>
        </w:rPr>
        <w:footnoteRef/>
      </w:r>
      <w:r>
        <w:t xml:space="preserve"> </w:t>
      </w:r>
      <w:r>
        <w:tab/>
        <w:t>Аналитично представяне на платежния баланс</w:t>
      </w:r>
    </w:p>
  </w:footnote>
  <w:footnote w:id="10">
    <w:p w14:paraId="1554D491" w14:textId="6A7A8CC4" w:rsidR="00B2222A" w:rsidRDefault="00B2222A" w:rsidP="00007B25">
      <w:pPr>
        <w:pStyle w:val="FootnoteText"/>
        <w:rPr>
          <w:lang w:val="en-US" w:eastAsia="x-none"/>
        </w:rPr>
      </w:pPr>
      <w:r w:rsidRPr="006F79F8">
        <w:rPr>
          <w:rStyle w:val="FootnoteReference"/>
          <w:szCs w:val="18"/>
        </w:rPr>
        <w:footnoteRef/>
      </w:r>
      <w:r>
        <w:t xml:space="preserve">    </w:t>
      </w:r>
      <w:r>
        <w:tab/>
        <w:t>Пазарната стойност на международните валутни резерви включва измененията от трансакции, валутнокурсови разлики и ценови преоценки</w:t>
      </w:r>
      <w:r>
        <w:rPr>
          <w:lang w:val="en-US"/>
        </w:rPr>
        <w:t>.</w:t>
      </w:r>
    </w:p>
  </w:footnote>
  <w:footnote w:id="11">
    <w:p w14:paraId="726B89D3" w14:textId="3A029326" w:rsidR="00B2222A" w:rsidRPr="001E2E3D" w:rsidRDefault="00B2222A" w:rsidP="00007B25">
      <w:pPr>
        <w:pStyle w:val="FootnoteText"/>
      </w:pPr>
      <w:r w:rsidRPr="001E2E3D">
        <w:rPr>
          <w:rStyle w:val="FootnoteReference"/>
        </w:rPr>
        <w:footnoteRef/>
      </w:r>
      <w:r w:rsidRPr="001E2E3D">
        <w:t xml:space="preserve"> </w:t>
      </w:r>
      <w:r w:rsidRPr="001E2E3D">
        <w:tab/>
        <w:t>Термините „нови“ депозити и „нови“ кредити се отнасят за статистическата категория „нов бизнес“.</w:t>
      </w:r>
    </w:p>
  </w:footnote>
  <w:footnote w:id="12">
    <w:p w14:paraId="22936AFA" w14:textId="6B295554" w:rsidR="00B2222A" w:rsidRPr="001E2E3D" w:rsidRDefault="00B2222A" w:rsidP="00007B25">
      <w:pPr>
        <w:pStyle w:val="FootnoteText"/>
      </w:pPr>
      <w:r w:rsidRPr="001E2E3D">
        <w:rPr>
          <w:rStyle w:val="FootnoteReference"/>
        </w:rPr>
        <w:footnoteRef/>
      </w:r>
      <w:r w:rsidRPr="001E2E3D">
        <w:t xml:space="preserve"> </w:t>
      </w:r>
      <w:r w:rsidRPr="001E2E3D">
        <w:tab/>
        <w:t>Оценката за състоянието на банковата система е въз основа на данни от надзорните отчети на индивидуална база към края на декември 2021 г. и декември 2022 г., получени до 21 февруари 2023 г.</w:t>
      </w:r>
    </w:p>
  </w:footnote>
  <w:footnote w:id="13">
    <w:p w14:paraId="0C7BAE19" w14:textId="29353E91" w:rsidR="00B2222A" w:rsidRPr="001E2E3D" w:rsidRDefault="00B2222A" w:rsidP="00007B25">
      <w:pPr>
        <w:pStyle w:val="FootnoteText"/>
      </w:pPr>
      <w:r w:rsidRPr="001E2E3D">
        <w:rPr>
          <w:rStyle w:val="FootnoteReference"/>
        </w:rPr>
        <w:footnoteRef/>
      </w:r>
      <w:r w:rsidRPr="001E2E3D">
        <w:t xml:space="preserve"> </w:t>
      </w:r>
      <w:r w:rsidRPr="001E2E3D">
        <w:tab/>
        <w:t>Експозициите са определени въз основа на най-широката дефиниция по методологията на Европейския банков орган (ЕБО), която включва както брутните кредити и аванси, заедно с парични салда при централни банки и други депозити на виждане, така и дълговите ценни книжа, различни от „държани за търгуване“.</w:t>
      </w:r>
    </w:p>
  </w:footnote>
  <w:footnote w:id="14">
    <w:p w14:paraId="7FD2AE2C" w14:textId="143A391C" w:rsidR="00B2222A" w:rsidRPr="001E2E3D" w:rsidRDefault="00B2222A" w:rsidP="00007B25">
      <w:pPr>
        <w:pStyle w:val="FootnoteText"/>
      </w:pPr>
      <w:r w:rsidRPr="001E2E3D">
        <w:rPr>
          <w:rStyle w:val="FootnoteReference"/>
        </w:rPr>
        <w:footnoteRef/>
      </w:r>
      <w:r w:rsidRPr="001E2E3D">
        <w:t xml:space="preserve"> </w:t>
      </w:r>
      <w:r w:rsidRPr="001E2E3D">
        <w:tab/>
        <w:t>Промените са съгласно Регламент за изпълнение (ЕС) 2020/429 на Комисията от 14 февруари 2020 г. за изменение на Регламент за изпълнение (ЕС) № 680/2014 за предоставянето на информация от институциите на надзорните органи. Съгласно измененията, за разлика от периода юни 2015 г. – март 2020 г., „парични салда при централни банки и други депозити на виждане“ не следва да се включват в обхвата на брутните кредити и аванси, а се докладват отделно.</w:t>
      </w:r>
    </w:p>
  </w:footnote>
  <w:footnote w:id="15">
    <w:p w14:paraId="5070DDEC" w14:textId="533B013B" w:rsidR="00B2222A" w:rsidRPr="001E2E3D" w:rsidRDefault="00B2222A" w:rsidP="00007B25">
      <w:pPr>
        <w:pStyle w:val="FootnoteText"/>
      </w:pPr>
      <w:r w:rsidRPr="001E2E3D">
        <w:rPr>
          <w:rStyle w:val="FootnoteReference"/>
        </w:rPr>
        <w:footnoteRef/>
      </w:r>
      <w:r w:rsidRPr="001E2E3D">
        <w:t xml:space="preserve"> </w:t>
      </w:r>
      <w:r>
        <w:tab/>
      </w:r>
      <w:r w:rsidRPr="001E2E3D">
        <w:t>Индикаторът, използван от ЕБО за дял на брутните необслужвани кредити и аванси, се базира на широка дефиниция, обхващаща всички контрагенти по кредити и аванси, включително „парични салда при централни банки“ и „други депозити на виждане“.</w:t>
      </w:r>
    </w:p>
  </w:footnote>
  <w:footnote w:id="16">
    <w:p w14:paraId="14FE7E07" w14:textId="526E5321" w:rsidR="00B2222A" w:rsidRPr="001E2E3D" w:rsidRDefault="00B2222A" w:rsidP="00007B25">
      <w:pPr>
        <w:pStyle w:val="FootnoteText"/>
      </w:pPr>
      <w:r w:rsidRPr="001E2E3D">
        <w:rPr>
          <w:rStyle w:val="FootnoteReference"/>
        </w:rPr>
        <w:footnoteRef/>
      </w:r>
      <w:r w:rsidRPr="001E2E3D">
        <w:rPr>
          <w:rStyle w:val="FootnoteReference"/>
        </w:rPr>
        <w:t xml:space="preserve"> </w:t>
      </w:r>
      <w:r>
        <w:rPr>
          <w:rStyle w:val="FootnoteReference"/>
        </w:rPr>
        <w:tab/>
      </w:r>
      <w:r w:rsidRPr="001E2E3D">
        <w:t>Нетната стойност на необслужваните кредити и аванси е изчислена по методиката на ЕБО, като брутният им размер е намален с натрупаната за тях обезценка. При изчисляването на дела на нетните необслужвани кредити и аванси се използва както тяхната нетна стойност, така и тази на общите кредити и аванси.</w:t>
      </w:r>
    </w:p>
  </w:footnote>
  <w:footnote w:id="17">
    <w:p w14:paraId="02359D7A" w14:textId="43768CDB" w:rsidR="00B2222A" w:rsidRPr="001E2E3D" w:rsidRDefault="00B2222A" w:rsidP="00007B25">
      <w:pPr>
        <w:pStyle w:val="FootnoteText"/>
      </w:pPr>
      <w:r w:rsidRPr="001E2E3D">
        <w:rPr>
          <w:rStyle w:val="FootnoteReference"/>
        </w:rPr>
        <w:footnoteRef/>
      </w:r>
      <w:r w:rsidRPr="001E2E3D">
        <w:t xml:space="preserve"> </w:t>
      </w:r>
      <w:r>
        <w:tab/>
      </w:r>
      <w:r w:rsidRPr="001E2E3D">
        <w:t xml:space="preserve">Повече информация за актуалните нива на капиталовите буфери се намира на интернет страницата на БНБ: </w:t>
      </w:r>
      <w:hyperlink r:id="rId3" w:history="1">
        <w:r w:rsidRPr="001E2E3D">
          <w:rPr>
            <w:rStyle w:val="Hyperlink"/>
            <w:color w:val="262626" w:themeColor="text1" w:themeTint="D9"/>
            <w:u w:val="none"/>
          </w:rPr>
          <w:t>http://www.bnb.bg/BankSupervision/BSCapitalBuffers/index.htm</w:t>
        </w:r>
      </w:hyperlink>
    </w:p>
  </w:footnote>
  <w:footnote w:id="18">
    <w:p w14:paraId="5DE6F702" w14:textId="2210CEE5" w:rsidR="00B2222A" w:rsidRPr="001E2E3D" w:rsidRDefault="00B2222A" w:rsidP="00007B25">
      <w:pPr>
        <w:pStyle w:val="FootnoteText"/>
      </w:pPr>
      <w:r w:rsidRPr="001E2E3D">
        <w:rPr>
          <w:rStyle w:val="FootnoteReference"/>
        </w:rPr>
        <w:footnoteRef/>
      </w:r>
      <w:r w:rsidRPr="001E2E3D">
        <w:t xml:space="preserve"> </w:t>
      </w:r>
      <w:r>
        <w:tab/>
      </w:r>
      <w:r w:rsidRPr="001E2E3D">
        <w:t>„Комбинираното изискване на буфер“ е съгласно определението в чл. 2, ал.3 на Наредба № 8 на БНБ от 27 април 2021  г. за капиталовите буфери на банките.</w:t>
      </w:r>
    </w:p>
  </w:footnote>
  <w:footnote w:id="19">
    <w:p w14:paraId="009EEF95" w14:textId="5640AE13" w:rsidR="00B2222A" w:rsidRDefault="00B2222A" w:rsidP="00007B25">
      <w:pPr>
        <w:pStyle w:val="FootnoteText"/>
      </w:pPr>
      <w:r>
        <w:rPr>
          <w:rStyle w:val="FootnoteReference"/>
          <w:szCs w:val="18"/>
        </w:rPr>
        <w:footnoteRef/>
      </w:r>
      <w:r>
        <w:t xml:space="preserve"> </w:t>
      </w:r>
      <w:r>
        <w:tab/>
        <w:t>Регулаторното изискване за съотношение на ливъридж (при напълно въведено определение на капитала от първи ред) е въведено съгласно Регламент (ЕС) 2019/876 на Европейския парламент и на Съвета от 20 май 2019 г. за изменение на Регламент (ЕС) №575/2013 и се прилага считано от 28 юни 2021  г. Нивото от 3% е дефинирано съобразно стойността в регулаторната рамка Базел III.</w:t>
      </w:r>
    </w:p>
  </w:footnote>
  <w:footnote w:id="20">
    <w:p w14:paraId="6C59E82A" w14:textId="70F8C403" w:rsidR="00B2222A" w:rsidRDefault="00B2222A" w:rsidP="00007B25">
      <w:pPr>
        <w:pStyle w:val="FootnoteText"/>
        <w:rPr>
          <w:lang w:val="en-US"/>
        </w:rPr>
      </w:pPr>
      <w:r>
        <w:rPr>
          <w:rStyle w:val="FootnoteReference"/>
          <w:szCs w:val="18"/>
        </w:rPr>
        <w:footnoteRef/>
      </w:r>
      <w:r>
        <w:t xml:space="preserve"> </w:t>
      </w:r>
      <w:r>
        <w:tab/>
        <w:t>Отношението на ликвидно покритие за банковата система се изчислява като съотношение между ликвидния буфер и нетните изходящи ликвидни потоци.</w:t>
      </w:r>
    </w:p>
  </w:footnote>
  <w:footnote w:id="21">
    <w:p w14:paraId="502C8693" w14:textId="0FD90F89" w:rsidR="00B2222A" w:rsidRDefault="00B2222A" w:rsidP="00007B25">
      <w:pPr>
        <w:pStyle w:val="FootnoteText"/>
        <w:rPr>
          <w:rFonts w:ascii="Calibri" w:hAnsi="Calibri"/>
        </w:rPr>
      </w:pPr>
      <w:r>
        <w:rPr>
          <w:rStyle w:val="FootnoteReference"/>
          <w:szCs w:val="18"/>
        </w:rPr>
        <w:footnoteRef/>
      </w:r>
      <w:r>
        <w:t xml:space="preserve">  </w:t>
      </w:r>
      <w:r>
        <w:tab/>
        <w:t xml:space="preserve">Регулаторното изискване е въведено съгласно Регламент (ЕС) 2019/876 на Европейския парламент и на Съвета от 20 май 2019 г. за изменение на Регламент (ЕС) № 575/2013 и се прилага считано от 28 юни 2021  г. </w:t>
      </w:r>
    </w:p>
  </w:footnote>
  <w:footnote w:id="22">
    <w:p w14:paraId="7B39F6BE" w14:textId="01F6C895" w:rsidR="00B2222A" w:rsidRPr="002A3956" w:rsidRDefault="00B2222A" w:rsidP="00007B25">
      <w:pPr>
        <w:pStyle w:val="FootnoteText"/>
        <w:rPr>
          <w:lang w:val="en-US"/>
        </w:rPr>
      </w:pPr>
      <w:r w:rsidRPr="00007B25">
        <w:rPr>
          <w:rStyle w:val="FootnoteReference"/>
        </w:rPr>
        <w:footnoteRef/>
      </w:r>
      <w:r>
        <w:t xml:space="preserve"> </w:t>
      </w:r>
      <w:r>
        <w:tab/>
      </w:r>
      <w:r w:rsidRPr="002A3956">
        <w:t>European Commission (2022)</w:t>
      </w:r>
      <w:r w:rsidRPr="002A3956">
        <w:rPr>
          <w:lang w:val="en-US"/>
        </w:rPr>
        <w:t>. “Fiscal Sustainability Report 20</w:t>
      </w:r>
      <w:r w:rsidRPr="002A3956">
        <w:t>21</w:t>
      </w:r>
      <w:r w:rsidRPr="002A3956">
        <w:rPr>
          <w:lang w:val="en-US"/>
        </w:rPr>
        <w:t>-Vol1”.</w:t>
      </w:r>
      <w:r w:rsidRPr="002A3956">
        <w:t xml:space="preserve"> </w:t>
      </w:r>
      <w:r w:rsidRPr="002A3956">
        <w:rPr>
          <w:lang w:val="en-US"/>
        </w:rPr>
        <w:t xml:space="preserve">Institutional Paper 171. - </w:t>
      </w:r>
      <w:r w:rsidRPr="002A3956">
        <w:t xml:space="preserve">ANNEX A5 Fiscal sustainability </w:t>
      </w:r>
      <w:r w:rsidRPr="002A3956">
        <w:rPr>
          <w:lang w:val="en-US"/>
        </w:rPr>
        <w:t>indicators</w:t>
      </w:r>
    </w:p>
  </w:footnote>
  <w:footnote w:id="23">
    <w:p w14:paraId="79BBD8DF" w14:textId="08ED4C50" w:rsidR="00B2222A" w:rsidRDefault="00B2222A" w:rsidP="00007B25">
      <w:pPr>
        <w:pStyle w:val="FootnoteText"/>
      </w:pPr>
      <w:r w:rsidRPr="00007B25">
        <w:rPr>
          <w:rStyle w:val="FootnoteReference"/>
          <w:szCs w:val="18"/>
        </w:rPr>
        <w:footnoteRef/>
      </w:r>
      <w:r w:rsidRPr="002A3956">
        <w:t xml:space="preserve"> </w:t>
      </w:r>
      <w:r>
        <w:tab/>
      </w:r>
      <w:r w:rsidRPr="002A3956">
        <w:t>European Commission (2022)</w:t>
      </w:r>
      <w:r w:rsidRPr="002A3956">
        <w:rPr>
          <w:lang w:val="en-US"/>
        </w:rPr>
        <w:t>. “Fiscal Sustainability Report 20</w:t>
      </w:r>
      <w:r w:rsidRPr="002A3956">
        <w:t>21</w:t>
      </w:r>
      <w:r w:rsidRPr="002A3956">
        <w:rPr>
          <w:lang w:val="en-US"/>
        </w:rPr>
        <w:t>-Vol2”.</w:t>
      </w:r>
      <w:r w:rsidRPr="002A3956">
        <w:t xml:space="preserve"> </w:t>
      </w:r>
      <w:r w:rsidRPr="002A3956">
        <w:rPr>
          <w:lang w:val="en-US"/>
        </w:rPr>
        <w:t>Institutional Paper 171.</w:t>
      </w:r>
      <w:r>
        <w:rPr>
          <w:lang w:val="en-US"/>
        </w:rPr>
        <w:t xml:space="preserve"> </w:t>
      </w:r>
    </w:p>
  </w:footnote>
  <w:footnote w:id="24">
    <w:p w14:paraId="149F26C6" w14:textId="5F71B527" w:rsidR="00B2222A" w:rsidRPr="00007B25" w:rsidRDefault="00B2222A" w:rsidP="00007B25">
      <w:pPr>
        <w:pStyle w:val="FootnoteText"/>
      </w:pPr>
      <w:r w:rsidRPr="00007B25">
        <w:rPr>
          <w:rStyle w:val="FootnoteReference"/>
        </w:rPr>
        <w:footnoteRef/>
      </w:r>
      <w:r w:rsidRPr="00007B25">
        <w:t xml:space="preserve"> </w:t>
      </w:r>
      <w:r w:rsidRPr="00007B25">
        <w:tab/>
        <w:t>S1&lt;0  – нисък риск; 0&lt;S1&lt;2,5 – умерен риск; S1&gt;2,5 – висок риск;</w:t>
      </w:r>
    </w:p>
    <w:p w14:paraId="50D3DB77" w14:textId="607CF836" w:rsidR="00B2222A" w:rsidRPr="00007B25" w:rsidRDefault="00B2222A" w:rsidP="00007B25">
      <w:pPr>
        <w:pStyle w:val="FootnoteText"/>
      </w:pPr>
      <w:r w:rsidRPr="00007B25">
        <w:t xml:space="preserve">  </w:t>
      </w:r>
      <w:r w:rsidRPr="00007B25">
        <w:tab/>
        <w:t>S2&lt;2 – нисък риск; 2&lt;S2&lt;6 – умерен риск; S2&gt;6 – висок риск.</w:t>
      </w:r>
    </w:p>
  </w:footnote>
  <w:footnote w:id="25">
    <w:p w14:paraId="0DEC9744" w14:textId="17CCD745" w:rsidR="00B2222A" w:rsidRPr="00007B25" w:rsidRDefault="00B2222A" w:rsidP="00007B25">
      <w:pPr>
        <w:pStyle w:val="FootnoteText"/>
      </w:pPr>
      <w:r w:rsidRPr="00007B25">
        <w:rPr>
          <w:rStyle w:val="FootnoteReference"/>
        </w:rPr>
        <w:footnoteRef/>
      </w:r>
      <w:r w:rsidRPr="00007B25">
        <w:t xml:space="preserve"> </w:t>
      </w:r>
      <w:r w:rsidRPr="00007B25">
        <w:tab/>
        <w:t>European Commission (2022). “Fiscal Sustainability Report 2021-Vol1”. Institutional Paper 171. - ANNEX A1 Fiscal sustainability analysis: the Commission’s framework</w:t>
      </w:r>
    </w:p>
  </w:footnote>
  <w:footnote w:id="26">
    <w:p w14:paraId="4873B537" w14:textId="7B810683" w:rsidR="00B2222A" w:rsidRPr="00007B25" w:rsidRDefault="00B2222A" w:rsidP="00007B25">
      <w:pPr>
        <w:pStyle w:val="FootnoteText"/>
      </w:pPr>
      <w:r w:rsidRPr="00007B25">
        <w:rPr>
          <w:rStyle w:val="FootnoteReference"/>
        </w:rPr>
        <w:footnoteRef/>
      </w:r>
      <w:r w:rsidRPr="00007B25">
        <w:t xml:space="preserve"> </w:t>
      </w:r>
      <w:r w:rsidRPr="00007B25">
        <w:tab/>
        <w:t>Изчислен е имплицитен лихвен процент като лихвени разходи разделени на нивото на дълга за предходната година.</w:t>
      </w:r>
    </w:p>
  </w:footnote>
  <w:footnote w:id="27">
    <w:p w14:paraId="55673BAF" w14:textId="46B6E27F" w:rsidR="00B2222A" w:rsidRPr="00D54590" w:rsidRDefault="00B2222A" w:rsidP="00D54590">
      <w:pPr>
        <w:pStyle w:val="FootnoteText"/>
        <w:rPr>
          <w:rStyle w:val="FootnoteReference"/>
          <w:vertAlign w:val="baseline"/>
        </w:rPr>
      </w:pPr>
      <w:r w:rsidRPr="00D54590">
        <w:rPr>
          <w:rStyle w:val="FootnoteReference"/>
        </w:rPr>
        <w:footnoteRef/>
      </w:r>
      <w:r w:rsidRPr="00D54590">
        <w:rPr>
          <w:rStyle w:val="FootnoteReference"/>
          <w:vertAlign w:val="baseline"/>
        </w:rPr>
        <w:t xml:space="preserve"> </w:t>
      </w:r>
      <w:r w:rsidRPr="00D54590">
        <w:rPr>
          <w:rStyle w:val="FootnoteReference"/>
          <w:vertAlign w:val="baseline"/>
        </w:rPr>
        <w:tab/>
        <w:t>При базовия сценарий допускането е, че структурно коригирания</w:t>
      </w:r>
      <w:r>
        <w:t>т</w:t>
      </w:r>
      <w:r w:rsidRPr="00D54590">
        <w:rPr>
          <w:rStyle w:val="FootnoteReference"/>
          <w:vertAlign w:val="baseline"/>
        </w:rPr>
        <w:t xml:space="preserve"> първичен баланс преди отчитане на разходите за застаряване остава на стойността от последната година на средносрочната бюджетна прогноза (2026 г.) за остатъка от периода до 2033 г</w:t>
      </w:r>
      <w:r>
        <w:rPr>
          <w:rStyle w:val="FootnoteReference"/>
          <w:vertAlign w:val="baseline"/>
        </w:rPr>
        <w:t>.</w:t>
      </w:r>
    </w:p>
  </w:footnote>
  <w:footnote w:id="28">
    <w:p w14:paraId="3D6B4C49" w14:textId="7970E8B0" w:rsidR="00B2222A" w:rsidRDefault="00B2222A" w:rsidP="00007B25">
      <w:pPr>
        <w:pStyle w:val="FootnoteText"/>
        <w:rPr>
          <w:lang w:val="en-US"/>
        </w:rPr>
      </w:pPr>
      <w:r>
        <w:rPr>
          <w:rStyle w:val="FootnoteReference"/>
        </w:rPr>
        <w:footnoteRef/>
      </w:r>
      <w:r>
        <w:t xml:space="preserve"> </w:t>
      </w:r>
      <w:r>
        <w:tab/>
        <w:t>Съотношението между броя на пенсионерите с пенсии за трудова дейност и броя на осигурените лица</w:t>
      </w:r>
      <w:r>
        <w:rPr>
          <w:lang w:val="en-US"/>
        </w:rPr>
        <w:t>.</w:t>
      </w:r>
    </w:p>
  </w:footnote>
  <w:footnote w:id="29">
    <w:p w14:paraId="585A7365" w14:textId="06F9A6EE" w:rsidR="00B2222A" w:rsidRDefault="00B2222A" w:rsidP="00007B25">
      <w:pPr>
        <w:pStyle w:val="FootnoteText"/>
        <w:rPr>
          <w:sz w:val="22"/>
          <w:szCs w:val="22"/>
        </w:rPr>
      </w:pPr>
      <w:r>
        <w:rPr>
          <w:rStyle w:val="FootnoteReference"/>
        </w:rPr>
        <w:footnoteRef/>
      </w:r>
      <w:r>
        <w:t xml:space="preserve"> </w:t>
      </w:r>
      <w:r>
        <w:tab/>
        <w:t>Съотношението на средната пенсия за трудова дейност към средния осигурителен доход на осигурените лица за съответната календарна година.</w:t>
      </w:r>
    </w:p>
  </w:footnote>
  <w:footnote w:id="30">
    <w:p w14:paraId="2109D298" w14:textId="2FD0DE90" w:rsidR="00B2222A" w:rsidRDefault="00B2222A" w:rsidP="00007B25">
      <w:pPr>
        <w:pStyle w:val="FootnoteText"/>
      </w:pPr>
      <w:r>
        <w:rPr>
          <w:rStyle w:val="FootnoteReference"/>
        </w:rPr>
        <w:footnoteRef/>
      </w:r>
      <w:r>
        <w:t xml:space="preserve"> </w:t>
      </w:r>
      <w:r>
        <w:tab/>
        <w:t>От 2002 г. лицата, родени след 1959 г. се осигуряват за втора пенсия в универсални пенсионни фондове, като за тях 5% от осигурителната вноска за пенсия се пренасочва към втория стълб.</w:t>
      </w:r>
    </w:p>
  </w:footnote>
  <w:footnote w:id="31">
    <w:p w14:paraId="10E0D016" w14:textId="284974EA" w:rsidR="00B2222A" w:rsidRDefault="00B2222A" w:rsidP="00007B25">
      <w:pPr>
        <w:pStyle w:val="FootnoteText"/>
      </w:pPr>
      <w:r>
        <w:rPr>
          <w:rStyle w:val="FootnoteReference"/>
        </w:rPr>
        <w:footnoteRef/>
      </w:r>
      <w:r>
        <w:t xml:space="preserve"> </w:t>
      </w:r>
      <w:r>
        <w:tab/>
        <w:t xml:space="preserve">Това са сумите, изплащани към пенсиите през първото полугодие на 2022 г., средствата за които бяха </w:t>
      </w:r>
      <w:r>
        <w:rPr>
          <w:lang w:val="en-US"/>
        </w:rPr>
        <w:t xml:space="preserve"> </w:t>
      </w:r>
      <w:r>
        <w:t>прехвърлени в сметка за чужди средства на НОИ  и отчетени като разход за 2021 г.:</w:t>
      </w:r>
    </w:p>
    <w:p w14:paraId="1B9B9EAE" w14:textId="77777777" w:rsidR="00B2222A" w:rsidRDefault="00B2222A" w:rsidP="00493D7E">
      <w:pPr>
        <w:pStyle w:val="FootnoteText"/>
        <w:numPr>
          <w:ilvl w:val="0"/>
          <w:numId w:val="24"/>
        </w:numPr>
        <w:ind w:left="567" w:hanging="141"/>
      </w:pPr>
      <w:r>
        <w:t>750,0 млн. лв. за изплащане на допълнителни суми от 60 лв</w:t>
      </w:r>
      <w:r>
        <w:rPr>
          <w:b/>
          <w:bCs/>
        </w:rPr>
        <w:t xml:space="preserve">. </w:t>
      </w:r>
      <w:r>
        <w:t>към пенсиите на всички пенсионери за периода януари-юни</w:t>
      </w:r>
      <w:r>
        <w:rPr>
          <w:lang w:val="en-US"/>
        </w:rPr>
        <w:t>;</w:t>
      </w:r>
    </w:p>
    <w:p w14:paraId="3C234603" w14:textId="77777777" w:rsidR="00B2222A" w:rsidRDefault="00B2222A" w:rsidP="00493D7E">
      <w:pPr>
        <w:pStyle w:val="FootnoteText"/>
        <w:numPr>
          <w:ilvl w:val="0"/>
          <w:numId w:val="24"/>
        </w:numPr>
        <w:ind w:left="567" w:hanging="141"/>
      </w:pPr>
      <w:r>
        <w:t>100,0 млн. лв. за изплащане на еднократна сума от 75 лв. за ваксинирани срещу</w:t>
      </w:r>
      <w:r>
        <w:rPr>
          <w:lang w:val="en-US"/>
        </w:rPr>
        <w:t xml:space="preserve"> COVID-19 </w:t>
      </w:r>
      <w:r>
        <w:t xml:space="preserve">пенсионери. </w:t>
      </w:r>
    </w:p>
  </w:footnote>
  <w:footnote w:id="32">
    <w:p w14:paraId="3454D7F7" w14:textId="63982CA9" w:rsidR="00B2222A" w:rsidRPr="00E360FF" w:rsidRDefault="00B2222A" w:rsidP="00007B25">
      <w:pPr>
        <w:pStyle w:val="FootnoteText"/>
      </w:pPr>
      <w:r w:rsidRPr="00E360FF">
        <w:rPr>
          <w:rStyle w:val="FootnoteReference"/>
        </w:rPr>
        <w:footnoteRef/>
      </w:r>
      <w:r w:rsidRPr="00E360FF">
        <w:t xml:space="preserve"> </w:t>
      </w:r>
      <w:r>
        <w:tab/>
      </w:r>
      <w:r w:rsidRPr="00E360FF">
        <w:t>Стойностите от докладите по застаряване представляват сума от разходи за здравеопазване и разходи за дългосрочна грижа. Прогнозите от Доклада се базират на данни от Системата за здравни сметки (System of Health Accounts), докато прогнозите на МФ се базират на данни от разходи на сектор “Държавно управление” по функции (COFOG)</w:t>
      </w:r>
    </w:p>
  </w:footnote>
  <w:footnote w:id="33">
    <w:p w14:paraId="5B604980" w14:textId="107E7D5E" w:rsidR="00B2222A" w:rsidRPr="00E360FF" w:rsidRDefault="00B2222A" w:rsidP="00007B25">
      <w:pPr>
        <w:pStyle w:val="FootnoteText"/>
      </w:pPr>
      <w:r w:rsidRPr="00E360FF">
        <w:rPr>
          <w:rStyle w:val="FootnoteReference"/>
        </w:rPr>
        <w:footnoteRef/>
      </w:r>
      <w:r w:rsidRPr="00E360FF">
        <w:t xml:space="preserve"> </w:t>
      </w:r>
      <w:r>
        <w:tab/>
      </w:r>
      <w:r w:rsidRPr="00E360FF">
        <w:t>Разходи на сектор “Държавно управление” по функции (COFOG)</w:t>
      </w:r>
    </w:p>
  </w:footnote>
  <w:footnote w:id="34">
    <w:p w14:paraId="5BAB6C43" w14:textId="02E70709" w:rsidR="00B2222A" w:rsidRPr="00521554" w:rsidRDefault="00B2222A" w:rsidP="00007B25">
      <w:pPr>
        <w:pStyle w:val="FootnoteText"/>
      </w:pPr>
      <w:r>
        <w:rPr>
          <w:rStyle w:val="FootnoteReference"/>
        </w:rPr>
        <w:footnoteRef/>
      </w:r>
      <w:r>
        <w:t xml:space="preserve"> </w:t>
      </w:r>
      <w:r>
        <w:tab/>
      </w:r>
      <w:r w:rsidRPr="0021043E">
        <w:t>обн., ДВ, бр. 104 от 30.12.2022 г., в сила от 1.01.2023 г.</w:t>
      </w:r>
    </w:p>
  </w:footnote>
  <w:footnote w:id="35">
    <w:p w14:paraId="6F84EF1A" w14:textId="77777777" w:rsidR="00B2222A" w:rsidRPr="000110AB" w:rsidRDefault="00B2222A" w:rsidP="00007B25">
      <w:pPr>
        <w:pStyle w:val="FootnoteText"/>
      </w:pPr>
      <w:r w:rsidRPr="000110AB">
        <w:rPr>
          <w:vertAlign w:val="superscript"/>
        </w:rPr>
        <w:footnoteRef/>
      </w:r>
      <w:r w:rsidRPr="000110AB">
        <w:tab/>
        <w:t>Процентно изменение спрямо предходната година.</w:t>
      </w:r>
    </w:p>
  </w:footnote>
  <w:footnote w:id="36">
    <w:p w14:paraId="59D5ABFC" w14:textId="77777777" w:rsidR="00B2222A" w:rsidRPr="000110AB" w:rsidRDefault="00B2222A" w:rsidP="00007B25">
      <w:pPr>
        <w:pStyle w:val="FootnoteText"/>
      </w:pPr>
      <w:r w:rsidRPr="000110AB">
        <w:rPr>
          <w:vertAlign w:val="superscript"/>
        </w:rPr>
        <w:footnoteRef/>
      </w:r>
      <w:r w:rsidRPr="000110AB">
        <w:tab/>
        <w:t>Незадължителен за Програмите за стабилност.</w:t>
      </w:r>
    </w:p>
  </w:footnote>
  <w:footnote w:id="37">
    <w:p w14:paraId="7533CE37" w14:textId="77777777" w:rsidR="00B2222A" w:rsidRPr="000110AB" w:rsidRDefault="00B2222A" w:rsidP="00007B25">
      <w:pPr>
        <w:pStyle w:val="FootnoteText"/>
      </w:pPr>
      <w:r w:rsidRPr="000110AB">
        <w:rPr>
          <w:vertAlign w:val="superscript"/>
        </w:rPr>
        <w:footnoteRef/>
      </w:r>
      <w:r w:rsidRPr="000110AB">
        <w:tab/>
        <w:t>Заето население, дефиниция от националните сметки.</w:t>
      </w:r>
    </w:p>
  </w:footnote>
  <w:footnote w:id="38">
    <w:p w14:paraId="5F7B14DB" w14:textId="77777777" w:rsidR="00B2222A" w:rsidRPr="000110AB" w:rsidRDefault="00B2222A" w:rsidP="00007B25">
      <w:pPr>
        <w:pStyle w:val="FootnoteText"/>
      </w:pPr>
      <w:r w:rsidRPr="000110AB">
        <w:rPr>
          <w:vertAlign w:val="superscript"/>
        </w:rPr>
        <w:footnoteRef/>
      </w:r>
      <w:r w:rsidRPr="000110AB">
        <w:tab/>
        <w:t>Дефиниция от националните сметки.</w:t>
      </w:r>
    </w:p>
  </w:footnote>
  <w:footnote w:id="39">
    <w:p w14:paraId="0FDBFF96" w14:textId="77777777" w:rsidR="00B2222A" w:rsidRPr="000110AB" w:rsidRDefault="00B2222A" w:rsidP="00007B25">
      <w:pPr>
        <w:pStyle w:val="FootnoteText"/>
      </w:pPr>
      <w:r w:rsidRPr="000110AB">
        <w:rPr>
          <w:vertAlign w:val="superscript"/>
        </w:rPr>
        <w:footnoteRef/>
      </w:r>
      <w:r w:rsidRPr="000110AB">
        <w:tab/>
        <w:t>Хармонизирана дефиниция, Евростат; нива.</w:t>
      </w:r>
    </w:p>
  </w:footnote>
  <w:footnote w:id="40">
    <w:p w14:paraId="05E8D1CC" w14:textId="77777777" w:rsidR="00B2222A" w:rsidRPr="000110AB" w:rsidRDefault="00B2222A" w:rsidP="00007B25">
      <w:pPr>
        <w:pStyle w:val="FootnoteText"/>
      </w:pPr>
      <w:r w:rsidRPr="000110AB">
        <w:rPr>
          <w:vertAlign w:val="superscript"/>
        </w:rPr>
        <w:footnoteRef/>
      </w:r>
      <w:r w:rsidRPr="000110AB">
        <w:tab/>
        <w:t>Реален БВП в лева на един зает.</w:t>
      </w:r>
    </w:p>
  </w:footnote>
  <w:footnote w:id="41">
    <w:p w14:paraId="4FC52A58" w14:textId="77777777" w:rsidR="00B2222A" w:rsidRPr="000110AB" w:rsidRDefault="00B2222A" w:rsidP="00007B25">
      <w:pPr>
        <w:pStyle w:val="FootnoteText"/>
      </w:pPr>
      <w:r w:rsidRPr="000110AB">
        <w:rPr>
          <w:vertAlign w:val="superscript"/>
        </w:rPr>
        <w:footnoteRef/>
      </w:r>
      <w:r w:rsidRPr="000110AB">
        <w:tab/>
        <w:t>Реален БВП в лева на отработен час.</w:t>
      </w:r>
    </w:p>
  </w:footnote>
  <w:footnote w:id="42">
    <w:p w14:paraId="59F64463" w14:textId="77777777" w:rsidR="00B2222A" w:rsidRDefault="00B2222A" w:rsidP="00007B25">
      <w:pPr>
        <w:pStyle w:val="FootnoteText"/>
      </w:pPr>
      <w:r w:rsidRPr="000110AB">
        <w:rPr>
          <w:rStyle w:val="FootnoteReference"/>
        </w:rPr>
        <w:footnoteRef/>
      </w:r>
      <w:r w:rsidRPr="000110AB">
        <w:t xml:space="preserve"> </w:t>
      </w:r>
      <w:r w:rsidRPr="000110AB">
        <w:tab/>
        <w:t>В млн. лв.</w:t>
      </w:r>
    </w:p>
  </w:footnote>
  <w:footnote w:id="43">
    <w:p w14:paraId="57AA82AC" w14:textId="77777777" w:rsidR="00B2222A" w:rsidRPr="00A203AA" w:rsidRDefault="00B2222A" w:rsidP="00007B25">
      <w:pPr>
        <w:pStyle w:val="FootnoteText"/>
      </w:pPr>
      <w:r w:rsidRPr="00A203AA">
        <w:rPr>
          <w:vertAlign w:val="superscript"/>
        </w:rPr>
        <w:footnoteRef/>
      </w:r>
      <w:r w:rsidRPr="00A203AA">
        <w:t xml:space="preserve"> </w:t>
      </w:r>
      <w:r>
        <w:tab/>
      </w:r>
      <w:r w:rsidRPr="00A203AA">
        <w:t>Съгласно дефиницията от Регламент 479/2009 (понятие извън ЕСС).</w:t>
      </w:r>
    </w:p>
  </w:footnote>
  <w:footnote w:id="44">
    <w:p w14:paraId="4363F23A" w14:textId="77777777" w:rsidR="00B2222A" w:rsidRPr="00A203AA" w:rsidRDefault="00B2222A" w:rsidP="00007B25">
      <w:pPr>
        <w:pStyle w:val="FootnoteText"/>
      </w:pPr>
      <w:r w:rsidRPr="00A203AA">
        <w:rPr>
          <w:vertAlign w:val="superscript"/>
        </w:rPr>
        <w:footnoteRef/>
      </w:r>
      <w:r>
        <w:t xml:space="preserve"> </w:t>
      </w:r>
      <w:r>
        <w:tab/>
      </w:r>
      <w:r w:rsidRPr="00A203AA">
        <w:t>Вж. т. 10 от Таблица 2.</w:t>
      </w:r>
    </w:p>
  </w:footnote>
  <w:footnote w:id="45">
    <w:p w14:paraId="6C506A91" w14:textId="77777777" w:rsidR="00B2222A" w:rsidRPr="00A203AA" w:rsidRDefault="00B2222A" w:rsidP="00007B25">
      <w:pPr>
        <w:pStyle w:val="FootnoteText"/>
      </w:pPr>
      <w:r w:rsidRPr="00A203AA">
        <w:rPr>
          <w:vertAlign w:val="superscript"/>
        </w:rPr>
        <w:footnoteRef/>
      </w:r>
      <w:r>
        <w:t xml:space="preserve"> </w:t>
      </w:r>
      <w:r>
        <w:tab/>
      </w:r>
      <w:r w:rsidRPr="00A203AA">
        <w:t>Вж. т. 9 от Таблица 2.</w:t>
      </w:r>
    </w:p>
  </w:footnote>
  <w:footnote w:id="46">
    <w:p w14:paraId="64153229" w14:textId="77777777" w:rsidR="00B2222A" w:rsidRPr="00A203AA" w:rsidRDefault="00B2222A" w:rsidP="00007B25">
      <w:pPr>
        <w:pStyle w:val="FootnoteText"/>
      </w:pPr>
      <w:r w:rsidRPr="00A203AA">
        <w:rPr>
          <w:vertAlign w:val="superscript"/>
        </w:rPr>
        <w:footnoteRef/>
      </w:r>
      <w:r>
        <w:t xml:space="preserve"> </w:t>
      </w:r>
      <w:r>
        <w:tab/>
      </w:r>
      <w:r w:rsidRPr="00A203AA">
        <w:t>Разликите, касаещи лихвените разходи, другите разходи и приходите се посочват при необходимост или в случай, че съотношението на дълга спрямо БВП е над референтната стойност.</w:t>
      </w:r>
    </w:p>
  </w:footnote>
  <w:footnote w:id="47">
    <w:p w14:paraId="1C3247E8" w14:textId="77777777" w:rsidR="00B2222A" w:rsidRPr="00A203AA" w:rsidRDefault="00B2222A" w:rsidP="00007B25">
      <w:pPr>
        <w:pStyle w:val="FootnoteText"/>
      </w:pPr>
      <w:r w:rsidRPr="00A203AA">
        <w:rPr>
          <w:vertAlign w:val="superscript"/>
        </w:rPr>
        <w:footnoteRef/>
      </w:r>
      <w:r>
        <w:t xml:space="preserve"> </w:t>
      </w:r>
      <w:r>
        <w:tab/>
      </w:r>
      <w:r w:rsidRPr="00A203AA">
        <w:t xml:space="preserve">Вкл. ликвидни активи, ДЦК, активи в трети страни, предприятия под държавен контрол, като разликата между котирани и некотирани на борсата се посочва при необходимост или в случай, че съотношението на дълга спрямо БВП е над референтната стойност. </w:t>
      </w:r>
    </w:p>
  </w:footnote>
  <w:footnote w:id="48">
    <w:p w14:paraId="4FFD502B" w14:textId="77777777" w:rsidR="00B2222A" w:rsidRPr="00A203AA" w:rsidRDefault="00B2222A" w:rsidP="00007B25">
      <w:pPr>
        <w:pStyle w:val="FootnoteText"/>
      </w:pPr>
      <w:r w:rsidRPr="00A203AA">
        <w:rPr>
          <w:vertAlign w:val="superscript"/>
        </w:rPr>
        <w:footnoteRef/>
      </w:r>
      <w:r>
        <w:t xml:space="preserve"> </w:t>
      </w:r>
      <w:r>
        <w:tab/>
      </w:r>
      <w:r w:rsidRPr="00A203AA">
        <w:t>Измененията, дължащи се на разликите в обменните курсове и на операции на вторичните пазари, се посочват при необходимост или в случай, че съотношението на дълга спрямо БВП е над референтната стойност.</w:t>
      </w:r>
    </w:p>
  </w:footnote>
  <w:footnote w:id="49">
    <w:p w14:paraId="43F96700" w14:textId="77777777" w:rsidR="00B2222A" w:rsidRPr="00A203AA" w:rsidRDefault="00B2222A" w:rsidP="00007B25">
      <w:pPr>
        <w:pStyle w:val="FootnoteText"/>
      </w:pPr>
      <w:r w:rsidRPr="00A203AA">
        <w:rPr>
          <w:vertAlign w:val="superscript"/>
        </w:rPr>
        <w:footnoteRef/>
      </w:r>
      <w:r>
        <w:t xml:space="preserve"> </w:t>
      </w:r>
      <w:r>
        <w:tab/>
      </w:r>
      <w:r w:rsidRPr="00A203AA">
        <w:t>Пресметнато приблизително като лихвени разходи разделени на нивото на дълга за предходната година.</w:t>
      </w:r>
    </w:p>
  </w:footnote>
  <w:footnote w:id="50">
    <w:p w14:paraId="51F13B9F" w14:textId="77777777" w:rsidR="00B2222A" w:rsidRPr="00A203AA" w:rsidRDefault="00B2222A" w:rsidP="00007B25">
      <w:pPr>
        <w:pStyle w:val="FootnoteText"/>
      </w:pPr>
      <w:r w:rsidRPr="00A203AA">
        <w:rPr>
          <w:vertAlign w:val="superscript"/>
        </w:rPr>
        <w:footnoteRef/>
      </w:r>
      <w:r>
        <w:t xml:space="preserve"> </w:t>
      </w:r>
      <w:r>
        <w:tab/>
      </w:r>
      <w:r w:rsidRPr="00A203AA">
        <w:t>AF1, AF2, AF3 (консолидирани по пазарни цени), AF5 (ако са котирани на фондова борса; вкл. дялове от взаимни фондове).</w:t>
      </w:r>
    </w:p>
  </w:footnote>
  <w:footnote w:id="51">
    <w:p w14:paraId="2E892DB0" w14:textId="77777777" w:rsidR="00B2222A" w:rsidRPr="009D5BED" w:rsidRDefault="00B2222A" w:rsidP="00007B25">
      <w:pPr>
        <w:pStyle w:val="FootnoteText"/>
      </w:pPr>
      <w:r w:rsidRPr="00685D08">
        <w:rPr>
          <w:vertAlign w:val="superscript"/>
        </w:rPr>
        <w:footnoteRef/>
      </w:r>
      <w:r w:rsidRPr="009D5BED">
        <w:tab/>
        <w:t xml:space="preserve">Приходи от </w:t>
      </w:r>
      <w:r w:rsidRPr="00D62D45">
        <w:t>социално</w:t>
      </w:r>
      <w:r>
        <w:t>-</w:t>
      </w:r>
      <w:r w:rsidRPr="00D62D45">
        <w:t>осигурителни</w:t>
      </w:r>
      <w:r w:rsidRPr="009D5BED">
        <w:t xml:space="preserve"> вноски или други приходи към задължително допълнително пенсионно осигуряване, с които да се покриват възникналите задължения.</w:t>
      </w:r>
    </w:p>
  </w:footnote>
  <w:footnote w:id="52">
    <w:p w14:paraId="5FAA7421" w14:textId="77777777" w:rsidR="00B2222A" w:rsidRPr="009D5BED" w:rsidRDefault="00B2222A" w:rsidP="00007B25">
      <w:pPr>
        <w:pStyle w:val="FootnoteText"/>
      </w:pPr>
      <w:r w:rsidRPr="00685D08">
        <w:rPr>
          <w:vertAlign w:val="superscript"/>
        </w:rPr>
        <w:footnoteRef/>
      </w:r>
      <w:r w:rsidRPr="009D5BED">
        <w:tab/>
        <w:t>Разходи за пенсии или за други помощи на задължителното допълнително пенсионно осигуряване.</w:t>
      </w:r>
    </w:p>
  </w:footnote>
  <w:footnote w:id="53">
    <w:p w14:paraId="293602DC" w14:textId="77777777" w:rsidR="00B2222A" w:rsidRDefault="00B2222A" w:rsidP="00007B25">
      <w:pPr>
        <w:pStyle w:val="FootnoteText"/>
      </w:pPr>
      <w:r>
        <w:rPr>
          <w:rStyle w:val="FootnoteReference"/>
        </w:rPr>
        <w:footnoteRef/>
      </w:r>
      <w:r>
        <w:t xml:space="preserve"> </w:t>
      </w:r>
      <w:r>
        <w:tab/>
      </w:r>
      <w:r w:rsidRPr="008D715F">
        <w:t>БВП (по цени от 201</w:t>
      </w:r>
      <w:r>
        <w:rPr>
          <w:lang w:val="en-US"/>
        </w:rPr>
        <w:t>5</w:t>
      </w:r>
      <w:r w:rsidRPr="008D715F">
        <w:t>) на зает (НРС).</w:t>
      </w:r>
    </w:p>
  </w:footnote>
  <w:footnote w:id="54">
    <w:p w14:paraId="181888D7" w14:textId="77777777" w:rsidR="00B2222A" w:rsidRDefault="00B2222A" w:rsidP="00007B25">
      <w:pPr>
        <w:pStyle w:val="FootnoteText"/>
      </w:pPr>
      <w:r>
        <w:rPr>
          <w:vertAlign w:val="superscript"/>
        </w:rPr>
        <w:footnoteRef/>
      </w:r>
      <w:r>
        <w:tab/>
        <w:t>Положителните числа означават поскъпване, а отрицателните – обезценяване.</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ED1C1" w14:textId="77777777" w:rsidR="00B2222A" w:rsidRPr="009B50C9" w:rsidRDefault="00B2222A" w:rsidP="00D902CC">
    <w:pPr>
      <w:pStyle w:val="Header"/>
      <w:spacing w:after="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949E88" w14:textId="77777777" w:rsidR="00B2222A" w:rsidRPr="001745DE" w:rsidRDefault="00B2222A" w:rsidP="001745DE">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8DCB0" w14:textId="77777777" w:rsidR="00B2222A" w:rsidRPr="001B01E9" w:rsidRDefault="00B2222A" w:rsidP="001B01E9">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90870" w14:textId="77777777" w:rsidR="00B2222A" w:rsidRPr="001B01E9" w:rsidRDefault="00B2222A" w:rsidP="001B01E9">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FD856" w14:textId="77777777" w:rsidR="00B2222A" w:rsidRPr="001B01E9" w:rsidRDefault="00B2222A" w:rsidP="001B01E9">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9F09A1" w14:textId="77777777" w:rsidR="00B2222A" w:rsidRPr="00C47465" w:rsidRDefault="00B2222A" w:rsidP="00C47465">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AB1D7" w14:textId="77777777" w:rsidR="00B2222A" w:rsidRPr="00C47465" w:rsidRDefault="00B2222A" w:rsidP="00C47465">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967FFC" w14:textId="77777777" w:rsidR="00B2222A" w:rsidRPr="00C47465" w:rsidRDefault="00B2222A" w:rsidP="00C4746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73689"/>
    <w:multiLevelType w:val="hybridMultilevel"/>
    <w:tmpl w:val="FAC61906"/>
    <w:lvl w:ilvl="0" w:tplc="478E68F4">
      <w:start w:val="1"/>
      <w:numFmt w:val="bullet"/>
      <w:lvlText w:val=""/>
      <w:lvlJc w:val="left"/>
      <w:pPr>
        <w:ind w:left="360" w:hanging="360"/>
      </w:pPr>
      <w:rPr>
        <w:rFonts w:ascii="Symbol" w:hAnsi="Symbol" w:hint="default"/>
        <w:color w:val="0D78CA" w:themeColor="background2" w:themeShade="80"/>
      </w:rPr>
    </w:lvl>
    <w:lvl w:ilvl="1" w:tplc="59E66580">
      <w:numFmt w:val="bullet"/>
      <w:lvlText w:val="•"/>
      <w:lvlJc w:val="left"/>
      <w:pPr>
        <w:ind w:left="1080" w:hanging="360"/>
      </w:pPr>
      <w:rPr>
        <w:rFonts w:ascii="Calibri" w:eastAsia="MS Mincho" w:hAnsi="Calibri"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 w15:restartNumberingAfterBreak="0">
    <w:nsid w:val="02220767"/>
    <w:multiLevelType w:val="hybridMultilevel"/>
    <w:tmpl w:val="47C6E9C0"/>
    <w:lvl w:ilvl="0" w:tplc="01405160">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 w15:restartNumberingAfterBreak="0">
    <w:nsid w:val="02383B29"/>
    <w:multiLevelType w:val="hybridMultilevel"/>
    <w:tmpl w:val="C2281E70"/>
    <w:lvl w:ilvl="0" w:tplc="7CBEE440">
      <w:numFmt w:val="bullet"/>
      <w:lvlText w:val="–"/>
      <w:lvlJc w:val="left"/>
      <w:pPr>
        <w:ind w:left="720" w:hanging="360"/>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036026BE"/>
    <w:multiLevelType w:val="hybridMultilevel"/>
    <w:tmpl w:val="94FE4B7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04D74919"/>
    <w:multiLevelType w:val="hybridMultilevel"/>
    <w:tmpl w:val="24F6694A"/>
    <w:lvl w:ilvl="0" w:tplc="0409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 w15:restartNumberingAfterBreak="0">
    <w:nsid w:val="0B020159"/>
    <w:multiLevelType w:val="hybridMultilevel"/>
    <w:tmpl w:val="9FDC39C2"/>
    <w:lvl w:ilvl="0" w:tplc="7CBEE440">
      <w:numFmt w:val="bullet"/>
      <w:lvlText w:val="–"/>
      <w:lvlJc w:val="left"/>
      <w:pPr>
        <w:ind w:left="720" w:hanging="360"/>
      </w:pPr>
      <w:rPr>
        <w:rFonts w:ascii="Times New Roman" w:eastAsia="Times New Roman" w:hAnsi="Times New Roman" w:cs="Times New Roman" w:hint="default"/>
      </w:rPr>
    </w:lvl>
    <w:lvl w:ilvl="1" w:tplc="7CBEE440">
      <w:numFmt w:val="bullet"/>
      <w:lvlText w:val="–"/>
      <w:lvlJc w:val="left"/>
      <w:pPr>
        <w:ind w:left="1440" w:hanging="360"/>
      </w:pPr>
      <w:rPr>
        <w:rFonts w:ascii="Times New Roman" w:eastAsia="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B4A4FD1"/>
    <w:multiLevelType w:val="hybridMultilevel"/>
    <w:tmpl w:val="1898F9E2"/>
    <w:lvl w:ilvl="0" w:tplc="1D98BB3C">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7" w15:restartNumberingAfterBreak="0">
    <w:nsid w:val="0B8345BD"/>
    <w:multiLevelType w:val="hybridMultilevel"/>
    <w:tmpl w:val="439C3780"/>
    <w:lvl w:ilvl="0" w:tplc="0409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0D744B61"/>
    <w:multiLevelType w:val="hybridMultilevel"/>
    <w:tmpl w:val="616CD1E4"/>
    <w:lvl w:ilvl="0" w:tplc="A538E2F2">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9" w15:restartNumberingAfterBreak="0">
    <w:nsid w:val="15405BEB"/>
    <w:multiLevelType w:val="hybridMultilevel"/>
    <w:tmpl w:val="C7AEF156"/>
    <w:lvl w:ilvl="0" w:tplc="28641196">
      <w:start w:val="1"/>
      <w:numFmt w:val="bullet"/>
      <w:lvlText w:val=""/>
      <w:lvlJc w:val="left"/>
      <w:pPr>
        <w:ind w:left="720" w:hanging="360"/>
      </w:pPr>
      <w:rPr>
        <w:rFonts w:ascii="Symbol" w:hAnsi="Symbol" w:hint="default"/>
        <w:color w:val="0D78CA" w:themeColor="background2" w:themeShade="8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162F4D6D"/>
    <w:multiLevelType w:val="hybridMultilevel"/>
    <w:tmpl w:val="E5F80EAC"/>
    <w:lvl w:ilvl="0" w:tplc="2C88B590">
      <w:start w:val="1"/>
      <w:numFmt w:val="bullet"/>
      <w:lvlText w:val=""/>
      <w:lvlJc w:val="left"/>
      <w:pPr>
        <w:ind w:left="360" w:hanging="360"/>
      </w:pPr>
      <w:rPr>
        <w:rFonts w:ascii="Symbol" w:hAnsi="Symbol" w:hint="default"/>
        <w:color w:val="0D78CA" w:themeColor="background2" w:themeShade="80"/>
      </w:rPr>
    </w:lvl>
    <w:lvl w:ilvl="1" w:tplc="04020003">
      <w:start w:val="1"/>
      <w:numFmt w:val="bullet"/>
      <w:lvlText w:val="o"/>
      <w:lvlJc w:val="left"/>
      <w:pPr>
        <w:ind w:left="1080" w:hanging="360"/>
      </w:pPr>
      <w:rPr>
        <w:rFonts w:ascii="Courier New" w:hAnsi="Courier New" w:cs="Courier New" w:hint="default"/>
      </w:rPr>
    </w:lvl>
    <w:lvl w:ilvl="2" w:tplc="04020005">
      <w:start w:val="1"/>
      <w:numFmt w:val="bullet"/>
      <w:lvlText w:val=""/>
      <w:lvlJc w:val="left"/>
      <w:pPr>
        <w:ind w:left="1800" w:hanging="360"/>
      </w:pPr>
      <w:rPr>
        <w:rFonts w:ascii="Wingdings" w:hAnsi="Wingdings" w:hint="default"/>
      </w:rPr>
    </w:lvl>
    <w:lvl w:ilvl="3" w:tplc="04020001">
      <w:start w:val="1"/>
      <w:numFmt w:val="bullet"/>
      <w:lvlText w:val=""/>
      <w:lvlJc w:val="left"/>
      <w:pPr>
        <w:ind w:left="2520" w:hanging="360"/>
      </w:pPr>
      <w:rPr>
        <w:rFonts w:ascii="Symbol" w:hAnsi="Symbol" w:hint="default"/>
      </w:rPr>
    </w:lvl>
    <w:lvl w:ilvl="4" w:tplc="04020003">
      <w:start w:val="1"/>
      <w:numFmt w:val="bullet"/>
      <w:lvlText w:val="o"/>
      <w:lvlJc w:val="left"/>
      <w:pPr>
        <w:ind w:left="3240" w:hanging="360"/>
      </w:pPr>
      <w:rPr>
        <w:rFonts w:ascii="Courier New" w:hAnsi="Courier New" w:cs="Courier New" w:hint="default"/>
      </w:rPr>
    </w:lvl>
    <w:lvl w:ilvl="5" w:tplc="04020005">
      <w:start w:val="1"/>
      <w:numFmt w:val="bullet"/>
      <w:lvlText w:val=""/>
      <w:lvlJc w:val="left"/>
      <w:pPr>
        <w:ind w:left="3960" w:hanging="360"/>
      </w:pPr>
      <w:rPr>
        <w:rFonts w:ascii="Wingdings" w:hAnsi="Wingdings" w:hint="default"/>
      </w:rPr>
    </w:lvl>
    <w:lvl w:ilvl="6" w:tplc="04020001">
      <w:start w:val="1"/>
      <w:numFmt w:val="bullet"/>
      <w:lvlText w:val=""/>
      <w:lvlJc w:val="left"/>
      <w:pPr>
        <w:ind w:left="4680" w:hanging="360"/>
      </w:pPr>
      <w:rPr>
        <w:rFonts w:ascii="Symbol" w:hAnsi="Symbol" w:hint="default"/>
      </w:rPr>
    </w:lvl>
    <w:lvl w:ilvl="7" w:tplc="04020003">
      <w:start w:val="1"/>
      <w:numFmt w:val="bullet"/>
      <w:lvlText w:val="o"/>
      <w:lvlJc w:val="left"/>
      <w:pPr>
        <w:ind w:left="5400" w:hanging="360"/>
      </w:pPr>
      <w:rPr>
        <w:rFonts w:ascii="Courier New" w:hAnsi="Courier New" w:cs="Courier New" w:hint="default"/>
      </w:rPr>
    </w:lvl>
    <w:lvl w:ilvl="8" w:tplc="04020005">
      <w:start w:val="1"/>
      <w:numFmt w:val="bullet"/>
      <w:lvlText w:val=""/>
      <w:lvlJc w:val="left"/>
      <w:pPr>
        <w:ind w:left="6120" w:hanging="360"/>
      </w:pPr>
      <w:rPr>
        <w:rFonts w:ascii="Wingdings" w:hAnsi="Wingdings" w:hint="default"/>
      </w:rPr>
    </w:lvl>
  </w:abstractNum>
  <w:abstractNum w:abstractNumId="11" w15:restartNumberingAfterBreak="0">
    <w:nsid w:val="17F1400B"/>
    <w:multiLevelType w:val="hybridMultilevel"/>
    <w:tmpl w:val="68921B46"/>
    <w:lvl w:ilvl="0" w:tplc="0409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 w15:restartNumberingAfterBreak="0">
    <w:nsid w:val="1B6241A6"/>
    <w:multiLevelType w:val="hybridMultilevel"/>
    <w:tmpl w:val="41829A50"/>
    <w:lvl w:ilvl="0" w:tplc="8D7C4FC2">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3" w15:restartNumberingAfterBreak="0">
    <w:nsid w:val="1D882687"/>
    <w:multiLevelType w:val="hybridMultilevel"/>
    <w:tmpl w:val="A916231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15:restartNumberingAfterBreak="0">
    <w:nsid w:val="2A3B5425"/>
    <w:multiLevelType w:val="hybridMultilevel"/>
    <w:tmpl w:val="A7FE688C"/>
    <w:lvl w:ilvl="0" w:tplc="7CBEE440">
      <w:numFmt w:val="bullet"/>
      <w:lvlText w:val="–"/>
      <w:lvlJc w:val="left"/>
      <w:pPr>
        <w:ind w:left="720" w:hanging="360"/>
      </w:pPr>
      <w:rPr>
        <w:rFonts w:ascii="Times New Roman" w:eastAsia="Times New Roman" w:hAnsi="Times New Roman" w:cs="Times New Roman"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5" w15:restartNumberingAfterBreak="0">
    <w:nsid w:val="2A5D6BD3"/>
    <w:multiLevelType w:val="hybridMultilevel"/>
    <w:tmpl w:val="A6A0D6D6"/>
    <w:lvl w:ilvl="0" w:tplc="0409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 w15:restartNumberingAfterBreak="0">
    <w:nsid w:val="2E6B7C62"/>
    <w:multiLevelType w:val="hybridMultilevel"/>
    <w:tmpl w:val="FD0C5BB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7" w15:restartNumberingAfterBreak="0">
    <w:nsid w:val="2F632434"/>
    <w:multiLevelType w:val="hybridMultilevel"/>
    <w:tmpl w:val="92A65C6A"/>
    <w:lvl w:ilvl="0" w:tplc="C0E23502">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8" w15:restartNumberingAfterBreak="0">
    <w:nsid w:val="35AE1D14"/>
    <w:multiLevelType w:val="hybridMultilevel"/>
    <w:tmpl w:val="8C90DD50"/>
    <w:lvl w:ilvl="0" w:tplc="7CBEE440">
      <w:numFmt w:val="bullet"/>
      <w:lvlText w:val="–"/>
      <w:lvlJc w:val="left"/>
      <w:pPr>
        <w:ind w:left="720" w:hanging="360"/>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35C8673C"/>
    <w:multiLevelType w:val="multilevel"/>
    <w:tmpl w:val="85CED096"/>
    <w:lvl w:ilvl="0">
      <w:start w:val="1"/>
      <w:numFmt w:val="decimal"/>
      <w:pStyle w:val="Heading1"/>
      <w:lvlText w:val="%1."/>
      <w:lvlJc w:val="left"/>
      <w:pPr>
        <w:ind w:left="709" w:hanging="567"/>
      </w:pPr>
      <w:rPr>
        <w:rFonts w:hint="default"/>
      </w:rPr>
    </w:lvl>
    <w:lvl w:ilvl="1">
      <w:start w:val="1"/>
      <w:numFmt w:val="decimal"/>
      <w:pStyle w:val="Heading2"/>
      <w:lvlText w:val="%1.%2"/>
      <w:lvlJc w:val="left"/>
      <w:pPr>
        <w:ind w:left="718" w:hanging="576"/>
      </w:pPr>
      <w:rPr>
        <w:rFonts w:hint="default"/>
      </w:rPr>
    </w:lvl>
    <w:lvl w:ilvl="2">
      <w:start w:val="1"/>
      <w:numFmt w:val="decimal"/>
      <w:pStyle w:val="Heading3"/>
      <w:lvlText w:val="%1.%2.%3"/>
      <w:lvlJc w:val="left"/>
      <w:pPr>
        <w:ind w:left="1572" w:hanging="720"/>
      </w:pPr>
      <w:rPr>
        <w:rFonts w:hint="default"/>
      </w:rPr>
    </w:lvl>
    <w:lvl w:ilvl="3">
      <w:start w:val="1"/>
      <w:numFmt w:val="none"/>
      <w:lvlText w:val=""/>
      <w:lvlJc w:val="left"/>
      <w:pPr>
        <w:ind w:left="426" w:hanging="284"/>
      </w:pPr>
      <w:rPr>
        <w:rFonts w:hint="default"/>
      </w:rPr>
    </w:lvl>
    <w:lvl w:ilvl="4">
      <w:start w:val="1"/>
      <w:numFmt w:val="decimal"/>
      <w:lvlText w:val="%1.%2.%3.%4.%5"/>
      <w:lvlJc w:val="left"/>
      <w:pPr>
        <w:ind w:left="1150" w:hanging="1008"/>
      </w:pPr>
      <w:rPr>
        <w:rFonts w:hint="default"/>
      </w:rPr>
    </w:lvl>
    <w:lvl w:ilvl="5">
      <w:start w:val="1"/>
      <w:numFmt w:val="decimal"/>
      <w:pStyle w:val="Heading6"/>
      <w:lvlText w:val="%1.%2.%3.%4.%5.%6"/>
      <w:lvlJc w:val="left"/>
      <w:pPr>
        <w:ind w:left="1294" w:hanging="1152"/>
      </w:pPr>
      <w:rPr>
        <w:rFonts w:hint="default"/>
      </w:rPr>
    </w:lvl>
    <w:lvl w:ilvl="6">
      <w:start w:val="1"/>
      <w:numFmt w:val="decimal"/>
      <w:pStyle w:val="Heading7"/>
      <w:lvlText w:val="%1.%2.%3.%4.%5.%6.%7"/>
      <w:lvlJc w:val="left"/>
      <w:pPr>
        <w:ind w:left="1438" w:hanging="1296"/>
      </w:pPr>
      <w:rPr>
        <w:rFonts w:hint="default"/>
      </w:rPr>
    </w:lvl>
    <w:lvl w:ilvl="7">
      <w:start w:val="1"/>
      <w:numFmt w:val="decimal"/>
      <w:pStyle w:val="Heading8"/>
      <w:lvlText w:val="%1.%2.%3.%4.%5.%6.%7.%8"/>
      <w:lvlJc w:val="left"/>
      <w:pPr>
        <w:ind w:left="1582" w:hanging="1440"/>
      </w:pPr>
      <w:rPr>
        <w:rFonts w:hint="default"/>
      </w:rPr>
    </w:lvl>
    <w:lvl w:ilvl="8">
      <w:start w:val="1"/>
      <w:numFmt w:val="decimal"/>
      <w:pStyle w:val="Heading9"/>
      <w:lvlText w:val="%1.%2.%3.%4.%5.%6.%7.%8.%9"/>
      <w:lvlJc w:val="left"/>
      <w:pPr>
        <w:ind w:left="1726" w:hanging="1584"/>
      </w:pPr>
      <w:rPr>
        <w:rFonts w:hint="default"/>
      </w:rPr>
    </w:lvl>
  </w:abstractNum>
  <w:abstractNum w:abstractNumId="20" w15:restartNumberingAfterBreak="0">
    <w:nsid w:val="38734A8B"/>
    <w:multiLevelType w:val="hybridMultilevel"/>
    <w:tmpl w:val="DCB462D4"/>
    <w:lvl w:ilvl="0" w:tplc="B93811A8">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1" w15:restartNumberingAfterBreak="0">
    <w:nsid w:val="3C507D35"/>
    <w:multiLevelType w:val="hybridMultilevel"/>
    <w:tmpl w:val="769A5B6C"/>
    <w:lvl w:ilvl="0" w:tplc="04090001">
      <w:start w:val="1"/>
      <w:numFmt w:val="bullet"/>
      <w:lvlText w:val=""/>
      <w:lvlJc w:val="left"/>
      <w:pPr>
        <w:ind w:left="720" w:hanging="360"/>
      </w:pPr>
      <w:rPr>
        <w:rFonts w:ascii="Symbol" w:hAnsi="Symbol" w:hint="default"/>
      </w:rPr>
    </w:lvl>
    <w:lvl w:ilvl="1" w:tplc="7CBEE440">
      <w:numFmt w:val="bullet"/>
      <w:lvlText w:val="–"/>
      <w:lvlJc w:val="left"/>
      <w:pPr>
        <w:ind w:left="1440" w:hanging="360"/>
      </w:pPr>
      <w:rPr>
        <w:rFonts w:ascii="Times New Roman" w:eastAsia="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3D231613"/>
    <w:multiLevelType w:val="hybridMultilevel"/>
    <w:tmpl w:val="57A6FCDA"/>
    <w:lvl w:ilvl="0" w:tplc="BE846B8A">
      <w:start w:val="1"/>
      <w:numFmt w:val="bullet"/>
      <w:lvlText w:val=""/>
      <w:lvlJc w:val="left"/>
      <w:pPr>
        <w:ind w:left="360" w:hanging="360"/>
      </w:pPr>
      <w:rPr>
        <w:rFonts w:ascii="Symbol" w:hAnsi="Symbol" w:hint="default"/>
        <w:color w:val="0D78CA" w:themeColor="background2" w:themeShade="80"/>
      </w:rPr>
    </w:lvl>
    <w:lvl w:ilvl="1" w:tplc="04020003">
      <w:start w:val="1"/>
      <w:numFmt w:val="bullet"/>
      <w:lvlText w:val="o"/>
      <w:lvlJc w:val="left"/>
      <w:pPr>
        <w:ind w:left="1080" w:hanging="360"/>
      </w:pPr>
      <w:rPr>
        <w:rFonts w:ascii="Courier New" w:hAnsi="Courier New" w:cs="Courier New" w:hint="default"/>
      </w:rPr>
    </w:lvl>
    <w:lvl w:ilvl="2" w:tplc="04020005">
      <w:start w:val="1"/>
      <w:numFmt w:val="bullet"/>
      <w:lvlText w:val=""/>
      <w:lvlJc w:val="left"/>
      <w:pPr>
        <w:ind w:left="1800" w:hanging="360"/>
      </w:pPr>
      <w:rPr>
        <w:rFonts w:ascii="Wingdings" w:hAnsi="Wingdings" w:hint="default"/>
      </w:rPr>
    </w:lvl>
    <w:lvl w:ilvl="3" w:tplc="04020001">
      <w:start w:val="1"/>
      <w:numFmt w:val="bullet"/>
      <w:lvlText w:val=""/>
      <w:lvlJc w:val="left"/>
      <w:pPr>
        <w:ind w:left="2865" w:hanging="705"/>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3" w15:restartNumberingAfterBreak="0">
    <w:nsid w:val="3F1018FC"/>
    <w:multiLevelType w:val="hybridMultilevel"/>
    <w:tmpl w:val="DCB467C6"/>
    <w:lvl w:ilvl="0" w:tplc="A3243680">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4" w15:restartNumberingAfterBreak="0">
    <w:nsid w:val="44E71C4C"/>
    <w:multiLevelType w:val="hybridMultilevel"/>
    <w:tmpl w:val="B22AA74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488A08A2"/>
    <w:multiLevelType w:val="hybridMultilevel"/>
    <w:tmpl w:val="9B28DD94"/>
    <w:lvl w:ilvl="0" w:tplc="7CBEE440">
      <w:numFmt w:val="bullet"/>
      <w:lvlText w:val="–"/>
      <w:lvlJc w:val="left"/>
      <w:pPr>
        <w:ind w:left="360" w:hanging="360"/>
      </w:pPr>
      <w:rPr>
        <w:rFonts w:ascii="Times New Roman" w:eastAsia="Times New Roman" w:hAnsi="Times New Roman" w:cs="Times New Roman" w:hint="default"/>
      </w:rPr>
    </w:lvl>
    <w:lvl w:ilvl="1" w:tplc="04020003">
      <w:start w:val="1"/>
      <w:numFmt w:val="bullet"/>
      <w:lvlText w:val="o"/>
      <w:lvlJc w:val="left"/>
      <w:pPr>
        <w:ind w:left="1080" w:hanging="360"/>
      </w:pPr>
      <w:rPr>
        <w:rFonts w:ascii="Courier New" w:hAnsi="Courier New" w:cs="Courier New" w:hint="default"/>
      </w:rPr>
    </w:lvl>
    <w:lvl w:ilvl="2" w:tplc="04020005">
      <w:start w:val="1"/>
      <w:numFmt w:val="bullet"/>
      <w:lvlText w:val=""/>
      <w:lvlJc w:val="left"/>
      <w:pPr>
        <w:ind w:left="1800" w:hanging="360"/>
      </w:pPr>
      <w:rPr>
        <w:rFonts w:ascii="Wingdings" w:hAnsi="Wingdings" w:hint="default"/>
      </w:rPr>
    </w:lvl>
    <w:lvl w:ilvl="3" w:tplc="04020001">
      <w:start w:val="1"/>
      <w:numFmt w:val="bullet"/>
      <w:lvlText w:val=""/>
      <w:lvlJc w:val="left"/>
      <w:pPr>
        <w:ind w:left="2865" w:hanging="705"/>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6" w15:restartNumberingAfterBreak="0">
    <w:nsid w:val="4E8170BD"/>
    <w:multiLevelType w:val="hybridMultilevel"/>
    <w:tmpl w:val="D19E346E"/>
    <w:lvl w:ilvl="0" w:tplc="AB50A2FE">
      <w:start w:val="1"/>
      <w:numFmt w:val="bullet"/>
      <w:lvlText w:val=""/>
      <w:lvlJc w:val="left"/>
      <w:pPr>
        <w:ind w:left="720" w:hanging="360"/>
      </w:pPr>
      <w:rPr>
        <w:rFonts w:ascii="Symbol" w:hAnsi="Symbol" w:hint="default"/>
        <w:color w:val="0D78CA" w:themeColor="background2" w:themeShade="8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15:restartNumberingAfterBreak="0">
    <w:nsid w:val="5122521A"/>
    <w:multiLevelType w:val="hybridMultilevel"/>
    <w:tmpl w:val="F9A0F5F4"/>
    <w:lvl w:ilvl="0" w:tplc="21423E98">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8" w15:restartNumberingAfterBreak="0">
    <w:nsid w:val="53D25B93"/>
    <w:multiLevelType w:val="hybridMultilevel"/>
    <w:tmpl w:val="90F69AC6"/>
    <w:lvl w:ilvl="0" w:tplc="10C4AC52">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9" w15:restartNumberingAfterBreak="0">
    <w:nsid w:val="56734443"/>
    <w:multiLevelType w:val="hybridMultilevel"/>
    <w:tmpl w:val="AB02EE7A"/>
    <w:lvl w:ilvl="0" w:tplc="40568C5C">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0" w15:restartNumberingAfterBreak="0">
    <w:nsid w:val="5B906822"/>
    <w:multiLevelType w:val="hybridMultilevel"/>
    <w:tmpl w:val="6DE44074"/>
    <w:lvl w:ilvl="0" w:tplc="04020003">
      <w:start w:val="1"/>
      <w:numFmt w:val="bullet"/>
      <w:lvlText w:val="o"/>
      <w:lvlJc w:val="left"/>
      <w:pPr>
        <w:ind w:left="1040" w:hanging="360"/>
      </w:pPr>
      <w:rPr>
        <w:rFonts w:ascii="Courier New" w:hAnsi="Courier New" w:cs="Courier New" w:hint="default"/>
      </w:rPr>
    </w:lvl>
    <w:lvl w:ilvl="1" w:tplc="04020003" w:tentative="1">
      <w:start w:val="1"/>
      <w:numFmt w:val="bullet"/>
      <w:lvlText w:val="o"/>
      <w:lvlJc w:val="left"/>
      <w:pPr>
        <w:ind w:left="1760" w:hanging="360"/>
      </w:pPr>
      <w:rPr>
        <w:rFonts w:ascii="Courier New" w:hAnsi="Courier New" w:cs="Courier New" w:hint="default"/>
      </w:rPr>
    </w:lvl>
    <w:lvl w:ilvl="2" w:tplc="04020005" w:tentative="1">
      <w:start w:val="1"/>
      <w:numFmt w:val="bullet"/>
      <w:lvlText w:val=""/>
      <w:lvlJc w:val="left"/>
      <w:pPr>
        <w:ind w:left="2480" w:hanging="360"/>
      </w:pPr>
      <w:rPr>
        <w:rFonts w:ascii="Wingdings" w:hAnsi="Wingdings" w:hint="default"/>
      </w:rPr>
    </w:lvl>
    <w:lvl w:ilvl="3" w:tplc="04020001" w:tentative="1">
      <w:start w:val="1"/>
      <w:numFmt w:val="bullet"/>
      <w:lvlText w:val=""/>
      <w:lvlJc w:val="left"/>
      <w:pPr>
        <w:ind w:left="3200" w:hanging="360"/>
      </w:pPr>
      <w:rPr>
        <w:rFonts w:ascii="Symbol" w:hAnsi="Symbol" w:hint="default"/>
      </w:rPr>
    </w:lvl>
    <w:lvl w:ilvl="4" w:tplc="04020003" w:tentative="1">
      <w:start w:val="1"/>
      <w:numFmt w:val="bullet"/>
      <w:lvlText w:val="o"/>
      <w:lvlJc w:val="left"/>
      <w:pPr>
        <w:ind w:left="3920" w:hanging="360"/>
      </w:pPr>
      <w:rPr>
        <w:rFonts w:ascii="Courier New" w:hAnsi="Courier New" w:cs="Courier New" w:hint="default"/>
      </w:rPr>
    </w:lvl>
    <w:lvl w:ilvl="5" w:tplc="04020005" w:tentative="1">
      <w:start w:val="1"/>
      <w:numFmt w:val="bullet"/>
      <w:lvlText w:val=""/>
      <w:lvlJc w:val="left"/>
      <w:pPr>
        <w:ind w:left="4640" w:hanging="360"/>
      </w:pPr>
      <w:rPr>
        <w:rFonts w:ascii="Wingdings" w:hAnsi="Wingdings" w:hint="default"/>
      </w:rPr>
    </w:lvl>
    <w:lvl w:ilvl="6" w:tplc="04020001" w:tentative="1">
      <w:start w:val="1"/>
      <w:numFmt w:val="bullet"/>
      <w:lvlText w:val=""/>
      <w:lvlJc w:val="left"/>
      <w:pPr>
        <w:ind w:left="5360" w:hanging="360"/>
      </w:pPr>
      <w:rPr>
        <w:rFonts w:ascii="Symbol" w:hAnsi="Symbol" w:hint="default"/>
      </w:rPr>
    </w:lvl>
    <w:lvl w:ilvl="7" w:tplc="04020003" w:tentative="1">
      <w:start w:val="1"/>
      <w:numFmt w:val="bullet"/>
      <w:lvlText w:val="o"/>
      <w:lvlJc w:val="left"/>
      <w:pPr>
        <w:ind w:left="6080" w:hanging="360"/>
      </w:pPr>
      <w:rPr>
        <w:rFonts w:ascii="Courier New" w:hAnsi="Courier New" w:cs="Courier New" w:hint="default"/>
      </w:rPr>
    </w:lvl>
    <w:lvl w:ilvl="8" w:tplc="04020005" w:tentative="1">
      <w:start w:val="1"/>
      <w:numFmt w:val="bullet"/>
      <w:lvlText w:val=""/>
      <w:lvlJc w:val="left"/>
      <w:pPr>
        <w:ind w:left="6800" w:hanging="360"/>
      </w:pPr>
      <w:rPr>
        <w:rFonts w:ascii="Wingdings" w:hAnsi="Wingdings" w:hint="default"/>
      </w:rPr>
    </w:lvl>
  </w:abstractNum>
  <w:abstractNum w:abstractNumId="31" w15:restartNumberingAfterBreak="0">
    <w:nsid w:val="5BB276D7"/>
    <w:multiLevelType w:val="hybridMultilevel"/>
    <w:tmpl w:val="D75EE852"/>
    <w:lvl w:ilvl="0" w:tplc="47F25D18">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2" w15:restartNumberingAfterBreak="0">
    <w:nsid w:val="627E3F50"/>
    <w:multiLevelType w:val="hybridMultilevel"/>
    <w:tmpl w:val="3C84E426"/>
    <w:lvl w:ilvl="0" w:tplc="04020003">
      <w:start w:val="1"/>
      <w:numFmt w:val="bullet"/>
      <w:lvlText w:val="o"/>
      <w:lvlJc w:val="left"/>
      <w:pPr>
        <w:ind w:left="1040" w:hanging="360"/>
      </w:pPr>
      <w:rPr>
        <w:rFonts w:ascii="Courier New" w:hAnsi="Courier New" w:cs="Courier New" w:hint="default"/>
      </w:rPr>
    </w:lvl>
    <w:lvl w:ilvl="1" w:tplc="04020003" w:tentative="1">
      <w:start w:val="1"/>
      <w:numFmt w:val="bullet"/>
      <w:lvlText w:val="o"/>
      <w:lvlJc w:val="left"/>
      <w:pPr>
        <w:ind w:left="1760" w:hanging="360"/>
      </w:pPr>
      <w:rPr>
        <w:rFonts w:ascii="Courier New" w:hAnsi="Courier New" w:cs="Courier New" w:hint="default"/>
      </w:rPr>
    </w:lvl>
    <w:lvl w:ilvl="2" w:tplc="04020005" w:tentative="1">
      <w:start w:val="1"/>
      <w:numFmt w:val="bullet"/>
      <w:lvlText w:val=""/>
      <w:lvlJc w:val="left"/>
      <w:pPr>
        <w:ind w:left="2480" w:hanging="360"/>
      </w:pPr>
      <w:rPr>
        <w:rFonts w:ascii="Wingdings" w:hAnsi="Wingdings" w:hint="default"/>
      </w:rPr>
    </w:lvl>
    <w:lvl w:ilvl="3" w:tplc="04020001" w:tentative="1">
      <w:start w:val="1"/>
      <w:numFmt w:val="bullet"/>
      <w:lvlText w:val=""/>
      <w:lvlJc w:val="left"/>
      <w:pPr>
        <w:ind w:left="3200" w:hanging="360"/>
      </w:pPr>
      <w:rPr>
        <w:rFonts w:ascii="Symbol" w:hAnsi="Symbol" w:hint="default"/>
      </w:rPr>
    </w:lvl>
    <w:lvl w:ilvl="4" w:tplc="04020003" w:tentative="1">
      <w:start w:val="1"/>
      <w:numFmt w:val="bullet"/>
      <w:lvlText w:val="o"/>
      <w:lvlJc w:val="left"/>
      <w:pPr>
        <w:ind w:left="3920" w:hanging="360"/>
      </w:pPr>
      <w:rPr>
        <w:rFonts w:ascii="Courier New" w:hAnsi="Courier New" w:cs="Courier New" w:hint="default"/>
      </w:rPr>
    </w:lvl>
    <w:lvl w:ilvl="5" w:tplc="04020005" w:tentative="1">
      <w:start w:val="1"/>
      <w:numFmt w:val="bullet"/>
      <w:lvlText w:val=""/>
      <w:lvlJc w:val="left"/>
      <w:pPr>
        <w:ind w:left="4640" w:hanging="360"/>
      </w:pPr>
      <w:rPr>
        <w:rFonts w:ascii="Wingdings" w:hAnsi="Wingdings" w:hint="default"/>
      </w:rPr>
    </w:lvl>
    <w:lvl w:ilvl="6" w:tplc="04020001" w:tentative="1">
      <w:start w:val="1"/>
      <w:numFmt w:val="bullet"/>
      <w:lvlText w:val=""/>
      <w:lvlJc w:val="left"/>
      <w:pPr>
        <w:ind w:left="5360" w:hanging="360"/>
      </w:pPr>
      <w:rPr>
        <w:rFonts w:ascii="Symbol" w:hAnsi="Symbol" w:hint="default"/>
      </w:rPr>
    </w:lvl>
    <w:lvl w:ilvl="7" w:tplc="04020003" w:tentative="1">
      <w:start w:val="1"/>
      <w:numFmt w:val="bullet"/>
      <w:lvlText w:val="o"/>
      <w:lvlJc w:val="left"/>
      <w:pPr>
        <w:ind w:left="6080" w:hanging="360"/>
      </w:pPr>
      <w:rPr>
        <w:rFonts w:ascii="Courier New" w:hAnsi="Courier New" w:cs="Courier New" w:hint="default"/>
      </w:rPr>
    </w:lvl>
    <w:lvl w:ilvl="8" w:tplc="04020005" w:tentative="1">
      <w:start w:val="1"/>
      <w:numFmt w:val="bullet"/>
      <w:lvlText w:val=""/>
      <w:lvlJc w:val="left"/>
      <w:pPr>
        <w:ind w:left="6800" w:hanging="360"/>
      </w:pPr>
      <w:rPr>
        <w:rFonts w:ascii="Wingdings" w:hAnsi="Wingdings" w:hint="default"/>
      </w:rPr>
    </w:lvl>
  </w:abstractNum>
  <w:abstractNum w:abstractNumId="33" w15:restartNumberingAfterBreak="0">
    <w:nsid w:val="6F3634D6"/>
    <w:multiLevelType w:val="hybridMultilevel"/>
    <w:tmpl w:val="C9C660E0"/>
    <w:lvl w:ilvl="0" w:tplc="07386596">
      <w:start w:val="1"/>
      <w:numFmt w:val="bullet"/>
      <w:lvlText w:val=""/>
      <w:lvlJc w:val="left"/>
      <w:pPr>
        <w:ind w:left="360" w:hanging="360"/>
      </w:pPr>
      <w:rPr>
        <w:rFonts w:ascii="Symbol" w:hAnsi="Symbol" w:hint="default"/>
        <w:color w:val="0D78CA" w:themeColor="background2" w:themeShade="80"/>
      </w:rPr>
    </w:lvl>
    <w:lvl w:ilvl="1" w:tplc="04020005">
      <w:start w:val="1"/>
      <w:numFmt w:val="bullet"/>
      <w:lvlText w:val=""/>
      <w:lvlJc w:val="left"/>
      <w:pPr>
        <w:ind w:left="1080" w:hanging="360"/>
      </w:pPr>
      <w:rPr>
        <w:rFonts w:ascii="Wingdings" w:hAnsi="Wingdings"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4" w15:restartNumberingAfterBreak="0">
    <w:nsid w:val="732B1534"/>
    <w:multiLevelType w:val="multilevel"/>
    <w:tmpl w:val="7290992A"/>
    <w:lvl w:ilvl="0">
      <w:start w:val="1"/>
      <w:numFmt w:val="bullet"/>
      <w:pStyle w:val="Heading4"/>
      <w:suff w:val="space"/>
      <w:lvlText w:val="─"/>
      <w:lvlJc w:val="left"/>
      <w:pPr>
        <w:ind w:left="0" w:firstLine="0"/>
      </w:pPr>
      <w:rPr>
        <w:rFonts w:ascii="Verdana" w:hAnsi="Verdana" w:hint="default"/>
        <w:color w:val="0D78CA" w:themeColor="background2"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76271656"/>
    <w:multiLevelType w:val="hybridMultilevel"/>
    <w:tmpl w:val="008EBDF0"/>
    <w:lvl w:ilvl="0" w:tplc="2FC2B302">
      <w:start w:val="1"/>
      <w:numFmt w:val="bullet"/>
      <w:lvlText w:val=""/>
      <w:lvlJc w:val="left"/>
      <w:pPr>
        <w:ind w:left="360" w:hanging="360"/>
      </w:pPr>
      <w:rPr>
        <w:rFonts w:ascii="Symbol" w:hAnsi="Symbol" w:hint="default"/>
        <w:color w:val="0D78CA" w:themeColor="background2" w:themeShade="80"/>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6" w15:restartNumberingAfterBreak="0">
    <w:nsid w:val="76515DF7"/>
    <w:multiLevelType w:val="hybridMultilevel"/>
    <w:tmpl w:val="4FB41FA4"/>
    <w:lvl w:ilvl="0" w:tplc="B0D2F6B0">
      <w:numFmt w:val="bullet"/>
      <w:lvlText w:val="-"/>
      <w:lvlJc w:val="left"/>
      <w:pPr>
        <w:ind w:left="6" w:hanging="360"/>
      </w:pPr>
      <w:rPr>
        <w:rFonts w:ascii="Times New Roman" w:eastAsia="Times New Roman" w:hAnsi="Times New Roman" w:cs="Times New Roman" w:hint="default"/>
      </w:rPr>
    </w:lvl>
    <w:lvl w:ilvl="1" w:tplc="04020003" w:tentative="1">
      <w:start w:val="1"/>
      <w:numFmt w:val="bullet"/>
      <w:lvlText w:val="o"/>
      <w:lvlJc w:val="left"/>
      <w:pPr>
        <w:ind w:left="726" w:hanging="360"/>
      </w:pPr>
      <w:rPr>
        <w:rFonts w:ascii="Courier New" w:hAnsi="Courier New" w:cs="Courier New" w:hint="default"/>
      </w:rPr>
    </w:lvl>
    <w:lvl w:ilvl="2" w:tplc="04020005" w:tentative="1">
      <w:start w:val="1"/>
      <w:numFmt w:val="bullet"/>
      <w:lvlText w:val=""/>
      <w:lvlJc w:val="left"/>
      <w:pPr>
        <w:ind w:left="1446" w:hanging="360"/>
      </w:pPr>
      <w:rPr>
        <w:rFonts w:ascii="Wingdings" w:hAnsi="Wingdings" w:hint="default"/>
      </w:rPr>
    </w:lvl>
    <w:lvl w:ilvl="3" w:tplc="04020001" w:tentative="1">
      <w:start w:val="1"/>
      <w:numFmt w:val="bullet"/>
      <w:lvlText w:val=""/>
      <w:lvlJc w:val="left"/>
      <w:pPr>
        <w:ind w:left="2166" w:hanging="360"/>
      </w:pPr>
      <w:rPr>
        <w:rFonts w:ascii="Symbol" w:hAnsi="Symbol" w:hint="default"/>
      </w:rPr>
    </w:lvl>
    <w:lvl w:ilvl="4" w:tplc="04020003" w:tentative="1">
      <w:start w:val="1"/>
      <w:numFmt w:val="bullet"/>
      <w:lvlText w:val="o"/>
      <w:lvlJc w:val="left"/>
      <w:pPr>
        <w:ind w:left="2886" w:hanging="360"/>
      </w:pPr>
      <w:rPr>
        <w:rFonts w:ascii="Courier New" w:hAnsi="Courier New" w:cs="Courier New" w:hint="default"/>
      </w:rPr>
    </w:lvl>
    <w:lvl w:ilvl="5" w:tplc="04020005" w:tentative="1">
      <w:start w:val="1"/>
      <w:numFmt w:val="bullet"/>
      <w:lvlText w:val=""/>
      <w:lvlJc w:val="left"/>
      <w:pPr>
        <w:ind w:left="3606" w:hanging="360"/>
      </w:pPr>
      <w:rPr>
        <w:rFonts w:ascii="Wingdings" w:hAnsi="Wingdings" w:hint="default"/>
      </w:rPr>
    </w:lvl>
    <w:lvl w:ilvl="6" w:tplc="04020001" w:tentative="1">
      <w:start w:val="1"/>
      <w:numFmt w:val="bullet"/>
      <w:lvlText w:val=""/>
      <w:lvlJc w:val="left"/>
      <w:pPr>
        <w:ind w:left="4326" w:hanging="360"/>
      </w:pPr>
      <w:rPr>
        <w:rFonts w:ascii="Symbol" w:hAnsi="Symbol" w:hint="default"/>
      </w:rPr>
    </w:lvl>
    <w:lvl w:ilvl="7" w:tplc="04020003" w:tentative="1">
      <w:start w:val="1"/>
      <w:numFmt w:val="bullet"/>
      <w:lvlText w:val="o"/>
      <w:lvlJc w:val="left"/>
      <w:pPr>
        <w:ind w:left="5046" w:hanging="360"/>
      </w:pPr>
      <w:rPr>
        <w:rFonts w:ascii="Courier New" w:hAnsi="Courier New" w:cs="Courier New" w:hint="default"/>
      </w:rPr>
    </w:lvl>
    <w:lvl w:ilvl="8" w:tplc="04020005" w:tentative="1">
      <w:start w:val="1"/>
      <w:numFmt w:val="bullet"/>
      <w:lvlText w:val=""/>
      <w:lvlJc w:val="left"/>
      <w:pPr>
        <w:ind w:left="5766" w:hanging="360"/>
      </w:pPr>
      <w:rPr>
        <w:rFonts w:ascii="Wingdings" w:hAnsi="Wingdings" w:hint="default"/>
      </w:rPr>
    </w:lvl>
  </w:abstractNum>
  <w:abstractNum w:abstractNumId="37" w15:restartNumberingAfterBreak="0">
    <w:nsid w:val="7CFC1DC8"/>
    <w:multiLevelType w:val="hybridMultilevel"/>
    <w:tmpl w:val="95428A5E"/>
    <w:lvl w:ilvl="0" w:tplc="7CBEE440">
      <w:numFmt w:val="bullet"/>
      <w:lvlText w:val="–"/>
      <w:lvlJc w:val="left"/>
      <w:pPr>
        <w:ind w:left="720" w:hanging="360"/>
      </w:pPr>
      <w:rPr>
        <w:rFonts w:ascii="Times New Roman" w:eastAsia="Times New Roman" w:hAnsi="Times New Roman" w:cs="Times New Roman"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BD10828A">
      <w:numFmt w:val="bullet"/>
      <w:lvlText w:val="-"/>
      <w:lvlJc w:val="left"/>
      <w:pPr>
        <w:ind w:left="3225" w:hanging="705"/>
      </w:pPr>
      <w:rPr>
        <w:rFonts w:ascii="Times New Roman" w:eastAsia="MS Mincho" w:hAnsi="Times New Roman" w:cs="Times New Roman"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8" w15:restartNumberingAfterBreak="0">
    <w:nsid w:val="7D8E100C"/>
    <w:multiLevelType w:val="hybridMultilevel"/>
    <w:tmpl w:val="E5DCD400"/>
    <w:lvl w:ilvl="0" w:tplc="3FF62432">
      <w:start w:val="1"/>
      <w:numFmt w:val="bullet"/>
      <w:lvlText w:val=""/>
      <w:lvlJc w:val="left"/>
      <w:pPr>
        <w:ind w:left="1080" w:hanging="360"/>
      </w:pPr>
      <w:rPr>
        <w:rFonts w:ascii="Symbol" w:hAnsi="Symbol" w:hint="default"/>
        <w:color w:val="4E67C8" w:themeColor="accent1"/>
      </w:rPr>
    </w:lvl>
    <w:lvl w:ilvl="1" w:tplc="49C4763E">
      <w:start w:val="1"/>
      <w:numFmt w:val="bullet"/>
      <w:pStyle w:val="ListParagraph2"/>
      <w:lvlText w:val=""/>
      <w:lvlJc w:val="left"/>
      <w:pPr>
        <w:ind w:left="1800" w:hanging="360"/>
      </w:pPr>
      <w:rPr>
        <w:rFonts w:ascii="Symbol" w:hAnsi="Symbol" w:hint="default"/>
        <w:color w:val="auto"/>
        <w:u w:color="C2260C" w:themeColor="accent6" w:themeShade="BF"/>
      </w:rPr>
    </w:lvl>
    <w:lvl w:ilvl="2" w:tplc="7CBEE440">
      <w:numFmt w:val="bullet"/>
      <w:lvlText w:val="–"/>
      <w:lvlJc w:val="left"/>
      <w:pPr>
        <w:ind w:left="2520" w:hanging="360"/>
      </w:pPr>
      <w:rPr>
        <w:rFonts w:ascii="Times New Roman" w:eastAsia="Times New Roman" w:hAnsi="Times New Roman" w:cs="Times New Roman"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 w15:restartNumberingAfterBreak="0">
    <w:nsid w:val="7DFB64CE"/>
    <w:multiLevelType w:val="hybridMultilevel"/>
    <w:tmpl w:val="00BC697A"/>
    <w:lvl w:ilvl="0" w:tplc="049C0E98">
      <w:start w:val="1"/>
      <w:numFmt w:val="bullet"/>
      <w:lvlText w:val=""/>
      <w:lvlJc w:val="left"/>
      <w:pPr>
        <w:ind w:left="360" w:hanging="360"/>
      </w:pPr>
      <w:rPr>
        <w:rFonts w:ascii="Symbol" w:hAnsi="Symbol" w:hint="default"/>
        <w:color w:val="0D78CA" w:themeColor="background2" w:themeShade="80"/>
      </w:rPr>
    </w:lvl>
    <w:lvl w:ilvl="1" w:tplc="04020003">
      <w:start w:val="1"/>
      <w:numFmt w:val="bullet"/>
      <w:lvlText w:val="o"/>
      <w:lvlJc w:val="left"/>
      <w:pPr>
        <w:ind w:left="1080" w:hanging="360"/>
      </w:pPr>
      <w:rPr>
        <w:rFonts w:ascii="Courier New" w:hAnsi="Courier New" w:cs="Courier New" w:hint="default"/>
      </w:rPr>
    </w:lvl>
    <w:lvl w:ilvl="2" w:tplc="04020005">
      <w:start w:val="1"/>
      <w:numFmt w:val="bullet"/>
      <w:lvlText w:val=""/>
      <w:lvlJc w:val="left"/>
      <w:pPr>
        <w:ind w:left="1800" w:hanging="360"/>
      </w:pPr>
      <w:rPr>
        <w:rFonts w:ascii="Wingdings" w:hAnsi="Wingdings" w:hint="default"/>
      </w:rPr>
    </w:lvl>
    <w:lvl w:ilvl="3" w:tplc="0402000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num w:numId="1">
    <w:abstractNumId w:val="19"/>
  </w:num>
  <w:num w:numId="2">
    <w:abstractNumId w:val="34"/>
  </w:num>
  <w:num w:numId="3">
    <w:abstractNumId w:val="38"/>
  </w:num>
  <w:num w:numId="4">
    <w:abstractNumId w:val="19"/>
    <w:lvlOverride w:ilvl="0">
      <w:startOverride w:val="4"/>
    </w:lvlOverride>
    <w:lvlOverride w:ilvl="1">
      <w:startOverride w:val="2"/>
    </w:lvlOverride>
  </w:num>
  <w:num w:numId="5">
    <w:abstractNumId w:val="0"/>
  </w:num>
  <w:num w:numId="6">
    <w:abstractNumId w:val="10"/>
  </w:num>
  <w:num w:numId="7">
    <w:abstractNumId w:val="36"/>
  </w:num>
  <w:num w:numId="8">
    <w:abstractNumId w:val="32"/>
  </w:num>
  <w:num w:numId="9">
    <w:abstractNumId w:val="17"/>
  </w:num>
  <w:num w:numId="10">
    <w:abstractNumId w:val="28"/>
  </w:num>
  <w:num w:numId="11">
    <w:abstractNumId w:val="6"/>
  </w:num>
  <w:num w:numId="12">
    <w:abstractNumId w:val="27"/>
  </w:num>
  <w:num w:numId="13">
    <w:abstractNumId w:val="29"/>
  </w:num>
  <w:num w:numId="14">
    <w:abstractNumId w:val="15"/>
  </w:num>
  <w:num w:numId="15">
    <w:abstractNumId w:val="11"/>
  </w:num>
  <w:num w:numId="16">
    <w:abstractNumId w:val="7"/>
  </w:num>
  <w:num w:numId="17">
    <w:abstractNumId w:val="4"/>
  </w:num>
  <w:num w:numId="18">
    <w:abstractNumId w:val="16"/>
  </w:num>
  <w:num w:numId="19">
    <w:abstractNumId w:val="24"/>
  </w:num>
  <w:num w:numId="20">
    <w:abstractNumId w:val="13"/>
  </w:num>
  <w:num w:numId="21">
    <w:abstractNumId w:val="30"/>
  </w:num>
  <w:num w:numId="22">
    <w:abstractNumId w:val="3"/>
  </w:num>
  <w:num w:numId="23">
    <w:abstractNumId w:val="1"/>
  </w:num>
  <w:num w:numId="24">
    <w:abstractNumId w:val="14"/>
  </w:num>
  <w:num w:numId="25">
    <w:abstractNumId w:val="26"/>
  </w:num>
  <w:num w:numId="26">
    <w:abstractNumId w:val="35"/>
  </w:num>
  <w:num w:numId="27">
    <w:abstractNumId w:val="8"/>
  </w:num>
  <w:num w:numId="28">
    <w:abstractNumId w:val="20"/>
  </w:num>
  <w:num w:numId="29">
    <w:abstractNumId w:val="33"/>
  </w:num>
  <w:num w:numId="30">
    <w:abstractNumId w:val="31"/>
  </w:num>
  <w:num w:numId="31">
    <w:abstractNumId w:val="23"/>
  </w:num>
  <w:num w:numId="32">
    <w:abstractNumId w:val="9"/>
  </w:num>
  <w:num w:numId="33">
    <w:abstractNumId w:val="12"/>
  </w:num>
  <w:num w:numId="34">
    <w:abstractNumId w:val="37"/>
  </w:num>
  <w:num w:numId="35">
    <w:abstractNumId w:val="21"/>
  </w:num>
  <w:num w:numId="36">
    <w:abstractNumId w:val="5"/>
  </w:num>
  <w:num w:numId="37">
    <w:abstractNumId w:val="39"/>
  </w:num>
  <w:num w:numId="38">
    <w:abstractNumId w:val="18"/>
  </w:num>
  <w:num w:numId="39">
    <w:abstractNumId w:val="25"/>
  </w:num>
  <w:num w:numId="40">
    <w:abstractNumId w:val="22"/>
  </w:num>
  <w:num w:numId="41">
    <w:abstractNumId w:val="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Grammatical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autoHyphenation/>
  <w:hyphenationZone w:val="425"/>
  <w:evenAndOddHeaders/>
  <w:characterSpacingControl w:val="doNotCompress"/>
  <w:hdrShapeDefaults>
    <o:shapedefaults v:ext="edit" spidmax="6963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59FF"/>
    <w:rsid w:val="000003D4"/>
    <w:rsid w:val="000008B6"/>
    <w:rsid w:val="00001026"/>
    <w:rsid w:val="00001ABD"/>
    <w:rsid w:val="00001C4E"/>
    <w:rsid w:val="00002265"/>
    <w:rsid w:val="00002271"/>
    <w:rsid w:val="000025DB"/>
    <w:rsid w:val="00002AB6"/>
    <w:rsid w:val="00002B11"/>
    <w:rsid w:val="00002F5C"/>
    <w:rsid w:val="000031B7"/>
    <w:rsid w:val="0000329A"/>
    <w:rsid w:val="000039D9"/>
    <w:rsid w:val="00003BE7"/>
    <w:rsid w:val="000057C8"/>
    <w:rsid w:val="00005B6E"/>
    <w:rsid w:val="0000646F"/>
    <w:rsid w:val="00006B06"/>
    <w:rsid w:val="00007A00"/>
    <w:rsid w:val="00007B25"/>
    <w:rsid w:val="00007B60"/>
    <w:rsid w:val="00007DE8"/>
    <w:rsid w:val="0001017A"/>
    <w:rsid w:val="0001033E"/>
    <w:rsid w:val="00010774"/>
    <w:rsid w:val="00010CA1"/>
    <w:rsid w:val="00011092"/>
    <w:rsid w:val="000112D6"/>
    <w:rsid w:val="00011B13"/>
    <w:rsid w:val="00011BCD"/>
    <w:rsid w:val="00012813"/>
    <w:rsid w:val="00013414"/>
    <w:rsid w:val="000136DF"/>
    <w:rsid w:val="00013B3A"/>
    <w:rsid w:val="00013BCD"/>
    <w:rsid w:val="00013C93"/>
    <w:rsid w:val="00013FEB"/>
    <w:rsid w:val="00014516"/>
    <w:rsid w:val="00014654"/>
    <w:rsid w:val="00014B20"/>
    <w:rsid w:val="00014BF2"/>
    <w:rsid w:val="00014E6D"/>
    <w:rsid w:val="00015070"/>
    <w:rsid w:val="00015164"/>
    <w:rsid w:val="0001516C"/>
    <w:rsid w:val="00015292"/>
    <w:rsid w:val="00015951"/>
    <w:rsid w:val="00015ACF"/>
    <w:rsid w:val="00016315"/>
    <w:rsid w:val="000168B3"/>
    <w:rsid w:val="00016BB3"/>
    <w:rsid w:val="000174C3"/>
    <w:rsid w:val="000201AC"/>
    <w:rsid w:val="000202A7"/>
    <w:rsid w:val="00020305"/>
    <w:rsid w:val="00020658"/>
    <w:rsid w:val="0002077E"/>
    <w:rsid w:val="00021378"/>
    <w:rsid w:val="00021615"/>
    <w:rsid w:val="00021985"/>
    <w:rsid w:val="00022009"/>
    <w:rsid w:val="000222B0"/>
    <w:rsid w:val="0002274C"/>
    <w:rsid w:val="00022CBC"/>
    <w:rsid w:val="00023139"/>
    <w:rsid w:val="00023B65"/>
    <w:rsid w:val="00023D32"/>
    <w:rsid w:val="00023EA1"/>
    <w:rsid w:val="00024358"/>
    <w:rsid w:val="000245AF"/>
    <w:rsid w:val="000248A9"/>
    <w:rsid w:val="000249B0"/>
    <w:rsid w:val="00024C81"/>
    <w:rsid w:val="00024ED7"/>
    <w:rsid w:val="000251A8"/>
    <w:rsid w:val="00026337"/>
    <w:rsid w:val="00026548"/>
    <w:rsid w:val="00026748"/>
    <w:rsid w:val="00026A44"/>
    <w:rsid w:val="00026B20"/>
    <w:rsid w:val="00027A92"/>
    <w:rsid w:val="00030135"/>
    <w:rsid w:val="000301C7"/>
    <w:rsid w:val="0003034E"/>
    <w:rsid w:val="000305F3"/>
    <w:rsid w:val="000308C7"/>
    <w:rsid w:val="00031041"/>
    <w:rsid w:val="000310D0"/>
    <w:rsid w:val="00031455"/>
    <w:rsid w:val="00031468"/>
    <w:rsid w:val="00031829"/>
    <w:rsid w:val="000319B1"/>
    <w:rsid w:val="00031A0B"/>
    <w:rsid w:val="00031C79"/>
    <w:rsid w:val="00032047"/>
    <w:rsid w:val="00032157"/>
    <w:rsid w:val="000321A7"/>
    <w:rsid w:val="000324B1"/>
    <w:rsid w:val="00032554"/>
    <w:rsid w:val="00033391"/>
    <w:rsid w:val="00033A82"/>
    <w:rsid w:val="00033B20"/>
    <w:rsid w:val="00033B25"/>
    <w:rsid w:val="00034A57"/>
    <w:rsid w:val="00034D91"/>
    <w:rsid w:val="00034DCE"/>
    <w:rsid w:val="00034FEC"/>
    <w:rsid w:val="00035D40"/>
    <w:rsid w:val="00036054"/>
    <w:rsid w:val="0003623D"/>
    <w:rsid w:val="000362A2"/>
    <w:rsid w:val="00036BD1"/>
    <w:rsid w:val="00037241"/>
    <w:rsid w:val="00037772"/>
    <w:rsid w:val="00037E5E"/>
    <w:rsid w:val="00040A95"/>
    <w:rsid w:val="00040D02"/>
    <w:rsid w:val="00040D6E"/>
    <w:rsid w:val="00041001"/>
    <w:rsid w:val="00041092"/>
    <w:rsid w:val="000410ED"/>
    <w:rsid w:val="00041378"/>
    <w:rsid w:val="00042137"/>
    <w:rsid w:val="0004233B"/>
    <w:rsid w:val="0004255F"/>
    <w:rsid w:val="00042905"/>
    <w:rsid w:val="000429DB"/>
    <w:rsid w:val="00042BA3"/>
    <w:rsid w:val="0004332D"/>
    <w:rsid w:val="0004339D"/>
    <w:rsid w:val="000434E1"/>
    <w:rsid w:val="0004352D"/>
    <w:rsid w:val="0004385D"/>
    <w:rsid w:val="00044066"/>
    <w:rsid w:val="000453FD"/>
    <w:rsid w:val="00045E95"/>
    <w:rsid w:val="00046164"/>
    <w:rsid w:val="0004617A"/>
    <w:rsid w:val="000471E2"/>
    <w:rsid w:val="00050626"/>
    <w:rsid w:val="00050C22"/>
    <w:rsid w:val="000510E4"/>
    <w:rsid w:val="00051119"/>
    <w:rsid w:val="00051E4B"/>
    <w:rsid w:val="000521E4"/>
    <w:rsid w:val="00052238"/>
    <w:rsid w:val="0005226E"/>
    <w:rsid w:val="000524F6"/>
    <w:rsid w:val="00052FE3"/>
    <w:rsid w:val="0005327D"/>
    <w:rsid w:val="0005372B"/>
    <w:rsid w:val="0005379A"/>
    <w:rsid w:val="00053AA4"/>
    <w:rsid w:val="00053B23"/>
    <w:rsid w:val="00053C14"/>
    <w:rsid w:val="00053C34"/>
    <w:rsid w:val="00054028"/>
    <w:rsid w:val="0005561D"/>
    <w:rsid w:val="00055B5D"/>
    <w:rsid w:val="00056063"/>
    <w:rsid w:val="0005652B"/>
    <w:rsid w:val="00056890"/>
    <w:rsid w:val="00056E1B"/>
    <w:rsid w:val="00056E6C"/>
    <w:rsid w:val="000573B4"/>
    <w:rsid w:val="0005795A"/>
    <w:rsid w:val="00057D0D"/>
    <w:rsid w:val="000605FA"/>
    <w:rsid w:val="0006133B"/>
    <w:rsid w:val="000616B3"/>
    <w:rsid w:val="00061A29"/>
    <w:rsid w:val="00061CC4"/>
    <w:rsid w:val="00061F87"/>
    <w:rsid w:val="00061FB3"/>
    <w:rsid w:val="000620FC"/>
    <w:rsid w:val="000621A8"/>
    <w:rsid w:val="00062373"/>
    <w:rsid w:val="00062511"/>
    <w:rsid w:val="00062B4E"/>
    <w:rsid w:val="0006306B"/>
    <w:rsid w:val="0006341B"/>
    <w:rsid w:val="000637C5"/>
    <w:rsid w:val="00063F12"/>
    <w:rsid w:val="000644E0"/>
    <w:rsid w:val="000645B0"/>
    <w:rsid w:val="0006464A"/>
    <w:rsid w:val="00064937"/>
    <w:rsid w:val="00064DE9"/>
    <w:rsid w:val="00065261"/>
    <w:rsid w:val="000662BB"/>
    <w:rsid w:val="0006776B"/>
    <w:rsid w:val="00067B4C"/>
    <w:rsid w:val="00070115"/>
    <w:rsid w:val="000701DC"/>
    <w:rsid w:val="00070E13"/>
    <w:rsid w:val="000713A2"/>
    <w:rsid w:val="0007187C"/>
    <w:rsid w:val="00072948"/>
    <w:rsid w:val="00072D8D"/>
    <w:rsid w:val="0007357F"/>
    <w:rsid w:val="000739B2"/>
    <w:rsid w:val="00073B22"/>
    <w:rsid w:val="00073C8B"/>
    <w:rsid w:val="00073E8B"/>
    <w:rsid w:val="00074FC9"/>
    <w:rsid w:val="00075526"/>
    <w:rsid w:val="000758CE"/>
    <w:rsid w:val="00075C15"/>
    <w:rsid w:val="00076065"/>
    <w:rsid w:val="00076436"/>
    <w:rsid w:val="0007682A"/>
    <w:rsid w:val="000771E0"/>
    <w:rsid w:val="000775E9"/>
    <w:rsid w:val="00077696"/>
    <w:rsid w:val="00077771"/>
    <w:rsid w:val="00077B41"/>
    <w:rsid w:val="00077B93"/>
    <w:rsid w:val="00077D93"/>
    <w:rsid w:val="00077F16"/>
    <w:rsid w:val="00080529"/>
    <w:rsid w:val="00080BB8"/>
    <w:rsid w:val="00081138"/>
    <w:rsid w:val="00081704"/>
    <w:rsid w:val="00081E70"/>
    <w:rsid w:val="00081F7B"/>
    <w:rsid w:val="00083106"/>
    <w:rsid w:val="0008342F"/>
    <w:rsid w:val="00083912"/>
    <w:rsid w:val="00083E44"/>
    <w:rsid w:val="000840F0"/>
    <w:rsid w:val="000843BA"/>
    <w:rsid w:val="000856AB"/>
    <w:rsid w:val="00085BA9"/>
    <w:rsid w:val="00085DEA"/>
    <w:rsid w:val="00085EF7"/>
    <w:rsid w:val="000862C7"/>
    <w:rsid w:val="0008659A"/>
    <w:rsid w:val="000867B0"/>
    <w:rsid w:val="00086DED"/>
    <w:rsid w:val="0008700F"/>
    <w:rsid w:val="0008708A"/>
    <w:rsid w:val="00087184"/>
    <w:rsid w:val="00087665"/>
    <w:rsid w:val="000876E7"/>
    <w:rsid w:val="00087BFB"/>
    <w:rsid w:val="00087CDB"/>
    <w:rsid w:val="00087DEE"/>
    <w:rsid w:val="00090633"/>
    <w:rsid w:val="000907BA"/>
    <w:rsid w:val="00090844"/>
    <w:rsid w:val="000910AD"/>
    <w:rsid w:val="000912EF"/>
    <w:rsid w:val="000915CB"/>
    <w:rsid w:val="000917D8"/>
    <w:rsid w:val="00091882"/>
    <w:rsid w:val="00091E35"/>
    <w:rsid w:val="00091E3B"/>
    <w:rsid w:val="000923CA"/>
    <w:rsid w:val="000927E4"/>
    <w:rsid w:val="00092944"/>
    <w:rsid w:val="000936FC"/>
    <w:rsid w:val="000937BA"/>
    <w:rsid w:val="00093CD9"/>
    <w:rsid w:val="00093FD6"/>
    <w:rsid w:val="000945F4"/>
    <w:rsid w:val="0009466C"/>
    <w:rsid w:val="000946FC"/>
    <w:rsid w:val="000947E4"/>
    <w:rsid w:val="00094DF8"/>
    <w:rsid w:val="0009503D"/>
    <w:rsid w:val="000956F0"/>
    <w:rsid w:val="000957DA"/>
    <w:rsid w:val="00095E50"/>
    <w:rsid w:val="00096118"/>
    <w:rsid w:val="0009611A"/>
    <w:rsid w:val="000967EC"/>
    <w:rsid w:val="00096D56"/>
    <w:rsid w:val="00096F5A"/>
    <w:rsid w:val="00097715"/>
    <w:rsid w:val="00097AE0"/>
    <w:rsid w:val="000A015E"/>
    <w:rsid w:val="000A055F"/>
    <w:rsid w:val="000A0B8C"/>
    <w:rsid w:val="000A0D4B"/>
    <w:rsid w:val="000A100B"/>
    <w:rsid w:val="000A101B"/>
    <w:rsid w:val="000A1605"/>
    <w:rsid w:val="000A19A3"/>
    <w:rsid w:val="000A1BAE"/>
    <w:rsid w:val="000A278D"/>
    <w:rsid w:val="000A28B4"/>
    <w:rsid w:val="000A28D3"/>
    <w:rsid w:val="000A2909"/>
    <w:rsid w:val="000A2B53"/>
    <w:rsid w:val="000A2DE6"/>
    <w:rsid w:val="000A302A"/>
    <w:rsid w:val="000A33D2"/>
    <w:rsid w:val="000A34D6"/>
    <w:rsid w:val="000A3892"/>
    <w:rsid w:val="000A3BA0"/>
    <w:rsid w:val="000A44A3"/>
    <w:rsid w:val="000A451B"/>
    <w:rsid w:val="000A4600"/>
    <w:rsid w:val="000A4A0E"/>
    <w:rsid w:val="000A4A34"/>
    <w:rsid w:val="000A4F49"/>
    <w:rsid w:val="000A5269"/>
    <w:rsid w:val="000A57F8"/>
    <w:rsid w:val="000A5E7F"/>
    <w:rsid w:val="000A6095"/>
    <w:rsid w:val="000A6576"/>
    <w:rsid w:val="000A6642"/>
    <w:rsid w:val="000A6978"/>
    <w:rsid w:val="000A6DA2"/>
    <w:rsid w:val="000A7075"/>
    <w:rsid w:val="000A742D"/>
    <w:rsid w:val="000A76E8"/>
    <w:rsid w:val="000A7B13"/>
    <w:rsid w:val="000B0CB4"/>
    <w:rsid w:val="000B24DC"/>
    <w:rsid w:val="000B25DA"/>
    <w:rsid w:val="000B27D6"/>
    <w:rsid w:val="000B2B63"/>
    <w:rsid w:val="000B2E51"/>
    <w:rsid w:val="000B2FB4"/>
    <w:rsid w:val="000B345E"/>
    <w:rsid w:val="000B3666"/>
    <w:rsid w:val="000B397E"/>
    <w:rsid w:val="000B3A42"/>
    <w:rsid w:val="000B3E3B"/>
    <w:rsid w:val="000B43A8"/>
    <w:rsid w:val="000B4BE1"/>
    <w:rsid w:val="000B5150"/>
    <w:rsid w:val="000B5312"/>
    <w:rsid w:val="000B5346"/>
    <w:rsid w:val="000B5414"/>
    <w:rsid w:val="000B5BA9"/>
    <w:rsid w:val="000B5DFE"/>
    <w:rsid w:val="000B5E06"/>
    <w:rsid w:val="000B5EEF"/>
    <w:rsid w:val="000B640B"/>
    <w:rsid w:val="000B6883"/>
    <w:rsid w:val="000B69FE"/>
    <w:rsid w:val="000B6F1B"/>
    <w:rsid w:val="000B726C"/>
    <w:rsid w:val="000B769D"/>
    <w:rsid w:val="000C0639"/>
    <w:rsid w:val="000C0800"/>
    <w:rsid w:val="000C139F"/>
    <w:rsid w:val="000C2572"/>
    <w:rsid w:val="000C2586"/>
    <w:rsid w:val="000C2BAB"/>
    <w:rsid w:val="000C2DDB"/>
    <w:rsid w:val="000C2F04"/>
    <w:rsid w:val="000C342F"/>
    <w:rsid w:val="000C34B5"/>
    <w:rsid w:val="000C3504"/>
    <w:rsid w:val="000C364E"/>
    <w:rsid w:val="000C366A"/>
    <w:rsid w:val="000C36E2"/>
    <w:rsid w:val="000C3E6A"/>
    <w:rsid w:val="000C3F8C"/>
    <w:rsid w:val="000C3F9B"/>
    <w:rsid w:val="000C4142"/>
    <w:rsid w:val="000C421D"/>
    <w:rsid w:val="000C4325"/>
    <w:rsid w:val="000C5581"/>
    <w:rsid w:val="000C565C"/>
    <w:rsid w:val="000C57E3"/>
    <w:rsid w:val="000C5DEC"/>
    <w:rsid w:val="000C6169"/>
    <w:rsid w:val="000C6374"/>
    <w:rsid w:val="000C6408"/>
    <w:rsid w:val="000C6743"/>
    <w:rsid w:val="000C67F5"/>
    <w:rsid w:val="000C6AEB"/>
    <w:rsid w:val="000C6CD6"/>
    <w:rsid w:val="000C6D3A"/>
    <w:rsid w:val="000C72C8"/>
    <w:rsid w:val="000C72EE"/>
    <w:rsid w:val="000C73E7"/>
    <w:rsid w:val="000C7836"/>
    <w:rsid w:val="000C7ABB"/>
    <w:rsid w:val="000C7E42"/>
    <w:rsid w:val="000C7F62"/>
    <w:rsid w:val="000D0584"/>
    <w:rsid w:val="000D0892"/>
    <w:rsid w:val="000D0987"/>
    <w:rsid w:val="000D102A"/>
    <w:rsid w:val="000D1925"/>
    <w:rsid w:val="000D2052"/>
    <w:rsid w:val="000D2690"/>
    <w:rsid w:val="000D27B7"/>
    <w:rsid w:val="000D2921"/>
    <w:rsid w:val="000D2BAD"/>
    <w:rsid w:val="000D2C6C"/>
    <w:rsid w:val="000D2F15"/>
    <w:rsid w:val="000D3870"/>
    <w:rsid w:val="000D3B91"/>
    <w:rsid w:val="000D4239"/>
    <w:rsid w:val="000D4244"/>
    <w:rsid w:val="000D4A01"/>
    <w:rsid w:val="000D4C26"/>
    <w:rsid w:val="000D4C49"/>
    <w:rsid w:val="000D4E6F"/>
    <w:rsid w:val="000D503F"/>
    <w:rsid w:val="000D55DE"/>
    <w:rsid w:val="000D5C22"/>
    <w:rsid w:val="000D5F99"/>
    <w:rsid w:val="000D628E"/>
    <w:rsid w:val="000D6A22"/>
    <w:rsid w:val="000D6E1A"/>
    <w:rsid w:val="000D72AA"/>
    <w:rsid w:val="000D72FC"/>
    <w:rsid w:val="000D75A8"/>
    <w:rsid w:val="000D75C5"/>
    <w:rsid w:val="000D7BDF"/>
    <w:rsid w:val="000D7DF8"/>
    <w:rsid w:val="000D7E8A"/>
    <w:rsid w:val="000E0D0D"/>
    <w:rsid w:val="000E0D16"/>
    <w:rsid w:val="000E14BB"/>
    <w:rsid w:val="000E18BD"/>
    <w:rsid w:val="000E1EFF"/>
    <w:rsid w:val="000E203B"/>
    <w:rsid w:val="000E2146"/>
    <w:rsid w:val="000E24DC"/>
    <w:rsid w:val="000E341D"/>
    <w:rsid w:val="000E364E"/>
    <w:rsid w:val="000E3B6A"/>
    <w:rsid w:val="000E3C32"/>
    <w:rsid w:val="000E3DA0"/>
    <w:rsid w:val="000E4274"/>
    <w:rsid w:val="000E42D9"/>
    <w:rsid w:val="000E4348"/>
    <w:rsid w:val="000E488F"/>
    <w:rsid w:val="000E4ECE"/>
    <w:rsid w:val="000E526A"/>
    <w:rsid w:val="000E68B2"/>
    <w:rsid w:val="000E6999"/>
    <w:rsid w:val="000E6A2F"/>
    <w:rsid w:val="000E6DA4"/>
    <w:rsid w:val="000E6FAA"/>
    <w:rsid w:val="000F033A"/>
    <w:rsid w:val="000F06F7"/>
    <w:rsid w:val="000F0DB3"/>
    <w:rsid w:val="000F0F9D"/>
    <w:rsid w:val="000F1A3C"/>
    <w:rsid w:val="000F1AC6"/>
    <w:rsid w:val="000F1E36"/>
    <w:rsid w:val="000F1E3A"/>
    <w:rsid w:val="000F2060"/>
    <w:rsid w:val="000F2064"/>
    <w:rsid w:val="000F259E"/>
    <w:rsid w:val="000F27A2"/>
    <w:rsid w:val="000F2C2D"/>
    <w:rsid w:val="000F30ED"/>
    <w:rsid w:val="000F312A"/>
    <w:rsid w:val="000F31B2"/>
    <w:rsid w:val="000F32AF"/>
    <w:rsid w:val="000F39E9"/>
    <w:rsid w:val="000F3A04"/>
    <w:rsid w:val="000F3D28"/>
    <w:rsid w:val="000F3D3F"/>
    <w:rsid w:val="000F4063"/>
    <w:rsid w:val="000F4148"/>
    <w:rsid w:val="000F4753"/>
    <w:rsid w:val="000F47DD"/>
    <w:rsid w:val="000F49F0"/>
    <w:rsid w:val="000F5147"/>
    <w:rsid w:val="000F56BD"/>
    <w:rsid w:val="000F5C48"/>
    <w:rsid w:val="000F5CC3"/>
    <w:rsid w:val="000F6260"/>
    <w:rsid w:val="000F6398"/>
    <w:rsid w:val="000F65D3"/>
    <w:rsid w:val="000F67C5"/>
    <w:rsid w:val="000F6814"/>
    <w:rsid w:val="000F6835"/>
    <w:rsid w:val="000F6EAC"/>
    <w:rsid w:val="000F7657"/>
    <w:rsid w:val="000F76FE"/>
    <w:rsid w:val="000F789E"/>
    <w:rsid w:val="000F7DA8"/>
    <w:rsid w:val="000F7F03"/>
    <w:rsid w:val="000F7FAA"/>
    <w:rsid w:val="0010018E"/>
    <w:rsid w:val="00100513"/>
    <w:rsid w:val="0010076C"/>
    <w:rsid w:val="00100A44"/>
    <w:rsid w:val="00100B80"/>
    <w:rsid w:val="00100FC7"/>
    <w:rsid w:val="00100FDD"/>
    <w:rsid w:val="00101039"/>
    <w:rsid w:val="001017D7"/>
    <w:rsid w:val="00101BA7"/>
    <w:rsid w:val="00101BDD"/>
    <w:rsid w:val="00101CC6"/>
    <w:rsid w:val="00102895"/>
    <w:rsid w:val="00102970"/>
    <w:rsid w:val="00102EAD"/>
    <w:rsid w:val="001030F0"/>
    <w:rsid w:val="0010374D"/>
    <w:rsid w:val="0010419B"/>
    <w:rsid w:val="001042E5"/>
    <w:rsid w:val="00104923"/>
    <w:rsid w:val="00104A10"/>
    <w:rsid w:val="00104B99"/>
    <w:rsid w:val="00104E1B"/>
    <w:rsid w:val="0010509B"/>
    <w:rsid w:val="00105227"/>
    <w:rsid w:val="001052A8"/>
    <w:rsid w:val="001059DA"/>
    <w:rsid w:val="00106588"/>
    <w:rsid w:val="00106E2C"/>
    <w:rsid w:val="00107729"/>
    <w:rsid w:val="001101AC"/>
    <w:rsid w:val="0011079F"/>
    <w:rsid w:val="00110CAB"/>
    <w:rsid w:val="0011115A"/>
    <w:rsid w:val="00111427"/>
    <w:rsid w:val="00111CBA"/>
    <w:rsid w:val="00111D00"/>
    <w:rsid w:val="00112C87"/>
    <w:rsid w:val="00112D71"/>
    <w:rsid w:val="0011330D"/>
    <w:rsid w:val="00113528"/>
    <w:rsid w:val="001136AF"/>
    <w:rsid w:val="0011370A"/>
    <w:rsid w:val="0011423F"/>
    <w:rsid w:val="00114466"/>
    <w:rsid w:val="00114A2A"/>
    <w:rsid w:val="00114C77"/>
    <w:rsid w:val="00115191"/>
    <w:rsid w:val="00115360"/>
    <w:rsid w:val="00115415"/>
    <w:rsid w:val="001158A2"/>
    <w:rsid w:val="00115C93"/>
    <w:rsid w:val="00115E5C"/>
    <w:rsid w:val="00115FBF"/>
    <w:rsid w:val="001165A4"/>
    <w:rsid w:val="00117089"/>
    <w:rsid w:val="001172AC"/>
    <w:rsid w:val="001173CF"/>
    <w:rsid w:val="00117731"/>
    <w:rsid w:val="00117D95"/>
    <w:rsid w:val="00117FF7"/>
    <w:rsid w:val="00120334"/>
    <w:rsid w:val="001204BE"/>
    <w:rsid w:val="00120A6A"/>
    <w:rsid w:val="00120DB9"/>
    <w:rsid w:val="00121498"/>
    <w:rsid w:val="00121BA0"/>
    <w:rsid w:val="0012233C"/>
    <w:rsid w:val="001224EF"/>
    <w:rsid w:val="0012335F"/>
    <w:rsid w:val="00123975"/>
    <w:rsid w:val="00123C4B"/>
    <w:rsid w:val="00124AF3"/>
    <w:rsid w:val="00124B55"/>
    <w:rsid w:val="00124D54"/>
    <w:rsid w:val="00125450"/>
    <w:rsid w:val="001254DE"/>
    <w:rsid w:val="001256D5"/>
    <w:rsid w:val="00125862"/>
    <w:rsid w:val="00126205"/>
    <w:rsid w:val="00126742"/>
    <w:rsid w:val="0012676A"/>
    <w:rsid w:val="00126F88"/>
    <w:rsid w:val="001273A9"/>
    <w:rsid w:val="00127454"/>
    <w:rsid w:val="001275E4"/>
    <w:rsid w:val="001277B5"/>
    <w:rsid w:val="00127971"/>
    <w:rsid w:val="0013015A"/>
    <w:rsid w:val="00130385"/>
    <w:rsid w:val="00130599"/>
    <w:rsid w:val="00130981"/>
    <w:rsid w:val="00130D23"/>
    <w:rsid w:val="00130F4B"/>
    <w:rsid w:val="00131B71"/>
    <w:rsid w:val="001325FC"/>
    <w:rsid w:val="001326A2"/>
    <w:rsid w:val="00132746"/>
    <w:rsid w:val="0013352F"/>
    <w:rsid w:val="001335BA"/>
    <w:rsid w:val="00133B52"/>
    <w:rsid w:val="00133EB1"/>
    <w:rsid w:val="00134576"/>
    <w:rsid w:val="001346E8"/>
    <w:rsid w:val="00134B9C"/>
    <w:rsid w:val="00134D47"/>
    <w:rsid w:val="00135082"/>
    <w:rsid w:val="001351C1"/>
    <w:rsid w:val="001355BA"/>
    <w:rsid w:val="00135689"/>
    <w:rsid w:val="00135DF0"/>
    <w:rsid w:val="00135E64"/>
    <w:rsid w:val="00136438"/>
    <w:rsid w:val="001364E0"/>
    <w:rsid w:val="001366BB"/>
    <w:rsid w:val="00136A1F"/>
    <w:rsid w:val="00136CC7"/>
    <w:rsid w:val="0013705E"/>
    <w:rsid w:val="00137631"/>
    <w:rsid w:val="00137916"/>
    <w:rsid w:val="00137996"/>
    <w:rsid w:val="00137A8B"/>
    <w:rsid w:val="00137B1B"/>
    <w:rsid w:val="001400CB"/>
    <w:rsid w:val="0014047F"/>
    <w:rsid w:val="00140657"/>
    <w:rsid w:val="001412FB"/>
    <w:rsid w:val="001416D4"/>
    <w:rsid w:val="001418CC"/>
    <w:rsid w:val="00141D5B"/>
    <w:rsid w:val="00141D93"/>
    <w:rsid w:val="00142067"/>
    <w:rsid w:val="001420D2"/>
    <w:rsid w:val="001426D9"/>
    <w:rsid w:val="00142707"/>
    <w:rsid w:val="001429B1"/>
    <w:rsid w:val="00142AB9"/>
    <w:rsid w:val="0014349B"/>
    <w:rsid w:val="0014352C"/>
    <w:rsid w:val="001439AB"/>
    <w:rsid w:val="00143A09"/>
    <w:rsid w:val="00144C5A"/>
    <w:rsid w:val="001450C1"/>
    <w:rsid w:val="001454AE"/>
    <w:rsid w:val="00145AD5"/>
    <w:rsid w:val="00145C8C"/>
    <w:rsid w:val="00147118"/>
    <w:rsid w:val="001473CD"/>
    <w:rsid w:val="0015023D"/>
    <w:rsid w:val="00150297"/>
    <w:rsid w:val="00150B55"/>
    <w:rsid w:val="0015111D"/>
    <w:rsid w:val="00151774"/>
    <w:rsid w:val="00151FC4"/>
    <w:rsid w:val="00152152"/>
    <w:rsid w:val="001522D9"/>
    <w:rsid w:val="0015230B"/>
    <w:rsid w:val="00152712"/>
    <w:rsid w:val="00152C95"/>
    <w:rsid w:val="00152F69"/>
    <w:rsid w:val="001530B8"/>
    <w:rsid w:val="001534EA"/>
    <w:rsid w:val="00153B35"/>
    <w:rsid w:val="00153D9E"/>
    <w:rsid w:val="00154372"/>
    <w:rsid w:val="00154397"/>
    <w:rsid w:val="0015538E"/>
    <w:rsid w:val="00155401"/>
    <w:rsid w:val="001555CD"/>
    <w:rsid w:val="00155600"/>
    <w:rsid w:val="0015561D"/>
    <w:rsid w:val="00155AB9"/>
    <w:rsid w:val="00156669"/>
    <w:rsid w:val="00156847"/>
    <w:rsid w:val="00157736"/>
    <w:rsid w:val="00157ECD"/>
    <w:rsid w:val="00157F9A"/>
    <w:rsid w:val="001601D3"/>
    <w:rsid w:val="001606B9"/>
    <w:rsid w:val="0016098A"/>
    <w:rsid w:val="0016138B"/>
    <w:rsid w:val="00161583"/>
    <w:rsid w:val="00161A91"/>
    <w:rsid w:val="00161F61"/>
    <w:rsid w:val="0016210B"/>
    <w:rsid w:val="0016224D"/>
    <w:rsid w:val="001623F9"/>
    <w:rsid w:val="00162899"/>
    <w:rsid w:val="001629D5"/>
    <w:rsid w:val="00162E4E"/>
    <w:rsid w:val="00163210"/>
    <w:rsid w:val="00163823"/>
    <w:rsid w:val="00163830"/>
    <w:rsid w:val="00163C1E"/>
    <w:rsid w:val="00163D52"/>
    <w:rsid w:val="00163F09"/>
    <w:rsid w:val="0016439C"/>
    <w:rsid w:val="001646C0"/>
    <w:rsid w:val="001648C5"/>
    <w:rsid w:val="00164C37"/>
    <w:rsid w:val="00164D75"/>
    <w:rsid w:val="00164F2C"/>
    <w:rsid w:val="0016536D"/>
    <w:rsid w:val="0016561E"/>
    <w:rsid w:val="00165946"/>
    <w:rsid w:val="00165AC8"/>
    <w:rsid w:val="00165C3B"/>
    <w:rsid w:val="00165CA5"/>
    <w:rsid w:val="00166650"/>
    <w:rsid w:val="00166712"/>
    <w:rsid w:val="001674F7"/>
    <w:rsid w:val="00167594"/>
    <w:rsid w:val="001676F4"/>
    <w:rsid w:val="00167C57"/>
    <w:rsid w:val="00167E91"/>
    <w:rsid w:val="001708A4"/>
    <w:rsid w:val="00170A09"/>
    <w:rsid w:val="00170D6D"/>
    <w:rsid w:val="00171525"/>
    <w:rsid w:val="00171AF6"/>
    <w:rsid w:val="00171B8A"/>
    <w:rsid w:val="001726D8"/>
    <w:rsid w:val="00172958"/>
    <w:rsid w:val="00172E29"/>
    <w:rsid w:val="001733ED"/>
    <w:rsid w:val="0017344F"/>
    <w:rsid w:val="001736A1"/>
    <w:rsid w:val="001736D4"/>
    <w:rsid w:val="00174527"/>
    <w:rsid w:val="001745DE"/>
    <w:rsid w:val="001746D7"/>
    <w:rsid w:val="0017552F"/>
    <w:rsid w:val="001758AE"/>
    <w:rsid w:val="00175A18"/>
    <w:rsid w:val="00175D9E"/>
    <w:rsid w:val="00176000"/>
    <w:rsid w:val="0017620E"/>
    <w:rsid w:val="00176605"/>
    <w:rsid w:val="001767E2"/>
    <w:rsid w:val="00176A63"/>
    <w:rsid w:val="0017786B"/>
    <w:rsid w:val="00177943"/>
    <w:rsid w:val="0018036F"/>
    <w:rsid w:val="00180B52"/>
    <w:rsid w:val="00181369"/>
    <w:rsid w:val="00181550"/>
    <w:rsid w:val="00181847"/>
    <w:rsid w:val="00181E48"/>
    <w:rsid w:val="0018260E"/>
    <w:rsid w:val="00182721"/>
    <w:rsid w:val="0018297C"/>
    <w:rsid w:val="001829CC"/>
    <w:rsid w:val="00182F1C"/>
    <w:rsid w:val="00183327"/>
    <w:rsid w:val="00183F90"/>
    <w:rsid w:val="001840B5"/>
    <w:rsid w:val="00184669"/>
    <w:rsid w:val="00185296"/>
    <w:rsid w:val="00185504"/>
    <w:rsid w:val="00185864"/>
    <w:rsid w:val="0018597F"/>
    <w:rsid w:val="00185C5F"/>
    <w:rsid w:val="001863B2"/>
    <w:rsid w:val="001865B5"/>
    <w:rsid w:val="0018660C"/>
    <w:rsid w:val="0018671E"/>
    <w:rsid w:val="001867DD"/>
    <w:rsid w:val="00187054"/>
    <w:rsid w:val="0018759A"/>
    <w:rsid w:val="001876B7"/>
    <w:rsid w:val="0018789F"/>
    <w:rsid w:val="00187E02"/>
    <w:rsid w:val="00187F3F"/>
    <w:rsid w:val="0019005B"/>
    <w:rsid w:val="001909DD"/>
    <w:rsid w:val="00190D3F"/>
    <w:rsid w:val="0019115B"/>
    <w:rsid w:val="0019142D"/>
    <w:rsid w:val="001919EE"/>
    <w:rsid w:val="00191ED1"/>
    <w:rsid w:val="0019228E"/>
    <w:rsid w:val="001922E2"/>
    <w:rsid w:val="001928D0"/>
    <w:rsid w:val="001929C1"/>
    <w:rsid w:val="001929F6"/>
    <w:rsid w:val="0019385D"/>
    <w:rsid w:val="001942F0"/>
    <w:rsid w:val="0019437A"/>
    <w:rsid w:val="00194437"/>
    <w:rsid w:val="00194771"/>
    <w:rsid w:val="001947A7"/>
    <w:rsid w:val="00194ADB"/>
    <w:rsid w:val="0019525C"/>
    <w:rsid w:val="001953EF"/>
    <w:rsid w:val="001957E2"/>
    <w:rsid w:val="00195A0D"/>
    <w:rsid w:val="00195A87"/>
    <w:rsid w:val="00195D8D"/>
    <w:rsid w:val="00195EED"/>
    <w:rsid w:val="00196745"/>
    <w:rsid w:val="0019731C"/>
    <w:rsid w:val="00197707"/>
    <w:rsid w:val="00197C97"/>
    <w:rsid w:val="001A01A8"/>
    <w:rsid w:val="001A0309"/>
    <w:rsid w:val="001A0355"/>
    <w:rsid w:val="001A074F"/>
    <w:rsid w:val="001A07DB"/>
    <w:rsid w:val="001A0D63"/>
    <w:rsid w:val="001A0E62"/>
    <w:rsid w:val="001A0F8F"/>
    <w:rsid w:val="001A0FBA"/>
    <w:rsid w:val="001A1422"/>
    <w:rsid w:val="001A1448"/>
    <w:rsid w:val="001A255E"/>
    <w:rsid w:val="001A2588"/>
    <w:rsid w:val="001A299E"/>
    <w:rsid w:val="001A2F5D"/>
    <w:rsid w:val="001A3124"/>
    <w:rsid w:val="001A38CC"/>
    <w:rsid w:val="001A3984"/>
    <w:rsid w:val="001A437A"/>
    <w:rsid w:val="001A4BC8"/>
    <w:rsid w:val="001A5908"/>
    <w:rsid w:val="001A5ABA"/>
    <w:rsid w:val="001A5B6B"/>
    <w:rsid w:val="001A5BD0"/>
    <w:rsid w:val="001A5D81"/>
    <w:rsid w:val="001A6615"/>
    <w:rsid w:val="001A6846"/>
    <w:rsid w:val="001A70A3"/>
    <w:rsid w:val="001A743F"/>
    <w:rsid w:val="001A7844"/>
    <w:rsid w:val="001B01E9"/>
    <w:rsid w:val="001B0859"/>
    <w:rsid w:val="001B0B83"/>
    <w:rsid w:val="001B0F58"/>
    <w:rsid w:val="001B1151"/>
    <w:rsid w:val="001B1F66"/>
    <w:rsid w:val="001B2A16"/>
    <w:rsid w:val="001B3020"/>
    <w:rsid w:val="001B31FC"/>
    <w:rsid w:val="001B3420"/>
    <w:rsid w:val="001B3937"/>
    <w:rsid w:val="001B39A6"/>
    <w:rsid w:val="001B3F60"/>
    <w:rsid w:val="001B4391"/>
    <w:rsid w:val="001B443F"/>
    <w:rsid w:val="001B4A7A"/>
    <w:rsid w:val="001B4C2C"/>
    <w:rsid w:val="001B4CE0"/>
    <w:rsid w:val="001B549D"/>
    <w:rsid w:val="001B54A0"/>
    <w:rsid w:val="001B5A4C"/>
    <w:rsid w:val="001B65F6"/>
    <w:rsid w:val="001B6A9D"/>
    <w:rsid w:val="001B6B3E"/>
    <w:rsid w:val="001B6E8C"/>
    <w:rsid w:val="001B7710"/>
    <w:rsid w:val="001B7726"/>
    <w:rsid w:val="001B7946"/>
    <w:rsid w:val="001C044E"/>
    <w:rsid w:val="001C0494"/>
    <w:rsid w:val="001C0CC9"/>
    <w:rsid w:val="001C0DEE"/>
    <w:rsid w:val="001C1534"/>
    <w:rsid w:val="001C1F51"/>
    <w:rsid w:val="001C220A"/>
    <w:rsid w:val="001C2B7A"/>
    <w:rsid w:val="001C2BE7"/>
    <w:rsid w:val="001C3739"/>
    <w:rsid w:val="001C389D"/>
    <w:rsid w:val="001C3C2D"/>
    <w:rsid w:val="001C3DEC"/>
    <w:rsid w:val="001C3F9F"/>
    <w:rsid w:val="001C467F"/>
    <w:rsid w:val="001C48BA"/>
    <w:rsid w:val="001C4C34"/>
    <w:rsid w:val="001C4D60"/>
    <w:rsid w:val="001C4F71"/>
    <w:rsid w:val="001C5078"/>
    <w:rsid w:val="001C53EE"/>
    <w:rsid w:val="001C58A2"/>
    <w:rsid w:val="001C5969"/>
    <w:rsid w:val="001C5BE3"/>
    <w:rsid w:val="001C5BEA"/>
    <w:rsid w:val="001C600F"/>
    <w:rsid w:val="001C65FE"/>
    <w:rsid w:val="001C66EE"/>
    <w:rsid w:val="001C6D3B"/>
    <w:rsid w:val="001C7393"/>
    <w:rsid w:val="001C78D3"/>
    <w:rsid w:val="001C7EE3"/>
    <w:rsid w:val="001D040B"/>
    <w:rsid w:val="001D0B11"/>
    <w:rsid w:val="001D0C3B"/>
    <w:rsid w:val="001D0CA4"/>
    <w:rsid w:val="001D13A9"/>
    <w:rsid w:val="001D190B"/>
    <w:rsid w:val="001D1AC0"/>
    <w:rsid w:val="001D1B69"/>
    <w:rsid w:val="001D217A"/>
    <w:rsid w:val="001D22DC"/>
    <w:rsid w:val="001D2D6F"/>
    <w:rsid w:val="001D2F02"/>
    <w:rsid w:val="001D33F5"/>
    <w:rsid w:val="001D3FE9"/>
    <w:rsid w:val="001D42A7"/>
    <w:rsid w:val="001D5225"/>
    <w:rsid w:val="001D5238"/>
    <w:rsid w:val="001D5246"/>
    <w:rsid w:val="001D5364"/>
    <w:rsid w:val="001D5E49"/>
    <w:rsid w:val="001D5FA9"/>
    <w:rsid w:val="001D6267"/>
    <w:rsid w:val="001D6D32"/>
    <w:rsid w:val="001D7ABD"/>
    <w:rsid w:val="001D7AE1"/>
    <w:rsid w:val="001D7B35"/>
    <w:rsid w:val="001E02E3"/>
    <w:rsid w:val="001E03D1"/>
    <w:rsid w:val="001E04DE"/>
    <w:rsid w:val="001E08AC"/>
    <w:rsid w:val="001E0988"/>
    <w:rsid w:val="001E0B50"/>
    <w:rsid w:val="001E0F38"/>
    <w:rsid w:val="001E1383"/>
    <w:rsid w:val="001E17AB"/>
    <w:rsid w:val="001E2461"/>
    <w:rsid w:val="001E2D4A"/>
    <w:rsid w:val="001E2E3D"/>
    <w:rsid w:val="001E3791"/>
    <w:rsid w:val="001E39EA"/>
    <w:rsid w:val="001E41B6"/>
    <w:rsid w:val="001E4351"/>
    <w:rsid w:val="001E471C"/>
    <w:rsid w:val="001E47DC"/>
    <w:rsid w:val="001E491F"/>
    <w:rsid w:val="001E4A09"/>
    <w:rsid w:val="001E4D64"/>
    <w:rsid w:val="001E518A"/>
    <w:rsid w:val="001E5AB6"/>
    <w:rsid w:val="001E5CA7"/>
    <w:rsid w:val="001E6309"/>
    <w:rsid w:val="001E6731"/>
    <w:rsid w:val="001E6847"/>
    <w:rsid w:val="001E6AC7"/>
    <w:rsid w:val="001E6CCF"/>
    <w:rsid w:val="001E7073"/>
    <w:rsid w:val="001E7654"/>
    <w:rsid w:val="001E783C"/>
    <w:rsid w:val="001E7B8D"/>
    <w:rsid w:val="001E7DFA"/>
    <w:rsid w:val="001F02D2"/>
    <w:rsid w:val="001F07E0"/>
    <w:rsid w:val="001F07F4"/>
    <w:rsid w:val="001F08B8"/>
    <w:rsid w:val="001F0B8F"/>
    <w:rsid w:val="001F0DF4"/>
    <w:rsid w:val="001F0F70"/>
    <w:rsid w:val="001F13D6"/>
    <w:rsid w:val="001F2343"/>
    <w:rsid w:val="001F2399"/>
    <w:rsid w:val="001F25B1"/>
    <w:rsid w:val="001F2D8F"/>
    <w:rsid w:val="001F31E8"/>
    <w:rsid w:val="001F35BD"/>
    <w:rsid w:val="001F3BB8"/>
    <w:rsid w:val="001F40D0"/>
    <w:rsid w:val="001F4300"/>
    <w:rsid w:val="001F4564"/>
    <w:rsid w:val="001F4A57"/>
    <w:rsid w:val="001F4B01"/>
    <w:rsid w:val="001F4C1A"/>
    <w:rsid w:val="001F4C20"/>
    <w:rsid w:val="001F5027"/>
    <w:rsid w:val="001F5576"/>
    <w:rsid w:val="001F58A3"/>
    <w:rsid w:val="001F5959"/>
    <w:rsid w:val="001F606F"/>
    <w:rsid w:val="001F60EE"/>
    <w:rsid w:val="001F634F"/>
    <w:rsid w:val="001F6697"/>
    <w:rsid w:val="001F6712"/>
    <w:rsid w:val="001F6816"/>
    <w:rsid w:val="001F71EF"/>
    <w:rsid w:val="001F7293"/>
    <w:rsid w:val="001F741E"/>
    <w:rsid w:val="001F75B6"/>
    <w:rsid w:val="001F79E4"/>
    <w:rsid w:val="002001A9"/>
    <w:rsid w:val="002002E5"/>
    <w:rsid w:val="0020064D"/>
    <w:rsid w:val="002010B9"/>
    <w:rsid w:val="00201192"/>
    <w:rsid w:val="00201607"/>
    <w:rsid w:val="002016B0"/>
    <w:rsid w:val="00202123"/>
    <w:rsid w:val="00202177"/>
    <w:rsid w:val="00202229"/>
    <w:rsid w:val="0020238C"/>
    <w:rsid w:val="002025AA"/>
    <w:rsid w:val="00202EFA"/>
    <w:rsid w:val="00202FC8"/>
    <w:rsid w:val="00203147"/>
    <w:rsid w:val="0020459F"/>
    <w:rsid w:val="00204A32"/>
    <w:rsid w:val="00204ACC"/>
    <w:rsid w:val="00204CF2"/>
    <w:rsid w:val="00205621"/>
    <w:rsid w:val="0020575C"/>
    <w:rsid w:val="00205D2F"/>
    <w:rsid w:val="00206334"/>
    <w:rsid w:val="00207054"/>
    <w:rsid w:val="0020712E"/>
    <w:rsid w:val="00210547"/>
    <w:rsid w:val="00210566"/>
    <w:rsid w:val="002107E3"/>
    <w:rsid w:val="00210F62"/>
    <w:rsid w:val="00211642"/>
    <w:rsid w:val="002117D8"/>
    <w:rsid w:val="00211A7E"/>
    <w:rsid w:val="00211DD6"/>
    <w:rsid w:val="00211F32"/>
    <w:rsid w:val="00212499"/>
    <w:rsid w:val="002124BE"/>
    <w:rsid w:val="00212884"/>
    <w:rsid w:val="00212AB0"/>
    <w:rsid w:val="00212D95"/>
    <w:rsid w:val="0021315B"/>
    <w:rsid w:val="0021336A"/>
    <w:rsid w:val="00213388"/>
    <w:rsid w:val="00213A47"/>
    <w:rsid w:val="00213AD7"/>
    <w:rsid w:val="00213B51"/>
    <w:rsid w:val="00213F2A"/>
    <w:rsid w:val="002142A0"/>
    <w:rsid w:val="00214AC0"/>
    <w:rsid w:val="00215052"/>
    <w:rsid w:val="0021561A"/>
    <w:rsid w:val="00215A14"/>
    <w:rsid w:val="00215D6A"/>
    <w:rsid w:val="00216102"/>
    <w:rsid w:val="0021625B"/>
    <w:rsid w:val="002162C2"/>
    <w:rsid w:val="00216301"/>
    <w:rsid w:val="00216A02"/>
    <w:rsid w:val="00216D0C"/>
    <w:rsid w:val="002179C6"/>
    <w:rsid w:val="00220340"/>
    <w:rsid w:val="002207AD"/>
    <w:rsid w:val="00220B3B"/>
    <w:rsid w:val="00221571"/>
    <w:rsid w:val="00221960"/>
    <w:rsid w:val="00221F9E"/>
    <w:rsid w:val="0022255A"/>
    <w:rsid w:val="00222FD3"/>
    <w:rsid w:val="0022315D"/>
    <w:rsid w:val="002237ED"/>
    <w:rsid w:val="0022397E"/>
    <w:rsid w:val="0022429E"/>
    <w:rsid w:val="002243F7"/>
    <w:rsid w:val="002244D3"/>
    <w:rsid w:val="0022470A"/>
    <w:rsid w:val="00224726"/>
    <w:rsid w:val="00224AB4"/>
    <w:rsid w:val="00224F43"/>
    <w:rsid w:val="0022548F"/>
    <w:rsid w:val="00225668"/>
    <w:rsid w:val="002256DB"/>
    <w:rsid w:val="00225CF0"/>
    <w:rsid w:val="00225D29"/>
    <w:rsid w:val="00225E92"/>
    <w:rsid w:val="0022633A"/>
    <w:rsid w:val="00226AB4"/>
    <w:rsid w:val="00226AD6"/>
    <w:rsid w:val="00226C1E"/>
    <w:rsid w:val="00227210"/>
    <w:rsid w:val="00227BA8"/>
    <w:rsid w:val="00227CD9"/>
    <w:rsid w:val="00227D7B"/>
    <w:rsid w:val="00227F85"/>
    <w:rsid w:val="00230675"/>
    <w:rsid w:val="00230833"/>
    <w:rsid w:val="002311D7"/>
    <w:rsid w:val="00231296"/>
    <w:rsid w:val="0023139C"/>
    <w:rsid w:val="002322AC"/>
    <w:rsid w:val="00232974"/>
    <w:rsid w:val="00232E48"/>
    <w:rsid w:val="00232F8B"/>
    <w:rsid w:val="00233769"/>
    <w:rsid w:val="0023399D"/>
    <w:rsid w:val="002348C5"/>
    <w:rsid w:val="0023497C"/>
    <w:rsid w:val="00234AC8"/>
    <w:rsid w:val="00234AF5"/>
    <w:rsid w:val="0023528E"/>
    <w:rsid w:val="00235475"/>
    <w:rsid w:val="002356E3"/>
    <w:rsid w:val="0023587E"/>
    <w:rsid w:val="00235AE2"/>
    <w:rsid w:val="00236C7B"/>
    <w:rsid w:val="002374D5"/>
    <w:rsid w:val="00237A9F"/>
    <w:rsid w:val="00240275"/>
    <w:rsid w:val="002407C2"/>
    <w:rsid w:val="00241A74"/>
    <w:rsid w:val="0024242F"/>
    <w:rsid w:val="00242A45"/>
    <w:rsid w:val="00242C98"/>
    <w:rsid w:val="00242CD4"/>
    <w:rsid w:val="002435B8"/>
    <w:rsid w:val="0024364A"/>
    <w:rsid w:val="002443A9"/>
    <w:rsid w:val="00244A15"/>
    <w:rsid w:val="00245319"/>
    <w:rsid w:val="00245704"/>
    <w:rsid w:val="002459CF"/>
    <w:rsid w:val="002460D3"/>
    <w:rsid w:val="00246313"/>
    <w:rsid w:val="0024631F"/>
    <w:rsid w:val="0024652A"/>
    <w:rsid w:val="0024677D"/>
    <w:rsid w:val="00246A0F"/>
    <w:rsid w:val="00246EDD"/>
    <w:rsid w:val="00247106"/>
    <w:rsid w:val="0024744C"/>
    <w:rsid w:val="0024796B"/>
    <w:rsid w:val="00247C8F"/>
    <w:rsid w:val="00247FE4"/>
    <w:rsid w:val="0025041B"/>
    <w:rsid w:val="00251736"/>
    <w:rsid w:val="00251EC2"/>
    <w:rsid w:val="00251FCC"/>
    <w:rsid w:val="00252467"/>
    <w:rsid w:val="002525CB"/>
    <w:rsid w:val="002531B8"/>
    <w:rsid w:val="002531EB"/>
    <w:rsid w:val="0025371D"/>
    <w:rsid w:val="00253843"/>
    <w:rsid w:val="00253D70"/>
    <w:rsid w:val="00253F63"/>
    <w:rsid w:val="002541AF"/>
    <w:rsid w:val="0025477D"/>
    <w:rsid w:val="0025480E"/>
    <w:rsid w:val="00254F32"/>
    <w:rsid w:val="00255096"/>
    <w:rsid w:val="002551F0"/>
    <w:rsid w:val="0025575E"/>
    <w:rsid w:val="00256094"/>
    <w:rsid w:val="0025631A"/>
    <w:rsid w:val="00256936"/>
    <w:rsid w:val="00256B24"/>
    <w:rsid w:val="00256BE0"/>
    <w:rsid w:val="00256E91"/>
    <w:rsid w:val="00257536"/>
    <w:rsid w:val="0025778C"/>
    <w:rsid w:val="00257903"/>
    <w:rsid w:val="00260E10"/>
    <w:rsid w:val="00260EC5"/>
    <w:rsid w:val="00261AD2"/>
    <w:rsid w:val="00261C7C"/>
    <w:rsid w:val="00262567"/>
    <w:rsid w:val="002629BD"/>
    <w:rsid w:val="00262E82"/>
    <w:rsid w:val="00263190"/>
    <w:rsid w:val="002641F3"/>
    <w:rsid w:val="00264379"/>
    <w:rsid w:val="0026449D"/>
    <w:rsid w:val="00265A26"/>
    <w:rsid w:val="00266470"/>
    <w:rsid w:val="002665F1"/>
    <w:rsid w:val="002666BC"/>
    <w:rsid w:val="00266746"/>
    <w:rsid w:val="00266C51"/>
    <w:rsid w:val="00266C70"/>
    <w:rsid w:val="00266FC6"/>
    <w:rsid w:val="00267793"/>
    <w:rsid w:val="002677B9"/>
    <w:rsid w:val="0027039E"/>
    <w:rsid w:val="0027049D"/>
    <w:rsid w:val="00270952"/>
    <w:rsid w:val="00270D91"/>
    <w:rsid w:val="00271299"/>
    <w:rsid w:val="00271395"/>
    <w:rsid w:val="002717E5"/>
    <w:rsid w:val="00271E85"/>
    <w:rsid w:val="00272405"/>
    <w:rsid w:val="002726DE"/>
    <w:rsid w:val="00272862"/>
    <w:rsid w:val="00272F4B"/>
    <w:rsid w:val="0027328D"/>
    <w:rsid w:val="0027390B"/>
    <w:rsid w:val="00274467"/>
    <w:rsid w:val="002748B4"/>
    <w:rsid w:val="002750BF"/>
    <w:rsid w:val="00275143"/>
    <w:rsid w:val="002751C9"/>
    <w:rsid w:val="002761F9"/>
    <w:rsid w:val="00276877"/>
    <w:rsid w:val="00276E3B"/>
    <w:rsid w:val="00277002"/>
    <w:rsid w:val="002771E8"/>
    <w:rsid w:val="002772B1"/>
    <w:rsid w:val="002779AD"/>
    <w:rsid w:val="00277CC3"/>
    <w:rsid w:val="00277D09"/>
    <w:rsid w:val="00280070"/>
    <w:rsid w:val="002800B7"/>
    <w:rsid w:val="002801EB"/>
    <w:rsid w:val="00280B46"/>
    <w:rsid w:val="00281202"/>
    <w:rsid w:val="00281711"/>
    <w:rsid w:val="0028213B"/>
    <w:rsid w:val="002826F5"/>
    <w:rsid w:val="0028271F"/>
    <w:rsid w:val="00282C32"/>
    <w:rsid w:val="00282E43"/>
    <w:rsid w:val="002834BF"/>
    <w:rsid w:val="00283AB8"/>
    <w:rsid w:val="00283DEC"/>
    <w:rsid w:val="00283E12"/>
    <w:rsid w:val="002845CC"/>
    <w:rsid w:val="0028482C"/>
    <w:rsid w:val="00284977"/>
    <w:rsid w:val="00284F26"/>
    <w:rsid w:val="002855EC"/>
    <w:rsid w:val="00285706"/>
    <w:rsid w:val="0028580A"/>
    <w:rsid w:val="00285E05"/>
    <w:rsid w:val="00285F13"/>
    <w:rsid w:val="00285F30"/>
    <w:rsid w:val="00286430"/>
    <w:rsid w:val="00286801"/>
    <w:rsid w:val="00286A97"/>
    <w:rsid w:val="00286E98"/>
    <w:rsid w:val="002870D4"/>
    <w:rsid w:val="002873A3"/>
    <w:rsid w:val="00287863"/>
    <w:rsid w:val="00290D1B"/>
    <w:rsid w:val="0029149B"/>
    <w:rsid w:val="00291E70"/>
    <w:rsid w:val="00292BF7"/>
    <w:rsid w:val="0029312D"/>
    <w:rsid w:val="0029327F"/>
    <w:rsid w:val="002937D7"/>
    <w:rsid w:val="00293EBD"/>
    <w:rsid w:val="00294494"/>
    <w:rsid w:val="00295357"/>
    <w:rsid w:val="002954FA"/>
    <w:rsid w:val="00295A14"/>
    <w:rsid w:val="00295E7A"/>
    <w:rsid w:val="00295F11"/>
    <w:rsid w:val="00296180"/>
    <w:rsid w:val="00296900"/>
    <w:rsid w:val="0029690E"/>
    <w:rsid w:val="002971CB"/>
    <w:rsid w:val="00297505"/>
    <w:rsid w:val="00297836"/>
    <w:rsid w:val="00297D67"/>
    <w:rsid w:val="00297E23"/>
    <w:rsid w:val="002A00C2"/>
    <w:rsid w:val="002A02E4"/>
    <w:rsid w:val="002A0478"/>
    <w:rsid w:val="002A0574"/>
    <w:rsid w:val="002A0887"/>
    <w:rsid w:val="002A13A1"/>
    <w:rsid w:val="002A1653"/>
    <w:rsid w:val="002A19EC"/>
    <w:rsid w:val="002A1C50"/>
    <w:rsid w:val="002A2159"/>
    <w:rsid w:val="002A2ABF"/>
    <w:rsid w:val="002A2ACE"/>
    <w:rsid w:val="002A2BA1"/>
    <w:rsid w:val="002A3123"/>
    <w:rsid w:val="002A325C"/>
    <w:rsid w:val="002A34B1"/>
    <w:rsid w:val="002A359B"/>
    <w:rsid w:val="002A35B4"/>
    <w:rsid w:val="002A35CD"/>
    <w:rsid w:val="002A372D"/>
    <w:rsid w:val="002A3ABF"/>
    <w:rsid w:val="002A3D38"/>
    <w:rsid w:val="002A3EEE"/>
    <w:rsid w:val="002A452B"/>
    <w:rsid w:val="002A5131"/>
    <w:rsid w:val="002A527B"/>
    <w:rsid w:val="002A5460"/>
    <w:rsid w:val="002A57AD"/>
    <w:rsid w:val="002A58D0"/>
    <w:rsid w:val="002A5C61"/>
    <w:rsid w:val="002A5D1B"/>
    <w:rsid w:val="002A6724"/>
    <w:rsid w:val="002A6765"/>
    <w:rsid w:val="002A6B9F"/>
    <w:rsid w:val="002A6D10"/>
    <w:rsid w:val="002A6EBB"/>
    <w:rsid w:val="002A74B2"/>
    <w:rsid w:val="002A74D7"/>
    <w:rsid w:val="002A7C5B"/>
    <w:rsid w:val="002A7E4D"/>
    <w:rsid w:val="002B0143"/>
    <w:rsid w:val="002B01E2"/>
    <w:rsid w:val="002B05EB"/>
    <w:rsid w:val="002B0D18"/>
    <w:rsid w:val="002B13B6"/>
    <w:rsid w:val="002B14B9"/>
    <w:rsid w:val="002B26D7"/>
    <w:rsid w:val="002B2A07"/>
    <w:rsid w:val="002B2B4E"/>
    <w:rsid w:val="002B2CC1"/>
    <w:rsid w:val="002B331A"/>
    <w:rsid w:val="002B3493"/>
    <w:rsid w:val="002B38F8"/>
    <w:rsid w:val="002B397E"/>
    <w:rsid w:val="002B3ACC"/>
    <w:rsid w:val="002B3BA2"/>
    <w:rsid w:val="002B3F36"/>
    <w:rsid w:val="002B46B2"/>
    <w:rsid w:val="002B49EA"/>
    <w:rsid w:val="002B4E24"/>
    <w:rsid w:val="002B52DB"/>
    <w:rsid w:val="002B5376"/>
    <w:rsid w:val="002B5952"/>
    <w:rsid w:val="002B5ACF"/>
    <w:rsid w:val="002B5E90"/>
    <w:rsid w:val="002B648E"/>
    <w:rsid w:val="002B6574"/>
    <w:rsid w:val="002B6A1C"/>
    <w:rsid w:val="002B6E5B"/>
    <w:rsid w:val="002B6E6C"/>
    <w:rsid w:val="002B7019"/>
    <w:rsid w:val="002B7128"/>
    <w:rsid w:val="002B7360"/>
    <w:rsid w:val="002B73B7"/>
    <w:rsid w:val="002B745E"/>
    <w:rsid w:val="002B75DF"/>
    <w:rsid w:val="002B75E7"/>
    <w:rsid w:val="002B7942"/>
    <w:rsid w:val="002C05ED"/>
    <w:rsid w:val="002C0620"/>
    <w:rsid w:val="002C104C"/>
    <w:rsid w:val="002C1222"/>
    <w:rsid w:val="002C12AE"/>
    <w:rsid w:val="002C15B2"/>
    <w:rsid w:val="002C176D"/>
    <w:rsid w:val="002C1D87"/>
    <w:rsid w:val="002C2B4B"/>
    <w:rsid w:val="002C31A9"/>
    <w:rsid w:val="002C3333"/>
    <w:rsid w:val="002C3653"/>
    <w:rsid w:val="002C418C"/>
    <w:rsid w:val="002C41AA"/>
    <w:rsid w:val="002C447C"/>
    <w:rsid w:val="002C4812"/>
    <w:rsid w:val="002C4901"/>
    <w:rsid w:val="002C5061"/>
    <w:rsid w:val="002C5116"/>
    <w:rsid w:val="002C530D"/>
    <w:rsid w:val="002C5E00"/>
    <w:rsid w:val="002C6531"/>
    <w:rsid w:val="002C6CD5"/>
    <w:rsid w:val="002C703B"/>
    <w:rsid w:val="002C7571"/>
    <w:rsid w:val="002C762A"/>
    <w:rsid w:val="002C782E"/>
    <w:rsid w:val="002C7E9C"/>
    <w:rsid w:val="002C7F69"/>
    <w:rsid w:val="002C7FC5"/>
    <w:rsid w:val="002D009B"/>
    <w:rsid w:val="002D0BF6"/>
    <w:rsid w:val="002D10B2"/>
    <w:rsid w:val="002D115B"/>
    <w:rsid w:val="002D1236"/>
    <w:rsid w:val="002D16FA"/>
    <w:rsid w:val="002D17E7"/>
    <w:rsid w:val="002D1972"/>
    <w:rsid w:val="002D19A2"/>
    <w:rsid w:val="002D20E3"/>
    <w:rsid w:val="002D25F2"/>
    <w:rsid w:val="002D2787"/>
    <w:rsid w:val="002D3239"/>
    <w:rsid w:val="002D3515"/>
    <w:rsid w:val="002D38DD"/>
    <w:rsid w:val="002D3F05"/>
    <w:rsid w:val="002D3FA6"/>
    <w:rsid w:val="002D40BE"/>
    <w:rsid w:val="002D42E5"/>
    <w:rsid w:val="002D4948"/>
    <w:rsid w:val="002D4ACF"/>
    <w:rsid w:val="002D4D50"/>
    <w:rsid w:val="002D4DD7"/>
    <w:rsid w:val="002D5AFF"/>
    <w:rsid w:val="002D5B54"/>
    <w:rsid w:val="002D5F01"/>
    <w:rsid w:val="002D5FDB"/>
    <w:rsid w:val="002D6A18"/>
    <w:rsid w:val="002D6FA8"/>
    <w:rsid w:val="002D72F7"/>
    <w:rsid w:val="002D7608"/>
    <w:rsid w:val="002D7BAC"/>
    <w:rsid w:val="002D7F87"/>
    <w:rsid w:val="002E0045"/>
    <w:rsid w:val="002E0393"/>
    <w:rsid w:val="002E05A4"/>
    <w:rsid w:val="002E071B"/>
    <w:rsid w:val="002E08D9"/>
    <w:rsid w:val="002E0921"/>
    <w:rsid w:val="002E0979"/>
    <w:rsid w:val="002E0A93"/>
    <w:rsid w:val="002E1319"/>
    <w:rsid w:val="002E13AB"/>
    <w:rsid w:val="002E149B"/>
    <w:rsid w:val="002E1849"/>
    <w:rsid w:val="002E21FE"/>
    <w:rsid w:val="002E2239"/>
    <w:rsid w:val="002E2793"/>
    <w:rsid w:val="002E2A77"/>
    <w:rsid w:val="002E2C17"/>
    <w:rsid w:val="002E33DF"/>
    <w:rsid w:val="002E348A"/>
    <w:rsid w:val="002E3ACA"/>
    <w:rsid w:val="002E3BB3"/>
    <w:rsid w:val="002E41CE"/>
    <w:rsid w:val="002E4E1B"/>
    <w:rsid w:val="002E5948"/>
    <w:rsid w:val="002E5AAB"/>
    <w:rsid w:val="002E5C4E"/>
    <w:rsid w:val="002E5F74"/>
    <w:rsid w:val="002E62C5"/>
    <w:rsid w:val="002E664F"/>
    <w:rsid w:val="002E6F70"/>
    <w:rsid w:val="002E7603"/>
    <w:rsid w:val="002E79F6"/>
    <w:rsid w:val="002E7FB4"/>
    <w:rsid w:val="002F029C"/>
    <w:rsid w:val="002F069D"/>
    <w:rsid w:val="002F1453"/>
    <w:rsid w:val="002F15AA"/>
    <w:rsid w:val="002F1B6D"/>
    <w:rsid w:val="002F1BBD"/>
    <w:rsid w:val="002F1DD7"/>
    <w:rsid w:val="002F1E5A"/>
    <w:rsid w:val="002F1E9D"/>
    <w:rsid w:val="002F209F"/>
    <w:rsid w:val="002F2519"/>
    <w:rsid w:val="002F2632"/>
    <w:rsid w:val="002F2980"/>
    <w:rsid w:val="002F29BE"/>
    <w:rsid w:val="002F2BD7"/>
    <w:rsid w:val="002F2E87"/>
    <w:rsid w:val="002F33E3"/>
    <w:rsid w:val="002F385A"/>
    <w:rsid w:val="002F3885"/>
    <w:rsid w:val="002F388E"/>
    <w:rsid w:val="002F3AE3"/>
    <w:rsid w:val="002F3C7E"/>
    <w:rsid w:val="002F3E21"/>
    <w:rsid w:val="002F41FA"/>
    <w:rsid w:val="002F429B"/>
    <w:rsid w:val="002F4C8D"/>
    <w:rsid w:val="002F596F"/>
    <w:rsid w:val="002F5A35"/>
    <w:rsid w:val="002F6013"/>
    <w:rsid w:val="002F68D2"/>
    <w:rsid w:val="002F69D4"/>
    <w:rsid w:val="002F6C74"/>
    <w:rsid w:val="002F6FBC"/>
    <w:rsid w:val="002F725E"/>
    <w:rsid w:val="002F736F"/>
    <w:rsid w:val="002F76AD"/>
    <w:rsid w:val="003006EC"/>
    <w:rsid w:val="003008A4"/>
    <w:rsid w:val="0030094C"/>
    <w:rsid w:val="00300DA0"/>
    <w:rsid w:val="00300DF0"/>
    <w:rsid w:val="0030121C"/>
    <w:rsid w:val="003016D9"/>
    <w:rsid w:val="00301F9F"/>
    <w:rsid w:val="00302143"/>
    <w:rsid w:val="003025EC"/>
    <w:rsid w:val="00302651"/>
    <w:rsid w:val="003032F7"/>
    <w:rsid w:val="003038C1"/>
    <w:rsid w:val="003039DD"/>
    <w:rsid w:val="00303A56"/>
    <w:rsid w:val="0030409D"/>
    <w:rsid w:val="003041A0"/>
    <w:rsid w:val="003041D0"/>
    <w:rsid w:val="00304325"/>
    <w:rsid w:val="00304828"/>
    <w:rsid w:val="00304D13"/>
    <w:rsid w:val="0030522B"/>
    <w:rsid w:val="0030544A"/>
    <w:rsid w:val="00305720"/>
    <w:rsid w:val="00305815"/>
    <w:rsid w:val="0030599B"/>
    <w:rsid w:val="00305ED3"/>
    <w:rsid w:val="0030705E"/>
    <w:rsid w:val="003073C3"/>
    <w:rsid w:val="00307FD4"/>
    <w:rsid w:val="003100F7"/>
    <w:rsid w:val="003105AE"/>
    <w:rsid w:val="00310999"/>
    <w:rsid w:val="00311127"/>
    <w:rsid w:val="00312179"/>
    <w:rsid w:val="003122E8"/>
    <w:rsid w:val="0031280D"/>
    <w:rsid w:val="0031297B"/>
    <w:rsid w:val="00312D34"/>
    <w:rsid w:val="00313737"/>
    <w:rsid w:val="00313745"/>
    <w:rsid w:val="00313851"/>
    <w:rsid w:val="00313A4F"/>
    <w:rsid w:val="003140D1"/>
    <w:rsid w:val="0031425E"/>
    <w:rsid w:val="003142FC"/>
    <w:rsid w:val="00314331"/>
    <w:rsid w:val="003149AF"/>
    <w:rsid w:val="00315860"/>
    <w:rsid w:val="003159D3"/>
    <w:rsid w:val="00317AF1"/>
    <w:rsid w:val="00317B4A"/>
    <w:rsid w:val="00317C43"/>
    <w:rsid w:val="0032067F"/>
    <w:rsid w:val="00320B21"/>
    <w:rsid w:val="0032116E"/>
    <w:rsid w:val="003212E1"/>
    <w:rsid w:val="003222A7"/>
    <w:rsid w:val="003222C9"/>
    <w:rsid w:val="00322617"/>
    <w:rsid w:val="00322783"/>
    <w:rsid w:val="003228CD"/>
    <w:rsid w:val="00322B3E"/>
    <w:rsid w:val="00323116"/>
    <w:rsid w:val="003231F8"/>
    <w:rsid w:val="0032335C"/>
    <w:rsid w:val="0032364C"/>
    <w:rsid w:val="00323C95"/>
    <w:rsid w:val="0032425E"/>
    <w:rsid w:val="0032438F"/>
    <w:rsid w:val="00324725"/>
    <w:rsid w:val="003248C9"/>
    <w:rsid w:val="00324CAD"/>
    <w:rsid w:val="00324CBD"/>
    <w:rsid w:val="00324F42"/>
    <w:rsid w:val="0032502F"/>
    <w:rsid w:val="003254F7"/>
    <w:rsid w:val="003259DE"/>
    <w:rsid w:val="00325BEE"/>
    <w:rsid w:val="00325C1A"/>
    <w:rsid w:val="00325C82"/>
    <w:rsid w:val="00325DA2"/>
    <w:rsid w:val="00326507"/>
    <w:rsid w:val="00326823"/>
    <w:rsid w:val="00326D48"/>
    <w:rsid w:val="00326D72"/>
    <w:rsid w:val="003272DF"/>
    <w:rsid w:val="0032786C"/>
    <w:rsid w:val="00327E64"/>
    <w:rsid w:val="003302E8"/>
    <w:rsid w:val="00330519"/>
    <w:rsid w:val="003305C2"/>
    <w:rsid w:val="00330764"/>
    <w:rsid w:val="00330AD8"/>
    <w:rsid w:val="00331439"/>
    <w:rsid w:val="00331DC0"/>
    <w:rsid w:val="003321F1"/>
    <w:rsid w:val="00332291"/>
    <w:rsid w:val="00332330"/>
    <w:rsid w:val="00332525"/>
    <w:rsid w:val="0033273A"/>
    <w:rsid w:val="00333269"/>
    <w:rsid w:val="00333AE0"/>
    <w:rsid w:val="00334D49"/>
    <w:rsid w:val="003355D1"/>
    <w:rsid w:val="00335631"/>
    <w:rsid w:val="0033590B"/>
    <w:rsid w:val="00335C2D"/>
    <w:rsid w:val="00335DF4"/>
    <w:rsid w:val="003374B7"/>
    <w:rsid w:val="00337C19"/>
    <w:rsid w:val="003403EE"/>
    <w:rsid w:val="003405C1"/>
    <w:rsid w:val="00340843"/>
    <w:rsid w:val="00340A2D"/>
    <w:rsid w:val="00340B7E"/>
    <w:rsid w:val="00340C5F"/>
    <w:rsid w:val="00340DF0"/>
    <w:rsid w:val="003412DB"/>
    <w:rsid w:val="00341709"/>
    <w:rsid w:val="00341B2F"/>
    <w:rsid w:val="00341C98"/>
    <w:rsid w:val="0034222A"/>
    <w:rsid w:val="00342278"/>
    <w:rsid w:val="003435B9"/>
    <w:rsid w:val="00343CB9"/>
    <w:rsid w:val="003440B9"/>
    <w:rsid w:val="003443FD"/>
    <w:rsid w:val="00344EAD"/>
    <w:rsid w:val="00345148"/>
    <w:rsid w:val="0034532F"/>
    <w:rsid w:val="003454D1"/>
    <w:rsid w:val="0034551B"/>
    <w:rsid w:val="00346028"/>
    <w:rsid w:val="00346042"/>
    <w:rsid w:val="003464FD"/>
    <w:rsid w:val="003465B7"/>
    <w:rsid w:val="00346874"/>
    <w:rsid w:val="00346AC1"/>
    <w:rsid w:val="00350C7E"/>
    <w:rsid w:val="00350E55"/>
    <w:rsid w:val="00350E71"/>
    <w:rsid w:val="003511EB"/>
    <w:rsid w:val="00351321"/>
    <w:rsid w:val="003518AA"/>
    <w:rsid w:val="00351998"/>
    <w:rsid w:val="00351A85"/>
    <w:rsid w:val="00351D1E"/>
    <w:rsid w:val="00351D49"/>
    <w:rsid w:val="00351DA5"/>
    <w:rsid w:val="00352207"/>
    <w:rsid w:val="003530F4"/>
    <w:rsid w:val="003533A9"/>
    <w:rsid w:val="003533BF"/>
    <w:rsid w:val="0035364C"/>
    <w:rsid w:val="00353F8E"/>
    <w:rsid w:val="00354366"/>
    <w:rsid w:val="00354442"/>
    <w:rsid w:val="003545D3"/>
    <w:rsid w:val="00354C59"/>
    <w:rsid w:val="0035699D"/>
    <w:rsid w:val="00357756"/>
    <w:rsid w:val="00357862"/>
    <w:rsid w:val="00357EDB"/>
    <w:rsid w:val="00360889"/>
    <w:rsid w:val="00360930"/>
    <w:rsid w:val="00360E3F"/>
    <w:rsid w:val="00360EB3"/>
    <w:rsid w:val="003614A0"/>
    <w:rsid w:val="00361528"/>
    <w:rsid w:val="00361D38"/>
    <w:rsid w:val="003620AB"/>
    <w:rsid w:val="00362278"/>
    <w:rsid w:val="00362574"/>
    <w:rsid w:val="003625CF"/>
    <w:rsid w:val="00362AE9"/>
    <w:rsid w:val="003631F8"/>
    <w:rsid w:val="003632CA"/>
    <w:rsid w:val="003636AF"/>
    <w:rsid w:val="00363DF9"/>
    <w:rsid w:val="00364530"/>
    <w:rsid w:val="00364AB0"/>
    <w:rsid w:val="00364AE5"/>
    <w:rsid w:val="00364B2C"/>
    <w:rsid w:val="00364D06"/>
    <w:rsid w:val="0036535A"/>
    <w:rsid w:val="003655AE"/>
    <w:rsid w:val="00365CC3"/>
    <w:rsid w:val="00366E9D"/>
    <w:rsid w:val="00366F65"/>
    <w:rsid w:val="00367535"/>
    <w:rsid w:val="00367672"/>
    <w:rsid w:val="0036790D"/>
    <w:rsid w:val="0036793A"/>
    <w:rsid w:val="00367C52"/>
    <w:rsid w:val="00367F09"/>
    <w:rsid w:val="00367F95"/>
    <w:rsid w:val="00370957"/>
    <w:rsid w:val="00370CEC"/>
    <w:rsid w:val="00370D26"/>
    <w:rsid w:val="00370FEE"/>
    <w:rsid w:val="00371215"/>
    <w:rsid w:val="0037122F"/>
    <w:rsid w:val="00371365"/>
    <w:rsid w:val="003716C1"/>
    <w:rsid w:val="003716D7"/>
    <w:rsid w:val="003723BD"/>
    <w:rsid w:val="00372649"/>
    <w:rsid w:val="003728F2"/>
    <w:rsid w:val="00372C78"/>
    <w:rsid w:val="00372D02"/>
    <w:rsid w:val="00372E49"/>
    <w:rsid w:val="00372FA1"/>
    <w:rsid w:val="00373018"/>
    <w:rsid w:val="003736BE"/>
    <w:rsid w:val="00373E6E"/>
    <w:rsid w:val="0037437B"/>
    <w:rsid w:val="00375333"/>
    <w:rsid w:val="003754D4"/>
    <w:rsid w:val="003756B3"/>
    <w:rsid w:val="00375C47"/>
    <w:rsid w:val="00375EA9"/>
    <w:rsid w:val="00375FA3"/>
    <w:rsid w:val="003769B0"/>
    <w:rsid w:val="00377407"/>
    <w:rsid w:val="00377845"/>
    <w:rsid w:val="00377D7A"/>
    <w:rsid w:val="0038038E"/>
    <w:rsid w:val="00380559"/>
    <w:rsid w:val="003809D4"/>
    <w:rsid w:val="00380AF9"/>
    <w:rsid w:val="00381122"/>
    <w:rsid w:val="0038151E"/>
    <w:rsid w:val="003815DB"/>
    <w:rsid w:val="003816F1"/>
    <w:rsid w:val="00381702"/>
    <w:rsid w:val="003819BA"/>
    <w:rsid w:val="00381A22"/>
    <w:rsid w:val="00382457"/>
    <w:rsid w:val="00382D71"/>
    <w:rsid w:val="00383104"/>
    <w:rsid w:val="0038313B"/>
    <w:rsid w:val="00383EB0"/>
    <w:rsid w:val="00385430"/>
    <w:rsid w:val="003854B8"/>
    <w:rsid w:val="003857FF"/>
    <w:rsid w:val="00385810"/>
    <w:rsid w:val="0038598C"/>
    <w:rsid w:val="00385D4E"/>
    <w:rsid w:val="00385FE0"/>
    <w:rsid w:val="0038603D"/>
    <w:rsid w:val="003863D0"/>
    <w:rsid w:val="00386482"/>
    <w:rsid w:val="003869E2"/>
    <w:rsid w:val="00386C0A"/>
    <w:rsid w:val="0038728E"/>
    <w:rsid w:val="003873CE"/>
    <w:rsid w:val="00387522"/>
    <w:rsid w:val="003875E7"/>
    <w:rsid w:val="00387A77"/>
    <w:rsid w:val="00387DCB"/>
    <w:rsid w:val="003900BF"/>
    <w:rsid w:val="00390166"/>
    <w:rsid w:val="00390896"/>
    <w:rsid w:val="00390DA5"/>
    <w:rsid w:val="00391102"/>
    <w:rsid w:val="0039113A"/>
    <w:rsid w:val="00391224"/>
    <w:rsid w:val="003913D8"/>
    <w:rsid w:val="00391408"/>
    <w:rsid w:val="00391F52"/>
    <w:rsid w:val="003921B3"/>
    <w:rsid w:val="00392A71"/>
    <w:rsid w:val="00392B68"/>
    <w:rsid w:val="00392DAB"/>
    <w:rsid w:val="00392E08"/>
    <w:rsid w:val="0039324F"/>
    <w:rsid w:val="0039326E"/>
    <w:rsid w:val="003936DC"/>
    <w:rsid w:val="0039446F"/>
    <w:rsid w:val="003944AB"/>
    <w:rsid w:val="003950CA"/>
    <w:rsid w:val="0039541F"/>
    <w:rsid w:val="003958F9"/>
    <w:rsid w:val="0039609D"/>
    <w:rsid w:val="003963C1"/>
    <w:rsid w:val="003963CE"/>
    <w:rsid w:val="003966E8"/>
    <w:rsid w:val="003967FD"/>
    <w:rsid w:val="003970C3"/>
    <w:rsid w:val="0039726C"/>
    <w:rsid w:val="00397303"/>
    <w:rsid w:val="0039781C"/>
    <w:rsid w:val="00397D9C"/>
    <w:rsid w:val="003A0216"/>
    <w:rsid w:val="003A021F"/>
    <w:rsid w:val="003A030E"/>
    <w:rsid w:val="003A03C2"/>
    <w:rsid w:val="003A0425"/>
    <w:rsid w:val="003A0AD3"/>
    <w:rsid w:val="003A0B57"/>
    <w:rsid w:val="003A11DB"/>
    <w:rsid w:val="003A2161"/>
    <w:rsid w:val="003A2447"/>
    <w:rsid w:val="003A2590"/>
    <w:rsid w:val="003A3017"/>
    <w:rsid w:val="003A3140"/>
    <w:rsid w:val="003A31A1"/>
    <w:rsid w:val="003A33EE"/>
    <w:rsid w:val="003A372A"/>
    <w:rsid w:val="003A3743"/>
    <w:rsid w:val="003A37B4"/>
    <w:rsid w:val="003A418D"/>
    <w:rsid w:val="003A419A"/>
    <w:rsid w:val="003A45C2"/>
    <w:rsid w:val="003A47EC"/>
    <w:rsid w:val="003A4EC2"/>
    <w:rsid w:val="003A5484"/>
    <w:rsid w:val="003A5501"/>
    <w:rsid w:val="003A580B"/>
    <w:rsid w:val="003A5BAE"/>
    <w:rsid w:val="003A5C19"/>
    <w:rsid w:val="003A5CD6"/>
    <w:rsid w:val="003A5F23"/>
    <w:rsid w:val="003A6B43"/>
    <w:rsid w:val="003A6D6D"/>
    <w:rsid w:val="003A6DE3"/>
    <w:rsid w:val="003A6F6D"/>
    <w:rsid w:val="003A7AFF"/>
    <w:rsid w:val="003B041D"/>
    <w:rsid w:val="003B0619"/>
    <w:rsid w:val="003B0A5B"/>
    <w:rsid w:val="003B123F"/>
    <w:rsid w:val="003B14DB"/>
    <w:rsid w:val="003B169C"/>
    <w:rsid w:val="003B2549"/>
    <w:rsid w:val="003B298F"/>
    <w:rsid w:val="003B2DDB"/>
    <w:rsid w:val="003B30FA"/>
    <w:rsid w:val="003B315B"/>
    <w:rsid w:val="003B336F"/>
    <w:rsid w:val="003B3383"/>
    <w:rsid w:val="003B38C9"/>
    <w:rsid w:val="003B3914"/>
    <w:rsid w:val="003B3A19"/>
    <w:rsid w:val="003B4196"/>
    <w:rsid w:val="003B51A8"/>
    <w:rsid w:val="003B565F"/>
    <w:rsid w:val="003B5D8F"/>
    <w:rsid w:val="003B624F"/>
    <w:rsid w:val="003B6250"/>
    <w:rsid w:val="003B6923"/>
    <w:rsid w:val="003B6A89"/>
    <w:rsid w:val="003B6B36"/>
    <w:rsid w:val="003B6F42"/>
    <w:rsid w:val="003B74E1"/>
    <w:rsid w:val="003B77A8"/>
    <w:rsid w:val="003B7975"/>
    <w:rsid w:val="003B7A3B"/>
    <w:rsid w:val="003B7B4F"/>
    <w:rsid w:val="003C07D4"/>
    <w:rsid w:val="003C0995"/>
    <w:rsid w:val="003C0C94"/>
    <w:rsid w:val="003C0D9E"/>
    <w:rsid w:val="003C0FF6"/>
    <w:rsid w:val="003C1088"/>
    <w:rsid w:val="003C119F"/>
    <w:rsid w:val="003C13E7"/>
    <w:rsid w:val="003C21DE"/>
    <w:rsid w:val="003C28C3"/>
    <w:rsid w:val="003C2D13"/>
    <w:rsid w:val="003C4045"/>
    <w:rsid w:val="003C41DF"/>
    <w:rsid w:val="003C4751"/>
    <w:rsid w:val="003C53CF"/>
    <w:rsid w:val="003C5DAD"/>
    <w:rsid w:val="003C5E10"/>
    <w:rsid w:val="003C6CB3"/>
    <w:rsid w:val="003C71DF"/>
    <w:rsid w:val="003C7E9D"/>
    <w:rsid w:val="003C7EAC"/>
    <w:rsid w:val="003D00DE"/>
    <w:rsid w:val="003D0D80"/>
    <w:rsid w:val="003D0E1F"/>
    <w:rsid w:val="003D0EA6"/>
    <w:rsid w:val="003D159F"/>
    <w:rsid w:val="003D192A"/>
    <w:rsid w:val="003D1E4D"/>
    <w:rsid w:val="003D1FDA"/>
    <w:rsid w:val="003D222F"/>
    <w:rsid w:val="003D231F"/>
    <w:rsid w:val="003D2617"/>
    <w:rsid w:val="003D2998"/>
    <w:rsid w:val="003D2B81"/>
    <w:rsid w:val="003D2F74"/>
    <w:rsid w:val="003D32C1"/>
    <w:rsid w:val="003D338E"/>
    <w:rsid w:val="003D377A"/>
    <w:rsid w:val="003D4A85"/>
    <w:rsid w:val="003D4C64"/>
    <w:rsid w:val="003D4D56"/>
    <w:rsid w:val="003D4D91"/>
    <w:rsid w:val="003D4DBD"/>
    <w:rsid w:val="003D4EDD"/>
    <w:rsid w:val="003D55C1"/>
    <w:rsid w:val="003D57B9"/>
    <w:rsid w:val="003D5C79"/>
    <w:rsid w:val="003D5EBE"/>
    <w:rsid w:val="003D63E5"/>
    <w:rsid w:val="003D64F6"/>
    <w:rsid w:val="003D6693"/>
    <w:rsid w:val="003D6930"/>
    <w:rsid w:val="003D6C61"/>
    <w:rsid w:val="003D6EDF"/>
    <w:rsid w:val="003D6F63"/>
    <w:rsid w:val="003D70A8"/>
    <w:rsid w:val="003D70E1"/>
    <w:rsid w:val="003D719E"/>
    <w:rsid w:val="003D75C3"/>
    <w:rsid w:val="003D762D"/>
    <w:rsid w:val="003D7D43"/>
    <w:rsid w:val="003E0463"/>
    <w:rsid w:val="003E05B8"/>
    <w:rsid w:val="003E07B2"/>
    <w:rsid w:val="003E08FC"/>
    <w:rsid w:val="003E0B73"/>
    <w:rsid w:val="003E0CA1"/>
    <w:rsid w:val="003E12D8"/>
    <w:rsid w:val="003E2045"/>
    <w:rsid w:val="003E215A"/>
    <w:rsid w:val="003E2278"/>
    <w:rsid w:val="003E259A"/>
    <w:rsid w:val="003E25A0"/>
    <w:rsid w:val="003E2A47"/>
    <w:rsid w:val="003E2AC5"/>
    <w:rsid w:val="003E2C5C"/>
    <w:rsid w:val="003E384A"/>
    <w:rsid w:val="003E3941"/>
    <w:rsid w:val="003E39A3"/>
    <w:rsid w:val="003E3B18"/>
    <w:rsid w:val="003E43F9"/>
    <w:rsid w:val="003E44C2"/>
    <w:rsid w:val="003E451E"/>
    <w:rsid w:val="003E4A66"/>
    <w:rsid w:val="003E57E1"/>
    <w:rsid w:val="003E6013"/>
    <w:rsid w:val="003E6434"/>
    <w:rsid w:val="003E6640"/>
    <w:rsid w:val="003E6F8A"/>
    <w:rsid w:val="003E7078"/>
    <w:rsid w:val="003E78A3"/>
    <w:rsid w:val="003F00A7"/>
    <w:rsid w:val="003F0588"/>
    <w:rsid w:val="003F0847"/>
    <w:rsid w:val="003F0990"/>
    <w:rsid w:val="003F0A85"/>
    <w:rsid w:val="003F0AA7"/>
    <w:rsid w:val="003F0D7A"/>
    <w:rsid w:val="003F1BFA"/>
    <w:rsid w:val="003F1C18"/>
    <w:rsid w:val="003F1CF1"/>
    <w:rsid w:val="003F22DA"/>
    <w:rsid w:val="003F22FC"/>
    <w:rsid w:val="003F24FF"/>
    <w:rsid w:val="003F28D2"/>
    <w:rsid w:val="003F2F0E"/>
    <w:rsid w:val="003F342A"/>
    <w:rsid w:val="003F3744"/>
    <w:rsid w:val="003F41C4"/>
    <w:rsid w:val="003F48A5"/>
    <w:rsid w:val="003F48C6"/>
    <w:rsid w:val="003F4CE6"/>
    <w:rsid w:val="003F5334"/>
    <w:rsid w:val="003F5DC3"/>
    <w:rsid w:val="003F6ABC"/>
    <w:rsid w:val="003F7043"/>
    <w:rsid w:val="003F71BC"/>
    <w:rsid w:val="003F7318"/>
    <w:rsid w:val="003F7EA8"/>
    <w:rsid w:val="004002A1"/>
    <w:rsid w:val="0040097B"/>
    <w:rsid w:val="00400AD4"/>
    <w:rsid w:val="004013BE"/>
    <w:rsid w:val="004018C2"/>
    <w:rsid w:val="004025AE"/>
    <w:rsid w:val="00402A61"/>
    <w:rsid w:val="00402F21"/>
    <w:rsid w:val="00402FDC"/>
    <w:rsid w:val="00403F25"/>
    <w:rsid w:val="004047FF"/>
    <w:rsid w:val="00404911"/>
    <w:rsid w:val="00404D40"/>
    <w:rsid w:val="00404DBB"/>
    <w:rsid w:val="00405033"/>
    <w:rsid w:val="0040503E"/>
    <w:rsid w:val="004054CF"/>
    <w:rsid w:val="0040568C"/>
    <w:rsid w:val="00405739"/>
    <w:rsid w:val="004059C8"/>
    <w:rsid w:val="00405B9C"/>
    <w:rsid w:val="00405FFE"/>
    <w:rsid w:val="004069FB"/>
    <w:rsid w:val="0040702E"/>
    <w:rsid w:val="004076EB"/>
    <w:rsid w:val="004102FC"/>
    <w:rsid w:val="004103FE"/>
    <w:rsid w:val="0041070A"/>
    <w:rsid w:val="00410803"/>
    <w:rsid w:val="00410AB2"/>
    <w:rsid w:val="00410B65"/>
    <w:rsid w:val="004118F6"/>
    <w:rsid w:val="00411F93"/>
    <w:rsid w:val="00411FBE"/>
    <w:rsid w:val="004124C0"/>
    <w:rsid w:val="00412719"/>
    <w:rsid w:val="00412DBC"/>
    <w:rsid w:val="004131E3"/>
    <w:rsid w:val="0041328E"/>
    <w:rsid w:val="0041454F"/>
    <w:rsid w:val="004147E7"/>
    <w:rsid w:val="004149AF"/>
    <w:rsid w:val="00414B52"/>
    <w:rsid w:val="00414CCB"/>
    <w:rsid w:val="00414CF7"/>
    <w:rsid w:val="00414FBC"/>
    <w:rsid w:val="00415094"/>
    <w:rsid w:val="00415E0C"/>
    <w:rsid w:val="004164D0"/>
    <w:rsid w:val="004168F0"/>
    <w:rsid w:val="004169EF"/>
    <w:rsid w:val="00416BA7"/>
    <w:rsid w:val="004171A3"/>
    <w:rsid w:val="0041753E"/>
    <w:rsid w:val="00417770"/>
    <w:rsid w:val="00417F36"/>
    <w:rsid w:val="00417F38"/>
    <w:rsid w:val="00417FB1"/>
    <w:rsid w:val="00420262"/>
    <w:rsid w:val="00420A0B"/>
    <w:rsid w:val="00420ABA"/>
    <w:rsid w:val="00420C1E"/>
    <w:rsid w:val="0042100E"/>
    <w:rsid w:val="00421944"/>
    <w:rsid w:val="00421F6E"/>
    <w:rsid w:val="00422AA6"/>
    <w:rsid w:val="00423046"/>
    <w:rsid w:val="00423540"/>
    <w:rsid w:val="0042357F"/>
    <w:rsid w:val="00423B42"/>
    <w:rsid w:val="00423C24"/>
    <w:rsid w:val="004241B1"/>
    <w:rsid w:val="00424201"/>
    <w:rsid w:val="0042420E"/>
    <w:rsid w:val="004242BA"/>
    <w:rsid w:val="004246EB"/>
    <w:rsid w:val="0042476A"/>
    <w:rsid w:val="004249F3"/>
    <w:rsid w:val="00424C45"/>
    <w:rsid w:val="00424D44"/>
    <w:rsid w:val="0042569F"/>
    <w:rsid w:val="004257CB"/>
    <w:rsid w:val="0042586A"/>
    <w:rsid w:val="004258E5"/>
    <w:rsid w:val="00425976"/>
    <w:rsid w:val="00425C5F"/>
    <w:rsid w:val="00425FFC"/>
    <w:rsid w:val="0042617C"/>
    <w:rsid w:val="00426252"/>
    <w:rsid w:val="00426CC2"/>
    <w:rsid w:val="00427952"/>
    <w:rsid w:val="00427D53"/>
    <w:rsid w:val="004303D5"/>
    <w:rsid w:val="00430F1D"/>
    <w:rsid w:val="00431DE1"/>
    <w:rsid w:val="00431E16"/>
    <w:rsid w:val="00431E68"/>
    <w:rsid w:val="00431F4E"/>
    <w:rsid w:val="0043214F"/>
    <w:rsid w:val="004327D4"/>
    <w:rsid w:val="0043308A"/>
    <w:rsid w:val="00433313"/>
    <w:rsid w:val="004334CC"/>
    <w:rsid w:val="004342BC"/>
    <w:rsid w:val="0043445C"/>
    <w:rsid w:val="0043523C"/>
    <w:rsid w:val="004353B1"/>
    <w:rsid w:val="004353C9"/>
    <w:rsid w:val="00435524"/>
    <w:rsid w:val="00435EA3"/>
    <w:rsid w:val="0043680F"/>
    <w:rsid w:val="00436F26"/>
    <w:rsid w:val="00437002"/>
    <w:rsid w:val="004373DA"/>
    <w:rsid w:val="00437591"/>
    <w:rsid w:val="00437A92"/>
    <w:rsid w:val="00437B9E"/>
    <w:rsid w:val="00437BE2"/>
    <w:rsid w:val="00440160"/>
    <w:rsid w:val="004410F1"/>
    <w:rsid w:val="004415F4"/>
    <w:rsid w:val="00441688"/>
    <w:rsid w:val="00441719"/>
    <w:rsid w:val="00441D52"/>
    <w:rsid w:val="0044208F"/>
    <w:rsid w:val="004421BF"/>
    <w:rsid w:val="0044256A"/>
    <w:rsid w:val="00442979"/>
    <w:rsid w:val="00442A6F"/>
    <w:rsid w:val="00442B52"/>
    <w:rsid w:val="00442C38"/>
    <w:rsid w:val="00443091"/>
    <w:rsid w:val="004430FC"/>
    <w:rsid w:val="00444001"/>
    <w:rsid w:val="0044430C"/>
    <w:rsid w:val="004444D1"/>
    <w:rsid w:val="00444BF3"/>
    <w:rsid w:val="00444CEE"/>
    <w:rsid w:val="004457C2"/>
    <w:rsid w:val="00445BFD"/>
    <w:rsid w:val="00445E1F"/>
    <w:rsid w:val="004460F1"/>
    <w:rsid w:val="00446BFA"/>
    <w:rsid w:val="00446EAC"/>
    <w:rsid w:val="00447203"/>
    <w:rsid w:val="00450044"/>
    <w:rsid w:val="0045060F"/>
    <w:rsid w:val="00450C56"/>
    <w:rsid w:val="00450D30"/>
    <w:rsid w:val="00451DC8"/>
    <w:rsid w:val="00452359"/>
    <w:rsid w:val="00452741"/>
    <w:rsid w:val="00452AA4"/>
    <w:rsid w:val="00452B41"/>
    <w:rsid w:val="00452BCB"/>
    <w:rsid w:val="00453044"/>
    <w:rsid w:val="00453245"/>
    <w:rsid w:val="00453ACA"/>
    <w:rsid w:val="00453CE0"/>
    <w:rsid w:val="00453FD6"/>
    <w:rsid w:val="00454547"/>
    <w:rsid w:val="00455263"/>
    <w:rsid w:val="004554C6"/>
    <w:rsid w:val="004554C7"/>
    <w:rsid w:val="004556ED"/>
    <w:rsid w:val="00455762"/>
    <w:rsid w:val="00455B46"/>
    <w:rsid w:val="00455C54"/>
    <w:rsid w:val="00455D6F"/>
    <w:rsid w:val="00455E42"/>
    <w:rsid w:val="00456581"/>
    <w:rsid w:val="00456D0B"/>
    <w:rsid w:val="0045703D"/>
    <w:rsid w:val="0045718F"/>
    <w:rsid w:val="00457703"/>
    <w:rsid w:val="00457BBB"/>
    <w:rsid w:val="0046052E"/>
    <w:rsid w:val="00460CE6"/>
    <w:rsid w:val="00460DA3"/>
    <w:rsid w:val="004610AD"/>
    <w:rsid w:val="0046140C"/>
    <w:rsid w:val="00461998"/>
    <w:rsid w:val="00461C7F"/>
    <w:rsid w:val="004621D9"/>
    <w:rsid w:val="00462B23"/>
    <w:rsid w:val="00462E13"/>
    <w:rsid w:val="0046313B"/>
    <w:rsid w:val="0046329C"/>
    <w:rsid w:val="0046331E"/>
    <w:rsid w:val="0046403E"/>
    <w:rsid w:val="0046427E"/>
    <w:rsid w:val="00464347"/>
    <w:rsid w:val="004644C9"/>
    <w:rsid w:val="004647C5"/>
    <w:rsid w:val="00464AA6"/>
    <w:rsid w:val="00464CE2"/>
    <w:rsid w:val="00465D39"/>
    <w:rsid w:val="004662F7"/>
    <w:rsid w:val="00466570"/>
    <w:rsid w:val="00466753"/>
    <w:rsid w:val="00466ABA"/>
    <w:rsid w:val="004672E4"/>
    <w:rsid w:val="00467A22"/>
    <w:rsid w:val="00470183"/>
    <w:rsid w:val="004707AF"/>
    <w:rsid w:val="0047105C"/>
    <w:rsid w:val="00471651"/>
    <w:rsid w:val="00472118"/>
    <w:rsid w:val="00472EAB"/>
    <w:rsid w:val="0047332B"/>
    <w:rsid w:val="004738C5"/>
    <w:rsid w:val="004738CC"/>
    <w:rsid w:val="004739B0"/>
    <w:rsid w:val="00473F30"/>
    <w:rsid w:val="00474557"/>
    <w:rsid w:val="00474884"/>
    <w:rsid w:val="00474C1C"/>
    <w:rsid w:val="00474D7A"/>
    <w:rsid w:val="00474E83"/>
    <w:rsid w:val="00475181"/>
    <w:rsid w:val="004752BC"/>
    <w:rsid w:val="00475322"/>
    <w:rsid w:val="004759D7"/>
    <w:rsid w:val="00475A56"/>
    <w:rsid w:val="00476567"/>
    <w:rsid w:val="004769FF"/>
    <w:rsid w:val="0047731D"/>
    <w:rsid w:val="00477F85"/>
    <w:rsid w:val="004803AA"/>
    <w:rsid w:val="004808EB"/>
    <w:rsid w:val="00480DF4"/>
    <w:rsid w:val="0048100D"/>
    <w:rsid w:val="00481A3E"/>
    <w:rsid w:val="00481EB0"/>
    <w:rsid w:val="00482269"/>
    <w:rsid w:val="00482333"/>
    <w:rsid w:val="00482494"/>
    <w:rsid w:val="004826B3"/>
    <w:rsid w:val="00482D00"/>
    <w:rsid w:val="00483AC6"/>
    <w:rsid w:val="00484643"/>
    <w:rsid w:val="00484747"/>
    <w:rsid w:val="004848A8"/>
    <w:rsid w:val="00484C75"/>
    <w:rsid w:val="00484C9A"/>
    <w:rsid w:val="00484F70"/>
    <w:rsid w:val="00485F46"/>
    <w:rsid w:val="00486175"/>
    <w:rsid w:val="004864F5"/>
    <w:rsid w:val="00486718"/>
    <w:rsid w:val="004867C0"/>
    <w:rsid w:val="00486830"/>
    <w:rsid w:val="004871D4"/>
    <w:rsid w:val="0048726B"/>
    <w:rsid w:val="00487504"/>
    <w:rsid w:val="00490CC7"/>
    <w:rsid w:val="00491D80"/>
    <w:rsid w:val="00492F9C"/>
    <w:rsid w:val="00493012"/>
    <w:rsid w:val="00493223"/>
    <w:rsid w:val="00493234"/>
    <w:rsid w:val="004934EE"/>
    <w:rsid w:val="004935DD"/>
    <w:rsid w:val="00493623"/>
    <w:rsid w:val="00493807"/>
    <w:rsid w:val="00493934"/>
    <w:rsid w:val="00493D7E"/>
    <w:rsid w:val="00493DA8"/>
    <w:rsid w:val="004944E7"/>
    <w:rsid w:val="00494FF5"/>
    <w:rsid w:val="00495402"/>
    <w:rsid w:val="00495C74"/>
    <w:rsid w:val="00495C85"/>
    <w:rsid w:val="0049653A"/>
    <w:rsid w:val="00496D83"/>
    <w:rsid w:val="00496F5D"/>
    <w:rsid w:val="0049761C"/>
    <w:rsid w:val="004A0824"/>
    <w:rsid w:val="004A0C9E"/>
    <w:rsid w:val="004A1106"/>
    <w:rsid w:val="004A1254"/>
    <w:rsid w:val="004A1C2F"/>
    <w:rsid w:val="004A20BC"/>
    <w:rsid w:val="004A2127"/>
    <w:rsid w:val="004A2381"/>
    <w:rsid w:val="004A2444"/>
    <w:rsid w:val="004A25F7"/>
    <w:rsid w:val="004A26A1"/>
    <w:rsid w:val="004A2E2B"/>
    <w:rsid w:val="004A2F27"/>
    <w:rsid w:val="004A395F"/>
    <w:rsid w:val="004A3E05"/>
    <w:rsid w:val="004A485A"/>
    <w:rsid w:val="004A496D"/>
    <w:rsid w:val="004A5911"/>
    <w:rsid w:val="004A5A84"/>
    <w:rsid w:val="004A5D20"/>
    <w:rsid w:val="004A5F2B"/>
    <w:rsid w:val="004A6812"/>
    <w:rsid w:val="004A6EAE"/>
    <w:rsid w:val="004A71D6"/>
    <w:rsid w:val="004A77EF"/>
    <w:rsid w:val="004A77F5"/>
    <w:rsid w:val="004B0474"/>
    <w:rsid w:val="004B08F7"/>
    <w:rsid w:val="004B1702"/>
    <w:rsid w:val="004B1799"/>
    <w:rsid w:val="004B1825"/>
    <w:rsid w:val="004B1BC4"/>
    <w:rsid w:val="004B2111"/>
    <w:rsid w:val="004B24AB"/>
    <w:rsid w:val="004B2C76"/>
    <w:rsid w:val="004B30FF"/>
    <w:rsid w:val="004B315B"/>
    <w:rsid w:val="004B3283"/>
    <w:rsid w:val="004B36A7"/>
    <w:rsid w:val="004B3A7A"/>
    <w:rsid w:val="004B3A87"/>
    <w:rsid w:val="004B3B39"/>
    <w:rsid w:val="004B3EC3"/>
    <w:rsid w:val="004B41EB"/>
    <w:rsid w:val="004B45D9"/>
    <w:rsid w:val="004B4919"/>
    <w:rsid w:val="004B4E7F"/>
    <w:rsid w:val="004B4F86"/>
    <w:rsid w:val="004B51BF"/>
    <w:rsid w:val="004B5A09"/>
    <w:rsid w:val="004B5D15"/>
    <w:rsid w:val="004B5E4A"/>
    <w:rsid w:val="004B5EFD"/>
    <w:rsid w:val="004B673E"/>
    <w:rsid w:val="004B7463"/>
    <w:rsid w:val="004B7541"/>
    <w:rsid w:val="004B759E"/>
    <w:rsid w:val="004B7B4D"/>
    <w:rsid w:val="004B7C54"/>
    <w:rsid w:val="004C011D"/>
    <w:rsid w:val="004C01F8"/>
    <w:rsid w:val="004C1336"/>
    <w:rsid w:val="004C142A"/>
    <w:rsid w:val="004C14DE"/>
    <w:rsid w:val="004C1692"/>
    <w:rsid w:val="004C1AAB"/>
    <w:rsid w:val="004C1CFC"/>
    <w:rsid w:val="004C20ED"/>
    <w:rsid w:val="004C21D2"/>
    <w:rsid w:val="004C25A7"/>
    <w:rsid w:val="004C30F5"/>
    <w:rsid w:val="004C3185"/>
    <w:rsid w:val="004C3633"/>
    <w:rsid w:val="004C3B04"/>
    <w:rsid w:val="004C3DFE"/>
    <w:rsid w:val="004C4606"/>
    <w:rsid w:val="004C48FB"/>
    <w:rsid w:val="004C544A"/>
    <w:rsid w:val="004C5D9B"/>
    <w:rsid w:val="004C5D9D"/>
    <w:rsid w:val="004C6210"/>
    <w:rsid w:val="004C6BCF"/>
    <w:rsid w:val="004C7C2D"/>
    <w:rsid w:val="004C7CFE"/>
    <w:rsid w:val="004D0448"/>
    <w:rsid w:val="004D060D"/>
    <w:rsid w:val="004D0F12"/>
    <w:rsid w:val="004D113D"/>
    <w:rsid w:val="004D13BB"/>
    <w:rsid w:val="004D22E6"/>
    <w:rsid w:val="004D241F"/>
    <w:rsid w:val="004D2698"/>
    <w:rsid w:val="004D281B"/>
    <w:rsid w:val="004D307E"/>
    <w:rsid w:val="004D321D"/>
    <w:rsid w:val="004D33CF"/>
    <w:rsid w:val="004D35A8"/>
    <w:rsid w:val="004D366F"/>
    <w:rsid w:val="004D3714"/>
    <w:rsid w:val="004D393B"/>
    <w:rsid w:val="004D3ACA"/>
    <w:rsid w:val="004D3B39"/>
    <w:rsid w:val="004D3B86"/>
    <w:rsid w:val="004D4743"/>
    <w:rsid w:val="004D4744"/>
    <w:rsid w:val="004D47D1"/>
    <w:rsid w:val="004D4C41"/>
    <w:rsid w:val="004D4EB9"/>
    <w:rsid w:val="004D4ED1"/>
    <w:rsid w:val="004D6D71"/>
    <w:rsid w:val="004D73D3"/>
    <w:rsid w:val="004D7A67"/>
    <w:rsid w:val="004E0039"/>
    <w:rsid w:val="004E0092"/>
    <w:rsid w:val="004E0588"/>
    <w:rsid w:val="004E0880"/>
    <w:rsid w:val="004E0B44"/>
    <w:rsid w:val="004E0CED"/>
    <w:rsid w:val="004E1068"/>
    <w:rsid w:val="004E1493"/>
    <w:rsid w:val="004E17C5"/>
    <w:rsid w:val="004E1A98"/>
    <w:rsid w:val="004E23CA"/>
    <w:rsid w:val="004E2434"/>
    <w:rsid w:val="004E2825"/>
    <w:rsid w:val="004E2C16"/>
    <w:rsid w:val="004E3394"/>
    <w:rsid w:val="004E33D6"/>
    <w:rsid w:val="004E3444"/>
    <w:rsid w:val="004E3910"/>
    <w:rsid w:val="004E3986"/>
    <w:rsid w:val="004E429D"/>
    <w:rsid w:val="004E441F"/>
    <w:rsid w:val="004E4452"/>
    <w:rsid w:val="004E45DC"/>
    <w:rsid w:val="004E4A32"/>
    <w:rsid w:val="004E511D"/>
    <w:rsid w:val="004E51DA"/>
    <w:rsid w:val="004E5F87"/>
    <w:rsid w:val="004E6035"/>
    <w:rsid w:val="004E6364"/>
    <w:rsid w:val="004E67A4"/>
    <w:rsid w:val="004E6AB5"/>
    <w:rsid w:val="004E6B1C"/>
    <w:rsid w:val="004E6E2B"/>
    <w:rsid w:val="004E7040"/>
    <w:rsid w:val="004E7301"/>
    <w:rsid w:val="004E7A27"/>
    <w:rsid w:val="004E7B7F"/>
    <w:rsid w:val="004F00A4"/>
    <w:rsid w:val="004F04F9"/>
    <w:rsid w:val="004F09C0"/>
    <w:rsid w:val="004F0D93"/>
    <w:rsid w:val="004F0E33"/>
    <w:rsid w:val="004F116E"/>
    <w:rsid w:val="004F15D8"/>
    <w:rsid w:val="004F22E1"/>
    <w:rsid w:val="004F3009"/>
    <w:rsid w:val="004F3047"/>
    <w:rsid w:val="004F3053"/>
    <w:rsid w:val="004F324E"/>
    <w:rsid w:val="004F3341"/>
    <w:rsid w:val="004F3394"/>
    <w:rsid w:val="004F3CF6"/>
    <w:rsid w:val="004F44ED"/>
    <w:rsid w:val="004F4C7A"/>
    <w:rsid w:val="004F5203"/>
    <w:rsid w:val="004F57E1"/>
    <w:rsid w:val="004F58DB"/>
    <w:rsid w:val="004F610B"/>
    <w:rsid w:val="004F61DB"/>
    <w:rsid w:val="004F6EED"/>
    <w:rsid w:val="004F7536"/>
    <w:rsid w:val="004F79FF"/>
    <w:rsid w:val="00500685"/>
    <w:rsid w:val="005006F8"/>
    <w:rsid w:val="00500D4E"/>
    <w:rsid w:val="00500E0E"/>
    <w:rsid w:val="00501DFC"/>
    <w:rsid w:val="00502303"/>
    <w:rsid w:val="0050279B"/>
    <w:rsid w:val="00502DE3"/>
    <w:rsid w:val="00503056"/>
    <w:rsid w:val="00503418"/>
    <w:rsid w:val="00503541"/>
    <w:rsid w:val="00503654"/>
    <w:rsid w:val="00503A52"/>
    <w:rsid w:val="00503C64"/>
    <w:rsid w:val="00503E33"/>
    <w:rsid w:val="00504449"/>
    <w:rsid w:val="0050450D"/>
    <w:rsid w:val="0050470E"/>
    <w:rsid w:val="00504833"/>
    <w:rsid w:val="0050498D"/>
    <w:rsid w:val="00504E80"/>
    <w:rsid w:val="0050510E"/>
    <w:rsid w:val="0050652B"/>
    <w:rsid w:val="00506545"/>
    <w:rsid w:val="0050712B"/>
    <w:rsid w:val="005076D6"/>
    <w:rsid w:val="00507B7C"/>
    <w:rsid w:val="00507EC7"/>
    <w:rsid w:val="005104EF"/>
    <w:rsid w:val="00510909"/>
    <w:rsid w:val="00510AD3"/>
    <w:rsid w:val="00510B1B"/>
    <w:rsid w:val="005110EF"/>
    <w:rsid w:val="00511278"/>
    <w:rsid w:val="00511403"/>
    <w:rsid w:val="00511B06"/>
    <w:rsid w:val="00511B91"/>
    <w:rsid w:val="00511D87"/>
    <w:rsid w:val="005124DA"/>
    <w:rsid w:val="00512BC2"/>
    <w:rsid w:val="00512C9E"/>
    <w:rsid w:val="00513709"/>
    <w:rsid w:val="0051426D"/>
    <w:rsid w:val="005148FF"/>
    <w:rsid w:val="00514B5E"/>
    <w:rsid w:val="00515861"/>
    <w:rsid w:val="00515E16"/>
    <w:rsid w:val="005161D4"/>
    <w:rsid w:val="00516330"/>
    <w:rsid w:val="00517186"/>
    <w:rsid w:val="00517C39"/>
    <w:rsid w:val="00517CE1"/>
    <w:rsid w:val="00517DF1"/>
    <w:rsid w:val="00517E4A"/>
    <w:rsid w:val="00520610"/>
    <w:rsid w:val="00520B1C"/>
    <w:rsid w:val="00520CC8"/>
    <w:rsid w:val="00520F40"/>
    <w:rsid w:val="0052128A"/>
    <w:rsid w:val="005213B8"/>
    <w:rsid w:val="0052169F"/>
    <w:rsid w:val="005216D6"/>
    <w:rsid w:val="00521BC1"/>
    <w:rsid w:val="00522248"/>
    <w:rsid w:val="00522893"/>
    <w:rsid w:val="00522EBA"/>
    <w:rsid w:val="005236BC"/>
    <w:rsid w:val="0052389A"/>
    <w:rsid w:val="00524376"/>
    <w:rsid w:val="0052459D"/>
    <w:rsid w:val="005245D8"/>
    <w:rsid w:val="0052505F"/>
    <w:rsid w:val="005251F0"/>
    <w:rsid w:val="005253A6"/>
    <w:rsid w:val="00525F99"/>
    <w:rsid w:val="005261A8"/>
    <w:rsid w:val="005262A4"/>
    <w:rsid w:val="005263F5"/>
    <w:rsid w:val="00526A54"/>
    <w:rsid w:val="00526D26"/>
    <w:rsid w:val="005273AC"/>
    <w:rsid w:val="00527440"/>
    <w:rsid w:val="00527BFB"/>
    <w:rsid w:val="005300B5"/>
    <w:rsid w:val="005302C2"/>
    <w:rsid w:val="0053057C"/>
    <w:rsid w:val="00530994"/>
    <w:rsid w:val="00530BE6"/>
    <w:rsid w:val="005314E1"/>
    <w:rsid w:val="00531A76"/>
    <w:rsid w:val="00531DE9"/>
    <w:rsid w:val="0053278B"/>
    <w:rsid w:val="005335E0"/>
    <w:rsid w:val="00533BF1"/>
    <w:rsid w:val="00533C9F"/>
    <w:rsid w:val="00533D10"/>
    <w:rsid w:val="00534C7E"/>
    <w:rsid w:val="005350F6"/>
    <w:rsid w:val="00535174"/>
    <w:rsid w:val="0053522B"/>
    <w:rsid w:val="0053560C"/>
    <w:rsid w:val="005358A8"/>
    <w:rsid w:val="00535ABA"/>
    <w:rsid w:val="005368DA"/>
    <w:rsid w:val="00536DB1"/>
    <w:rsid w:val="00536E68"/>
    <w:rsid w:val="00537077"/>
    <w:rsid w:val="00537600"/>
    <w:rsid w:val="00537898"/>
    <w:rsid w:val="005379D9"/>
    <w:rsid w:val="005379FB"/>
    <w:rsid w:val="00537A5E"/>
    <w:rsid w:val="00540816"/>
    <w:rsid w:val="00540EFD"/>
    <w:rsid w:val="00541334"/>
    <w:rsid w:val="005415C7"/>
    <w:rsid w:val="00541648"/>
    <w:rsid w:val="005417BD"/>
    <w:rsid w:val="00541B29"/>
    <w:rsid w:val="00541BF3"/>
    <w:rsid w:val="00541E16"/>
    <w:rsid w:val="00541EB4"/>
    <w:rsid w:val="0054273F"/>
    <w:rsid w:val="00542A6D"/>
    <w:rsid w:val="00542F06"/>
    <w:rsid w:val="005434DE"/>
    <w:rsid w:val="005435CB"/>
    <w:rsid w:val="00543D74"/>
    <w:rsid w:val="00543DD3"/>
    <w:rsid w:val="005440B1"/>
    <w:rsid w:val="00544E23"/>
    <w:rsid w:val="00544F6E"/>
    <w:rsid w:val="005453C5"/>
    <w:rsid w:val="00545859"/>
    <w:rsid w:val="005459BA"/>
    <w:rsid w:val="00545C7F"/>
    <w:rsid w:val="005460E8"/>
    <w:rsid w:val="0054677A"/>
    <w:rsid w:val="00546990"/>
    <w:rsid w:val="00546BD8"/>
    <w:rsid w:val="005470D5"/>
    <w:rsid w:val="005470FE"/>
    <w:rsid w:val="00547127"/>
    <w:rsid w:val="005471F0"/>
    <w:rsid w:val="005472BE"/>
    <w:rsid w:val="005475D7"/>
    <w:rsid w:val="005477AC"/>
    <w:rsid w:val="0054784E"/>
    <w:rsid w:val="00547A84"/>
    <w:rsid w:val="00547BED"/>
    <w:rsid w:val="00547C45"/>
    <w:rsid w:val="00547C4F"/>
    <w:rsid w:val="0055016B"/>
    <w:rsid w:val="00550472"/>
    <w:rsid w:val="00550739"/>
    <w:rsid w:val="00550786"/>
    <w:rsid w:val="00550AA8"/>
    <w:rsid w:val="00550D5A"/>
    <w:rsid w:val="00550F19"/>
    <w:rsid w:val="00550FE6"/>
    <w:rsid w:val="00551321"/>
    <w:rsid w:val="0055146D"/>
    <w:rsid w:val="005515BE"/>
    <w:rsid w:val="005519C6"/>
    <w:rsid w:val="00551C65"/>
    <w:rsid w:val="00552572"/>
    <w:rsid w:val="0055285C"/>
    <w:rsid w:val="00552DCA"/>
    <w:rsid w:val="0055358B"/>
    <w:rsid w:val="00553E1C"/>
    <w:rsid w:val="005542EB"/>
    <w:rsid w:val="0055465D"/>
    <w:rsid w:val="00554CA4"/>
    <w:rsid w:val="005550C0"/>
    <w:rsid w:val="005557F1"/>
    <w:rsid w:val="00555B95"/>
    <w:rsid w:val="005561C4"/>
    <w:rsid w:val="00556300"/>
    <w:rsid w:val="005566ED"/>
    <w:rsid w:val="00556BCC"/>
    <w:rsid w:val="00556E65"/>
    <w:rsid w:val="00556E95"/>
    <w:rsid w:val="00557131"/>
    <w:rsid w:val="00557EC3"/>
    <w:rsid w:val="00557FE3"/>
    <w:rsid w:val="0056009B"/>
    <w:rsid w:val="005602EA"/>
    <w:rsid w:val="0056050A"/>
    <w:rsid w:val="0056069F"/>
    <w:rsid w:val="00560EA2"/>
    <w:rsid w:val="00560F1C"/>
    <w:rsid w:val="00560F2A"/>
    <w:rsid w:val="00561149"/>
    <w:rsid w:val="005614C1"/>
    <w:rsid w:val="00561555"/>
    <w:rsid w:val="00561C69"/>
    <w:rsid w:val="00562F8D"/>
    <w:rsid w:val="00563234"/>
    <w:rsid w:val="00563346"/>
    <w:rsid w:val="00563E0A"/>
    <w:rsid w:val="00564118"/>
    <w:rsid w:val="0056477F"/>
    <w:rsid w:val="0056479F"/>
    <w:rsid w:val="00564CAA"/>
    <w:rsid w:val="0056519D"/>
    <w:rsid w:val="005659B5"/>
    <w:rsid w:val="00565AE0"/>
    <w:rsid w:val="00565AED"/>
    <w:rsid w:val="00565B08"/>
    <w:rsid w:val="00565D68"/>
    <w:rsid w:val="00566CD8"/>
    <w:rsid w:val="00567021"/>
    <w:rsid w:val="0056747A"/>
    <w:rsid w:val="00567579"/>
    <w:rsid w:val="00567A58"/>
    <w:rsid w:val="005702A5"/>
    <w:rsid w:val="00570558"/>
    <w:rsid w:val="00570638"/>
    <w:rsid w:val="00570A95"/>
    <w:rsid w:val="00570EC3"/>
    <w:rsid w:val="00571080"/>
    <w:rsid w:val="00572538"/>
    <w:rsid w:val="0057253E"/>
    <w:rsid w:val="00572858"/>
    <w:rsid w:val="005729F9"/>
    <w:rsid w:val="00572FE2"/>
    <w:rsid w:val="0057317B"/>
    <w:rsid w:val="005731FA"/>
    <w:rsid w:val="005734B3"/>
    <w:rsid w:val="00573AC8"/>
    <w:rsid w:val="005740F3"/>
    <w:rsid w:val="0057481D"/>
    <w:rsid w:val="00574A80"/>
    <w:rsid w:val="00574C08"/>
    <w:rsid w:val="00575470"/>
    <w:rsid w:val="0057547A"/>
    <w:rsid w:val="005758F7"/>
    <w:rsid w:val="005767B1"/>
    <w:rsid w:val="00577163"/>
    <w:rsid w:val="005772FE"/>
    <w:rsid w:val="005773D0"/>
    <w:rsid w:val="005774C7"/>
    <w:rsid w:val="005776DC"/>
    <w:rsid w:val="005806FE"/>
    <w:rsid w:val="00580821"/>
    <w:rsid w:val="005809F2"/>
    <w:rsid w:val="00580F0B"/>
    <w:rsid w:val="0058141D"/>
    <w:rsid w:val="00581631"/>
    <w:rsid w:val="00581D0B"/>
    <w:rsid w:val="00582B03"/>
    <w:rsid w:val="00582D98"/>
    <w:rsid w:val="00583083"/>
    <w:rsid w:val="005836BA"/>
    <w:rsid w:val="00583722"/>
    <w:rsid w:val="005843B7"/>
    <w:rsid w:val="00584605"/>
    <w:rsid w:val="005846EE"/>
    <w:rsid w:val="00584F63"/>
    <w:rsid w:val="00584F84"/>
    <w:rsid w:val="005851B0"/>
    <w:rsid w:val="005853EB"/>
    <w:rsid w:val="00585A70"/>
    <w:rsid w:val="00585DCA"/>
    <w:rsid w:val="005862EB"/>
    <w:rsid w:val="005864C4"/>
    <w:rsid w:val="0058787A"/>
    <w:rsid w:val="005901F3"/>
    <w:rsid w:val="0059048E"/>
    <w:rsid w:val="0059059C"/>
    <w:rsid w:val="00590647"/>
    <w:rsid w:val="0059081D"/>
    <w:rsid w:val="005909EA"/>
    <w:rsid w:val="00590E15"/>
    <w:rsid w:val="00591322"/>
    <w:rsid w:val="0059192F"/>
    <w:rsid w:val="00591BF8"/>
    <w:rsid w:val="005927B2"/>
    <w:rsid w:val="00592C46"/>
    <w:rsid w:val="00593227"/>
    <w:rsid w:val="0059328E"/>
    <w:rsid w:val="00593C48"/>
    <w:rsid w:val="0059429B"/>
    <w:rsid w:val="005951ED"/>
    <w:rsid w:val="00595241"/>
    <w:rsid w:val="0059564C"/>
    <w:rsid w:val="00595777"/>
    <w:rsid w:val="005966EF"/>
    <w:rsid w:val="005968FD"/>
    <w:rsid w:val="00596EB2"/>
    <w:rsid w:val="005978A1"/>
    <w:rsid w:val="00597F1E"/>
    <w:rsid w:val="005A04DD"/>
    <w:rsid w:val="005A122B"/>
    <w:rsid w:val="005A130B"/>
    <w:rsid w:val="005A1879"/>
    <w:rsid w:val="005A18FB"/>
    <w:rsid w:val="005A19A8"/>
    <w:rsid w:val="005A1E77"/>
    <w:rsid w:val="005A2307"/>
    <w:rsid w:val="005A29C0"/>
    <w:rsid w:val="005A3057"/>
    <w:rsid w:val="005A3093"/>
    <w:rsid w:val="005A3311"/>
    <w:rsid w:val="005A33FD"/>
    <w:rsid w:val="005A3623"/>
    <w:rsid w:val="005A37D8"/>
    <w:rsid w:val="005A3D02"/>
    <w:rsid w:val="005A3EB2"/>
    <w:rsid w:val="005A3EB9"/>
    <w:rsid w:val="005A49E7"/>
    <w:rsid w:val="005A49F8"/>
    <w:rsid w:val="005A4AFD"/>
    <w:rsid w:val="005A4C36"/>
    <w:rsid w:val="005A4D6A"/>
    <w:rsid w:val="005A4EFB"/>
    <w:rsid w:val="005A50F4"/>
    <w:rsid w:val="005A526E"/>
    <w:rsid w:val="005A549E"/>
    <w:rsid w:val="005A55DF"/>
    <w:rsid w:val="005A5803"/>
    <w:rsid w:val="005A5BE6"/>
    <w:rsid w:val="005A5F2E"/>
    <w:rsid w:val="005A62D1"/>
    <w:rsid w:val="005A6591"/>
    <w:rsid w:val="005A68D4"/>
    <w:rsid w:val="005A68F9"/>
    <w:rsid w:val="005A7585"/>
    <w:rsid w:val="005A797C"/>
    <w:rsid w:val="005A7980"/>
    <w:rsid w:val="005B0150"/>
    <w:rsid w:val="005B01DB"/>
    <w:rsid w:val="005B02F5"/>
    <w:rsid w:val="005B0E76"/>
    <w:rsid w:val="005B120C"/>
    <w:rsid w:val="005B12B4"/>
    <w:rsid w:val="005B1D01"/>
    <w:rsid w:val="005B1D72"/>
    <w:rsid w:val="005B1EE9"/>
    <w:rsid w:val="005B1F1D"/>
    <w:rsid w:val="005B2032"/>
    <w:rsid w:val="005B2CC6"/>
    <w:rsid w:val="005B3263"/>
    <w:rsid w:val="005B41F8"/>
    <w:rsid w:val="005B436D"/>
    <w:rsid w:val="005B456A"/>
    <w:rsid w:val="005B495F"/>
    <w:rsid w:val="005B4EDE"/>
    <w:rsid w:val="005B54B4"/>
    <w:rsid w:val="005B57B9"/>
    <w:rsid w:val="005B5F19"/>
    <w:rsid w:val="005B61E1"/>
    <w:rsid w:val="005B630B"/>
    <w:rsid w:val="005B6794"/>
    <w:rsid w:val="005B72FF"/>
    <w:rsid w:val="005B7540"/>
    <w:rsid w:val="005B761E"/>
    <w:rsid w:val="005B775F"/>
    <w:rsid w:val="005B7B28"/>
    <w:rsid w:val="005C0533"/>
    <w:rsid w:val="005C0723"/>
    <w:rsid w:val="005C1086"/>
    <w:rsid w:val="005C138E"/>
    <w:rsid w:val="005C23C1"/>
    <w:rsid w:val="005C2559"/>
    <w:rsid w:val="005C27C8"/>
    <w:rsid w:val="005C2CF4"/>
    <w:rsid w:val="005C2DD5"/>
    <w:rsid w:val="005C2F04"/>
    <w:rsid w:val="005C3674"/>
    <w:rsid w:val="005C38EE"/>
    <w:rsid w:val="005C40C2"/>
    <w:rsid w:val="005C421F"/>
    <w:rsid w:val="005C484B"/>
    <w:rsid w:val="005C49D6"/>
    <w:rsid w:val="005C4ADE"/>
    <w:rsid w:val="005C4B58"/>
    <w:rsid w:val="005C4CA5"/>
    <w:rsid w:val="005C50F2"/>
    <w:rsid w:val="005C5444"/>
    <w:rsid w:val="005C5518"/>
    <w:rsid w:val="005C5B2B"/>
    <w:rsid w:val="005C5EFB"/>
    <w:rsid w:val="005C65FA"/>
    <w:rsid w:val="005C6CD0"/>
    <w:rsid w:val="005C6D17"/>
    <w:rsid w:val="005C6F2E"/>
    <w:rsid w:val="005C6FBD"/>
    <w:rsid w:val="005C71CE"/>
    <w:rsid w:val="005C7F26"/>
    <w:rsid w:val="005D0059"/>
    <w:rsid w:val="005D09E8"/>
    <w:rsid w:val="005D0D22"/>
    <w:rsid w:val="005D0F41"/>
    <w:rsid w:val="005D1FFA"/>
    <w:rsid w:val="005D2765"/>
    <w:rsid w:val="005D2BBF"/>
    <w:rsid w:val="005D32DA"/>
    <w:rsid w:val="005D33FF"/>
    <w:rsid w:val="005D363D"/>
    <w:rsid w:val="005D38B5"/>
    <w:rsid w:val="005D4106"/>
    <w:rsid w:val="005D443F"/>
    <w:rsid w:val="005D457B"/>
    <w:rsid w:val="005D4DD3"/>
    <w:rsid w:val="005D5025"/>
    <w:rsid w:val="005D5359"/>
    <w:rsid w:val="005D56E6"/>
    <w:rsid w:val="005D63F5"/>
    <w:rsid w:val="005D64A8"/>
    <w:rsid w:val="005D6D84"/>
    <w:rsid w:val="005D6E1B"/>
    <w:rsid w:val="005D7344"/>
    <w:rsid w:val="005E02DE"/>
    <w:rsid w:val="005E0C9E"/>
    <w:rsid w:val="005E1253"/>
    <w:rsid w:val="005E1485"/>
    <w:rsid w:val="005E188A"/>
    <w:rsid w:val="005E2662"/>
    <w:rsid w:val="005E27AE"/>
    <w:rsid w:val="005E2908"/>
    <w:rsid w:val="005E2C34"/>
    <w:rsid w:val="005E2D78"/>
    <w:rsid w:val="005E33EE"/>
    <w:rsid w:val="005E47C5"/>
    <w:rsid w:val="005E4AF3"/>
    <w:rsid w:val="005E4CD4"/>
    <w:rsid w:val="005E4D95"/>
    <w:rsid w:val="005E4ED7"/>
    <w:rsid w:val="005E50FD"/>
    <w:rsid w:val="005E5629"/>
    <w:rsid w:val="005E57CA"/>
    <w:rsid w:val="005E5AE4"/>
    <w:rsid w:val="005E5DFF"/>
    <w:rsid w:val="005E5E96"/>
    <w:rsid w:val="005E6318"/>
    <w:rsid w:val="005E6EBC"/>
    <w:rsid w:val="005E760E"/>
    <w:rsid w:val="005E7BB0"/>
    <w:rsid w:val="005E7F29"/>
    <w:rsid w:val="005F0698"/>
    <w:rsid w:val="005F09FC"/>
    <w:rsid w:val="005F09FF"/>
    <w:rsid w:val="005F0B57"/>
    <w:rsid w:val="005F0B60"/>
    <w:rsid w:val="005F0BC5"/>
    <w:rsid w:val="005F0C27"/>
    <w:rsid w:val="005F14AF"/>
    <w:rsid w:val="005F15E2"/>
    <w:rsid w:val="005F16EC"/>
    <w:rsid w:val="005F184A"/>
    <w:rsid w:val="005F1F04"/>
    <w:rsid w:val="005F233A"/>
    <w:rsid w:val="005F25BC"/>
    <w:rsid w:val="005F285A"/>
    <w:rsid w:val="005F28AC"/>
    <w:rsid w:val="005F2A19"/>
    <w:rsid w:val="005F3570"/>
    <w:rsid w:val="005F3A5E"/>
    <w:rsid w:val="005F3C3B"/>
    <w:rsid w:val="005F3C3D"/>
    <w:rsid w:val="005F3F28"/>
    <w:rsid w:val="005F493B"/>
    <w:rsid w:val="005F50AE"/>
    <w:rsid w:val="005F514E"/>
    <w:rsid w:val="005F5818"/>
    <w:rsid w:val="005F597C"/>
    <w:rsid w:val="005F5B05"/>
    <w:rsid w:val="005F5D6B"/>
    <w:rsid w:val="005F5FAC"/>
    <w:rsid w:val="0060002F"/>
    <w:rsid w:val="0060065C"/>
    <w:rsid w:val="006008E0"/>
    <w:rsid w:val="006015F6"/>
    <w:rsid w:val="00601D53"/>
    <w:rsid w:val="00602098"/>
    <w:rsid w:val="006023FB"/>
    <w:rsid w:val="0060352D"/>
    <w:rsid w:val="00603825"/>
    <w:rsid w:val="006039D8"/>
    <w:rsid w:val="006039F0"/>
    <w:rsid w:val="00603F4D"/>
    <w:rsid w:val="00604293"/>
    <w:rsid w:val="006043D0"/>
    <w:rsid w:val="00604F3A"/>
    <w:rsid w:val="006052A4"/>
    <w:rsid w:val="00605559"/>
    <w:rsid w:val="0060555F"/>
    <w:rsid w:val="00605DDB"/>
    <w:rsid w:val="00605FA3"/>
    <w:rsid w:val="006060BB"/>
    <w:rsid w:val="00606741"/>
    <w:rsid w:val="00606F56"/>
    <w:rsid w:val="00607258"/>
    <w:rsid w:val="006078CA"/>
    <w:rsid w:val="00610178"/>
    <w:rsid w:val="006102B3"/>
    <w:rsid w:val="00610379"/>
    <w:rsid w:val="006105F6"/>
    <w:rsid w:val="006106D8"/>
    <w:rsid w:val="006107B6"/>
    <w:rsid w:val="006109E4"/>
    <w:rsid w:val="006115FC"/>
    <w:rsid w:val="00611636"/>
    <w:rsid w:val="00611A1F"/>
    <w:rsid w:val="00611CDF"/>
    <w:rsid w:val="0061238A"/>
    <w:rsid w:val="006127EC"/>
    <w:rsid w:val="006128A9"/>
    <w:rsid w:val="006129EE"/>
    <w:rsid w:val="00612FBD"/>
    <w:rsid w:val="00612FF4"/>
    <w:rsid w:val="00613221"/>
    <w:rsid w:val="006134CB"/>
    <w:rsid w:val="00613AC4"/>
    <w:rsid w:val="00613E28"/>
    <w:rsid w:val="00613ECF"/>
    <w:rsid w:val="00614267"/>
    <w:rsid w:val="006142E1"/>
    <w:rsid w:val="0061431C"/>
    <w:rsid w:val="00614341"/>
    <w:rsid w:val="00614358"/>
    <w:rsid w:val="00614449"/>
    <w:rsid w:val="00614619"/>
    <w:rsid w:val="00614CA0"/>
    <w:rsid w:val="006152DC"/>
    <w:rsid w:val="006159DF"/>
    <w:rsid w:val="00615AEF"/>
    <w:rsid w:val="00615B91"/>
    <w:rsid w:val="00615DB5"/>
    <w:rsid w:val="00615E42"/>
    <w:rsid w:val="00615F8F"/>
    <w:rsid w:val="0061603D"/>
    <w:rsid w:val="006160EF"/>
    <w:rsid w:val="006162E9"/>
    <w:rsid w:val="006166F3"/>
    <w:rsid w:val="00616905"/>
    <w:rsid w:val="00616DB8"/>
    <w:rsid w:val="00616F29"/>
    <w:rsid w:val="00620DE8"/>
    <w:rsid w:val="00620F87"/>
    <w:rsid w:val="00620FD4"/>
    <w:rsid w:val="00621E7F"/>
    <w:rsid w:val="0062287E"/>
    <w:rsid w:val="00622DF5"/>
    <w:rsid w:val="00623494"/>
    <w:rsid w:val="00623C1A"/>
    <w:rsid w:val="00623CB5"/>
    <w:rsid w:val="00623F80"/>
    <w:rsid w:val="0062401F"/>
    <w:rsid w:val="006244D0"/>
    <w:rsid w:val="006246EC"/>
    <w:rsid w:val="006247CF"/>
    <w:rsid w:val="00624972"/>
    <w:rsid w:val="00624B1A"/>
    <w:rsid w:val="00624B8D"/>
    <w:rsid w:val="00624F3B"/>
    <w:rsid w:val="006251DA"/>
    <w:rsid w:val="006251FD"/>
    <w:rsid w:val="0062585E"/>
    <w:rsid w:val="00625F65"/>
    <w:rsid w:val="00626844"/>
    <w:rsid w:val="00626878"/>
    <w:rsid w:val="00626C46"/>
    <w:rsid w:val="00627B8A"/>
    <w:rsid w:val="00627E8A"/>
    <w:rsid w:val="00630E76"/>
    <w:rsid w:val="00631310"/>
    <w:rsid w:val="006314EB"/>
    <w:rsid w:val="00631579"/>
    <w:rsid w:val="00631675"/>
    <w:rsid w:val="006319A6"/>
    <w:rsid w:val="00631A76"/>
    <w:rsid w:val="0063232E"/>
    <w:rsid w:val="00632594"/>
    <w:rsid w:val="00632CEF"/>
    <w:rsid w:val="00632E73"/>
    <w:rsid w:val="00632E80"/>
    <w:rsid w:val="00633262"/>
    <w:rsid w:val="00633298"/>
    <w:rsid w:val="006334B6"/>
    <w:rsid w:val="00633C6D"/>
    <w:rsid w:val="00633CA4"/>
    <w:rsid w:val="00633D6B"/>
    <w:rsid w:val="00633D72"/>
    <w:rsid w:val="00633DA1"/>
    <w:rsid w:val="00633EE8"/>
    <w:rsid w:val="00634CA5"/>
    <w:rsid w:val="00634F96"/>
    <w:rsid w:val="00635104"/>
    <w:rsid w:val="00635F40"/>
    <w:rsid w:val="006360F7"/>
    <w:rsid w:val="0063648A"/>
    <w:rsid w:val="00637015"/>
    <w:rsid w:val="00637A28"/>
    <w:rsid w:val="00637F00"/>
    <w:rsid w:val="00640EFF"/>
    <w:rsid w:val="00640F45"/>
    <w:rsid w:val="00641149"/>
    <w:rsid w:val="00641247"/>
    <w:rsid w:val="006414F9"/>
    <w:rsid w:val="00641A08"/>
    <w:rsid w:val="00641FBA"/>
    <w:rsid w:val="006424BC"/>
    <w:rsid w:val="006428B9"/>
    <w:rsid w:val="00642997"/>
    <w:rsid w:val="00642BE9"/>
    <w:rsid w:val="006443AD"/>
    <w:rsid w:val="006446D5"/>
    <w:rsid w:val="00644C5A"/>
    <w:rsid w:val="00644CE8"/>
    <w:rsid w:val="006452F2"/>
    <w:rsid w:val="0064580A"/>
    <w:rsid w:val="0064582F"/>
    <w:rsid w:val="006459A4"/>
    <w:rsid w:val="00645D51"/>
    <w:rsid w:val="00645D74"/>
    <w:rsid w:val="0064613C"/>
    <w:rsid w:val="006466C5"/>
    <w:rsid w:val="0064674C"/>
    <w:rsid w:val="00646D28"/>
    <w:rsid w:val="00646E11"/>
    <w:rsid w:val="0064715C"/>
    <w:rsid w:val="0064737C"/>
    <w:rsid w:val="006474D5"/>
    <w:rsid w:val="00647653"/>
    <w:rsid w:val="00647960"/>
    <w:rsid w:val="00650195"/>
    <w:rsid w:val="006501B4"/>
    <w:rsid w:val="0065063E"/>
    <w:rsid w:val="00650683"/>
    <w:rsid w:val="00650977"/>
    <w:rsid w:val="00650CD9"/>
    <w:rsid w:val="0065104B"/>
    <w:rsid w:val="00651351"/>
    <w:rsid w:val="00651480"/>
    <w:rsid w:val="0065248E"/>
    <w:rsid w:val="00652AB2"/>
    <w:rsid w:val="00652B29"/>
    <w:rsid w:val="00652B45"/>
    <w:rsid w:val="00653132"/>
    <w:rsid w:val="006535DD"/>
    <w:rsid w:val="00653AF0"/>
    <w:rsid w:val="006545C4"/>
    <w:rsid w:val="006547F8"/>
    <w:rsid w:val="00654C09"/>
    <w:rsid w:val="006550D4"/>
    <w:rsid w:val="00655218"/>
    <w:rsid w:val="0065578C"/>
    <w:rsid w:val="00655EDD"/>
    <w:rsid w:val="0065601A"/>
    <w:rsid w:val="0065613B"/>
    <w:rsid w:val="006564A0"/>
    <w:rsid w:val="006568F1"/>
    <w:rsid w:val="00656EBA"/>
    <w:rsid w:val="00656FF7"/>
    <w:rsid w:val="0066050D"/>
    <w:rsid w:val="00660722"/>
    <w:rsid w:val="00660869"/>
    <w:rsid w:val="00660C98"/>
    <w:rsid w:val="00660D75"/>
    <w:rsid w:val="00660DF3"/>
    <w:rsid w:val="00660FD9"/>
    <w:rsid w:val="0066147B"/>
    <w:rsid w:val="006615A2"/>
    <w:rsid w:val="00661BF0"/>
    <w:rsid w:val="00661E17"/>
    <w:rsid w:val="0066281F"/>
    <w:rsid w:val="00662982"/>
    <w:rsid w:val="006629E1"/>
    <w:rsid w:val="006631F7"/>
    <w:rsid w:val="006634AA"/>
    <w:rsid w:val="00663F6A"/>
    <w:rsid w:val="00664083"/>
    <w:rsid w:val="0066454A"/>
    <w:rsid w:val="00664B0D"/>
    <w:rsid w:val="00664B42"/>
    <w:rsid w:val="00664B51"/>
    <w:rsid w:val="00664C02"/>
    <w:rsid w:val="006656B3"/>
    <w:rsid w:val="006657CD"/>
    <w:rsid w:val="00665F52"/>
    <w:rsid w:val="0066602E"/>
    <w:rsid w:val="0066643B"/>
    <w:rsid w:val="00666881"/>
    <w:rsid w:val="00666B0C"/>
    <w:rsid w:val="00666BA3"/>
    <w:rsid w:val="0066758E"/>
    <w:rsid w:val="00670133"/>
    <w:rsid w:val="00670244"/>
    <w:rsid w:val="0067046F"/>
    <w:rsid w:val="006704B7"/>
    <w:rsid w:val="00670C1E"/>
    <w:rsid w:val="00670DF5"/>
    <w:rsid w:val="006712AB"/>
    <w:rsid w:val="00671866"/>
    <w:rsid w:val="00671FBB"/>
    <w:rsid w:val="00672729"/>
    <w:rsid w:val="006728B1"/>
    <w:rsid w:val="0067290E"/>
    <w:rsid w:val="00672946"/>
    <w:rsid w:val="00672A9F"/>
    <w:rsid w:val="00672DE3"/>
    <w:rsid w:val="006730EB"/>
    <w:rsid w:val="00673165"/>
    <w:rsid w:val="00673B0D"/>
    <w:rsid w:val="00673FFA"/>
    <w:rsid w:val="0067425A"/>
    <w:rsid w:val="00674542"/>
    <w:rsid w:val="00674598"/>
    <w:rsid w:val="006745AD"/>
    <w:rsid w:val="00674ED4"/>
    <w:rsid w:val="00674F53"/>
    <w:rsid w:val="006757A5"/>
    <w:rsid w:val="00675BCF"/>
    <w:rsid w:val="00675C03"/>
    <w:rsid w:val="00675FB0"/>
    <w:rsid w:val="006768B5"/>
    <w:rsid w:val="00676A84"/>
    <w:rsid w:val="006772E9"/>
    <w:rsid w:val="006777E4"/>
    <w:rsid w:val="0068008F"/>
    <w:rsid w:val="0068073E"/>
    <w:rsid w:val="00680958"/>
    <w:rsid w:val="00680F69"/>
    <w:rsid w:val="00680FAE"/>
    <w:rsid w:val="0068120F"/>
    <w:rsid w:val="00681AEF"/>
    <w:rsid w:val="00681C8B"/>
    <w:rsid w:val="00681F70"/>
    <w:rsid w:val="006828F3"/>
    <w:rsid w:val="00682DA4"/>
    <w:rsid w:val="00682F13"/>
    <w:rsid w:val="0068338A"/>
    <w:rsid w:val="0068501A"/>
    <w:rsid w:val="00685B7A"/>
    <w:rsid w:val="00685CDB"/>
    <w:rsid w:val="00685D08"/>
    <w:rsid w:val="006869B1"/>
    <w:rsid w:val="00686B4E"/>
    <w:rsid w:val="00687035"/>
    <w:rsid w:val="006874F8"/>
    <w:rsid w:val="00687595"/>
    <w:rsid w:val="00687996"/>
    <w:rsid w:val="00690C0E"/>
    <w:rsid w:val="00690D12"/>
    <w:rsid w:val="006915CD"/>
    <w:rsid w:val="00691C52"/>
    <w:rsid w:val="00692059"/>
    <w:rsid w:val="00692899"/>
    <w:rsid w:val="0069315D"/>
    <w:rsid w:val="00693343"/>
    <w:rsid w:val="006937A8"/>
    <w:rsid w:val="006938F4"/>
    <w:rsid w:val="00693ADD"/>
    <w:rsid w:val="00693F79"/>
    <w:rsid w:val="0069464B"/>
    <w:rsid w:val="00694964"/>
    <w:rsid w:val="00694F1B"/>
    <w:rsid w:val="006954F5"/>
    <w:rsid w:val="0069552D"/>
    <w:rsid w:val="00695AF8"/>
    <w:rsid w:val="00695CD7"/>
    <w:rsid w:val="0069613D"/>
    <w:rsid w:val="00696567"/>
    <w:rsid w:val="00696BF3"/>
    <w:rsid w:val="00697046"/>
    <w:rsid w:val="00697C6F"/>
    <w:rsid w:val="00697F78"/>
    <w:rsid w:val="00697FC3"/>
    <w:rsid w:val="006A0282"/>
    <w:rsid w:val="006A0578"/>
    <w:rsid w:val="006A07ED"/>
    <w:rsid w:val="006A104C"/>
    <w:rsid w:val="006A10DA"/>
    <w:rsid w:val="006A1168"/>
    <w:rsid w:val="006A12F4"/>
    <w:rsid w:val="006A13F2"/>
    <w:rsid w:val="006A15F4"/>
    <w:rsid w:val="006A24AB"/>
    <w:rsid w:val="006A29C3"/>
    <w:rsid w:val="006A2C16"/>
    <w:rsid w:val="006A2F78"/>
    <w:rsid w:val="006A3060"/>
    <w:rsid w:val="006A3646"/>
    <w:rsid w:val="006A365F"/>
    <w:rsid w:val="006A4DAD"/>
    <w:rsid w:val="006A547B"/>
    <w:rsid w:val="006A55E1"/>
    <w:rsid w:val="006A5A5A"/>
    <w:rsid w:val="006A5FCC"/>
    <w:rsid w:val="006A6233"/>
    <w:rsid w:val="006A69CC"/>
    <w:rsid w:val="006A7102"/>
    <w:rsid w:val="006A730C"/>
    <w:rsid w:val="006A779A"/>
    <w:rsid w:val="006A7E70"/>
    <w:rsid w:val="006A7F02"/>
    <w:rsid w:val="006A7F7C"/>
    <w:rsid w:val="006B07A0"/>
    <w:rsid w:val="006B0EDB"/>
    <w:rsid w:val="006B12C3"/>
    <w:rsid w:val="006B1D67"/>
    <w:rsid w:val="006B1FC2"/>
    <w:rsid w:val="006B2145"/>
    <w:rsid w:val="006B2455"/>
    <w:rsid w:val="006B24A0"/>
    <w:rsid w:val="006B24DC"/>
    <w:rsid w:val="006B254E"/>
    <w:rsid w:val="006B272D"/>
    <w:rsid w:val="006B2765"/>
    <w:rsid w:val="006B2C17"/>
    <w:rsid w:val="006B32E1"/>
    <w:rsid w:val="006B35D9"/>
    <w:rsid w:val="006B3669"/>
    <w:rsid w:val="006B387E"/>
    <w:rsid w:val="006B3908"/>
    <w:rsid w:val="006B42B7"/>
    <w:rsid w:val="006B438F"/>
    <w:rsid w:val="006B4883"/>
    <w:rsid w:val="006B4BED"/>
    <w:rsid w:val="006B4E22"/>
    <w:rsid w:val="006B5C0E"/>
    <w:rsid w:val="006B63AA"/>
    <w:rsid w:val="006B63AC"/>
    <w:rsid w:val="006B6471"/>
    <w:rsid w:val="006B6984"/>
    <w:rsid w:val="006B701C"/>
    <w:rsid w:val="006B71AE"/>
    <w:rsid w:val="006B71ED"/>
    <w:rsid w:val="006B7336"/>
    <w:rsid w:val="006B7725"/>
    <w:rsid w:val="006B7AF3"/>
    <w:rsid w:val="006B7BCC"/>
    <w:rsid w:val="006B7CF2"/>
    <w:rsid w:val="006B7CF8"/>
    <w:rsid w:val="006C086E"/>
    <w:rsid w:val="006C0D1B"/>
    <w:rsid w:val="006C1A2A"/>
    <w:rsid w:val="006C20FF"/>
    <w:rsid w:val="006C2B1D"/>
    <w:rsid w:val="006C2D67"/>
    <w:rsid w:val="006C2F6A"/>
    <w:rsid w:val="006C33D2"/>
    <w:rsid w:val="006C3699"/>
    <w:rsid w:val="006C3ED4"/>
    <w:rsid w:val="006C3F79"/>
    <w:rsid w:val="006C416D"/>
    <w:rsid w:val="006C44F6"/>
    <w:rsid w:val="006C44FF"/>
    <w:rsid w:val="006C456C"/>
    <w:rsid w:val="006C4E9D"/>
    <w:rsid w:val="006C5665"/>
    <w:rsid w:val="006C5A02"/>
    <w:rsid w:val="006C5C3B"/>
    <w:rsid w:val="006C5EC3"/>
    <w:rsid w:val="006C62D3"/>
    <w:rsid w:val="006C64F8"/>
    <w:rsid w:val="006C6530"/>
    <w:rsid w:val="006C68CE"/>
    <w:rsid w:val="006C6A1B"/>
    <w:rsid w:val="006C73EE"/>
    <w:rsid w:val="006C7521"/>
    <w:rsid w:val="006C7D7C"/>
    <w:rsid w:val="006D0581"/>
    <w:rsid w:val="006D069A"/>
    <w:rsid w:val="006D0CAB"/>
    <w:rsid w:val="006D0D28"/>
    <w:rsid w:val="006D0EBB"/>
    <w:rsid w:val="006D167B"/>
    <w:rsid w:val="006D17F7"/>
    <w:rsid w:val="006D1A98"/>
    <w:rsid w:val="006D1BDB"/>
    <w:rsid w:val="006D1DC3"/>
    <w:rsid w:val="006D21DE"/>
    <w:rsid w:val="006D2755"/>
    <w:rsid w:val="006D28F7"/>
    <w:rsid w:val="006D30F5"/>
    <w:rsid w:val="006D32B7"/>
    <w:rsid w:val="006D3E1C"/>
    <w:rsid w:val="006D409E"/>
    <w:rsid w:val="006D41B6"/>
    <w:rsid w:val="006D45F0"/>
    <w:rsid w:val="006D5035"/>
    <w:rsid w:val="006D53D8"/>
    <w:rsid w:val="006D5B36"/>
    <w:rsid w:val="006D6097"/>
    <w:rsid w:val="006D6947"/>
    <w:rsid w:val="006D6BC9"/>
    <w:rsid w:val="006D6C0E"/>
    <w:rsid w:val="006D6F4C"/>
    <w:rsid w:val="006D6FC1"/>
    <w:rsid w:val="006D7DE8"/>
    <w:rsid w:val="006E09AE"/>
    <w:rsid w:val="006E09D3"/>
    <w:rsid w:val="006E0B0D"/>
    <w:rsid w:val="006E0D39"/>
    <w:rsid w:val="006E1CB5"/>
    <w:rsid w:val="006E2044"/>
    <w:rsid w:val="006E2601"/>
    <w:rsid w:val="006E2768"/>
    <w:rsid w:val="006E298D"/>
    <w:rsid w:val="006E2F4C"/>
    <w:rsid w:val="006E320F"/>
    <w:rsid w:val="006E484C"/>
    <w:rsid w:val="006E4A2E"/>
    <w:rsid w:val="006E4B44"/>
    <w:rsid w:val="006E4C0E"/>
    <w:rsid w:val="006E4D5B"/>
    <w:rsid w:val="006E4D5E"/>
    <w:rsid w:val="006E5061"/>
    <w:rsid w:val="006E5B45"/>
    <w:rsid w:val="006E6037"/>
    <w:rsid w:val="006E6220"/>
    <w:rsid w:val="006E62A4"/>
    <w:rsid w:val="006E6ED6"/>
    <w:rsid w:val="006E7184"/>
    <w:rsid w:val="006E72D3"/>
    <w:rsid w:val="006E76A2"/>
    <w:rsid w:val="006E7AB6"/>
    <w:rsid w:val="006E7E12"/>
    <w:rsid w:val="006F02DE"/>
    <w:rsid w:val="006F0536"/>
    <w:rsid w:val="006F057E"/>
    <w:rsid w:val="006F096F"/>
    <w:rsid w:val="006F097B"/>
    <w:rsid w:val="006F09F7"/>
    <w:rsid w:val="006F149D"/>
    <w:rsid w:val="006F19DA"/>
    <w:rsid w:val="006F2087"/>
    <w:rsid w:val="006F2131"/>
    <w:rsid w:val="006F26EF"/>
    <w:rsid w:val="006F52B2"/>
    <w:rsid w:val="006F5722"/>
    <w:rsid w:val="006F5962"/>
    <w:rsid w:val="006F5DE3"/>
    <w:rsid w:val="006F6316"/>
    <w:rsid w:val="006F6754"/>
    <w:rsid w:val="006F6BC2"/>
    <w:rsid w:val="006F6D2C"/>
    <w:rsid w:val="006F6EB2"/>
    <w:rsid w:val="006F6F4B"/>
    <w:rsid w:val="006F7774"/>
    <w:rsid w:val="006F79F8"/>
    <w:rsid w:val="006F7BAE"/>
    <w:rsid w:val="006F7BC7"/>
    <w:rsid w:val="007002AF"/>
    <w:rsid w:val="007004FF"/>
    <w:rsid w:val="0070189D"/>
    <w:rsid w:val="00701AC1"/>
    <w:rsid w:val="00702D9D"/>
    <w:rsid w:val="00702E47"/>
    <w:rsid w:val="007032AC"/>
    <w:rsid w:val="007045BB"/>
    <w:rsid w:val="007046E8"/>
    <w:rsid w:val="00704789"/>
    <w:rsid w:val="0070520E"/>
    <w:rsid w:val="00706871"/>
    <w:rsid w:val="007068C9"/>
    <w:rsid w:val="00706C0E"/>
    <w:rsid w:val="00707D08"/>
    <w:rsid w:val="007108E4"/>
    <w:rsid w:val="00710B24"/>
    <w:rsid w:val="00710C97"/>
    <w:rsid w:val="00710F5E"/>
    <w:rsid w:val="0071118E"/>
    <w:rsid w:val="00711267"/>
    <w:rsid w:val="00711A83"/>
    <w:rsid w:val="00711D12"/>
    <w:rsid w:val="00711D69"/>
    <w:rsid w:val="0071226D"/>
    <w:rsid w:val="00712A96"/>
    <w:rsid w:val="00712EAE"/>
    <w:rsid w:val="0071309E"/>
    <w:rsid w:val="007132D6"/>
    <w:rsid w:val="00713B5F"/>
    <w:rsid w:val="00713B8F"/>
    <w:rsid w:val="00713D1E"/>
    <w:rsid w:val="00713F84"/>
    <w:rsid w:val="007144E8"/>
    <w:rsid w:val="007148BD"/>
    <w:rsid w:val="007155AD"/>
    <w:rsid w:val="00715DD7"/>
    <w:rsid w:val="00715F09"/>
    <w:rsid w:val="0071681E"/>
    <w:rsid w:val="00716B62"/>
    <w:rsid w:val="00716BFA"/>
    <w:rsid w:val="0071701C"/>
    <w:rsid w:val="0071731B"/>
    <w:rsid w:val="0071734E"/>
    <w:rsid w:val="0071774E"/>
    <w:rsid w:val="00717B15"/>
    <w:rsid w:val="00717BF5"/>
    <w:rsid w:val="007210E0"/>
    <w:rsid w:val="00721117"/>
    <w:rsid w:val="00721985"/>
    <w:rsid w:val="007219E6"/>
    <w:rsid w:val="00721B59"/>
    <w:rsid w:val="00721F18"/>
    <w:rsid w:val="007221B7"/>
    <w:rsid w:val="007224A2"/>
    <w:rsid w:val="007227D4"/>
    <w:rsid w:val="00722BA4"/>
    <w:rsid w:val="00723384"/>
    <w:rsid w:val="00723B05"/>
    <w:rsid w:val="00723C2B"/>
    <w:rsid w:val="00723E6B"/>
    <w:rsid w:val="00723FF8"/>
    <w:rsid w:val="00724393"/>
    <w:rsid w:val="00724496"/>
    <w:rsid w:val="007244FC"/>
    <w:rsid w:val="0072499F"/>
    <w:rsid w:val="00724E7F"/>
    <w:rsid w:val="00724F51"/>
    <w:rsid w:val="00725152"/>
    <w:rsid w:val="0072563D"/>
    <w:rsid w:val="007275CE"/>
    <w:rsid w:val="0072763F"/>
    <w:rsid w:val="00727C78"/>
    <w:rsid w:val="00727E65"/>
    <w:rsid w:val="0073075C"/>
    <w:rsid w:val="00730ADA"/>
    <w:rsid w:val="00730C82"/>
    <w:rsid w:val="00730DE7"/>
    <w:rsid w:val="00731BA0"/>
    <w:rsid w:val="007322F9"/>
    <w:rsid w:val="00732431"/>
    <w:rsid w:val="007324C5"/>
    <w:rsid w:val="007325FB"/>
    <w:rsid w:val="00732801"/>
    <w:rsid w:val="00732841"/>
    <w:rsid w:val="00732A82"/>
    <w:rsid w:val="00733A60"/>
    <w:rsid w:val="00734C4C"/>
    <w:rsid w:val="00734CF2"/>
    <w:rsid w:val="00734FDA"/>
    <w:rsid w:val="00735046"/>
    <w:rsid w:val="0073578B"/>
    <w:rsid w:val="007358B0"/>
    <w:rsid w:val="007359D5"/>
    <w:rsid w:val="00736192"/>
    <w:rsid w:val="007361EA"/>
    <w:rsid w:val="0073647F"/>
    <w:rsid w:val="0073650C"/>
    <w:rsid w:val="00736DB7"/>
    <w:rsid w:val="00736EEE"/>
    <w:rsid w:val="00737238"/>
    <w:rsid w:val="00737667"/>
    <w:rsid w:val="00737D45"/>
    <w:rsid w:val="00740047"/>
    <w:rsid w:val="007404F5"/>
    <w:rsid w:val="007409AC"/>
    <w:rsid w:val="00740CA6"/>
    <w:rsid w:val="00740D04"/>
    <w:rsid w:val="00741035"/>
    <w:rsid w:val="00741A0C"/>
    <w:rsid w:val="00741E25"/>
    <w:rsid w:val="00742168"/>
    <w:rsid w:val="00742290"/>
    <w:rsid w:val="007428C3"/>
    <w:rsid w:val="00742B41"/>
    <w:rsid w:val="00742F5F"/>
    <w:rsid w:val="0074326D"/>
    <w:rsid w:val="00743619"/>
    <w:rsid w:val="007439A5"/>
    <w:rsid w:val="00743C68"/>
    <w:rsid w:val="00743D8F"/>
    <w:rsid w:val="0074412D"/>
    <w:rsid w:val="007442B5"/>
    <w:rsid w:val="00745183"/>
    <w:rsid w:val="00745685"/>
    <w:rsid w:val="0074568F"/>
    <w:rsid w:val="0074580B"/>
    <w:rsid w:val="00745B41"/>
    <w:rsid w:val="00745D3A"/>
    <w:rsid w:val="00745DF8"/>
    <w:rsid w:val="00745ECB"/>
    <w:rsid w:val="0074613E"/>
    <w:rsid w:val="0074669E"/>
    <w:rsid w:val="00746960"/>
    <w:rsid w:val="007471D8"/>
    <w:rsid w:val="007479F8"/>
    <w:rsid w:val="00747EC8"/>
    <w:rsid w:val="00750058"/>
    <w:rsid w:val="007506C4"/>
    <w:rsid w:val="00750B19"/>
    <w:rsid w:val="00750EF2"/>
    <w:rsid w:val="00751306"/>
    <w:rsid w:val="007515F8"/>
    <w:rsid w:val="00751798"/>
    <w:rsid w:val="007517A6"/>
    <w:rsid w:val="00752024"/>
    <w:rsid w:val="00752796"/>
    <w:rsid w:val="00752BF6"/>
    <w:rsid w:val="007535BC"/>
    <w:rsid w:val="00753736"/>
    <w:rsid w:val="00753AE5"/>
    <w:rsid w:val="00753DF3"/>
    <w:rsid w:val="00753E68"/>
    <w:rsid w:val="00754094"/>
    <w:rsid w:val="00754242"/>
    <w:rsid w:val="00754450"/>
    <w:rsid w:val="00754B60"/>
    <w:rsid w:val="00754E20"/>
    <w:rsid w:val="007551D8"/>
    <w:rsid w:val="00755388"/>
    <w:rsid w:val="007553BE"/>
    <w:rsid w:val="007558D9"/>
    <w:rsid w:val="00755A67"/>
    <w:rsid w:val="00755C1D"/>
    <w:rsid w:val="00755D9E"/>
    <w:rsid w:val="00756858"/>
    <w:rsid w:val="00756BF5"/>
    <w:rsid w:val="00757DD1"/>
    <w:rsid w:val="00757E74"/>
    <w:rsid w:val="0076076F"/>
    <w:rsid w:val="00760A36"/>
    <w:rsid w:val="00760B49"/>
    <w:rsid w:val="00760E26"/>
    <w:rsid w:val="00760F05"/>
    <w:rsid w:val="0076114D"/>
    <w:rsid w:val="0076154E"/>
    <w:rsid w:val="00761D12"/>
    <w:rsid w:val="007622E5"/>
    <w:rsid w:val="00762A0B"/>
    <w:rsid w:val="00762BFD"/>
    <w:rsid w:val="00762CCC"/>
    <w:rsid w:val="00762CEB"/>
    <w:rsid w:val="00762DE7"/>
    <w:rsid w:val="0076330B"/>
    <w:rsid w:val="007637D6"/>
    <w:rsid w:val="0076387D"/>
    <w:rsid w:val="00763A26"/>
    <w:rsid w:val="00763DFA"/>
    <w:rsid w:val="00764962"/>
    <w:rsid w:val="0076499F"/>
    <w:rsid w:val="00764AE8"/>
    <w:rsid w:val="00765ABD"/>
    <w:rsid w:val="00766394"/>
    <w:rsid w:val="00767286"/>
    <w:rsid w:val="0076736E"/>
    <w:rsid w:val="007673A3"/>
    <w:rsid w:val="00767B1A"/>
    <w:rsid w:val="0077018F"/>
    <w:rsid w:val="00770455"/>
    <w:rsid w:val="007707AC"/>
    <w:rsid w:val="00770812"/>
    <w:rsid w:val="007713AC"/>
    <w:rsid w:val="00771509"/>
    <w:rsid w:val="00771C45"/>
    <w:rsid w:val="00771CA4"/>
    <w:rsid w:val="00771E29"/>
    <w:rsid w:val="00771E90"/>
    <w:rsid w:val="0077233A"/>
    <w:rsid w:val="007724EA"/>
    <w:rsid w:val="00772716"/>
    <w:rsid w:val="0077402C"/>
    <w:rsid w:val="00774102"/>
    <w:rsid w:val="007742DD"/>
    <w:rsid w:val="0077458F"/>
    <w:rsid w:val="0077460A"/>
    <w:rsid w:val="007746F0"/>
    <w:rsid w:val="00774B8D"/>
    <w:rsid w:val="00774F82"/>
    <w:rsid w:val="00775B54"/>
    <w:rsid w:val="00776073"/>
    <w:rsid w:val="0077653A"/>
    <w:rsid w:val="007766AF"/>
    <w:rsid w:val="007766B3"/>
    <w:rsid w:val="007767A9"/>
    <w:rsid w:val="00777359"/>
    <w:rsid w:val="007777D8"/>
    <w:rsid w:val="00777AF1"/>
    <w:rsid w:val="00777E29"/>
    <w:rsid w:val="00777E7B"/>
    <w:rsid w:val="00780233"/>
    <w:rsid w:val="007803BA"/>
    <w:rsid w:val="007803EC"/>
    <w:rsid w:val="00780E1A"/>
    <w:rsid w:val="007812C0"/>
    <w:rsid w:val="00781953"/>
    <w:rsid w:val="00781CA8"/>
    <w:rsid w:val="00782117"/>
    <w:rsid w:val="00782300"/>
    <w:rsid w:val="0078255E"/>
    <w:rsid w:val="00782FAE"/>
    <w:rsid w:val="00783030"/>
    <w:rsid w:val="007831D9"/>
    <w:rsid w:val="00783651"/>
    <w:rsid w:val="007837E6"/>
    <w:rsid w:val="00783946"/>
    <w:rsid w:val="00783AD6"/>
    <w:rsid w:val="00783FA8"/>
    <w:rsid w:val="007848DB"/>
    <w:rsid w:val="007850B0"/>
    <w:rsid w:val="007852ED"/>
    <w:rsid w:val="00785749"/>
    <w:rsid w:val="00785782"/>
    <w:rsid w:val="00785C03"/>
    <w:rsid w:val="007861ED"/>
    <w:rsid w:val="00786C76"/>
    <w:rsid w:val="007871F4"/>
    <w:rsid w:val="0078793E"/>
    <w:rsid w:val="00787BFD"/>
    <w:rsid w:val="00790598"/>
    <w:rsid w:val="00790663"/>
    <w:rsid w:val="0079095C"/>
    <w:rsid w:val="007910C1"/>
    <w:rsid w:val="00791389"/>
    <w:rsid w:val="007918DA"/>
    <w:rsid w:val="00791D4C"/>
    <w:rsid w:val="007920D9"/>
    <w:rsid w:val="007923B3"/>
    <w:rsid w:val="0079252A"/>
    <w:rsid w:val="0079271B"/>
    <w:rsid w:val="007929F2"/>
    <w:rsid w:val="00792CC3"/>
    <w:rsid w:val="00792D35"/>
    <w:rsid w:val="00792D55"/>
    <w:rsid w:val="00792D93"/>
    <w:rsid w:val="00792E0C"/>
    <w:rsid w:val="0079329B"/>
    <w:rsid w:val="007936B1"/>
    <w:rsid w:val="0079371A"/>
    <w:rsid w:val="0079390A"/>
    <w:rsid w:val="00793A81"/>
    <w:rsid w:val="00793CD3"/>
    <w:rsid w:val="00793F96"/>
    <w:rsid w:val="00794452"/>
    <w:rsid w:val="007946F3"/>
    <w:rsid w:val="00794DA0"/>
    <w:rsid w:val="00794F63"/>
    <w:rsid w:val="0079560D"/>
    <w:rsid w:val="00795824"/>
    <w:rsid w:val="007959A6"/>
    <w:rsid w:val="00795E18"/>
    <w:rsid w:val="00795FBF"/>
    <w:rsid w:val="00796604"/>
    <w:rsid w:val="00797552"/>
    <w:rsid w:val="007A0197"/>
    <w:rsid w:val="007A03DC"/>
    <w:rsid w:val="007A064A"/>
    <w:rsid w:val="007A0840"/>
    <w:rsid w:val="007A0D01"/>
    <w:rsid w:val="007A0E1A"/>
    <w:rsid w:val="007A0EB9"/>
    <w:rsid w:val="007A1408"/>
    <w:rsid w:val="007A254B"/>
    <w:rsid w:val="007A274B"/>
    <w:rsid w:val="007A343F"/>
    <w:rsid w:val="007A3E85"/>
    <w:rsid w:val="007A3EC9"/>
    <w:rsid w:val="007A4F29"/>
    <w:rsid w:val="007A5D54"/>
    <w:rsid w:val="007A5ED2"/>
    <w:rsid w:val="007A677E"/>
    <w:rsid w:val="007A68B5"/>
    <w:rsid w:val="007A6A78"/>
    <w:rsid w:val="007A7ADB"/>
    <w:rsid w:val="007B0573"/>
    <w:rsid w:val="007B10A3"/>
    <w:rsid w:val="007B16AC"/>
    <w:rsid w:val="007B1D84"/>
    <w:rsid w:val="007B213D"/>
    <w:rsid w:val="007B3031"/>
    <w:rsid w:val="007B31E7"/>
    <w:rsid w:val="007B3945"/>
    <w:rsid w:val="007B3AA1"/>
    <w:rsid w:val="007B3BE6"/>
    <w:rsid w:val="007B4441"/>
    <w:rsid w:val="007B48A3"/>
    <w:rsid w:val="007B4A27"/>
    <w:rsid w:val="007B4AC3"/>
    <w:rsid w:val="007B5164"/>
    <w:rsid w:val="007B539C"/>
    <w:rsid w:val="007B594B"/>
    <w:rsid w:val="007B5B42"/>
    <w:rsid w:val="007B5D6E"/>
    <w:rsid w:val="007B60A7"/>
    <w:rsid w:val="007B6434"/>
    <w:rsid w:val="007B71CE"/>
    <w:rsid w:val="007B720F"/>
    <w:rsid w:val="007B7219"/>
    <w:rsid w:val="007B7283"/>
    <w:rsid w:val="007B7480"/>
    <w:rsid w:val="007B74EA"/>
    <w:rsid w:val="007B7764"/>
    <w:rsid w:val="007B77DC"/>
    <w:rsid w:val="007B7B06"/>
    <w:rsid w:val="007B7B70"/>
    <w:rsid w:val="007C0192"/>
    <w:rsid w:val="007C051B"/>
    <w:rsid w:val="007C05B2"/>
    <w:rsid w:val="007C060C"/>
    <w:rsid w:val="007C0A78"/>
    <w:rsid w:val="007C0ACD"/>
    <w:rsid w:val="007C0B9A"/>
    <w:rsid w:val="007C12DD"/>
    <w:rsid w:val="007C15C6"/>
    <w:rsid w:val="007C18B2"/>
    <w:rsid w:val="007C1907"/>
    <w:rsid w:val="007C2222"/>
    <w:rsid w:val="007C2334"/>
    <w:rsid w:val="007C2551"/>
    <w:rsid w:val="007C278B"/>
    <w:rsid w:val="007C349B"/>
    <w:rsid w:val="007C383B"/>
    <w:rsid w:val="007C3909"/>
    <w:rsid w:val="007C3BA8"/>
    <w:rsid w:val="007C3BF8"/>
    <w:rsid w:val="007C3D70"/>
    <w:rsid w:val="007C4012"/>
    <w:rsid w:val="007C407F"/>
    <w:rsid w:val="007C43A5"/>
    <w:rsid w:val="007C45F7"/>
    <w:rsid w:val="007C4B12"/>
    <w:rsid w:val="007C4DF4"/>
    <w:rsid w:val="007C4FC9"/>
    <w:rsid w:val="007C4FD6"/>
    <w:rsid w:val="007C537D"/>
    <w:rsid w:val="007C53CB"/>
    <w:rsid w:val="007C593B"/>
    <w:rsid w:val="007C5ADA"/>
    <w:rsid w:val="007C5B52"/>
    <w:rsid w:val="007C5BE8"/>
    <w:rsid w:val="007C6015"/>
    <w:rsid w:val="007C6657"/>
    <w:rsid w:val="007C666F"/>
    <w:rsid w:val="007C689E"/>
    <w:rsid w:val="007C6C6E"/>
    <w:rsid w:val="007C6E2C"/>
    <w:rsid w:val="007C6FB9"/>
    <w:rsid w:val="007C79F6"/>
    <w:rsid w:val="007C7A93"/>
    <w:rsid w:val="007C7E79"/>
    <w:rsid w:val="007C7FCC"/>
    <w:rsid w:val="007D0049"/>
    <w:rsid w:val="007D00F7"/>
    <w:rsid w:val="007D019F"/>
    <w:rsid w:val="007D04AD"/>
    <w:rsid w:val="007D1026"/>
    <w:rsid w:val="007D154C"/>
    <w:rsid w:val="007D16ED"/>
    <w:rsid w:val="007D1B26"/>
    <w:rsid w:val="007D1EE2"/>
    <w:rsid w:val="007D20D1"/>
    <w:rsid w:val="007D28BF"/>
    <w:rsid w:val="007D29FC"/>
    <w:rsid w:val="007D2A17"/>
    <w:rsid w:val="007D2A7A"/>
    <w:rsid w:val="007D33F2"/>
    <w:rsid w:val="007D351B"/>
    <w:rsid w:val="007D35C5"/>
    <w:rsid w:val="007D36EB"/>
    <w:rsid w:val="007D39B0"/>
    <w:rsid w:val="007D3BBB"/>
    <w:rsid w:val="007D3E93"/>
    <w:rsid w:val="007D3F37"/>
    <w:rsid w:val="007D45BE"/>
    <w:rsid w:val="007D4987"/>
    <w:rsid w:val="007D4A59"/>
    <w:rsid w:val="007D4F59"/>
    <w:rsid w:val="007D5555"/>
    <w:rsid w:val="007D5636"/>
    <w:rsid w:val="007D593E"/>
    <w:rsid w:val="007D6888"/>
    <w:rsid w:val="007D79A4"/>
    <w:rsid w:val="007D7E39"/>
    <w:rsid w:val="007E03E5"/>
    <w:rsid w:val="007E0514"/>
    <w:rsid w:val="007E05E7"/>
    <w:rsid w:val="007E0965"/>
    <w:rsid w:val="007E09A2"/>
    <w:rsid w:val="007E16E8"/>
    <w:rsid w:val="007E16FC"/>
    <w:rsid w:val="007E174B"/>
    <w:rsid w:val="007E1765"/>
    <w:rsid w:val="007E246E"/>
    <w:rsid w:val="007E2548"/>
    <w:rsid w:val="007E28DC"/>
    <w:rsid w:val="007E2D71"/>
    <w:rsid w:val="007E2E95"/>
    <w:rsid w:val="007E3253"/>
    <w:rsid w:val="007E39CC"/>
    <w:rsid w:val="007E4480"/>
    <w:rsid w:val="007E48EC"/>
    <w:rsid w:val="007E4E04"/>
    <w:rsid w:val="007E6F4F"/>
    <w:rsid w:val="007E7281"/>
    <w:rsid w:val="007E7352"/>
    <w:rsid w:val="007F0C40"/>
    <w:rsid w:val="007F1608"/>
    <w:rsid w:val="007F1B8E"/>
    <w:rsid w:val="007F1DB0"/>
    <w:rsid w:val="007F1EE0"/>
    <w:rsid w:val="007F1FA8"/>
    <w:rsid w:val="007F233E"/>
    <w:rsid w:val="007F2ED6"/>
    <w:rsid w:val="007F31AB"/>
    <w:rsid w:val="007F3221"/>
    <w:rsid w:val="007F3326"/>
    <w:rsid w:val="007F3B5E"/>
    <w:rsid w:val="007F3D73"/>
    <w:rsid w:val="007F3EFF"/>
    <w:rsid w:val="007F44A8"/>
    <w:rsid w:val="007F4727"/>
    <w:rsid w:val="007F4B64"/>
    <w:rsid w:val="007F545C"/>
    <w:rsid w:val="007F5492"/>
    <w:rsid w:val="007F5609"/>
    <w:rsid w:val="007F66CB"/>
    <w:rsid w:val="007F6A08"/>
    <w:rsid w:val="007F6BD7"/>
    <w:rsid w:val="007F72F4"/>
    <w:rsid w:val="007F7709"/>
    <w:rsid w:val="007F7C67"/>
    <w:rsid w:val="007F7D36"/>
    <w:rsid w:val="007F7DA1"/>
    <w:rsid w:val="00800649"/>
    <w:rsid w:val="00800A63"/>
    <w:rsid w:val="00800AFA"/>
    <w:rsid w:val="008010F6"/>
    <w:rsid w:val="0080124C"/>
    <w:rsid w:val="00801407"/>
    <w:rsid w:val="008015AE"/>
    <w:rsid w:val="008017C5"/>
    <w:rsid w:val="0080184E"/>
    <w:rsid w:val="00801B37"/>
    <w:rsid w:val="00802CB0"/>
    <w:rsid w:val="00802D5F"/>
    <w:rsid w:val="00802FC3"/>
    <w:rsid w:val="008030E7"/>
    <w:rsid w:val="008037A6"/>
    <w:rsid w:val="00803BD3"/>
    <w:rsid w:val="00803C45"/>
    <w:rsid w:val="00803C5E"/>
    <w:rsid w:val="008049E7"/>
    <w:rsid w:val="00805114"/>
    <w:rsid w:val="00805E3B"/>
    <w:rsid w:val="008063C9"/>
    <w:rsid w:val="00806B02"/>
    <w:rsid w:val="00806F52"/>
    <w:rsid w:val="00807278"/>
    <w:rsid w:val="008072F8"/>
    <w:rsid w:val="00807A78"/>
    <w:rsid w:val="00807E46"/>
    <w:rsid w:val="00810193"/>
    <w:rsid w:val="00810258"/>
    <w:rsid w:val="00810AE9"/>
    <w:rsid w:val="00810C36"/>
    <w:rsid w:val="00810CB5"/>
    <w:rsid w:val="00810DFD"/>
    <w:rsid w:val="00810F08"/>
    <w:rsid w:val="00811041"/>
    <w:rsid w:val="0081108F"/>
    <w:rsid w:val="008110E8"/>
    <w:rsid w:val="008113D8"/>
    <w:rsid w:val="00811506"/>
    <w:rsid w:val="00811617"/>
    <w:rsid w:val="0081179D"/>
    <w:rsid w:val="008118BB"/>
    <w:rsid w:val="008118C9"/>
    <w:rsid w:val="008119EF"/>
    <w:rsid w:val="0081215D"/>
    <w:rsid w:val="00812461"/>
    <w:rsid w:val="008125C0"/>
    <w:rsid w:val="0081273D"/>
    <w:rsid w:val="008127A7"/>
    <w:rsid w:val="00812996"/>
    <w:rsid w:val="00812A91"/>
    <w:rsid w:val="00812D50"/>
    <w:rsid w:val="0081379D"/>
    <w:rsid w:val="00813C12"/>
    <w:rsid w:val="008141A2"/>
    <w:rsid w:val="00814478"/>
    <w:rsid w:val="008145F5"/>
    <w:rsid w:val="0081475A"/>
    <w:rsid w:val="00814D3C"/>
    <w:rsid w:val="008159E6"/>
    <w:rsid w:val="00815C07"/>
    <w:rsid w:val="00815D20"/>
    <w:rsid w:val="00815FCC"/>
    <w:rsid w:val="00816CE0"/>
    <w:rsid w:val="0081720B"/>
    <w:rsid w:val="008173D5"/>
    <w:rsid w:val="00817D27"/>
    <w:rsid w:val="0082016C"/>
    <w:rsid w:val="008204F5"/>
    <w:rsid w:val="008208BA"/>
    <w:rsid w:val="00820B9D"/>
    <w:rsid w:val="00820C85"/>
    <w:rsid w:val="00820DDF"/>
    <w:rsid w:val="00820EF1"/>
    <w:rsid w:val="00821B11"/>
    <w:rsid w:val="00821E1A"/>
    <w:rsid w:val="00821F1F"/>
    <w:rsid w:val="008220D4"/>
    <w:rsid w:val="0082261C"/>
    <w:rsid w:val="008226CD"/>
    <w:rsid w:val="00822899"/>
    <w:rsid w:val="0082299A"/>
    <w:rsid w:val="00822B62"/>
    <w:rsid w:val="00823031"/>
    <w:rsid w:val="00823313"/>
    <w:rsid w:val="00823F0E"/>
    <w:rsid w:val="00823FCE"/>
    <w:rsid w:val="008248E6"/>
    <w:rsid w:val="00824964"/>
    <w:rsid w:val="00824CD1"/>
    <w:rsid w:val="008251A1"/>
    <w:rsid w:val="0082585D"/>
    <w:rsid w:val="00825C20"/>
    <w:rsid w:val="00825D47"/>
    <w:rsid w:val="0082605E"/>
    <w:rsid w:val="00826221"/>
    <w:rsid w:val="008264AC"/>
    <w:rsid w:val="00826525"/>
    <w:rsid w:val="0082678A"/>
    <w:rsid w:val="0082683A"/>
    <w:rsid w:val="008269C8"/>
    <w:rsid w:val="00826A2E"/>
    <w:rsid w:val="00826C54"/>
    <w:rsid w:val="00826C62"/>
    <w:rsid w:val="00827813"/>
    <w:rsid w:val="00827B1F"/>
    <w:rsid w:val="008306FF"/>
    <w:rsid w:val="0083081E"/>
    <w:rsid w:val="00830AA0"/>
    <w:rsid w:val="00830FAA"/>
    <w:rsid w:val="00831051"/>
    <w:rsid w:val="008317F9"/>
    <w:rsid w:val="0083194D"/>
    <w:rsid w:val="008328BF"/>
    <w:rsid w:val="0083296E"/>
    <w:rsid w:val="008329B3"/>
    <w:rsid w:val="00832D27"/>
    <w:rsid w:val="00833050"/>
    <w:rsid w:val="00833221"/>
    <w:rsid w:val="00833654"/>
    <w:rsid w:val="0083390F"/>
    <w:rsid w:val="00833A2F"/>
    <w:rsid w:val="00833A42"/>
    <w:rsid w:val="00833C46"/>
    <w:rsid w:val="00833D76"/>
    <w:rsid w:val="00833F88"/>
    <w:rsid w:val="008340FF"/>
    <w:rsid w:val="008341B6"/>
    <w:rsid w:val="00834330"/>
    <w:rsid w:val="00834804"/>
    <w:rsid w:val="0083497A"/>
    <w:rsid w:val="00834A51"/>
    <w:rsid w:val="00834B1F"/>
    <w:rsid w:val="00834B87"/>
    <w:rsid w:val="00834D08"/>
    <w:rsid w:val="00834FA3"/>
    <w:rsid w:val="00835C97"/>
    <w:rsid w:val="0083612F"/>
    <w:rsid w:val="0083682A"/>
    <w:rsid w:val="0083683E"/>
    <w:rsid w:val="00836D53"/>
    <w:rsid w:val="00836D5A"/>
    <w:rsid w:val="00837264"/>
    <w:rsid w:val="008376F4"/>
    <w:rsid w:val="00837807"/>
    <w:rsid w:val="00837BE2"/>
    <w:rsid w:val="008400D1"/>
    <w:rsid w:val="00840C96"/>
    <w:rsid w:val="00840FE3"/>
    <w:rsid w:val="00841455"/>
    <w:rsid w:val="0084145D"/>
    <w:rsid w:val="00841487"/>
    <w:rsid w:val="00841E44"/>
    <w:rsid w:val="00841ECE"/>
    <w:rsid w:val="00842655"/>
    <w:rsid w:val="0084279F"/>
    <w:rsid w:val="00842BCE"/>
    <w:rsid w:val="00843624"/>
    <w:rsid w:val="008438DF"/>
    <w:rsid w:val="00843918"/>
    <w:rsid w:val="00843949"/>
    <w:rsid w:val="00844064"/>
    <w:rsid w:val="0084451F"/>
    <w:rsid w:val="00844DA4"/>
    <w:rsid w:val="008454EA"/>
    <w:rsid w:val="0084573C"/>
    <w:rsid w:val="0084632B"/>
    <w:rsid w:val="0084670C"/>
    <w:rsid w:val="008469B8"/>
    <w:rsid w:val="008475C2"/>
    <w:rsid w:val="008478E2"/>
    <w:rsid w:val="00847B16"/>
    <w:rsid w:val="00847BA6"/>
    <w:rsid w:val="008511C5"/>
    <w:rsid w:val="008512E9"/>
    <w:rsid w:val="00851413"/>
    <w:rsid w:val="00851C10"/>
    <w:rsid w:val="00851EFE"/>
    <w:rsid w:val="0085203E"/>
    <w:rsid w:val="00852420"/>
    <w:rsid w:val="008526C7"/>
    <w:rsid w:val="0085329E"/>
    <w:rsid w:val="00853BF6"/>
    <w:rsid w:val="00853D1C"/>
    <w:rsid w:val="00853FDF"/>
    <w:rsid w:val="00854081"/>
    <w:rsid w:val="00854B2B"/>
    <w:rsid w:val="008551C9"/>
    <w:rsid w:val="0085549E"/>
    <w:rsid w:val="008558D8"/>
    <w:rsid w:val="0085594B"/>
    <w:rsid w:val="00855AD7"/>
    <w:rsid w:val="00855C10"/>
    <w:rsid w:val="00855C8D"/>
    <w:rsid w:val="00856B99"/>
    <w:rsid w:val="00856D90"/>
    <w:rsid w:val="00856DFD"/>
    <w:rsid w:val="0085749E"/>
    <w:rsid w:val="008577C1"/>
    <w:rsid w:val="00857C47"/>
    <w:rsid w:val="00857CD9"/>
    <w:rsid w:val="00857FD9"/>
    <w:rsid w:val="00860721"/>
    <w:rsid w:val="00860893"/>
    <w:rsid w:val="00860B4C"/>
    <w:rsid w:val="00860D2A"/>
    <w:rsid w:val="008614A3"/>
    <w:rsid w:val="00862260"/>
    <w:rsid w:val="008623FA"/>
    <w:rsid w:val="00862461"/>
    <w:rsid w:val="0086259C"/>
    <w:rsid w:val="00862702"/>
    <w:rsid w:val="0086287E"/>
    <w:rsid w:val="00862A10"/>
    <w:rsid w:val="00862FF3"/>
    <w:rsid w:val="00863274"/>
    <w:rsid w:val="008635EB"/>
    <w:rsid w:val="00863678"/>
    <w:rsid w:val="00863725"/>
    <w:rsid w:val="00863B5C"/>
    <w:rsid w:val="00864558"/>
    <w:rsid w:val="0086457E"/>
    <w:rsid w:val="008648DC"/>
    <w:rsid w:val="00864F76"/>
    <w:rsid w:val="00865003"/>
    <w:rsid w:val="008657CD"/>
    <w:rsid w:val="0086585C"/>
    <w:rsid w:val="00865BDC"/>
    <w:rsid w:val="00865E65"/>
    <w:rsid w:val="00865F9D"/>
    <w:rsid w:val="0086697D"/>
    <w:rsid w:val="008672A9"/>
    <w:rsid w:val="008673A5"/>
    <w:rsid w:val="00867488"/>
    <w:rsid w:val="00867BCA"/>
    <w:rsid w:val="008704BC"/>
    <w:rsid w:val="00870803"/>
    <w:rsid w:val="008709CC"/>
    <w:rsid w:val="00871030"/>
    <w:rsid w:val="0087114E"/>
    <w:rsid w:val="0087148D"/>
    <w:rsid w:val="0087181C"/>
    <w:rsid w:val="00871B62"/>
    <w:rsid w:val="008721B4"/>
    <w:rsid w:val="00872236"/>
    <w:rsid w:val="0087260B"/>
    <w:rsid w:val="008728A4"/>
    <w:rsid w:val="00872AE6"/>
    <w:rsid w:val="00873E41"/>
    <w:rsid w:val="0087408E"/>
    <w:rsid w:val="0087465C"/>
    <w:rsid w:val="00874733"/>
    <w:rsid w:val="00874BB0"/>
    <w:rsid w:val="00874BD2"/>
    <w:rsid w:val="00874DD0"/>
    <w:rsid w:val="0087544D"/>
    <w:rsid w:val="00875E6D"/>
    <w:rsid w:val="008762C5"/>
    <w:rsid w:val="008764B6"/>
    <w:rsid w:val="00876E00"/>
    <w:rsid w:val="00876FE5"/>
    <w:rsid w:val="008773D2"/>
    <w:rsid w:val="008800D8"/>
    <w:rsid w:val="00880666"/>
    <w:rsid w:val="00880F78"/>
    <w:rsid w:val="008814EA"/>
    <w:rsid w:val="0088188A"/>
    <w:rsid w:val="008818F8"/>
    <w:rsid w:val="00881959"/>
    <w:rsid w:val="00881CBB"/>
    <w:rsid w:val="00882717"/>
    <w:rsid w:val="00882762"/>
    <w:rsid w:val="00882AD0"/>
    <w:rsid w:val="00882CD3"/>
    <w:rsid w:val="00883170"/>
    <w:rsid w:val="00883940"/>
    <w:rsid w:val="00883A57"/>
    <w:rsid w:val="00883D08"/>
    <w:rsid w:val="00884A03"/>
    <w:rsid w:val="00884C9F"/>
    <w:rsid w:val="00885154"/>
    <w:rsid w:val="008854A7"/>
    <w:rsid w:val="00885E74"/>
    <w:rsid w:val="00886799"/>
    <w:rsid w:val="00886938"/>
    <w:rsid w:val="008874B5"/>
    <w:rsid w:val="00887584"/>
    <w:rsid w:val="0088786C"/>
    <w:rsid w:val="00887C7A"/>
    <w:rsid w:val="008901C9"/>
    <w:rsid w:val="00890A3C"/>
    <w:rsid w:val="00890FD8"/>
    <w:rsid w:val="008912B4"/>
    <w:rsid w:val="008912F1"/>
    <w:rsid w:val="008916CE"/>
    <w:rsid w:val="00891BA4"/>
    <w:rsid w:val="00891FC9"/>
    <w:rsid w:val="008923C3"/>
    <w:rsid w:val="00892550"/>
    <w:rsid w:val="008930B1"/>
    <w:rsid w:val="008934F3"/>
    <w:rsid w:val="00894746"/>
    <w:rsid w:val="0089494A"/>
    <w:rsid w:val="00894C5B"/>
    <w:rsid w:val="00894EA1"/>
    <w:rsid w:val="00895527"/>
    <w:rsid w:val="008957D1"/>
    <w:rsid w:val="00895F46"/>
    <w:rsid w:val="0089607D"/>
    <w:rsid w:val="008966E7"/>
    <w:rsid w:val="00896746"/>
    <w:rsid w:val="0089689E"/>
    <w:rsid w:val="00896AA8"/>
    <w:rsid w:val="00896F9D"/>
    <w:rsid w:val="00897013"/>
    <w:rsid w:val="008970FD"/>
    <w:rsid w:val="008975BA"/>
    <w:rsid w:val="008978C3"/>
    <w:rsid w:val="00897ED6"/>
    <w:rsid w:val="008A07F9"/>
    <w:rsid w:val="008A0826"/>
    <w:rsid w:val="008A0868"/>
    <w:rsid w:val="008A1347"/>
    <w:rsid w:val="008A1E25"/>
    <w:rsid w:val="008A22D1"/>
    <w:rsid w:val="008A247C"/>
    <w:rsid w:val="008A24A5"/>
    <w:rsid w:val="008A24D2"/>
    <w:rsid w:val="008A2CB8"/>
    <w:rsid w:val="008A2D23"/>
    <w:rsid w:val="008A2E23"/>
    <w:rsid w:val="008A3A27"/>
    <w:rsid w:val="008A45C3"/>
    <w:rsid w:val="008A461C"/>
    <w:rsid w:val="008A4A39"/>
    <w:rsid w:val="008A4C0B"/>
    <w:rsid w:val="008A4D90"/>
    <w:rsid w:val="008A4DE9"/>
    <w:rsid w:val="008A5390"/>
    <w:rsid w:val="008A53DC"/>
    <w:rsid w:val="008A54A2"/>
    <w:rsid w:val="008A59D6"/>
    <w:rsid w:val="008A5CB7"/>
    <w:rsid w:val="008A5EDE"/>
    <w:rsid w:val="008A5F19"/>
    <w:rsid w:val="008A65B4"/>
    <w:rsid w:val="008A6BF8"/>
    <w:rsid w:val="008A740E"/>
    <w:rsid w:val="008A74A6"/>
    <w:rsid w:val="008B0D5F"/>
    <w:rsid w:val="008B0F33"/>
    <w:rsid w:val="008B1E2D"/>
    <w:rsid w:val="008B2DFC"/>
    <w:rsid w:val="008B2E57"/>
    <w:rsid w:val="008B2F10"/>
    <w:rsid w:val="008B3299"/>
    <w:rsid w:val="008B3368"/>
    <w:rsid w:val="008B34CA"/>
    <w:rsid w:val="008B39C8"/>
    <w:rsid w:val="008B4683"/>
    <w:rsid w:val="008B46A4"/>
    <w:rsid w:val="008B4862"/>
    <w:rsid w:val="008B4C27"/>
    <w:rsid w:val="008B4F16"/>
    <w:rsid w:val="008B50A3"/>
    <w:rsid w:val="008B53E4"/>
    <w:rsid w:val="008B5514"/>
    <w:rsid w:val="008B56DD"/>
    <w:rsid w:val="008B5C07"/>
    <w:rsid w:val="008B5C4D"/>
    <w:rsid w:val="008B5C7F"/>
    <w:rsid w:val="008B5F1F"/>
    <w:rsid w:val="008B5F39"/>
    <w:rsid w:val="008B67C9"/>
    <w:rsid w:val="008B68CA"/>
    <w:rsid w:val="008B6991"/>
    <w:rsid w:val="008B6D80"/>
    <w:rsid w:val="008B7574"/>
    <w:rsid w:val="008B75F2"/>
    <w:rsid w:val="008B7941"/>
    <w:rsid w:val="008B7CBF"/>
    <w:rsid w:val="008C0166"/>
    <w:rsid w:val="008C0614"/>
    <w:rsid w:val="008C0A64"/>
    <w:rsid w:val="008C0E65"/>
    <w:rsid w:val="008C10AE"/>
    <w:rsid w:val="008C18F5"/>
    <w:rsid w:val="008C1AF8"/>
    <w:rsid w:val="008C211D"/>
    <w:rsid w:val="008C2213"/>
    <w:rsid w:val="008C2648"/>
    <w:rsid w:val="008C286B"/>
    <w:rsid w:val="008C2C1B"/>
    <w:rsid w:val="008C334B"/>
    <w:rsid w:val="008C34A4"/>
    <w:rsid w:val="008C3B4C"/>
    <w:rsid w:val="008C3CBC"/>
    <w:rsid w:val="008C43E0"/>
    <w:rsid w:val="008C44F3"/>
    <w:rsid w:val="008C4774"/>
    <w:rsid w:val="008C4C14"/>
    <w:rsid w:val="008C4F99"/>
    <w:rsid w:val="008C553D"/>
    <w:rsid w:val="008C5AB1"/>
    <w:rsid w:val="008C63A8"/>
    <w:rsid w:val="008C65ED"/>
    <w:rsid w:val="008C674B"/>
    <w:rsid w:val="008C6BE4"/>
    <w:rsid w:val="008C70B2"/>
    <w:rsid w:val="008C732B"/>
    <w:rsid w:val="008C79EA"/>
    <w:rsid w:val="008C7B3B"/>
    <w:rsid w:val="008C7B61"/>
    <w:rsid w:val="008C7B7D"/>
    <w:rsid w:val="008C7E14"/>
    <w:rsid w:val="008D01CB"/>
    <w:rsid w:val="008D1354"/>
    <w:rsid w:val="008D13BB"/>
    <w:rsid w:val="008D19D3"/>
    <w:rsid w:val="008D1A56"/>
    <w:rsid w:val="008D1EAE"/>
    <w:rsid w:val="008D21C3"/>
    <w:rsid w:val="008D2F4D"/>
    <w:rsid w:val="008D2F6C"/>
    <w:rsid w:val="008D300E"/>
    <w:rsid w:val="008D3130"/>
    <w:rsid w:val="008D3F9D"/>
    <w:rsid w:val="008D4726"/>
    <w:rsid w:val="008D4730"/>
    <w:rsid w:val="008D54DD"/>
    <w:rsid w:val="008D55BB"/>
    <w:rsid w:val="008D59F6"/>
    <w:rsid w:val="008D5AEA"/>
    <w:rsid w:val="008D5BA1"/>
    <w:rsid w:val="008D5D11"/>
    <w:rsid w:val="008D5D33"/>
    <w:rsid w:val="008D69BA"/>
    <w:rsid w:val="008D7102"/>
    <w:rsid w:val="008D7D34"/>
    <w:rsid w:val="008D7DC0"/>
    <w:rsid w:val="008D7ECA"/>
    <w:rsid w:val="008E0076"/>
    <w:rsid w:val="008E036D"/>
    <w:rsid w:val="008E0D43"/>
    <w:rsid w:val="008E0E7F"/>
    <w:rsid w:val="008E14A5"/>
    <w:rsid w:val="008E1573"/>
    <w:rsid w:val="008E160A"/>
    <w:rsid w:val="008E1760"/>
    <w:rsid w:val="008E1A21"/>
    <w:rsid w:val="008E20AF"/>
    <w:rsid w:val="008E23B3"/>
    <w:rsid w:val="008E2532"/>
    <w:rsid w:val="008E29DD"/>
    <w:rsid w:val="008E2EC4"/>
    <w:rsid w:val="008E3BE9"/>
    <w:rsid w:val="008E3D70"/>
    <w:rsid w:val="008E406B"/>
    <w:rsid w:val="008E4201"/>
    <w:rsid w:val="008E435D"/>
    <w:rsid w:val="008E4FBE"/>
    <w:rsid w:val="008E58E8"/>
    <w:rsid w:val="008E59F8"/>
    <w:rsid w:val="008E5AFB"/>
    <w:rsid w:val="008E6000"/>
    <w:rsid w:val="008E6512"/>
    <w:rsid w:val="008E67D6"/>
    <w:rsid w:val="008E682A"/>
    <w:rsid w:val="008E6E6E"/>
    <w:rsid w:val="008E7082"/>
    <w:rsid w:val="008E76AF"/>
    <w:rsid w:val="008F028B"/>
    <w:rsid w:val="008F03C2"/>
    <w:rsid w:val="008F05D8"/>
    <w:rsid w:val="008F09E9"/>
    <w:rsid w:val="008F0A6C"/>
    <w:rsid w:val="008F0C32"/>
    <w:rsid w:val="008F0C97"/>
    <w:rsid w:val="008F1215"/>
    <w:rsid w:val="008F145D"/>
    <w:rsid w:val="008F185C"/>
    <w:rsid w:val="008F2099"/>
    <w:rsid w:val="008F2178"/>
    <w:rsid w:val="008F22A2"/>
    <w:rsid w:val="008F257C"/>
    <w:rsid w:val="008F26CC"/>
    <w:rsid w:val="008F28F6"/>
    <w:rsid w:val="008F33E3"/>
    <w:rsid w:val="008F36A9"/>
    <w:rsid w:val="008F3DA7"/>
    <w:rsid w:val="008F41B1"/>
    <w:rsid w:val="008F45A9"/>
    <w:rsid w:val="008F484E"/>
    <w:rsid w:val="008F4A42"/>
    <w:rsid w:val="008F5095"/>
    <w:rsid w:val="008F5126"/>
    <w:rsid w:val="008F5ABC"/>
    <w:rsid w:val="008F62E5"/>
    <w:rsid w:val="008F6DFC"/>
    <w:rsid w:val="008F6F74"/>
    <w:rsid w:val="008F729C"/>
    <w:rsid w:val="008F75D8"/>
    <w:rsid w:val="008F7735"/>
    <w:rsid w:val="008F78EB"/>
    <w:rsid w:val="008F79AF"/>
    <w:rsid w:val="008F7C66"/>
    <w:rsid w:val="009003B7"/>
    <w:rsid w:val="00900C51"/>
    <w:rsid w:val="009014F9"/>
    <w:rsid w:val="009017D6"/>
    <w:rsid w:val="0090206B"/>
    <w:rsid w:val="00902146"/>
    <w:rsid w:val="009022CB"/>
    <w:rsid w:val="0090256E"/>
    <w:rsid w:val="00902743"/>
    <w:rsid w:val="00902825"/>
    <w:rsid w:val="009038F1"/>
    <w:rsid w:val="00903AB0"/>
    <w:rsid w:val="00903B1A"/>
    <w:rsid w:val="00903E25"/>
    <w:rsid w:val="009045A3"/>
    <w:rsid w:val="00904877"/>
    <w:rsid w:val="00904B25"/>
    <w:rsid w:val="00904C37"/>
    <w:rsid w:val="00904CE2"/>
    <w:rsid w:val="00905051"/>
    <w:rsid w:val="0090523A"/>
    <w:rsid w:val="00905ADB"/>
    <w:rsid w:val="0090635A"/>
    <w:rsid w:val="00906456"/>
    <w:rsid w:val="00906968"/>
    <w:rsid w:val="00906D61"/>
    <w:rsid w:val="00906EAC"/>
    <w:rsid w:val="0090727C"/>
    <w:rsid w:val="00907735"/>
    <w:rsid w:val="00910416"/>
    <w:rsid w:val="00910580"/>
    <w:rsid w:val="009109CA"/>
    <w:rsid w:val="00911A84"/>
    <w:rsid w:val="00911EE3"/>
    <w:rsid w:val="0091214F"/>
    <w:rsid w:val="00912357"/>
    <w:rsid w:val="009124CC"/>
    <w:rsid w:val="00912A53"/>
    <w:rsid w:val="009133DE"/>
    <w:rsid w:val="009134B6"/>
    <w:rsid w:val="00913555"/>
    <w:rsid w:val="009135ED"/>
    <w:rsid w:val="0091366F"/>
    <w:rsid w:val="00913837"/>
    <w:rsid w:val="00913C18"/>
    <w:rsid w:val="00913C77"/>
    <w:rsid w:val="0091517C"/>
    <w:rsid w:val="009157DD"/>
    <w:rsid w:val="009163FE"/>
    <w:rsid w:val="00916C84"/>
    <w:rsid w:val="0091734D"/>
    <w:rsid w:val="0091762E"/>
    <w:rsid w:val="00917702"/>
    <w:rsid w:val="00917F32"/>
    <w:rsid w:val="009203C1"/>
    <w:rsid w:val="009203D2"/>
    <w:rsid w:val="00920672"/>
    <w:rsid w:val="009206C4"/>
    <w:rsid w:val="009208EE"/>
    <w:rsid w:val="00920E4D"/>
    <w:rsid w:val="00921000"/>
    <w:rsid w:val="0092138A"/>
    <w:rsid w:val="0092142D"/>
    <w:rsid w:val="009219A8"/>
    <w:rsid w:val="00921A52"/>
    <w:rsid w:val="00921DA2"/>
    <w:rsid w:val="0092244F"/>
    <w:rsid w:val="009224C3"/>
    <w:rsid w:val="009227AB"/>
    <w:rsid w:val="009238CC"/>
    <w:rsid w:val="00923A35"/>
    <w:rsid w:val="00923AB6"/>
    <w:rsid w:val="00923E20"/>
    <w:rsid w:val="009245C4"/>
    <w:rsid w:val="00924AB2"/>
    <w:rsid w:val="00924F92"/>
    <w:rsid w:val="0092543A"/>
    <w:rsid w:val="0092584E"/>
    <w:rsid w:val="0092591C"/>
    <w:rsid w:val="00925CEB"/>
    <w:rsid w:val="00926123"/>
    <w:rsid w:val="009262D7"/>
    <w:rsid w:val="00926501"/>
    <w:rsid w:val="00926538"/>
    <w:rsid w:val="00926686"/>
    <w:rsid w:val="00926871"/>
    <w:rsid w:val="00927534"/>
    <w:rsid w:val="0092754C"/>
    <w:rsid w:val="009300A8"/>
    <w:rsid w:val="00931085"/>
    <w:rsid w:val="00931423"/>
    <w:rsid w:val="00931426"/>
    <w:rsid w:val="00931615"/>
    <w:rsid w:val="0093167A"/>
    <w:rsid w:val="00931C15"/>
    <w:rsid w:val="009324A8"/>
    <w:rsid w:val="009326BF"/>
    <w:rsid w:val="009328DA"/>
    <w:rsid w:val="0093298E"/>
    <w:rsid w:val="00932F6D"/>
    <w:rsid w:val="009331E4"/>
    <w:rsid w:val="00933547"/>
    <w:rsid w:val="009335AD"/>
    <w:rsid w:val="00933755"/>
    <w:rsid w:val="00934264"/>
    <w:rsid w:val="009344F3"/>
    <w:rsid w:val="0093453F"/>
    <w:rsid w:val="00934989"/>
    <w:rsid w:val="00934A4F"/>
    <w:rsid w:val="00934B64"/>
    <w:rsid w:val="00934CDE"/>
    <w:rsid w:val="00935A2F"/>
    <w:rsid w:val="00935B52"/>
    <w:rsid w:val="00935C8F"/>
    <w:rsid w:val="00935FB7"/>
    <w:rsid w:val="009360BB"/>
    <w:rsid w:val="009363ED"/>
    <w:rsid w:val="00936591"/>
    <w:rsid w:val="00937011"/>
    <w:rsid w:val="00937152"/>
    <w:rsid w:val="0093733D"/>
    <w:rsid w:val="0094035C"/>
    <w:rsid w:val="009403C7"/>
    <w:rsid w:val="00940BF2"/>
    <w:rsid w:val="00940DB2"/>
    <w:rsid w:val="009411CC"/>
    <w:rsid w:val="00941286"/>
    <w:rsid w:val="0094141F"/>
    <w:rsid w:val="00941483"/>
    <w:rsid w:val="009417BD"/>
    <w:rsid w:val="009418F3"/>
    <w:rsid w:val="00941A1A"/>
    <w:rsid w:val="00942191"/>
    <w:rsid w:val="009423CE"/>
    <w:rsid w:val="0094241D"/>
    <w:rsid w:val="009427AF"/>
    <w:rsid w:val="00942B60"/>
    <w:rsid w:val="00942BEA"/>
    <w:rsid w:val="00942DED"/>
    <w:rsid w:val="00943415"/>
    <w:rsid w:val="00943681"/>
    <w:rsid w:val="009436EE"/>
    <w:rsid w:val="009437BB"/>
    <w:rsid w:val="00943AB5"/>
    <w:rsid w:val="0094430F"/>
    <w:rsid w:val="00944312"/>
    <w:rsid w:val="00944A32"/>
    <w:rsid w:val="009450B9"/>
    <w:rsid w:val="009450CF"/>
    <w:rsid w:val="009451E2"/>
    <w:rsid w:val="00945335"/>
    <w:rsid w:val="00945356"/>
    <w:rsid w:val="009453FA"/>
    <w:rsid w:val="00945858"/>
    <w:rsid w:val="00945AFE"/>
    <w:rsid w:val="00945F59"/>
    <w:rsid w:val="009461A2"/>
    <w:rsid w:val="009468C7"/>
    <w:rsid w:val="009469D2"/>
    <w:rsid w:val="00946F09"/>
    <w:rsid w:val="00947A51"/>
    <w:rsid w:val="00947D16"/>
    <w:rsid w:val="00947E98"/>
    <w:rsid w:val="009500AB"/>
    <w:rsid w:val="00951FD7"/>
    <w:rsid w:val="0095202E"/>
    <w:rsid w:val="00952133"/>
    <w:rsid w:val="00952B95"/>
    <w:rsid w:val="009535BC"/>
    <w:rsid w:val="00953F0F"/>
    <w:rsid w:val="00954086"/>
    <w:rsid w:val="00954414"/>
    <w:rsid w:val="009547BA"/>
    <w:rsid w:val="009548AE"/>
    <w:rsid w:val="00954C46"/>
    <w:rsid w:val="00954E1C"/>
    <w:rsid w:val="0095505F"/>
    <w:rsid w:val="009558C8"/>
    <w:rsid w:val="00955EF2"/>
    <w:rsid w:val="009560D9"/>
    <w:rsid w:val="00956315"/>
    <w:rsid w:val="00956B24"/>
    <w:rsid w:val="0095702C"/>
    <w:rsid w:val="0095792F"/>
    <w:rsid w:val="00957E13"/>
    <w:rsid w:val="00957E2E"/>
    <w:rsid w:val="00960158"/>
    <w:rsid w:val="009602B2"/>
    <w:rsid w:val="0096046B"/>
    <w:rsid w:val="00960774"/>
    <w:rsid w:val="00960903"/>
    <w:rsid w:val="00960A3C"/>
    <w:rsid w:val="00960B57"/>
    <w:rsid w:val="009610FC"/>
    <w:rsid w:val="0096133A"/>
    <w:rsid w:val="0096133D"/>
    <w:rsid w:val="009614A0"/>
    <w:rsid w:val="00961BF2"/>
    <w:rsid w:val="00961D31"/>
    <w:rsid w:val="00961D93"/>
    <w:rsid w:val="009624B2"/>
    <w:rsid w:val="00962672"/>
    <w:rsid w:val="00963584"/>
    <w:rsid w:val="00963682"/>
    <w:rsid w:val="009638D2"/>
    <w:rsid w:val="00965135"/>
    <w:rsid w:val="00965719"/>
    <w:rsid w:val="00966236"/>
    <w:rsid w:val="0096627C"/>
    <w:rsid w:val="00966582"/>
    <w:rsid w:val="00966613"/>
    <w:rsid w:val="00966C64"/>
    <w:rsid w:val="00966E4E"/>
    <w:rsid w:val="009671DD"/>
    <w:rsid w:val="00967297"/>
    <w:rsid w:val="00967465"/>
    <w:rsid w:val="00967601"/>
    <w:rsid w:val="00967CFA"/>
    <w:rsid w:val="00970119"/>
    <w:rsid w:val="00970E68"/>
    <w:rsid w:val="0097130C"/>
    <w:rsid w:val="009718E5"/>
    <w:rsid w:val="00971DA3"/>
    <w:rsid w:val="009729D0"/>
    <w:rsid w:val="009731A6"/>
    <w:rsid w:val="0097323C"/>
    <w:rsid w:val="00973AB5"/>
    <w:rsid w:val="00973CAD"/>
    <w:rsid w:val="00973EFF"/>
    <w:rsid w:val="00974100"/>
    <w:rsid w:val="00974325"/>
    <w:rsid w:val="0097461D"/>
    <w:rsid w:val="00974C2D"/>
    <w:rsid w:val="009756BF"/>
    <w:rsid w:val="009758BC"/>
    <w:rsid w:val="00975AE6"/>
    <w:rsid w:val="00976579"/>
    <w:rsid w:val="00976A4A"/>
    <w:rsid w:val="00976E4D"/>
    <w:rsid w:val="00976EAE"/>
    <w:rsid w:val="009774E0"/>
    <w:rsid w:val="00977975"/>
    <w:rsid w:val="00977A90"/>
    <w:rsid w:val="00980489"/>
    <w:rsid w:val="00980629"/>
    <w:rsid w:val="0098068A"/>
    <w:rsid w:val="00980862"/>
    <w:rsid w:val="0098221A"/>
    <w:rsid w:val="00982816"/>
    <w:rsid w:val="00983393"/>
    <w:rsid w:val="00983C32"/>
    <w:rsid w:val="00983E1C"/>
    <w:rsid w:val="00984327"/>
    <w:rsid w:val="009849AB"/>
    <w:rsid w:val="009850BD"/>
    <w:rsid w:val="00985161"/>
    <w:rsid w:val="00985643"/>
    <w:rsid w:val="00985873"/>
    <w:rsid w:val="009858A1"/>
    <w:rsid w:val="0098596B"/>
    <w:rsid w:val="00985BDA"/>
    <w:rsid w:val="00985F92"/>
    <w:rsid w:val="00986264"/>
    <w:rsid w:val="0098681A"/>
    <w:rsid w:val="00986A7C"/>
    <w:rsid w:val="00986C97"/>
    <w:rsid w:val="00987250"/>
    <w:rsid w:val="00987A76"/>
    <w:rsid w:val="00987C99"/>
    <w:rsid w:val="009901A1"/>
    <w:rsid w:val="00990218"/>
    <w:rsid w:val="00990451"/>
    <w:rsid w:val="00990DA0"/>
    <w:rsid w:val="009911E4"/>
    <w:rsid w:val="009919EF"/>
    <w:rsid w:val="009919F4"/>
    <w:rsid w:val="00992577"/>
    <w:rsid w:val="009928C5"/>
    <w:rsid w:val="00992F51"/>
    <w:rsid w:val="009933B5"/>
    <w:rsid w:val="009935D0"/>
    <w:rsid w:val="0099377F"/>
    <w:rsid w:val="009941BE"/>
    <w:rsid w:val="00994503"/>
    <w:rsid w:val="0099453E"/>
    <w:rsid w:val="009946E1"/>
    <w:rsid w:val="00994880"/>
    <w:rsid w:val="00994E94"/>
    <w:rsid w:val="0099513A"/>
    <w:rsid w:val="0099555D"/>
    <w:rsid w:val="00995E3F"/>
    <w:rsid w:val="0099631A"/>
    <w:rsid w:val="00996428"/>
    <w:rsid w:val="009964DD"/>
    <w:rsid w:val="009965F9"/>
    <w:rsid w:val="00996AB6"/>
    <w:rsid w:val="00996B6C"/>
    <w:rsid w:val="00996E58"/>
    <w:rsid w:val="00997C1B"/>
    <w:rsid w:val="009A024C"/>
    <w:rsid w:val="009A0551"/>
    <w:rsid w:val="009A0C48"/>
    <w:rsid w:val="009A0D5A"/>
    <w:rsid w:val="009A0E34"/>
    <w:rsid w:val="009A0FB9"/>
    <w:rsid w:val="009A12A2"/>
    <w:rsid w:val="009A1784"/>
    <w:rsid w:val="009A1A56"/>
    <w:rsid w:val="009A1C5D"/>
    <w:rsid w:val="009A1D2C"/>
    <w:rsid w:val="009A1DAB"/>
    <w:rsid w:val="009A1E76"/>
    <w:rsid w:val="009A2C12"/>
    <w:rsid w:val="009A30FA"/>
    <w:rsid w:val="009A3209"/>
    <w:rsid w:val="009A3307"/>
    <w:rsid w:val="009A339B"/>
    <w:rsid w:val="009A3416"/>
    <w:rsid w:val="009A3558"/>
    <w:rsid w:val="009A35FD"/>
    <w:rsid w:val="009A3730"/>
    <w:rsid w:val="009A3CB8"/>
    <w:rsid w:val="009A3EB2"/>
    <w:rsid w:val="009A49BF"/>
    <w:rsid w:val="009A4CE0"/>
    <w:rsid w:val="009A4DFC"/>
    <w:rsid w:val="009A524C"/>
    <w:rsid w:val="009A5406"/>
    <w:rsid w:val="009A542E"/>
    <w:rsid w:val="009A566A"/>
    <w:rsid w:val="009A5F41"/>
    <w:rsid w:val="009A61D0"/>
    <w:rsid w:val="009A635E"/>
    <w:rsid w:val="009A6D69"/>
    <w:rsid w:val="009A7385"/>
    <w:rsid w:val="009A7726"/>
    <w:rsid w:val="009A7975"/>
    <w:rsid w:val="009B0080"/>
    <w:rsid w:val="009B0A4E"/>
    <w:rsid w:val="009B0C34"/>
    <w:rsid w:val="009B10D8"/>
    <w:rsid w:val="009B1457"/>
    <w:rsid w:val="009B1D27"/>
    <w:rsid w:val="009B1EBF"/>
    <w:rsid w:val="009B1ED0"/>
    <w:rsid w:val="009B1F7D"/>
    <w:rsid w:val="009B25B5"/>
    <w:rsid w:val="009B2777"/>
    <w:rsid w:val="009B2F15"/>
    <w:rsid w:val="009B3072"/>
    <w:rsid w:val="009B34A8"/>
    <w:rsid w:val="009B3545"/>
    <w:rsid w:val="009B3B44"/>
    <w:rsid w:val="009B3B50"/>
    <w:rsid w:val="009B3E86"/>
    <w:rsid w:val="009B4599"/>
    <w:rsid w:val="009B4A6B"/>
    <w:rsid w:val="009B50C9"/>
    <w:rsid w:val="009B567B"/>
    <w:rsid w:val="009B5917"/>
    <w:rsid w:val="009B5A91"/>
    <w:rsid w:val="009B5B71"/>
    <w:rsid w:val="009B63B4"/>
    <w:rsid w:val="009B67A9"/>
    <w:rsid w:val="009B6A60"/>
    <w:rsid w:val="009B709C"/>
    <w:rsid w:val="009B7420"/>
    <w:rsid w:val="009B74B6"/>
    <w:rsid w:val="009B7878"/>
    <w:rsid w:val="009B78CC"/>
    <w:rsid w:val="009B7B46"/>
    <w:rsid w:val="009B7E4E"/>
    <w:rsid w:val="009C0363"/>
    <w:rsid w:val="009C0B38"/>
    <w:rsid w:val="009C0E16"/>
    <w:rsid w:val="009C1396"/>
    <w:rsid w:val="009C1DF2"/>
    <w:rsid w:val="009C2C38"/>
    <w:rsid w:val="009C31E0"/>
    <w:rsid w:val="009C3215"/>
    <w:rsid w:val="009C34C7"/>
    <w:rsid w:val="009C3C6C"/>
    <w:rsid w:val="009C42BF"/>
    <w:rsid w:val="009C42C3"/>
    <w:rsid w:val="009C44D7"/>
    <w:rsid w:val="009C48C2"/>
    <w:rsid w:val="009C517F"/>
    <w:rsid w:val="009C53BA"/>
    <w:rsid w:val="009C56FA"/>
    <w:rsid w:val="009C5808"/>
    <w:rsid w:val="009C5B62"/>
    <w:rsid w:val="009C5BD7"/>
    <w:rsid w:val="009C5EBC"/>
    <w:rsid w:val="009C5F2C"/>
    <w:rsid w:val="009C646A"/>
    <w:rsid w:val="009C6C16"/>
    <w:rsid w:val="009C6CCE"/>
    <w:rsid w:val="009C701A"/>
    <w:rsid w:val="009C744C"/>
    <w:rsid w:val="009D026E"/>
    <w:rsid w:val="009D03D3"/>
    <w:rsid w:val="009D06DE"/>
    <w:rsid w:val="009D105C"/>
    <w:rsid w:val="009D169A"/>
    <w:rsid w:val="009D197A"/>
    <w:rsid w:val="009D220D"/>
    <w:rsid w:val="009D3060"/>
    <w:rsid w:val="009D31B8"/>
    <w:rsid w:val="009D3909"/>
    <w:rsid w:val="009D4672"/>
    <w:rsid w:val="009D479E"/>
    <w:rsid w:val="009D48E5"/>
    <w:rsid w:val="009D4A8F"/>
    <w:rsid w:val="009D4F9C"/>
    <w:rsid w:val="009D5862"/>
    <w:rsid w:val="009D5B59"/>
    <w:rsid w:val="009D5BED"/>
    <w:rsid w:val="009D5D29"/>
    <w:rsid w:val="009D5E08"/>
    <w:rsid w:val="009D625D"/>
    <w:rsid w:val="009D63BE"/>
    <w:rsid w:val="009D6C41"/>
    <w:rsid w:val="009D7E0D"/>
    <w:rsid w:val="009D7EEF"/>
    <w:rsid w:val="009E019E"/>
    <w:rsid w:val="009E03AB"/>
    <w:rsid w:val="009E088B"/>
    <w:rsid w:val="009E172B"/>
    <w:rsid w:val="009E1B04"/>
    <w:rsid w:val="009E2436"/>
    <w:rsid w:val="009E26DA"/>
    <w:rsid w:val="009E283B"/>
    <w:rsid w:val="009E2879"/>
    <w:rsid w:val="009E28AE"/>
    <w:rsid w:val="009E2CE0"/>
    <w:rsid w:val="009E2EBD"/>
    <w:rsid w:val="009E3E2C"/>
    <w:rsid w:val="009E40BB"/>
    <w:rsid w:val="009E4D51"/>
    <w:rsid w:val="009E4F54"/>
    <w:rsid w:val="009E5D48"/>
    <w:rsid w:val="009E5EB2"/>
    <w:rsid w:val="009E60AF"/>
    <w:rsid w:val="009E6323"/>
    <w:rsid w:val="009E6501"/>
    <w:rsid w:val="009E6814"/>
    <w:rsid w:val="009E7852"/>
    <w:rsid w:val="009F047C"/>
    <w:rsid w:val="009F11B9"/>
    <w:rsid w:val="009F1546"/>
    <w:rsid w:val="009F205C"/>
    <w:rsid w:val="009F22BC"/>
    <w:rsid w:val="009F2955"/>
    <w:rsid w:val="009F2ACC"/>
    <w:rsid w:val="009F36DF"/>
    <w:rsid w:val="009F3AE8"/>
    <w:rsid w:val="009F4664"/>
    <w:rsid w:val="009F4971"/>
    <w:rsid w:val="009F4B6F"/>
    <w:rsid w:val="009F5866"/>
    <w:rsid w:val="009F5EF2"/>
    <w:rsid w:val="009F643F"/>
    <w:rsid w:val="009F64EF"/>
    <w:rsid w:val="009F6D9C"/>
    <w:rsid w:val="009F7C33"/>
    <w:rsid w:val="00A0016C"/>
    <w:rsid w:val="00A0085F"/>
    <w:rsid w:val="00A00C20"/>
    <w:rsid w:val="00A00D5B"/>
    <w:rsid w:val="00A0118B"/>
    <w:rsid w:val="00A016FD"/>
    <w:rsid w:val="00A01E60"/>
    <w:rsid w:val="00A01EB1"/>
    <w:rsid w:val="00A01EF8"/>
    <w:rsid w:val="00A01FF4"/>
    <w:rsid w:val="00A01FFE"/>
    <w:rsid w:val="00A02A95"/>
    <w:rsid w:val="00A02C44"/>
    <w:rsid w:val="00A03B9E"/>
    <w:rsid w:val="00A03EFE"/>
    <w:rsid w:val="00A04070"/>
    <w:rsid w:val="00A040C7"/>
    <w:rsid w:val="00A04145"/>
    <w:rsid w:val="00A05273"/>
    <w:rsid w:val="00A056AB"/>
    <w:rsid w:val="00A05DB7"/>
    <w:rsid w:val="00A06367"/>
    <w:rsid w:val="00A06472"/>
    <w:rsid w:val="00A06565"/>
    <w:rsid w:val="00A07566"/>
    <w:rsid w:val="00A0783A"/>
    <w:rsid w:val="00A10565"/>
    <w:rsid w:val="00A11232"/>
    <w:rsid w:val="00A1193C"/>
    <w:rsid w:val="00A12299"/>
    <w:rsid w:val="00A1262E"/>
    <w:rsid w:val="00A12EF4"/>
    <w:rsid w:val="00A13BE4"/>
    <w:rsid w:val="00A13F59"/>
    <w:rsid w:val="00A140E0"/>
    <w:rsid w:val="00A14BD4"/>
    <w:rsid w:val="00A14C83"/>
    <w:rsid w:val="00A14C98"/>
    <w:rsid w:val="00A14E77"/>
    <w:rsid w:val="00A15706"/>
    <w:rsid w:val="00A158FD"/>
    <w:rsid w:val="00A16253"/>
    <w:rsid w:val="00A1646C"/>
    <w:rsid w:val="00A166AE"/>
    <w:rsid w:val="00A16AC6"/>
    <w:rsid w:val="00A175B6"/>
    <w:rsid w:val="00A20059"/>
    <w:rsid w:val="00A20221"/>
    <w:rsid w:val="00A205D8"/>
    <w:rsid w:val="00A209FC"/>
    <w:rsid w:val="00A20C4A"/>
    <w:rsid w:val="00A20C76"/>
    <w:rsid w:val="00A20E8D"/>
    <w:rsid w:val="00A214D9"/>
    <w:rsid w:val="00A2165E"/>
    <w:rsid w:val="00A21875"/>
    <w:rsid w:val="00A21972"/>
    <w:rsid w:val="00A22085"/>
    <w:rsid w:val="00A2245F"/>
    <w:rsid w:val="00A22758"/>
    <w:rsid w:val="00A228CA"/>
    <w:rsid w:val="00A22B58"/>
    <w:rsid w:val="00A22FE2"/>
    <w:rsid w:val="00A236C4"/>
    <w:rsid w:val="00A237B5"/>
    <w:rsid w:val="00A237CC"/>
    <w:rsid w:val="00A237F6"/>
    <w:rsid w:val="00A238EB"/>
    <w:rsid w:val="00A23BD5"/>
    <w:rsid w:val="00A23DAA"/>
    <w:rsid w:val="00A23E54"/>
    <w:rsid w:val="00A23F13"/>
    <w:rsid w:val="00A23FEA"/>
    <w:rsid w:val="00A2464D"/>
    <w:rsid w:val="00A24E42"/>
    <w:rsid w:val="00A25053"/>
    <w:rsid w:val="00A252E9"/>
    <w:rsid w:val="00A25784"/>
    <w:rsid w:val="00A262AF"/>
    <w:rsid w:val="00A262F8"/>
    <w:rsid w:val="00A2676B"/>
    <w:rsid w:val="00A2687C"/>
    <w:rsid w:val="00A269D9"/>
    <w:rsid w:val="00A270E2"/>
    <w:rsid w:val="00A27184"/>
    <w:rsid w:val="00A272E3"/>
    <w:rsid w:val="00A274F3"/>
    <w:rsid w:val="00A27F25"/>
    <w:rsid w:val="00A31350"/>
    <w:rsid w:val="00A31746"/>
    <w:rsid w:val="00A31B71"/>
    <w:rsid w:val="00A31C37"/>
    <w:rsid w:val="00A32717"/>
    <w:rsid w:val="00A32918"/>
    <w:rsid w:val="00A32996"/>
    <w:rsid w:val="00A32BE3"/>
    <w:rsid w:val="00A32C53"/>
    <w:rsid w:val="00A332B1"/>
    <w:rsid w:val="00A3373C"/>
    <w:rsid w:val="00A34436"/>
    <w:rsid w:val="00A34D82"/>
    <w:rsid w:val="00A34E92"/>
    <w:rsid w:val="00A35362"/>
    <w:rsid w:val="00A35DCE"/>
    <w:rsid w:val="00A36316"/>
    <w:rsid w:val="00A3699E"/>
    <w:rsid w:val="00A36E77"/>
    <w:rsid w:val="00A37B6F"/>
    <w:rsid w:val="00A37C2D"/>
    <w:rsid w:val="00A37D15"/>
    <w:rsid w:val="00A37E13"/>
    <w:rsid w:val="00A40125"/>
    <w:rsid w:val="00A40413"/>
    <w:rsid w:val="00A4044F"/>
    <w:rsid w:val="00A40586"/>
    <w:rsid w:val="00A407C5"/>
    <w:rsid w:val="00A40C0B"/>
    <w:rsid w:val="00A40D21"/>
    <w:rsid w:val="00A41138"/>
    <w:rsid w:val="00A41334"/>
    <w:rsid w:val="00A41CDE"/>
    <w:rsid w:val="00A41F6A"/>
    <w:rsid w:val="00A428B7"/>
    <w:rsid w:val="00A42D99"/>
    <w:rsid w:val="00A43953"/>
    <w:rsid w:val="00A44254"/>
    <w:rsid w:val="00A443EE"/>
    <w:rsid w:val="00A444EF"/>
    <w:rsid w:val="00A44804"/>
    <w:rsid w:val="00A44830"/>
    <w:rsid w:val="00A44B77"/>
    <w:rsid w:val="00A44E27"/>
    <w:rsid w:val="00A45182"/>
    <w:rsid w:val="00A451E4"/>
    <w:rsid w:val="00A45498"/>
    <w:rsid w:val="00A460DA"/>
    <w:rsid w:val="00A463F0"/>
    <w:rsid w:val="00A46413"/>
    <w:rsid w:val="00A47B5A"/>
    <w:rsid w:val="00A47FD6"/>
    <w:rsid w:val="00A50B4F"/>
    <w:rsid w:val="00A51AD8"/>
    <w:rsid w:val="00A51F11"/>
    <w:rsid w:val="00A520B9"/>
    <w:rsid w:val="00A525E6"/>
    <w:rsid w:val="00A52EC4"/>
    <w:rsid w:val="00A5300E"/>
    <w:rsid w:val="00A534B5"/>
    <w:rsid w:val="00A54586"/>
    <w:rsid w:val="00A549FC"/>
    <w:rsid w:val="00A54D0F"/>
    <w:rsid w:val="00A55CED"/>
    <w:rsid w:val="00A560D5"/>
    <w:rsid w:val="00A5621C"/>
    <w:rsid w:val="00A564E2"/>
    <w:rsid w:val="00A566C0"/>
    <w:rsid w:val="00A56E19"/>
    <w:rsid w:val="00A57053"/>
    <w:rsid w:val="00A574AE"/>
    <w:rsid w:val="00A5777C"/>
    <w:rsid w:val="00A57993"/>
    <w:rsid w:val="00A579EB"/>
    <w:rsid w:val="00A57B19"/>
    <w:rsid w:val="00A57F2C"/>
    <w:rsid w:val="00A604F1"/>
    <w:rsid w:val="00A60D80"/>
    <w:rsid w:val="00A617CC"/>
    <w:rsid w:val="00A619CE"/>
    <w:rsid w:val="00A61FF7"/>
    <w:rsid w:val="00A62653"/>
    <w:rsid w:val="00A62998"/>
    <w:rsid w:val="00A631A3"/>
    <w:rsid w:val="00A632AD"/>
    <w:rsid w:val="00A63788"/>
    <w:rsid w:val="00A63B65"/>
    <w:rsid w:val="00A6418A"/>
    <w:rsid w:val="00A64988"/>
    <w:rsid w:val="00A649D7"/>
    <w:rsid w:val="00A6514A"/>
    <w:rsid w:val="00A65152"/>
    <w:rsid w:val="00A65799"/>
    <w:rsid w:val="00A6580B"/>
    <w:rsid w:val="00A65CAF"/>
    <w:rsid w:val="00A65EEC"/>
    <w:rsid w:val="00A66764"/>
    <w:rsid w:val="00A6721F"/>
    <w:rsid w:val="00A67276"/>
    <w:rsid w:val="00A67324"/>
    <w:rsid w:val="00A701D3"/>
    <w:rsid w:val="00A7053B"/>
    <w:rsid w:val="00A706CF"/>
    <w:rsid w:val="00A709CA"/>
    <w:rsid w:val="00A70B5E"/>
    <w:rsid w:val="00A70C6B"/>
    <w:rsid w:val="00A715FD"/>
    <w:rsid w:val="00A71887"/>
    <w:rsid w:val="00A719C5"/>
    <w:rsid w:val="00A71AE0"/>
    <w:rsid w:val="00A71B98"/>
    <w:rsid w:val="00A7232E"/>
    <w:rsid w:val="00A72442"/>
    <w:rsid w:val="00A72D15"/>
    <w:rsid w:val="00A7339F"/>
    <w:rsid w:val="00A733ED"/>
    <w:rsid w:val="00A734AF"/>
    <w:rsid w:val="00A73B09"/>
    <w:rsid w:val="00A74093"/>
    <w:rsid w:val="00A744C3"/>
    <w:rsid w:val="00A74CF1"/>
    <w:rsid w:val="00A75061"/>
    <w:rsid w:val="00A750B5"/>
    <w:rsid w:val="00A75332"/>
    <w:rsid w:val="00A75527"/>
    <w:rsid w:val="00A75BC3"/>
    <w:rsid w:val="00A7612E"/>
    <w:rsid w:val="00A762CE"/>
    <w:rsid w:val="00A768B7"/>
    <w:rsid w:val="00A7763D"/>
    <w:rsid w:val="00A77787"/>
    <w:rsid w:val="00A77C94"/>
    <w:rsid w:val="00A77D74"/>
    <w:rsid w:val="00A80263"/>
    <w:rsid w:val="00A80402"/>
    <w:rsid w:val="00A80639"/>
    <w:rsid w:val="00A80716"/>
    <w:rsid w:val="00A8164F"/>
    <w:rsid w:val="00A818BB"/>
    <w:rsid w:val="00A818FC"/>
    <w:rsid w:val="00A82399"/>
    <w:rsid w:val="00A8268C"/>
    <w:rsid w:val="00A82771"/>
    <w:rsid w:val="00A82A33"/>
    <w:rsid w:val="00A8322D"/>
    <w:rsid w:val="00A83427"/>
    <w:rsid w:val="00A83D44"/>
    <w:rsid w:val="00A83D70"/>
    <w:rsid w:val="00A842A2"/>
    <w:rsid w:val="00A84895"/>
    <w:rsid w:val="00A84AD4"/>
    <w:rsid w:val="00A84B6D"/>
    <w:rsid w:val="00A84C27"/>
    <w:rsid w:val="00A84F85"/>
    <w:rsid w:val="00A851BD"/>
    <w:rsid w:val="00A85222"/>
    <w:rsid w:val="00A85768"/>
    <w:rsid w:val="00A85AAE"/>
    <w:rsid w:val="00A861C1"/>
    <w:rsid w:val="00A862A5"/>
    <w:rsid w:val="00A86904"/>
    <w:rsid w:val="00A90014"/>
    <w:rsid w:val="00A906F2"/>
    <w:rsid w:val="00A912BF"/>
    <w:rsid w:val="00A92156"/>
    <w:rsid w:val="00A9281C"/>
    <w:rsid w:val="00A92AA0"/>
    <w:rsid w:val="00A92B05"/>
    <w:rsid w:val="00A92EB7"/>
    <w:rsid w:val="00A92F5F"/>
    <w:rsid w:val="00A93AE3"/>
    <w:rsid w:val="00A93DDB"/>
    <w:rsid w:val="00A94042"/>
    <w:rsid w:val="00A948CE"/>
    <w:rsid w:val="00A94AC1"/>
    <w:rsid w:val="00A94C33"/>
    <w:rsid w:val="00A94C92"/>
    <w:rsid w:val="00A95568"/>
    <w:rsid w:val="00A95666"/>
    <w:rsid w:val="00A95F84"/>
    <w:rsid w:val="00A964EF"/>
    <w:rsid w:val="00A96563"/>
    <w:rsid w:val="00A968A9"/>
    <w:rsid w:val="00A96ABE"/>
    <w:rsid w:val="00A96BB1"/>
    <w:rsid w:val="00A96F13"/>
    <w:rsid w:val="00A971F5"/>
    <w:rsid w:val="00A97AE8"/>
    <w:rsid w:val="00A97DE2"/>
    <w:rsid w:val="00AA0747"/>
    <w:rsid w:val="00AA07BB"/>
    <w:rsid w:val="00AA07F1"/>
    <w:rsid w:val="00AA086C"/>
    <w:rsid w:val="00AA1841"/>
    <w:rsid w:val="00AA1C68"/>
    <w:rsid w:val="00AA1EE8"/>
    <w:rsid w:val="00AA20C7"/>
    <w:rsid w:val="00AA25AD"/>
    <w:rsid w:val="00AA275B"/>
    <w:rsid w:val="00AA2948"/>
    <w:rsid w:val="00AA2F8C"/>
    <w:rsid w:val="00AA342C"/>
    <w:rsid w:val="00AA3ED3"/>
    <w:rsid w:val="00AA40AC"/>
    <w:rsid w:val="00AA40DC"/>
    <w:rsid w:val="00AA4B34"/>
    <w:rsid w:val="00AA4B73"/>
    <w:rsid w:val="00AA51A0"/>
    <w:rsid w:val="00AA54D9"/>
    <w:rsid w:val="00AA5561"/>
    <w:rsid w:val="00AA57E8"/>
    <w:rsid w:val="00AA5A43"/>
    <w:rsid w:val="00AA5C04"/>
    <w:rsid w:val="00AA5D54"/>
    <w:rsid w:val="00AA5E98"/>
    <w:rsid w:val="00AA609F"/>
    <w:rsid w:val="00AA62B8"/>
    <w:rsid w:val="00AA669A"/>
    <w:rsid w:val="00AA6886"/>
    <w:rsid w:val="00AA6B9D"/>
    <w:rsid w:val="00AA72A7"/>
    <w:rsid w:val="00AA7585"/>
    <w:rsid w:val="00AA79A4"/>
    <w:rsid w:val="00AB037B"/>
    <w:rsid w:val="00AB0808"/>
    <w:rsid w:val="00AB0E7A"/>
    <w:rsid w:val="00AB117F"/>
    <w:rsid w:val="00AB1374"/>
    <w:rsid w:val="00AB13CD"/>
    <w:rsid w:val="00AB1A8C"/>
    <w:rsid w:val="00AB1E46"/>
    <w:rsid w:val="00AB2263"/>
    <w:rsid w:val="00AB33D5"/>
    <w:rsid w:val="00AB378B"/>
    <w:rsid w:val="00AB41D1"/>
    <w:rsid w:val="00AB426C"/>
    <w:rsid w:val="00AB46E1"/>
    <w:rsid w:val="00AB4C3D"/>
    <w:rsid w:val="00AB510C"/>
    <w:rsid w:val="00AB5141"/>
    <w:rsid w:val="00AB5286"/>
    <w:rsid w:val="00AB53F8"/>
    <w:rsid w:val="00AB5834"/>
    <w:rsid w:val="00AB5CF0"/>
    <w:rsid w:val="00AB5EF0"/>
    <w:rsid w:val="00AB6ADA"/>
    <w:rsid w:val="00AB6D73"/>
    <w:rsid w:val="00AB6EE9"/>
    <w:rsid w:val="00AB7228"/>
    <w:rsid w:val="00AB7362"/>
    <w:rsid w:val="00AB78BD"/>
    <w:rsid w:val="00AB7BC3"/>
    <w:rsid w:val="00AC1DFF"/>
    <w:rsid w:val="00AC1EA2"/>
    <w:rsid w:val="00AC235F"/>
    <w:rsid w:val="00AC254E"/>
    <w:rsid w:val="00AC2718"/>
    <w:rsid w:val="00AC2A13"/>
    <w:rsid w:val="00AC2B76"/>
    <w:rsid w:val="00AC2D19"/>
    <w:rsid w:val="00AC358E"/>
    <w:rsid w:val="00AC3F95"/>
    <w:rsid w:val="00AC3FB8"/>
    <w:rsid w:val="00AC421C"/>
    <w:rsid w:val="00AC4B1B"/>
    <w:rsid w:val="00AC4C83"/>
    <w:rsid w:val="00AC5284"/>
    <w:rsid w:val="00AC543B"/>
    <w:rsid w:val="00AC6219"/>
    <w:rsid w:val="00AC62BA"/>
    <w:rsid w:val="00AC6449"/>
    <w:rsid w:val="00AC67A6"/>
    <w:rsid w:val="00AC6A8D"/>
    <w:rsid w:val="00AC6CD2"/>
    <w:rsid w:val="00AC7817"/>
    <w:rsid w:val="00AC7FD1"/>
    <w:rsid w:val="00AD00A5"/>
    <w:rsid w:val="00AD04B8"/>
    <w:rsid w:val="00AD0569"/>
    <w:rsid w:val="00AD0974"/>
    <w:rsid w:val="00AD0E70"/>
    <w:rsid w:val="00AD0FDD"/>
    <w:rsid w:val="00AD1D99"/>
    <w:rsid w:val="00AD2341"/>
    <w:rsid w:val="00AD284F"/>
    <w:rsid w:val="00AD2AD6"/>
    <w:rsid w:val="00AD3009"/>
    <w:rsid w:val="00AD3439"/>
    <w:rsid w:val="00AD4309"/>
    <w:rsid w:val="00AD44C4"/>
    <w:rsid w:val="00AD4683"/>
    <w:rsid w:val="00AD4850"/>
    <w:rsid w:val="00AD48E0"/>
    <w:rsid w:val="00AD4906"/>
    <w:rsid w:val="00AD4B73"/>
    <w:rsid w:val="00AD501D"/>
    <w:rsid w:val="00AD5139"/>
    <w:rsid w:val="00AD5536"/>
    <w:rsid w:val="00AD5586"/>
    <w:rsid w:val="00AD56E3"/>
    <w:rsid w:val="00AD5706"/>
    <w:rsid w:val="00AD597F"/>
    <w:rsid w:val="00AD5B86"/>
    <w:rsid w:val="00AD62CC"/>
    <w:rsid w:val="00AD63C9"/>
    <w:rsid w:val="00AD66F2"/>
    <w:rsid w:val="00AD6864"/>
    <w:rsid w:val="00AD6F46"/>
    <w:rsid w:val="00AD70C7"/>
    <w:rsid w:val="00AD7771"/>
    <w:rsid w:val="00AE059D"/>
    <w:rsid w:val="00AE05B8"/>
    <w:rsid w:val="00AE09FD"/>
    <w:rsid w:val="00AE1CC1"/>
    <w:rsid w:val="00AE1EB5"/>
    <w:rsid w:val="00AE253E"/>
    <w:rsid w:val="00AE261B"/>
    <w:rsid w:val="00AE2692"/>
    <w:rsid w:val="00AE3DC6"/>
    <w:rsid w:val="00AE3FCB"/>
    <w:rsid w:val="00AE41BE"/>
    <w:rsid w:val="00AE4323"/>
    <w:rsid w:val="00AE4336"/>
    <w:rsid w:val="00AE45AC"/>
    <w:rsid w:val="00AE4AB0"/>
    <w:rsid w:val="00AE5228"/>
    <w:rsid w:val="00AE5B78"/>
    <w:rsid w:val="00AE5C2E"/>
    <w:rsid w:val="00AE61B1"/>
    <w:rsid w:val="00AE63D0"/>
    <w:rsid w:val="00AE6A25"/>
    <w:rsid w:val="00AE6AE5"/>
    <w:rsid w:val="00AE713C"/>
    <w:rsid w:val="00AE7418"/>
    <w:rsid w:val="00AE75E4"/>
    <w:rsid w:val="00AE77DE"/>
    <w:rsid w:val="00AE7BC7"/>
    <w:rsid w:val="00AE7BF1"/>
    <w:rsid w:val="00AF0550"/>
    <w:rsid w:val="00AF09DF"/>
    <w:rsid w:val="00AF0D52"/>
    <w:rsid w:val="00AF1071"/>
    <w:rsid w:val="00AF1464"/>
    <w:rsid w:val="00AF1524"/>
    <w:rsid w:val="00AF1629"/>
    <w:rsid w:val="00AF28F2"/>
    <w:rsid w:val="00AF29A3"/>
    <w:rsid w:val="00AF2A7C"/>
    <w:rsid w:val="00AF2BA6"/>
    <w:rsid w:val="00AF3271"/>
    <w:rsid w:val="00AF3439"/>
    <w:rsid w:val="00AF3683"/>
    <w:rsid w:val="00AF370B"/>
    <w:rsid w:val="00AF37C9"/>
    <w:rsid w:val="00AF3C44"/>
    <w:rsid w:val="00AF3C59"/>
    <w:rsid w:val="00AF3E36"/>
    <w:rsid w:val="00AF409E"/>
    <w:rsid w:val="00AF44D1"/>
    <w:rsid w:val="00AF4AB1"/>
    <w:rsid w:val="00AF4CD5"/>
    <w:rsid w:val="00AF51E4"/>
    <w:rsid w:val="00AF5792"/>
    <w:rsid w:val="00AF59BF"/>
    <w:rsid w:val="00AF5CEF"/>
    <w:rsid w:val="00AF6660"/>
    <w:rsid w:val="00AF687B"/>
    <w:rsid w:val="00AF6BE5"/>
    <w:rsid w:val="00AF6F39"/>
    <w:rsid w:val="00AF716A"/>
    <w:rsid w:val="00B00BB1"/>
    <w:rsid w:val="00B00BB8"/>
    <w:rsid w:val="00B00C1F"/>
    <w:rsid w:val="00B00D45"/>
    <w:rsid w:val="00B00E56"/>
    <w:rsid w:val="00B00EA4"/>
    <w:rsid w:val="00B00FBC"/>
    <w:rsid w:val="00B0108E"/>
    <w:rsid w:val="00B01358"/>
    <w:rsid w:val="00B013BB"/>
    <w:rsid w:val="00B014D3"/>
    <w:rsid w:val="00B0172E"/>
    <w:rsid w:val="00B01957"/>
    <w:rsid w:val="00B01F8E"/>
    <w:rsid w:val="00B02277"/>
    <w:rsid w:val="00B024D9"/>
    <w:rsid w:val="00B03CD5"/>
    <w:rsid w:val="00B03CFA"/>
    <w:rsid w:val="00B03E13"/>
    <w:rsid w:val="00B03F74"/>
    <w:rsid w:val="00B040FF"/>
    <w:rsid w:val="00B0437D"/>
    <w:rsid w:val="00B04654"/>
    <w:rsid w:val="00B051ED"/>
    <w:rsid w:val="00B056FE"/>
    <w:rsid w:val="00B06241"/>
    <w:rsid w:val="00B062BB"/>
    <w:rsid w:val="00B06EE2"/>
    <w:rsid w:val="00B0748D"/>
    <w:rsid w:val="00B0752C"/>
    <w:rsid w:val="00B07FAA"/>
    <w:rsid w:val="00B10033"/>
    <w:rsid w:val="00B10627"/>
    <w:rsid w:val="00B10AC8"/>
    <w:rsid w:val="00B11269"/>
    <w:rsid w:val="00B1151E"/>
    <w:rsid w:val="00B1160A"/>
    <w:rsid w:val="00B11A79"/>
    <w:rsid w:val="00B121A7"/>
    <w:rsid w:val="00B12673"/>
    <w:rsid w:val="00B12995"/>
    <w:rsid w:val="00B1299E"/>
    <w:rsid w:val="00B13445"/>
    <w:rsid w:val="00B13B34"/>
    <w:rsid w:val="00B13D45"/>
    <w:rsid w:val="00B14160"/>
    <w:rsid w:val="00B152C7"/>
    <w:rsid w:val="00B1562E"/>
    <w:rsid w:val="00B157AF"/>
    <w:rsid w:val="00B1597F"/>
    <w:rsid w:val="00B15F12"/>
    <w:rsid w:val="00B161BC"/>
    <w:rsid w:val="00B16AF4"/>
    <w:rsid w:val="00B1769C"/>
    <w:rsid w:val="00B1773B"/>
    <w:rsid w:val="00B17C00"/>
    <w:rsid w:val="00B17C8D"/>
    <w:rsid w:val="00B17D5E"/>
    <w:rsid w:val="00B20126"/>
    <w:rsid w:val="00B2052D"/>
    <w:rsid w:val="00B206D1"/>
    <w:rsid w:val="00B208C4"/>
    <w:rsid w:val="00B20C33"/>
    <w:rsid w:val="00B20EB6"/>
    <w:rsid w:val="00B215F0"/>
    <w:rsid w:val="00B218E7"/>
    <w:rsid w:val="00B2190C"/>
    <w:rsid w:val="00B21C02"/>
    <w:rsid w:val="00B21C38"/>
    <w:rsid w:val="00B2207D"/>
    <w:rsid w:val="00B2222A"/>
    <w:rsid w:val="00B229AB"/>
    <w:rsid w:val="00B22E45"/>
    <w:rsid w:val="00B22FA5"/>
    <w:rsid w:val="00B235CF"/>
    <w:rsid w:val="00B2377B"/>
    <w:rsid w:val="00B238F5"/>
    <w:rsid w:val="00B23E9B"/>
    <w:rsid w:val="00B242F5"/>
    <w:rsid w:val="00B2434D"/>
    <w:rsid w:val="00B24364"/>
    <w:rsid w:val="00B24770"/>
    <w:rsid w:val="00B249E5"/>
    <w:rsid w:val="00B24E1B"/>
    <w:rsid w:val="00B25354"/>
    <w:rsid w:val="00B25736"/>
    <w:rsid w:val="00B25B24"/>
    <w:rsid w:val="00B25F14"/>
    <w:rsid w:val="00B26B2D"/>
    <w:rsid w:val="00B26F22"/>
    <w:rsid w:val="00B2727E"/>
    <w:rsid w:val="00B27944"/>
    <w:rsid w:val="00B27AD4"/>
    <w:rsid w:val="00B27D55"/>
    <w:rsid w:val="00B27F33"/>
    <w:rsid w:val="00B30064"/>
    <w:rsid w:val="00B30586"/>
    <w:rsid w:val="00B3081A"/>
    <w:rsid w:val="00B30F69"/>
    <w:rsid w:val="00B31038"/>
    <w:rsid w:val="00B31105"/>
    <w:rsid w:val="00B31429"/>
    <w:rsid w:val="00B320A6"/>
    <w:rsid w:val="00B3259D"/>
    <w:rsid w:val="00B3267E"/>
    <w:rsid w:val="00B32C25"/>
    <w:rsid w:val="00B32FA7"/>
    <w:rsid w:val="00B3305A"/>
    <w:rsid w:val="00B33299"/>
    <w:rsid w:val="00B3335D"/>
    <w:rsid w:val="00B334A4"/>
    <w:rsid w:val="00B34690"/>
    <w:rsid w:val="00B34F3C"/>
    <w:rsid w:val="00B35195"/>
    <w:rsid w:val="00B35951"/>
    <w:rsid w:val="00B35C14"/>
    <w:rsid w:val="00B35D50"/>
    <w:rsid w:val="00B35FA4"/>
    <w:rsid w:val="00B361C0"/>
    <w:rsid w:val="00B363D4"/>
    <w:rsid w:val="00B3671A"/>
    <w:rsid w:val="00B36B47"/>
    <w:rsid w:val="00B36C2E"/>
    <w:rsid w:val="00B3783C"/>
    <w:rsid w:val="00B37A86"/>
    <w:rsid w:val="00B37AA2"/>
    <w:rsid w:val="00B37BED"/>
    <w:rsid w:val="00B37E5E"/>
    <w:rsid w:val="00B37E6B"/>
    <w:rsid w:val="00B40340"/>
    <w:rsid w:val="00B403B3"/>
    <w:rsid w:val="00B40DF9"/>
    <w:rsid w:val="00B41218"/>
    <w:rsid w:val="00B4182B"/>
    <w:rsid w:val="00B41858"/>
    <w:rsid w:val="00B41C49"/>
    <w:rsid w:val="00B4200B"/>
    <w:rsid w:val="00B421E1"/>
    <w:rsid w:val="00B427A4"/>
    <w:rsid w:val="00B43005"/>
    <w:rsid w:val="00B43232"/>
    <w:rsid w:val="00B43470"/>
    <w:rsid w:val="00B43A14"/>
    <w:rsid w:val="00B43C0B"/>
    <w:rsid w:val="00B43E4C"/>
    <w:rsid w:val="00B44152"/>
    <w:rsid w:val="00B44175"/>
    <w:rsid w:val="00B4432C"/>
    <w:rsid w:val="00B4448E"/>
    <w:rsid w:val="00B4507B"/>
    <w:rsid w:val="00B451C8"/>
    <w:rsid w:val="00B452AF"/>
    <w:rsid w:val="00B45498"/>
    <w:rsid w:val="00B459B4"/>
    <w:rsid w:val="00B46327"/>
    <w:rsid w:val="00B4662F"/>
    <w:rsid w:val="00B46E6C"/>
    <w:rsid w:val="00B470AC"/>
    <w:rsid w:val="00B471A2"/>
    <w:rsid w:val="00B47772"/>
    <w:rsid w:val="00B47963"/>
    <w:rsid w:val="00B47C44"/>
    <w:rsid w:val="00B5035B"/>
    <w:rsid w:val="00B514A8"/>
    <w:rsid w:val="00B51A27"/>
    <w:rsid w:val="00B51C85"/>
    <w:rsid w:val="00B52365"/>
    <w:rsid w:val="00B524B4"/>
    <w:rsid w:val="00B524B8"/>
    <w:rsid w:val="00B52736"/>
    <w:rsid w:val="00B54050"/>
    <w:rsid w:val="00B54118"/>
    <w:rsid w:val="00B54161"/>
    <w:rsid w:val="00B543A9"/>
    <w:rsid w:val="00B54520"/>
    <w:rsid w:val="00B547D3"/>
    <w:rsid w:val="00B54DA7"/>
    <w:rsid w:val="00B54EF5"/>
    <w:rsid w:val="00B54F5E"/>
    <w:rsid w:val="00B552D5"/>
    <w:rsid w:val="00B557FB"/>
    <w:rsid w:val="00B559B8"/>
    <w:rsid w:val="00B56306"/>
    <w:rsid w:val="00B56CBB"/>
    <w:rsid w:val="00B57B4B"/>
    <w:rsid w:val="00B57B84"/>
    <w:rsid w:val="00B57CBE"/>
    <w:rsid w:val="00B57EFB"/>
    <w:rsid w:val="00B57FF7"/>
    <w:rsid w:val="00B6019F"/>
    <w:rsid w:val="00B604D0"/>
    <w:rsid w:val="00B60AE4"/>
    <w:rsid w:val="00B60F08"/>
    <w:rsid w:val="00B618DB"/>
    <w:rsid w:val="00B61D43"/>
    <w:rsid w:val="00B61E46"/>
    <w:rsid w:val="00B62DAB"/>
    <w:rsid w:val="00B633E5"/>
    <w:rsid w:val="00B63523"/>
    <w:rsid w:val="00B63669"/>
    <w:rsid w:val="00B63702"/>
    <w:rsid w:val="00B639E0"/>
    <w:rsid w:val="00B63B84"/>
    <w:rsid w:val="00B63DE0"/>
    <w:rsid w:val="00B64889"/>
    <w:rsid w:val="00B64988"/>
    <w:rsid w:val="00B65854"/>
    <w:rsid w:val="00B659F3"/>
    <w:rsid w:val="00B65FF8"/>
    <w:rsid w:val="00B66385"/>
    <w:rsid w:val="00B66464"/>
    <w:rsid w:val="00B666E6"/>
    <w:rsid w:val="00B67D8E"/>
    <w:rsid w:val="00B705D5"/>
    <w:rsid w:val="00B70B73"/>
    <w:rsid w:val="00B71D37"/>
    <w:rsid w:val="00B735B7"/>
    <w:rsid w:val="00B73C52"/>
    <w:rsid w:val="00B73EFC"/>
    <w:rsid w:val="00B74524"/>
    <w:rsid w:val="00B74836"/>
    <w:rsid w:val="00B74A97"/>
    <w:rsid w:val="00B74DEC"/>
    <w:rsid w:val="00B7567E"/>
    <w:rsid w:val="00B7588F"/>
    <w:rsid w:val="00B75BCD"/>
    <w:rsid w:val="00B75D06"/>
    <w:rsid w:val="00B7617B"/>
    <w:rsid w:val="00B76843"/>
    <w:rsid w:val="00B768CF"/>
    <w:rsid w:val="00B7770D"/>
    <w:rsid w:val="00B77891"/>
    <w:rsid w:val="00B77D91"/>
    <w:rsid w:val="00B800CE"/>
    <w:rsid w:val="00B8078A"/>
    <w:rsid w:val="00B80A69"/>
    <w:rsid w:val="00B80E12"/>
    <w:rsid w:val="00B80F86"/>
    <w:rsid w:val="00B81498"/>
    <w:rsid w:val="00B81654"/>
    <w:rsid w:val="00B817BF"/>
    <w:rsid w:val="00B81D72"/>
    <w:rsid w:val="00B81F1A"/>
    <w:rsid w:val="00B8228C"/>
    <w:rsid w:val="00B82436"/>
    <w:rsid w:val="00B8252D"/>
    <w:rsid w:val="00B8254C"/>
    <w:rsid w:val="00B825E4"/>
    <w:rsid w:val="00B82E24"/>
    <w:rsid w:val="00B83612"/>
    <w:rsid w:val="00B83916"/>
    <w:rsid w:val="00B83B4A"/>
    <w:rsid w:val="00B83B95"/>
    <w:rsid w:val="00B84063"/>
    <w:rsid w:val="00B8453F"/>
    <w:rsid w:val="00B849FC"/>
    <w:rsid w:val="00B84E02"/>
    <w:rsid w:val="00B84F0E"/>
    <w:rsid w:val="00B85A39"/>
    <w:rsid w:val="00B85C2A"/>
    <w:rsid w:val="00B85E39"/>
    <w:rsid w:val="00B85FE0"/>
    <w:rsid w:val="00B86678"/>
    <w:rsid w:val="00B867E6"/>
    <w:rsid w:val="00B86DE8"/>
    <w:rsid w:val="00B87540"/>
    <w:rsid w:val="00B90654"/>
    <w:rsid w:val="00B90A47"/>
    <w:rsid w:val="00B90FE3"/>
    <w:rsid w:val="00B917AF"/>
    <w:rsid w:val="00B918F1"/>
    <w:rsid w:val="00B9241D"/>
    <w:rsid w:val="00B92486"/>
    <w:rsid w:val="00B92810"/>
    <w:rsid w:val="00B930C7"/>
    <w:rsid w:val="00B94226"/>
    <w:rsid w:val="00B94528"/>
    <w:rsid w:val="00B94B30"/>
    <w:rsid w:val="00B94E49"/>
    <w:rsid w:val="00B9587F"/>
    <w:rsid w:val="00B96AE9"/>
    <w:rsid w:val="00B96DDB"/>
    <w:rsid w:val="00B9774C"/>
    <w:rsid w:val="00BA0865"/>
    <w:rsid w:val="00BA0B50"/>
    <w:rsid w:val="00BA0E93"/>
    <w:rsid w:val="00BA10C3"/>
    <w:rsid w:val="00BA125F"/>
    <w:rsid w:val="00BA18AD"/>
    <w:rsid w:val="00BA2046"/>
    <w:rsid w:val="00BA2379"/>
    <w:rsid w:val="00BA23BD"/>
    <w:rsid w:val="00BA2592"/>
    <w:rsid w:val="00BA27B5"/>
    <w:rsid w:val="00BA2875"/>
    <w:rsid w:val="00BA29E5"/>
    <w:rsid w:val="00BA2C44"/>
    <w:rsid w:val="00BA2CBD"/>
    <w:rsid w:val="00BA3A51"/>
    <w:rsid w:val="00BA3CA7"/>
    <w:rsid w:val="00BA4279"/>
    <w:rsid w:val="00BA4396"/>
    <w:rsid w:val="00BA453F"/>
    <w:rsid w:val="00BA459A"/>
    <w:rsid w:val="00BA5218"/>
    <w:rsid w:val="00BA5681"/>
    <w:rsid w:val="00BA623D"/>
    <w:rsid w:val="00BA6483"/>
    <w:rsid w:val="00BA6CA5"/>
    <w:rsid w:val="00BA7481"/>
    <w:rsid w:val="00BA7DF5"/>
    <w:rsid w:val="00BA7F59"/>
    <w:rsid w:val="00BB01F2"/>
    <w:rsid w:val="00BB08CA"/>
    <w:rsid w:val="00BB093D"/>
    <w:rsid w:val="00BB0EC1"/>
    <w:rsid w:val="00BB1543"/>
    <w:rsid w:val="00BB158A"/>
    <w:rsid w:val="00BB173A"/>
    <w:rsid w:val="00BB1DD7"/>
    <w:rsid w:val="00BB1EE3"/>
    <w:rsid w:val="00BB20F2"/>
    <w:rsid w:val="00BB216C"/>
    <w:rsid w:val="00BB2443"/>
    <w:rsid w:val="00BB248F"/>
    <w:rsid w:val="00BB267D"/>
    <w:rsid w:val="00BB2B61"/>
    <w:rsid w:val="00BB2E4D"/>
    <w:rsid w:val="00BB2ED9"/>
    <w:rsid w:val="00BB3553"/>
    <w:rsid w:val="00BB3B99"/>
    <w:rsid w:val="00BB3C3F"/>
    <w:rsid w:val="00BB3D2C"/>
    <w:rsid w:val="00BB3EC0"/>
    <w:rsid w:val="00BB3F5B"/>
    <w:rsid w:val="00BB4002"/>
    <w:rsid w:val="00BB4151"/>
    <w:rsid w:val="00BB4AD7"/>
    <w:rsid w:val="00BB4B3F"/>
    <w:rsid w:val="00BB4F3E"/>
    <w:rsid w:val="00BB5277"/>
    <w:rsid w:val="00BB544B"/>
    <w:rsid w:val="00BB5C2F"/>
    <w:rsid w:val="00BB6985"/>
    <w:rsid w:val="00BB6EFD"/>
    <w:rsid w:val="00BB6F8A"/>
    <w:rsid w:val="00BB71AB"/>
    <w:rsid w:val="00BB76CB"/>
    <w:rsid w:val="00BB7E71"/>
    <w:rsid w:val="00BC12F0"/>
    <w:rsid w:val="00BC1524"/>
    <w:rsid w:val="00BC1DF4"/>
    <w:rsid w:val="00BC2645"/>
    <w:rsid w:val="00BC296A"/>
    <w:rsid w:val="00BC2F0E"/>
    <w:rsid w:val="00BC3014"/>
    <w:rsid w:val="00BC31C9"/>
    <w:rsid w:val="00BC3B11"/>
    <w:rsid w:val="00BC3DDD"/>
    <w:rsid w:val="00BC4174"/>
    <w:rsid w:val="00BC425D"/>
    <w:rsid w:val="00BC42FE"/>
    <w:rsid w:val="00BC456A"/>
    <w:rsid w:val="00BC4C21"/>
    <w:rsid w:val="00BC52D1"/>
    <w:rsid w:val="00BC52EB"/>
    <w:rsid w:val="00BC5325"/>
    <w:rsid w:val="00BC55E4"/>
    <w:rsid w:val="00BC57F3"/>
    <w:rsid w:val="00BC5C12"/>
    <w:rsid w:val="00BC63EA"/>
    <w:rsid w:val="00BC6B54"/>
    <w:rsid w:val="00BC6C62"/>
    <w:rsid w:val="00BC73D1"/>
    <w:rsid w:val="00BC7863"/>
    <w:rsid w:val="00BD0205"/>
    <w:rsid w:val="00BD04F5"/>
    <w:rsid w:val="00BD0755"/>
    <w:rsid w:val="00BD0C66"/>
    <w:rsid w:val="00BD0D76"/>
    <w:rsid w:val="00BD1599"/>
    <w:rsid w:val="00BD1C88"/>
    <w:rsid w:val="00BD1FED"/>
    <w:rsid w:val="00BD2234"/>
    <w:rsid w:val="00BD25F5"/>
    <w:rsid w:val="00BD2B20"/>
    <w:rsid w:val="00BD2C3E"/>
    <w:rsid w:val="00BD2D32"/>
    <w:rsid w:val="00BD3092"/>
    <w:rsid w:val="00BD374A"/>
    <w:rsid w:val="00BD3796"/>
    <w:rsid w:val="00BD38CD"/>
    <w:rsid w:val="00BD3A81"/>
    <w:rsid w:val="00BD3F62"/>
    <w:rsid w:val="00BD514F"/>
    <w:rsid w:val="00BD51C3"/>
    <w:rsid w:val="00BD5C28"/>
    <w:rsid w:val="00BD61C2"/>
    <w:rsid w:val="00BD6253"/>
    <w:rsid w:val="00BD66F1"/>
    <w:rsid w:val="00BD6856"/>
    <w:rsid w:val="00BD69FA"/>
    <w:rsid w:val="00BD6A9F"/>
    <w:rsid w:val="00BD6AC0"/>
    <w:rsid w:val="00BD6C80"/>
    <w:rsid w:val="00BD6DAE"/>
    <w:rsid w:val="00BD738A"/>
    <w:rsid w:val="00BD75E1"/>
    <w:rsid w:val="00BD7687"/>
    <w:rsid w:val="00BD783C"/>
    <w:rsid w:val="00BD7B78"/>
    <w:rsid w:val="00BD7FDE"/>
    <w:rsid w:val="00BE0221"/>
    <w:rsid w:val="00BE1284"/>
    <w:rsid w:val="00BE23BF"/>
    <w:rsid w:val="00BE28D8"/>
    <w:rsid w:val="00BE2CCB"/>
    <w:rsid w:val="00BE2EF4"/>
    <w:rsid w:val="00BE313F"/>
    <w:rsid w:val="00BE31EB"/>
    <w:rsid w:val="00BE3266"/>
    <w:rsid w:val="00BE3BA5"/>
    <w:rsid w:val="00BE3CC3"/>
    <w:rsid w:val="00BE3D22"/>
    <w:rsid w:val="00BE49D9"/>
    <w:rsid w:val="00BE4EBD"/>
    <w:rsid w:val="00BE5B7B"/>
    <w:rsid w:val="00BE5B95"/>
    <w:rsid w:val="00BE5C2D"/>
    <w:rsid w:val="00BE5FD8"/>
    <w:rsid w:val="00BE5FF7"/>
    <w:rsid w:val="00BE6329"/>
    <w:rsid w:val="00BE6753"/>
    <w:rsid w:val="00BE69A4"/>
    <w:rsid w:val="00BE6ACB"/>
    <w:rsid w:val="00BE6D2A"/>
    <w:rsid w:val="00BE6D62"/>
    <w:rsid w:val="00BE6F67"/>
    <w:rsid w:val="00BE704D"/>
    <w:rsid w:val="00BE7A9C"/>
    <w:rsid w:val="00BE7B27"/>
    <w:rsid w:val="00BE7DE0"/>
    <w:rsid w:val="00BE7EBF"/>
    <w:rsid w:val="00BF04BC"/>
    <w:rsid w:val="00BF0734"/>
    <w:rsid w:val="00BF0923"/>
    <w:rsid w:val="00BF0ABC"/>
    <w:rsid w:val="00BF1498"/>
    <w:rsid w:val="00BF168E"/>
    <w:rsid w:val="00BF1B1E"/>
    <w:rsid w:val="00BF3530"/>
    <w:rsid w:val="00BF3C9E"/>
    <w:rsid w:val="00BF3E44"/>
    <w:rsid w:val="00BF419A"/>
    <w:rsid w:val="00BF49F3"/>
    <w:rsid w:val="00BF4CFE"/>
    <w:rsid w:val="00BF4E75"/>
    <w:rsid w:val="00BF5014"/>
    <w:rsid w:val="00BF503D"/>
    <w:rsid w:val="00BF568A"/>
    <w:rsid w:val="00BF5777"/>
    <w:rsid w:val="00BF57B2"/>
    <w:rsid w:val="00BF5863"/>
    <w:rsid w:val="00BF5A85"/>
    <w:rsid w:val="00BF5CB6"/>
    <w:rsid w:val="00BF5EF8"/>
    <w:rsid w:val="00BF5F8B"/>
    <w:rsid w:val="00BF60D5"/>
    <w:rsid w:val="00BF647D"/>
    <w:rsid w:val="00BF7503"/>
    <w:rsid w:val="00BF7B60"/>
    <w:rsid w:val="00BF7BEC"/>
    <w:rsid w:val="00BF7EB9"/>
    <w:rsid w:val="00BF7EE4"/>
    <w:rsid w:val="00C00109"/>
    <w:rsid w:val="00C00180"/>
    <w:rsid w:val="00C004BD"/>
    <w:rsid w:val="00C004E2"/>
    <w:rsid w:val="00C00B07"/>
    <w:rsid w:val="00C00FEE"/>
    <w:rsid w:val="00C010F2"/>
    <w:rsid w:val="00C0138D"/>
    <w:rsid w:val="00C0210D"/>
    <w:rsid w:val="00C02389"/>
    <w:rsid w:val="00C02787"/>
    <w:rsid w:val="00C02D22"/>
    <w:rsid w:val="00C0380D"/>
    <w:rsid w:val="00C03D99"/>
    <w:rsid w:val="00C0409A"/>
    <w:rsid w:val="00C0437D"/>
    <w:rsid w:val="00C04696"/>
    <w:rsid w:val="00C0497D"/>
    <w:rsid w:val="00C049B4"/>
    <w:rsid w:val="00C04BEB"/>
    <w:rsid w:val="00C04E18"/>
    <w:rsid w:val="00C05754"/>
    <w:rsid w:val="00C05D1D"/>
    <w:rsid w:val="00C05DD6"/>
    <w:rsid w:val="00C05FC5"/>
    <w:rsid w:val="00C062B6"/>
    <w:rsid w:val="00C065A9"/>
    <w:rsid w:val="00C06DDA"/>
    <w:rsid w:val="00C07052"/>
    <w:rsid w:val="00C0732F"/>
    <w:rsid w:val="00C0749A"/>
    <w:rsid w:val="00C07747"/>
    <w:rsid w:val="00C07924"/>
    <w:rsid w:val="00C103B8"/>
    <w:rsid w:val="00C10F27"/>
    <w:rsid w:val="00C10FE7"/>
    <w:rsid w:val="00C1109F"/>
    <w:rsid w:val="00C1210D"/>
    <w:rsid w:val="00C123AC"/>
    <w:rsid w:val="00C126D2"/>
    <w:rsid w:val="00C126FF"/>
    <w:rsid w:val="00C131C7"/>
    <w:rsid w:val="00C13365"/>
    <w:rsid w:val="00C1337B"/>
    <w:rsid w:val="00C136A4"/>
    <w:rsid w:val="00C1442F"/>
    <w:rsid w:val="00C14EB5"/>
    <w:rsid w:val="00C14F1E"/>
    <w:rsid w:val="00C15D07"/>
    <w:rsid w:val="00C16320"/>
    <w:rsid w:val="00C166F1"/>
    <w:rsid w:val="00C16F28"/>
    <w:rsid w:val="00C17908"/>
    <w:rsid w:val="00C17CE3"/>
    <w:rsid w:val="00C20485"/>
    <w:rsid w:val="00C20D16"/>
    <w:rsid w:val="00C210FB"/>
    <w:rsid w:val="00C21179"/>
    <w:rsid w:val="00C22000"/>
    <w:rsid w:val="00C23351"/>
    <w:rsid w:val="00C23589"/>
    <w:rsid w:val="00C23615"/>
    <w:rsid w:val="00C23DCF"/>
    <w:rsid w:val="00C23DEB"/>
    <w:rsid w:val="00C2491D"/>
    <w:rsid w:val="00C24966"/>
    <w:rsid w:val="00C24BF7"/>
    <w:rsid w:val="00C24D24"/>
    <w:rsid w:val="00C24EF0"/>
    <w:rsid w:val="00C252CC"/>
    <w:rsid w:val="00C25850"/>
    <w:rsid w:val="00C2594D"/>
    <w:rsid w:val="00C25977"/>
    <w:rsid w:val="00C26346"/>
    <w:rsid w:val="00C26DDE"/>
    <w:rsid w:val="00C271CD"/>
    <w:rsid w:val="00C2734F"/>
    <w:rsid w:val="00C27482"/>
    <w:rsid w:val="00C275D2"/>
    <w:rsid w:val="00C27ABB"/>
    <w:rsid w:val="00C27FC5"/>
    <w:rsid w:val="00C30178"/>
    <w:rsid w:val="00C3113E"/>
    <w:rsid w:val="00C312C8"/>
    <w:rsid w:val="00C31356"/>
    <w:rsid w:val="00C31443"/>
    <w:rsid w:val="00C31E9C"/>
    <w:rsid w:val="00C31ED3"/>
    <w:rsid w:val="00C320A7"/>
    <w:rsid w:val="00C32700"/>
    <w:rsid w:val="00C32802"/>
    <w:rsid w:val="00C32C6E"/>
    <w:rsid w:val="00C33B21"/>
    <w:rsid w:val="00C33F58"/>
    <w:rsid w:val="00C3429A"/>
    <w:rsid w:val="00C347FD"/>
    <w:rsid w:val="00C34AC3"/>
    <w:rsid w:val="00C354A8"/>
    <w:rsid w:val="00C356E4"/>
    <w:rsid w:val="00C3585A"/>
    <w:rsid w:val="00C359D8"/>
    <w:rsid w:val="00C36244"/>
    <w:rsid w:val="00C367A2"/>
    <w:rsid w:val="00C36B04"/>
    <w:rsid w:val="00C36B49"/>
    <w:rsid w:val="00C36BBA"/>
    <w:rsid w:val="00C36BE9"/>
    <w:rsid w:val="00C36F06"/>
    <w:rsid w:val="00C36FF7"/>
    <w:rsid w:val="00C3717A"/>
    <w:rsid w:val="00C374C2"/>
    <w:rsid w:val="00C3767E"/>
    <w:rsid w:val="00C3780C"/>
    <w:rsid w:val="00C37A22"/>
    <w:rsid w:val="00C37ECF"/>
    <w:rsid w:val="00C4031D"/>
    <w:rsid w:val="00C40528"/>
    <w:rsid w:val="00C40AB3"/>
    <w:rsid w:val="00C41E79"/>
    <w:rsid w:val="00C42024"/>
    <w:rsid w:val="00C42028"/>
    <w:rsid w:val="00C422C7"/>
    <w:rsid w:val="00C425A1"/>
    <w:rsid w:val="00C425DA"/>
    <w:rsid w:val="00C428B8"/>
    <w:rsid w:val="00C42B66"/>
    <w:rsid w:val="00C434B2"/>
    <w:rsid w:val="00C43B03"/>
    <w:rsid w:val="00C445AB"/>
    <w:rsid w:val="00C44B71"/>
    <w:rsid w:val="00C455E3"/>
    <w:rsid w:val="00C456D1"/>
    <w:rsid w:val="00C458DC"/>
    <w:rsid w:val="00C45960"/>
    <w:rsid w:val="00C459FD"/>
    <w:rsid w:val="00C45AB1"/>
    <w:rsid w:val="00C45D5F"/>
    <w:rsid w:val="00C4640F"/>
    <w:rsid w:val="00C46D51"/>
    <w:rsid w:val="00C46F67"/>
    <w:rsid w:val="00C472B2"/>
    <w:rsid w:val="00C47465"/>
    <w:rsid w:val="00C4764F"/>
    <w:rsid w:val="00C4785A"/>
    <w:rsid w:val="00C47A1A"/>
    <w:rsid w:val="00C47B43"/>
    <w:rsid w:val="00C47E4E"/>
    <w:rsid w:val="00C47E65"/>
    <w:rsid w:val="00C501AF"/>
    <w:rsid w:val="00C50806"/>
    <w:rsid w:val="00C50886"/>
    <w:rsid w:val="00C50A88"/>
    <w:rsid w:val="00C50D0D"/>
    <w:rsid w:val="00C50DAA"/>
    <w:rsid w:val="00C51931"/>
    <w:rsid w:val="00C53ABB"/>
    <w:rsid w:val="00C53BD6"/>
    <w:rsid w:val="00C540D5"/>
    <w:rsid w:val="00C54476"/>
    <w:rsid w:val="00C54512"/>
    <w:rsid w:val="00C54804"/>
    <w:rsid w:val="00C5534F"/>
    <w:rsid w:val="00C55548"/>
    <w:rsid w:val="00C55659"/>
    <w:rsid w:val="00C55B90"/>
    <w:rsid w:val="00C56201"/>
    <w:rsid w:val="00C57DB3"/>
    <w:rsid w:val="00C57FBA"/>
    <w:rsid w:val="00C6001E"/>
    <w:rsid w:val="00C60B5E"/>
    <w:rsid w:val="00C60B9F"/>
    <w:rsid w:val="00C6105B"/>
    <w:rsid w:val="00C61146"/>
    <w:rsid w:val="00C61435"/>
    <w:rsid w:val="00C614D4"/>
    <w:rsid w:val="00C61A05"/>
    <w:rsid w:val="00C61D2D"/>
    <w:rsid w:val="00C62071"/>
    <w:rsid w:val="00C62C84"/>
    <w:rsid w:val="00C6314E"/>
    <w:rsid w:val="00C63175"/>
    <w:rsid w:val="00C63437"/>
    <w:rsid w:val="00C6373A"/>
    <w:rsid w:val="00C63D9C"/>
    <w:rsid w:val="00C63F4D"/>
    <w:rsid w:val="00C64061"/>
    <w:rsid w:val="00C6483C"/>
    <w:rsid w:val="00C64AA0"/>
    <w:rsid w:val="00C64CCD"/>
    <w:rsid w:val="00C64EA2"/>
    <w:rsid w:val="00C65373"/>
    <w:rsid w:val="00C6538F"/>
    <w:rsid w:val="00C654F4"/>
    <w:rsid w:val="00C65BDD"/>
    <w:rsid w:val="00C65FF3"/>
    <w:rsid w:val="00C664AD"/>
    <w:rsid w:val="00C66578"/>
    <w:rsid w:val="00C667B8"/>
    <w:rsid w:val="00C66FDA"/>
    <w:rsid w:val="00C671E3"/>
    <w:rsid w:val="00C678E0"/>
    <w:rsid w:val="00C67B59"/>
    <w:rsid w:val="00C67E84"/>
    <w:rsid w:val="00C67EE3"/>
    <w:rsid w:val="00C700F5"/>
    <w:rsid w:val="00C7013C"/>
    <w:rsid w:val="00C703A6"/>
    <w:rsid w:val="00C70549"/>
    <w:rsid w:val="00C707B7"/>
    <w:rsid w:val="00C7089F"/>
    <w:rsid w:val="00C71068"/>
    <w:rsid w:val="00C7147E"/>
    <w:rsid w:val="00C7182F"/>
    <w:rsid w:val="00C720F2"/>
    <w:rsid w:val="00C72C08"/>
    <w:rsid w:val="00C72F0E"/>
    <w:rsid w:val="00C73427"/>
    <w:rsid w:val="00C736F7"/>
    <w:rsid w:val="00C73752"/>
    <w:rsid w:val="00C73F64"/>
    <w:rsid w:val="00C745E4"/>
    <w:rsid w:val="00C74C78"/>
    <w:rsid w:val="00C75875"/>
    <w:rsid w:val="00C75D6A"/>
    <w:rsid w:val="00C75FD5"/>
    <w:rsid w:val="00C76969"/>
    <w:rsid w:val="00C76BBC"/>
    <w:rsid w:val="00C76C3F"/>
    <w:rsid w:val="00C7743F"/>
    <w:rsid w:val="00C774AC"/>
    <w:rsid w:val="00C77805"/>
    <w:rsid w:val="00C77977"/>
    <w:rsid w:val="00C80497"/>
    <w:rsid w:val="00C809CA"/>
    <w:rsid w:val="00C809F4"/>
    <w:rsid w:val="00C80D9C"/>
    <w:rsid w:val="00C80DC7"/>
    <w:rsid w:val="00C8153B"/>
    <w:rsid w:val="00C817F3"/>
    <w:rsid w:val="00C8205F"/>
    <w:rsid w:val="00C82711"/>
    <w:rsid w:val="00C828C1"/>
    <w:rsid w:val="00C8312D"/>
    <w:rsid w:val="00C831D8"/>
    <w:rsid w:val="00C83A9E"/>
    <w:rsid w:val="00C8428B"/>
    <w:rsid w:val="00C84447"/>
    <w:rsid w:val="00C84803"/>
    <w:rsid w:val="00C848F8"/>
    <w:rsid w:val="00C8537B"/>
    <w:rsid w:val="00C853EF"/>
    <w:rsid w:val="00C856E4"/>
    <w:rsid w:val="00C8680B"/>
    <w:rsid w:val="00C87390"/>
    <w:rsid w:val="00C901C8"/>
    <w:rsid w:val="00C9069E"/>
    <w:rsid w:val="00C907B2"/>
    <w:rsid w:val="00C9098B"/>
    <w:rsid w:val="00C91121"/>
    <w:rsid w:val="00C91464"/>
    <w:rsid w:val="00C917A0"/>
    <w:rsid w:val="00C91AF7"/>
    <w:rsid w:val="00C91D40"/>
    <w:rsid w:val="00C921B1"/>
    <w:rsid w:val="00C92829"/>
    <w:rsid w:val="00C928BB"/>
    <w:rsid w:val="00C928FE"/>
    <w:rsid w:val="00C93A45"/>
    <w:rsid w:val="00C93AAC"/>
    <w:rsid w:val="00C93C8C"/>
    <w:rsid w:val="00C93D98"/>
    <w:rsid w:val="00C93DD3"/>
    <w:rsid w:val="00C93F9C"/>
    <w:rsid w:val="00C943E8"/>
    <w:rsid w:val="00C9459A"/>
    <w:rsid w:val="00C94EEA"/>
    <w:rsid w:val="00C94F16"/>
    <w:rsid w:val="00C95AB6"/>
    <w:rsid w:val="00C95E66"/>
    <w:rsid w:val="00C95EFB"/>
    <w:rsid w:val="00C96420"/>
    <w:rsid w:val="00C96FAD"/>
    <w:rsid w:val="00C972FC"/>
    <w:rsid w:val="00C97E4E"/>
    <w:rsid w:val="00CA0A35"/>
    <w:rsid w:val="00CA0CDF"/>
    <w:rsid w:val="00CA14AB"/>
    <w:rsid w:val="00CA14CD"/>
    <w:rsid w:val="00CA1D00"/>
    <w:rsid w:val="00CA2231"/>
    <w:rsid w:val="00CA2C56"/>
    <w:rsid w:val="00CA2F4C"/>
    <w:rsid w:val="00CA302E"/>
    <w:rsid w:val="00CA311D"/>
    <w:rsid w:val="00CA31A3"/>
    <w:rsid w:val="00CA37FC"/>
    <w:rsid w:val="00CA38BA"/>
    <w:rsid w:val="00CA3DB2"/>
    <w:rsid w:val="00CA3F53"/>
    <w:rsid w:val="00CA4F0D"/>
    <w:rsid w:val="00CA5681"/>
    <w:rsid w:val="00CA5891"/>
    <w:rsid w:val="00CA6310"/>
    <w:rsid w:val="00CA654A"/>
    <w:rsid w:val="00CA65C2"/>
    <w:rsid w:val="00CA6796"/>
    <w:rsid w:val="00CA6924"/>
    <w:rsid w:val="00CA6C35"/>
    <w:rsid w:val="00CA6CE6"/>
    <w:rsid w:val="00CA702E"/>
    <w:rsid w:val="00CA73E4"/>
    <w:rsid w:val="00CA75FF"/>
    <w:rsid w:val="00CA7D86"/>
    <w:rsid w:val="00CB0405"/>
    <w:rsid w:val="00CB0C93"/>
    <w:rsid w:val="00CB0CA8"/>
    <w:rsid w:val="00CB0CC6"/>
    <w:rsid w:val="00CB12B7"/>
    <w:rsid w:val="00CB13DB"/>
    <w:rsid w:val="00CB1884"/>
    <w:rsid w:val="00CB1A84"/>
    <w:rsid w:val="00CB1C14"/>
    <w:rsid w:val="00CB22AB"/>
    <w:rsid w:val="00CB22C8"/>
    <w:rsid w:val="00CB2384"/>
    <w:rsid w:val="00CB2876"/>
    <w:rsid w:val="00CB2E75"/>
    <w:rsid w:val="00CB3AE8"/>
    <w:rsid w:val="00CB3B24"/>
    <w:rsid w:val="00CB3F99"/>
    <w:rsid w:val="00CB4498"/>
    <w:rsid w:val="00CB44E4"/>
    <w:rsid w:val="00CB4520"/>
    <w:rsid w:val="00CB499C"/>
    <w:rsid w:val="00CB4FA8"/>
    <w:rsid w:val="00CB500F"/>
    <w:rsid w:val="00CB5171"/>
    <w:rsid w:val="00CB526C"/>
    <w:rsid w:val="00CB53EB"/>
    <w:rsid w:val="00CB6263"/>
    <w:rsid w:val="00CB669D"/>
    <w:rsid w:val="00CB6B3B"/>
    <w:rsid w:val="00CB6E00"/>
    <w:rsid w:val="00CB6F08"/>
    <w:rsid w:val="00CB6F35"/>
    <w:rsid w:val="00CB6FBF"/>
    <w:rsid w:val="00CB7038"/>
    <w:rsid w:val="00CB726C"/>
    <w:rsid w:val="00CB726F"/>
    <w:rsid w:val="00CB7812"/>
    <w:rsid w:val="00CC07B0"/>
    <w:rsid w:val="00CC0C83"/>
    <w:rsid w:val="00CC10CB"/>
    <w:rsid w:val="00CC1356"/>
    <w:rsid w:val="00CC1B85"/>
    <w:rsid w:val="00CC1CC0"/>
    <w:rsid w:val="00CC1D1C"/>
    <w:rsid w:val="00CC1FEA"/>
    <w:rsid w:val="00CC2471"/>
    <w:rsid w:val="00CC25B0"/>
    <w:rsid w:val="00CC2A03"/>
    <w:rsid w:val="00CC2D49"/>
    <w:rsid w:val="00CC37E8"/>
    <w:rsid w:val="00CC3A0A"/>
    <w:rsid w:val="00CC40B4"/>
    <w:rsid w:val="00CC43A8"/>
    <w:rsid w:val="00CC45B8"/>
    <w:rsid w:val="00CC47A7"/>
    <w:rsid w:val="00CC4900"/>
    <w:rsid w:val="00CC4FF5"/>
    <w:rsid w:val="00CC57F9"/>
    <w:rsid w:val="00CC5AD2"/>
    <w:rsid w:val="00CC5FD1"/>
    <w:rsid w:val="00CC6499"/>
    <w:rsid w:val="00CC681D"/>
    <w:rsid w:val="00CC6903"/>
    <w:rsid w:val="00CC6C49"/>
    <w:rsid w:val="00CC707F"/>
    <w:rsid w:val="00CC7182"/>
    <w:rsid w:val="00CC741D"/>
    <w:rsid w:val="00CC79D9"/>
    <w:rsid w:val="00CD09AB"/>
    <w:rsid w:val="00CD0DA0"/>
    <w:rsid w:val="00CD137C"/>
    <w:rsid w:val="00CD143B"/>
    <w:rsid w:val="00CD15E6"/>
    <w:rsid w:val="00CD1F8F"/>
    <w:rsid w:val="00CD2004"/>
    <w:rsid w:val="00CD2A9A"/>
    <w:rsid w:val="00CD2DB0"/>
    <w:rsid w:val="00CD2DE0"/>
    <w:rsid w:val="00CD2E11"/>
    <w:rsid w:val="00CD2FAF"/>
    <w:rsid w:val="00CD3133"/>
    <w:rsid w:val="00CD319B"/>
    <w:rsid w:val="00CD3259"/>
    <w:rsid w:val="00CD32FF"/>
    <w:rsid w:val="00CD38B8"/>
    <w:rsid w:val="00CD39A1"/>
    <w:rsid w:val="00CD3DBE"/>
    <w:rsid w:val="00CD3F41"/>
    <w:rsid w:val="00CD4390"/>
    <w:rsid w:val="00CD43B8"/>
    <w:rsid w:val="00CD4791"/>
    <w:rsid w:val="00CD5025"/>
    <w:rsid w:val="00CD520B"/>
    <w:rsid w:val="00CD563D"/>
    <w:rsid w:val="00CD5B6C"/>
    <w:rsid w:val="00CD643C"/>
    <w:rsid w:val="00CD6739"/>
    <w:rsid w:val="00CD6A06"/>
    <w:rsid w:val="00CD6A26"/>
    <w:rsid w:val="00CD6D1D"/>
    <w:rsid w:val="00CD6D83"/>
    <w:rsid w:val="00CD7330"/>
    <w:rsid w:val="00CD74EA"/>
    <w:rsid w:val="00CE0497"/>
    <w:rsid w:val="00CE05BC"/>
    <w:rsid w:val="00CE074E"/>
    <w:rsid w:val="00CE0ABD"/>
    <w:rsid w:val="00CE0E7A"/>
    <w:rsid w:val="00CE0FB6"/>
    <w:rsid w:val="00CE102D"/>
    <w:rsid w:val="00CE1113"/>
    <w:rsid w:val="00CE1185"/>
    <w:rsid w:val="00CE1462"/>
    <w:rsid w:val="00CE153C"/>
    <w:rsid w:val="00CE1978"/>
    <w:rsid w:val="00CE287D"/>
    <w:rsid w:val="00CE36AD"/>
    <w:rsid w:val="00CE36BF"/>
    <w:rsid w:val="00CE36E0"/>
    <w:rsid w:val="00CE43C9"/>
    <w:rsid w:val="00CE44DB"/>
    <w:rsid w:val="00CE5137"/>
    <w:rsid w:val="00CE55E7"/>
    <w:rsid w:val="00CE5DDF"/>
    <w:rsid w:val="00CE62FD"/>
    <w:rsid w:val="00CE66B6"/>
    <w:rsid w:val="00CE6F67"/>
    <w:rsid w:val="00CE6FB6"/>
    <w:rsid w:val="00CE7057"/>
    <w:rsid w:val="00CE712C"/>
    <w:rsid w:val="00CE77E4"/>
    <w:rsid w:val="00CE7822"/>
    <w:rsid w:val="00CE7882"/>
    <w:rsid w:val="00CE79F3"/>
    <w:rsid w:val="00CE7C5E"/>
    <w:rsid w:val="00CF00D1"/>
    <w:rsid w:val="00CF087E"/>
    <w:rsid w:val="00CF0B3A"/>
    <w:rsid w:val="00CF0CFC"/>
    <w:rsid w:val="00CF1413"/>
    <w:rsid w:val="00CF1E4C"/>
    <w:rsid w:val="00CF2FBF"/>
    <w:rsid w:val="00CF2FF5"/>
    <w:rsid w:val="00CF3799"/>
    <w:rsid w:val="00CF3B09"/>
    <w:rsid w:val="00CF47C5"/>
    <w:rsid w:val="00CF4C05"/>
    <w:rsid w:val="00CF57C3"/>
    <w:rsid w:val="00CF5F3C"/>
    <w:rsid w:val="00CF639C"/>
    <w:rsid w:val="00CF6513"/>
    <w:rsid w:val="00CF66E8"/>
    <w:rsid w:val="00CF6A85"/>
    <w:rsid w:val="00CF7590"/>
    <w:rsid w:val="00CF7779"/>
    <w:rsid w:val="00CF7CA1"/>
    <w:rsid w:val="00D0004D"/>
    <w:rsid w:val="00D004D7"/>
    <w:rsid w:val="00D0097D"/>
    <w:rsid w:val="00D00BFC"/>
    <w:rsid w:val="00D00CA3"/>
    <w:rsid w:val="00D01CCE"/>
    <w:rsid w:val="00D01D20"/>
    <w:rsid w:val="00D01DEE"/>
    <w:rsid w:val="00D01FBD"/>
    <w:rsid w:val="00D01FC9"/>
    <w:rsid w:val="00D020F6"/>
    <w:rsid w:val="00D0215E"/>
    <w:rsid w:val="00D02B0F"/>
    <w:rsid w:val="00D03018"/>
    <w:rsid w:val="00D0354E"/>
    <w:rsid w:val="00D0356A"/>
    <w:rsid w:val="00D03810"/>
    <w:rsid w:val="00D03894"/>
    <w:rsid w:val="00D03A41"/>
    <w:rsid w:val="00D03ACB"/>
    <w:rsid w:val="00D041A9"/>
    <w:rsid w:val="00D0460E"/>
    <w:rsid w:val="00D04A4C"/>
    <w:rsid w:val="00D055E9"/>
    <w:rsid w:val="00D05713"/>
    <w:rsid w:val="00D07543"/>
    <w:rsid w:val="00D07776"/>
    <w:rsid w:val="00D100F1"/>
    <w:rsid w:val="00D10142"/>
    <w:rsid w:val="00D10163"/>
    <w:rsid w:val="00D10367"/>
    <w:rsid w:val="00D1059B"/>
    <w:rsid w:val="00D107DE"/>
    <w:rsid w:val="00D115BC"/>
    <w:rsid w:val="00D11908"/>
    <w:rsid w:val="00D11D04"/>
    <w:rsid w:val="00D1238D"/>
    <w:rsid w:val="00D12FE8"/>
    <w:rsid w:val="00D13F26"/>
    <w:rsid w:val="00D14593"/>
    <w:rsid w:val="00D14787"/>
    <w:rsid w:val="00D14881"/>
    <w:rsid w:val="00D15130"/>
    <w:rsid w:val="00D151EE"/>
    <w:rsid w:val="00D157EB"/>
    <w:rsid w:val="00D15C2F"/>
    <w:rsid w:val="00D16499"/>
    <w:rsid w:val="00D16538"/>
    <w:rsid w:val="00D16C78"/>
    <w:rsid w:val="00D16EDC"/>
    <w:rsid w:val="00D175CC"/>
    <w:rsid w:val="00D176C2"/>
    <w:rsid w:val="00D200BA"/>
    <w:rsid w:val="00D20478"/>
    <w:rsid w:val="00D213F4"/>
    <w:rsid w:val="00D2162F"/>
    <w:rsid w:val="00D21C49"/>
    <w:rsid w:val="00D22572"/>
    <w:rsid w:val="00D225A4"/>
    <w:rsid w:val="00D22B82"/>
    <w:rsid w:val="00D22FE5"/>
    <w:rsid w:val="00D23302"/>
    <w:rsid w:val="00D235B3"/>
    <w:rsid w:val="00D23667"/>
    <w:rsid w:val="00D23F11"/>
    <w:rsid w:val="00D24429"/>
    <w:rsid w:val="00D24A82"/>
    <w:rsid w:val="00D25724"/>
    <w:rsid w:val="00D258DC"/>
    <w:rsid w:val="00D25A3F"/>
    <w:rsid w:val="00D26114"/>
    <w:rsid w:val="00D2682F"/>
    <w:rsid w:val="00D27490"/>
    <w:rsid w:val="00D275F4"/>
    <w:rsid w:val="00D27F3B"/>
    <w:rsid w:val="00D30085"/>
    <w:rsid w:val="00D30858"/>
    <w:rsid w:val="00D3097C"/>
    <w:rsid w:val="00D30A24"/>
    <w:rsid w:val="00D30A78"/>
    <w:rsid w:val="00D311BC"/>
    <w:rsid w:val="00D3136E"/>
    <w:rsid w:val="00D31442"/>
    <w:rsid w:val="00D314A8"/>
    <w:rsid w:val="00D31EE3"/>
    <w:rsid w:val="00D325D9"/>
    <w:rsid w:val="00D326C7"/>
    <w:rsid w:val="00D327E0"/>
    <w:rsid w:val="00D329B3"/>
    <w:rsid w:val="00D32A24"/>
    <w:rsid w:val="00D32A76"/>
    <w:rsid w:val="00D32B4E"/>
    <w:rsid w:val="00D32B72"/>
    <w:rsid w:val="00D32C51"/>
    <w:rsid w:val="00D32DC4"/>
    <w:rsid w:val="00D32F86"/>
    <w:rsid w:val="00D33055"/>
    <w:rsid w:val="00D33C67"/>
    <w:rsid w:val="00D3448C"/>
    <w:rsid w:val="00D345A1"/>
    <w:rsid w:val="00D348B8"/>
    <w:rsid w:val="00D34BEE"/>
    <w:rsid w:val="00D35480"/>
    <w:rsid w:val="00D357C5"/>
    <w:rsid w:val="00D359FF"/>
    <w:rsid w:val="00D35CCC"/>
    <w:rsid w:val="00D35E22"/>
    <w:rsid w:val="00D366A2"/>
    <w:rsid w:val="00D366FA"/>
    <w:rsid w:val="00D3708A"/>
    <w:rsid w:val="00D3754C"/>
    <w:rsid w:val="00D3792B"/>
    <w:rsid w:val="00D37C2C"/>
    <w:rsid w:val="00D37CB1"/>
    <w:rsid w:val="00D4078D"/>
    <w:rsid w:val="00D41168"/>
    <w:rsid w:val="00D414AE"/>
    <w:rsid w:val="00D4185E"/>
    <w:rsid w:val="00D41A38"/>
    <w:rsid w:val="00D41B6D"/>
    <w:rsid w:val="00D41FF0"/>
    <w:rsid w:val="00D42441"/>
    <w:rsid w:val="00D425D2"/>
    <w:rsid w:val="00D42731"/>
    <w:rsid w:val="00D428DF"/>
    <w:rsid w:val="00D42A17"/>
    <w:rsid w:val="00D430F8"/>
    <w:rsid w:val="00D4336B"/>
    <w:rsid w:val="00D43431"/>
    <w:rsid w:val="00D43833"/>
    <w:rsid w:val="00D43A0A"/>
    <w:rsid w:val="00D43A14"/>
    <w:rsid w:val="00D43B7F"/>
    <w:rsid w:val="00D43CE7"/>
    <w:rsid w:val="00D45825"/>
    <w:rsid w:val="00D45ACC"/>
    <w:rsid w:val="00D45C4E"/>
    <w:rsid w:val="00D471A5"/>
    <w:rsid w:val="00D47806"/>
    <w:rsid w:val="00D47AC1"/>
    <w:rsid w:val="00D47BBE"/>
    <w:rsid w:val="00D500B3"/>
    <w:rsid w:val="00D500EA"/>
    <w:rsid w:val="00D50336"/>
    <w:rsid w:val="00D5040F"/>
    <w:rsid w:val="00D50979"/>
    <w:rsid w:val="00D50A65"/>
    <w:rsid w:val="00D51037"/>
    <w:rsid w:val="00D510B7"/>
    <w:rsid w:val="00D51578"/>
    <w:rsid w:val="00D51708"/>
    <w:rsid w:val="00D52117"/>
    <w:rsid w:val="00D52222"/>
    <w:rsid w:val="00D52506"/>
    <w:rsid w:val="00D52B0E"/>
    <w:rsid w:val="00D52E37"/>
    <w:rsid w:val="00D530E6"/>
    <w:rsid w:val="00D53212"/>
    <w:rsid w:val="00D533E6"/>
    <w:rsid w:val="00D54586"/>
    <w:rsid w:val="00D54590"/>
    <w:rsid w:val="00D55797"/>
    <w:rsid w:val="00D5595C"/>
    <w:rsid w:val="00D55B95"/>
    <w:rsid w:val="00D560DD"/>
    <w:rsid w:val="00D5614D"/>
    <w:rsid w:val="00D56304"/>
    <w:rsid w:val="00D5652B"/>
    <w:rsid w:val="00D5656D"/>
    <w:rsid w:val="00D56B79"/>
    <w:rsid w:val="00D56BE3"/>
    <w:rsid w:val="00D5714F"/>
    <w:rsid w:val="00D579C4"/>
    <w:rsid w:val="00D600A2"/>
    <w:rsid w:val="00D60521"/>
    <w:rsid w:val="00D60CC9"/>
    <w:rsid w:val="00D613B7"/>
    <w:rsid w:val="00D61ADD"/>
    <w:rsid w:val="00D61B1C"/>
    <w:rsid w:val="00D62032"/>
    <w:rsid w:val="00D62553"/>
    <w:rsid w:val="00D62D45"/>
    <w:rsid w:val="00D636C0"/>
    <w:rsid w:val="00D6373C"/>
    <w:rsid w:val="00D641EE"/>
    <w:rsid w:val="00D64DB1"/>
    <w:rsid w:val="00D65676"/>
    <w:rsid w:val="00D65717"/>
    <w:rsid w:val="00D658D4"/>
    <w:rsid w:val="00D65C08"/>
    <w:rsid w:val="00D65DB7"/>
    <w:rsid w:val="00D6605C"/>
    <w:rsid w:val="00D661BA"/>
    <w:rsid w:val="00D66E7F"/>
    <w:rsid w:val="00D67B5D"/>
    <w:rsid w:val="00D67BDD"/>
    <w:rsid w:val="00D70465"/>
    <w:rsid w:val="00D7055B"/>
    <w:rsid w:val="00D70A50"/>
    <w:rsid w:val="00D70EED"/>
    <w:rsid w:val="00D71019"/>
    <w:rsid w:val="00D71B6C"/>
    <w:rsid w:val="00D71BD6"/>
    <w:rsid w:val="00D71DEF"/>
    <w:rsid w:val="00D7209C"/>
    <w:rsid w:val="00D72272"/>
    <w:rsid w:val="00D724CF"/>
    <w:rsid w:val="00D7279D"/>
    <w:rsid w:val="00D72B5F"/>
    <w:rsid w:val="00D72BE1"/>
    <w:rsid w:val="00D73160"/>
    <w:rsid w:val="00D7342D"/>
    <w:rsid w:val="00D7391E"/>
    <w:rsid w:val="00D73DFC"/>
    <w:rsid w:val="00D740A8"/>
    <w:rsid w:val="00D74B6D"/>
    <w:rsid w:val="00D74E96"/>
    <w:rsid w:val="00D74F6C"/>
    <w:rsid w:val="00D751DC"/>
    <w:rsid w:val="00D75387"/>
    <w:rsid w:val="00D7554A"/>
    <w:rsid w:val="00D75663"/>
    <w:rsid w:val="00D75E33"/>
    <w:rsid w:val="00D76C54"/>
    <w:rsid w:val="00D77081"/>
    <w:rsid w:val="00D7721F"/>
    <w:rsid w:val="00D80253"/>
    <w:rsid w:val="00D80269"/>
    <w:rsid w:val="00D808A0"/>
    <w:rsid w:val="00D80AB1"/>
    <w:rsid w:val="00D80C3C"/>
    <w:rsid w:val="00D81235"/>
    <w:rsid w:val="00D81267"/>
    <w:rsid w:val="00D814CC"/>
    <w:rsid w:val="00D81557"/>
    <w:rsid w:val="00D81B9B"/>
    <w:rsid w:val="00D81E8C"/>
    <w:rsid w:val="00D81F51"/>
    <w:rsid w:val="00D822AA"/>
    <w:rsid w:val="00D82806"/>
    <w:rsid w:val="00D829F1"/>
    <w:rsid w:val="00D82DD9"/>
    <w:rsid w:val="00D8340E"/>
    <w:rsid w:val="00D83CD3"/>
    <w:rsid w:val="00D83F08"/>
    <w:rsid w:val="00D84228"/>
    <w:rsid w:val="00D84242"/>
    <w:rsid w:val="00D84327"/>
    <w:rsid w:val="00D84A5C"/>
    <w:rsid w:val="00D85027"/>
    <w:rsid w:val="00D8552C"/>
    <w:rsid w:val="00D85538"/>
    <w:rsid w:val="00D8596F"/>
    <w:rsid w:val="00D85AC4"/>
    <w:rsid w:val="00D85ADD"/>
    <w:rsid w:val="00D85DC5"/>
    <w:rsid w:val="00D85E4E"/>
    <w:rsid w:val="00D85ECC"/>
    <w:rsid w:val="00D865BE"/>
    <w:rsid w:val="00D86677"/>
    <w:rsid w:val="00D86769"/>
    <w:rsid w:val="00D867E0"/>
    <w:rsid w:val="00D86ACD"/>
    <w:rsid w:val="00D879DC"/>
    <w:rsid w:val="00D87F85"/>
    <w:rsid w:val="00D902CC"/>
    <w:rsid w:val="00D90320"/>
    <w:rsid w:val="00D90373"/>
    <w:rsid w:val="00D912FB"/>
    <w:rsid w:val="00D913ED"/>
    <w:rsid w:val="00D914A7"/>
    <w:rsid w:val="00D91625"/>
    <w:rsid w:val="00D91C79"/>
    <w:rsid w:val="00D91CBD"/>
    <w:rsid w:val="00D924B3"/>
    <w:rsid w:val="00D925FD"/>
    <w:rsid w:val="00D92E06"/>
    <w:rsid w:val="00D93753"/>
    <w:rsid w:val="00D93E4D"/>
    <w:rsid w:val="00D93E51"/>
    <w:rsid w:val="00D943B5"/>
    <w:rsid w:val="00D9467D"/>
    <w:rsid w:val="00D94FD8"/>
    <w:rsid w:val="00D95185"/>
    <w:rsid w:val="00D95555"/>
    <w:rsid w:val="00D95C38"/>
    <w:rsid w:val="00D95E9E"/>
    <w:rsid w:val="00D96E2C"/>
    <w:rsid w:val="00D96F36"/>
    <w:rsid w:val="00D97286"/>
    <w:rsid w:val="00D97396"/>
    <w:rsid w:val="00D97A25"/>
    <w:rsid w:val="00D97BCE"/>
    <w:rsid w:val="00D97C74"/>
    <w:rsid w:val="00D97C95"/>
    <w:rsid w:val="00DA0237"/>
    <w:rsid w:val="00DA13AE"/>
    <w:rsid w:val="00DA1A4D"/>
    <w:rsid w:val="00DA1C9B"/>
    <w:rsid w:val="00DA1DB2"/>
    <w:rsid w:val="00DA23C7"/>
    <w:rsid w:val="00DA2404"/>
    <w:rsid w:val="00DA24ED"/>
    <w:rsid w:val="00DA2B14"/>
    <w:rsid w:val="00DA2BD6"/>
    <w:rsid w:val="00DA2BEA"/>
    <w:rsid w:val="00DA2F80"/>
    <w:rsid w:val="00DA32A6"/>
    <w:rsid w:val="00DA3B46"/>
    <w:rsid w:val="00DA3D91"/>
    <w:rsid w:val="00DA4004"/>
    <w:rsid w:val="00DA458A"/>
    <w:rsid w:val="00DA4EBA"/>
    <w:rsid w:val="00DA556F"/>
    <w:rsid w:val="00DA5806"/>
    <w:rsid w:val="00DA5C4B"/>
    <w:rsid w:val="00DA6356"/>
    <w:rsid w:val="00DA649E"/>
    <w:rsid w:val="00DA6A00"/>
    <w:rsid w:val="00DA6D04"/>
    <w:rsid w:val="00DA6E70"/>
    <w:rsid w:val="00DA7169"/>
    <w:rsid w:val="00DA770C"/>
    <w:rsid w:val="00DB01F5"/>
    <w:rsid w:val="00DB039E"/>
    <w:rsid w:val="00DB0956"/>
    <w:rsid w:val="00DB0F0F"/>
    <w:rsid w:val="00DB1198"/>
    <w:rsid w:val="00DB2B58"/>
    <w:rsid w:val="00DB3372"/>
    <w:rsid w:val="00DB34FE"/>
    <w:rsid w:val="00DB403C"/>
    <w:rsid w:val="00DB4394"/>
    <w:rsid w:val="00DB4522"/>
    <w:rsid w:val="00DB4BE6"/>
    <w:rsid w:val="00DB4EAC"/>
    <w:rsid w:val="00DB4F1F"/>
    <w:rsid w:val="00DB590A"/>
    <w:rsid w:val="00DB5B83"/>
    <w:rsid w:val="00DB70E5"/>
    <w:rsid w:val="00DB7249"/>
    <w:rsid w:val="00DB72FB"/>
    <w:rsid w:val="00DB7447"/>
    <w:rsid w:val="00DB7B05"/>
    <w:rsid w:val="00DC019A"/>
    <w:rsid w:val="00DC07A1"/>
    <w:rsid w:val="00DC0919"/>
    <w:rsid w:val="00DC0C50"/>
    <w:rsid w:val="00DC0DD8"/>
    <w:rsid w:val="00DC1167"/>
    <w:rsid w:val="00DC284D"/>
    <w:rsid w:val="00DC28B1"/>
    <w:rsid w:val="00DC2DF5"/>
    <w:rsid w:val="00DC2F2D"/>
    <w:rsid w:val="00DC2F3D"/>
    <w:rsid w:val="00DC31BD"/>
    <w:rsid w:val="00DC3414"/>
    <w:rsid w:val="00DC3957"/>
    <w:rsid w:val="00DC39A0"/>
    <w:rsid w:val="00DC3C46"/>
    <w:rsid w:val="00DC3E35"/>
    <w:rsid w:val="00DC41A0"/>
    <w:rsid w:val="00DC426C"/>
    <w:rsid w:val="00DC4822"/>
    <w:rsid w:val="00DC5982"/>
    <w:rsid w:val="00DC61EF"/>
    <w:rsid w:val="00DC660A"/>
    <w:rsid w:val="00DC66D3"/>
    <w:rsid w:val="00DC68FB"/>
    <w:rsid w:val="00DC74B5"/>
    <w:rsid w:val="00DC77A3"/>
    <w:rsid w:val="00DC7C55"/>
    <w:rsid w:val="00DC7FC3"/>
    <w:rsid w:val="00DD0114"/>
    <w:rsid w:val="00DD04A7"/>
    <w:rsid w:val="00DD04BC"/>
    <w:rsid w:val="00DD08C9"/>
    <w:rsid w:val="00DD0AC7"/>
    <w:rsid w:val="00DD0ADC"/>
    <w:rsid w:val="00DD0D38"/>
    <w:rsid w:val="00DD100B"/>
    <w:rsid w:val="00DD12E9"/>
    <w:rsid w:val="00DD135A"/>
    <w:rsid w:val="00DD1808"/>
    <w:rsid w:val="00DD1979"/>
    <w:rsid w:val="00DD19CA"/>
    <w:rsid w:val="00DD1DB6"/>
    <w:rsid w:val="00DD2D85"/>
    <w:rsid w:val="00DD31AB"/>
    <w:rsid w:val="00DD31C9"/>
    <w:rsid w:val="00DD37FC"/>
    <w:rsid w:val="00DD3EB7"/>
    <w:rsid w:val="00DD3EE0"/>
    <w:rsid w:val="00DD401C"/>
    <w:rsid w:val="00DD503D"/>
    <w:rsid w:val="00DD51F0"/>
    <w:rsid w:val="00DD566E"/>
    <w:rsid w:val="00DD56BB"/>
    <w:rsid w:val="00DD58A2"/>
    <w:rsid w:val="00DD6302"/>
    <w:rsid w:val="00DD6D8C"/>
    <w:rsid w:val="00DD6E61"/>
    <w:rsid w:val="00DD7119"/>
    <w:rsid w:val="00DD7572"/>
    <w:rsid w:val="00DD7888"/>
    <w:rsid w:val="00DD7ADF"/>
    <w:rsid w:val="00DD7C93"/>
    <w:rsid w:val="00DE07DD"/>
    <w:rsid w:val="00DE12A7"/>
    <w:rsid w:val="00DE1833"/>
    <w:rsid w:val="00DE1B71"/>
    <w:rsid w:val="00DE1CA6"/>
    <w:rsid w:val="00DE1CC1"/>
    <w:rsid w:val="00DE1CE8"/>
    <w:rsid w:val="00DE3323"/>
    <w:rsid w:val="00DE3A76"/>
    <w:rsid w:val="00DE3D2F"/>
    <w:rsid w:val="00DE43E7"/>
    <w:rsid w:val="00DE5E93"/>
    <w:rsid w:val="00DE6676"/>
    <w:rsid w:val="00DE793C"/>
    <w:rsid w:val="00DE7EC5"/>
    <w:rsid w:val="00DE7FCD"/>
    <w:rsid w:val="00DF0141"/>
    <w:rsid w:val="00DF029F"/>
    <w:rsid w:val="00DF033D"/>
    <w:rsid w:val="00DF04A5"/>
    <w:rsid w:val="00DF07BE"/>
    <w:rsid w:val="00DF07FD"/>
    <w:rsid w:val="00DF08A0"/>
    <w:rsid w:val="00DF0931"/>
    <w:rsid w:val="00DF0AF2"/>
    <w:rsid w:val="00DF0CF7"/>
    <w:rsid w:val="00DF0F16"/>
    <w:rsid w:val="00DF0F5D"/>
    <w:rsid w:val="00DF10E5"/>
    <w:rsid w:val="00DF13B7"/>
    <w:rsid w:val="00DF13E9"/>
    <w:rsid w:val="00DF142D"/>
    <w:rsid w:val="00DF1DA5"/>
    <w:rsid w:val="00DF34B0"/>
    <w:rsid w:val="00DF3549"/>
    <w:rsid w:val="00DF36F6"/>
    <w:rsid w:val="00DF4603"/>
    <w:rsid w:val="00DF47F9"/>
    <w:rsid w:val="00DF49CD"/>
    <w:rsid w:val="00DF4ADB"/>
    <w:rsid w:val="00DF4BA4"/>
    <w:rsid w:val="00DF4F1B"/>
    <w:rsid w:val="00DF59BF"/>
    <w:rsid w:val="00DF5CA3"/>
    <w:rsid w:val="00DF6163"/>
    <w:rsid w:val="00DF687C"/>
    <w:rsid w:val="00DF6AB0"/>
    <w:rsid w:val="00DF74D2"/>
    <w:rsid w:val="00DF7562"/>
    <w:rsid w:val="00DF7A2C"/>
    <w:rsid w:val="00DF7B32"/>
    <w:rsid w:val="00DF7D21"/>
    <w:rsid w:val="00E0012D"/>
    <w:rsid w:val="00E00243"/>
    <w:rsid w:val="00E00E1F"/>
    <w:rsid w:val="00E00F9E"/>
    <w:rsid w:val="00E01374"/>
    <w:rsid w:val="00E0182A"/>
    <w:rsid w:val="00E019F1"/>
    <w:rsid w:val="00E01B99"/>
    <w:rsid w:val="00E0247D"/>
    <w:rsid w:val="00E027CE"/>
    <w:rsid w:val="00E029FC"/>
    <w:rsid w:val="00E02F32"/>
    <w:rsid w:val="00E0300F"/>
    <w:rsid w:val="00E039AB"/>
    <w:rsid w:val="00E03BD0"/>
    <w:rsid w:val="00E03D06"/>
    <w:rsid w:val="00E03F6C"/>
    <w:rsid w:val="00E04589"/>
    <w:rsid w:val="00E05195"/>
    <w:rsid w:val="00E0532D"/>
    <w:rsid w:val="00E054EA"/>
    <w:rsid w:val="00E05700"/>
    <w:rsid w:val="00E05AD4"/>
    <w:rsid w:val="00E05F52"/>
    <w:rsid w:val="00E06298"/>
    <w:rsid w:val="00E065FE"/>
    <w:rsid w:val="00E0689E"/>
    <w:rsid w:val="00E07079"/>
    <w:rsid w:val="00E07694"/>
    <w:rsid w:val="00E07961"/>
    <w:rsid w:val="00E079C9"/>
    <w:rsid w:val="00E07CE2"/>
    <w:rsid w:val="00E07CF3"/>
    <w:rsid w:val="00E104E5"/>
    <w:rsid w:val="00E10AD6"/>
    <w:rsid w:val="00E11247"/>
    <w:rsid w:val="00E11364"/>
    <w:rsid w:val="00E113C8"/>
    <w:rsid w:val="00E11D09"/>
    <w:rsid w:val="00E11EE7"/>
    <w:rsid w:val="00E11F8B"/>
    <w:rsid w:val="00E1277C"/>
    <w:rsid w:val="00E12888"/>
    <w:rsid w:val="00E129D9"/>
    <w:rsid w:val="00E12EB2"/>
    <w:rsid w:val="00E135BE"/>
    <w:rsid w:val="00E1385B"/>
    <w:rsid w:val="00E14104"/>
    <w:rsid w:val="00E14CAE"/>
    <w:rsid w:val="00E14DC6"/>
    <w:rsid w:val="00E14F01"/>
    <w:rsid w:val="00E14FBE"/>
    <w:rsid w:val="00E151DE"/>
    <w:rsid w:val="00E153D6"/>
    <w:rsid w:val="00E164AB"/>
    <w:rsid w:val="00E16AD3"/>
    <w:rsid w:val="00E16F3B"/>
    <w:rsid w:val="00E17487"/>
    <w:rsid w:val="00E1751D"/>
    <w:rsid w:val="00E17EC1"/>
    <w:rsid w:val="00E20183"/>
    <w:rsid w:val="00E20CE7"/>
    <w:rsid w:val="00E21460"/>
    <w:rsid w:val="00E215D7"/>
    <w:rsid w:val="00E21AB7"/>
    <w:rsid w:val="00E22069"/>
    <w:rsid w:val="00E22213"/>
    <w:rsid w:val="00E222A4"/>
    <w:rsid w:val="00E22C96"/>
    <w:rsid w:val="00E23352"/>
    <w:rsid w:val="00E23C5B"/>
    <w:rsid w:val="00E23E54"/>
    <w:rsid w:val="00E24039"/>
    <w:rsid w:val="00E24190"/>
    <w:rsid w:val="00E24399"/>
    <w:rsid w:val="00E24E59"/>
    <w:rsid w:val="00E25098"/>
    <w:rsid w:val="00E251E8"/>
    <w:rsid w:val="00E2594F"/>
    <w:rsid w:val="00E259D4"/>
    <w:rsid w:val="00E25C5B"/>
    <w:rsid w:val="00E26410"/>
    <w:rsid w:val="00E26D2A"/>
    <w:rsid w:val="00E26F06"/>
    <w:rsid w:val="00E27663"/>
    <w:rsid w:val="00E276C3"/>
    <w:rsid w:val="00E27BB2"/>
    <w:rsid w:val="00E27E4B"/>
    <w:rsid w:val="00E27F06"/>
    <w:rsid w:val="00E3076E"/>
    <w:rsid w:val="00E3094B"/>
    <w:rsid w:val="00E315E2"/>
    <w:rsid w:val="00E31A3B"/>
    <w:rsid w:val="00E326D7"/>
    <w:rsid w:val="00E344E4"/>
    <w:rsid w:val="00E346F6"/>
    <w:rsid w:val="00E3543E"/>
    <w:rsid w:val="00E357FB"/>
    <w:rsid w:val="00E360FF"/>
    <w:rsid w:val="00E36113"/>
    <w:rsid w:val="00E365DE"/>
    <w:rsid w:val="00E3664F"/>
    <w:rsid w:val="00E36985"/>
    <w:rsid w:val="00E36A36"/>
    <w:rsid w:val="00E36E39"/>
    <w:rsid w:val="00E375AA"/>
    <w:rsid w:val="00E37763"/>
    <w:rsid w:val="00E379F7"/>
    <w:rsid w:val="00E37BBA"/>
    <w:rsid w:val="00E37BD1"/>
    <w:rsid w:val="00E37D99"/>
    <w:rsid w:val="00E4004E"/>
    <w:rsid w:val="00E4010F"/>
    <w:rsid w:val="00E40BF6"/>
    <w:rsid w:val="00E41026"/>
    <w:rsid w:val="00E41498"/>
    <w:rsid w:val="00E423B3"/>
    <w:rsid w:val="00E427D0"/>
    <w:rsid w:val="00E427DE"/>
    <w:rsid w:val="00E42BDB"/>
    <w:rsid w:val="00E43872"/>
    <w:rsid w:val="00E438BA"/>
    <w:rsid w:val="00E439AC"/>
    <w:rsid w:val="00E43C01"/>
    <w:rsid w:val="00E43F7D"/>
    <w:rsid w:val="00E44161"/>
    <w:rsid w:val="00E449E8"/>
    <w:rsid w:val="00E45056"/>
    <w:rsid w:val="00E45547"/>
    <w:rsid w:val="00E45621"/>
    <w:rsid w:val="00E45E4F"/>
    <w:rsid w:val="00E466E0"/>
    <w:rsid w:val="00E46E3C"/>
    <w:rsid w:val="00E46E4F"/>
    <w:rsid w:val="00E471FE"/>
    <w:rsid w:val="00E47400"/>
    <w:rsid w:val="00E47468"/>
    <w:rsid w:val="00E47644"/>
    <w:rsid w:val="00E477BE"/>
    <w:rsid w:val="00E47C56"/>
    <w:rsid w:val="00E5002E"/>
    <w:rsid w:val="00E503E0"/>
    <w:rsid w:val="00E50926"/>
    <w:rsid w:val="00E50AA5"/>
    <w:rsid w:val="00E50AAA"/>
    <w:rsid w:val="00E50B0C"/>
    <w:rsid w:val="00E50BC4"/>
    <w:rsid w:val="00E51226"/>
    <w:rsid w:val="00E51BD1"/>
    <w:rsid w:val="00E525CB"/>
    <w:rsid w:val="00E52E5D"/>
    <w:rsid w:val="00E53EE7"/>
    <w:rsid w:val="00E5465E"/>
    <w:rsid w:val="00E54EF6"/>
    <w:rsid w:val="00E5558E"/>
    <w:rsid w:val="00E556DA"/>
    <w:rsid w:val="00E55D0C"/>
    <w:rsid w:val="00E5630E"/>
    <w:rsid w:val="00E572F2"/>
    <w:rsid w:val="00E575BE"/>
    <w:rsid w:val="00E5781E"/>
    <w:rsid w:val="00E57831"/>
    <w:rsid w:val="00E57EC1"/>
    <w:rsid w:val="00E60227"/>
    <w:rsid w:val="00E605ED"/>
    <w:rsid w:val="00E60C1C"/>
    <w:rsid w:val="00E60F38"/>
    <w:rsid w:val="00E61006"/>
    <w:rsid w:val="00E61070"/>
    <w:rsid w:val="00E610DC"/>
    <w:rsid w:val="00E61118"/>
    <w:rsid w:val="00E613BE"/>
    <w:rsid w:val="00E614C7"/>
    <w:rsid w:val="00E61625"/>
    <w:rsid w:val="00E616ED"/>
    <w:rsid w:val="00E61879"/>
    <w:rsid w:val="00E61ED3"/>
    <w:rsid w:val="00E621B6"/>
    <w:rsid w:val="00E62247"/>
    <w:rsid w:val="00E62672"/>
    <w:rsid w:val="00E62738"/>
    <w:rsid w:val="00E631F3"/>
    <w:rsid w:val="00E63A73"/>
    <w:rsid w:val="00E63CDC"/>
    <w:rsid w:val="00E63D17"/>
    <w:rsid w:val="00E63E8B"/>
    <w:rsid w:val="00E63FF4"/>
    <w:rsid w:val="00E64030"/>
    <w:rsid w:val="00E645FC"/>
    <w:rsid w:val="00E64951"/>
    <w:rsid w:val="00E64BC6"/>
    <w:rsid w:val="00E64ED5"/>
    <w:rsid w:val="00E651C7"/>
    <w:rsid w:val="00E652D3"/>
    <w:rsid w:val="00E656FA"/>
    <w:rsid w:val="00E65763"/>
    <w:rsid w:val="00E659CD"/>
    <w:rsid w:val="00E6632A"/>
    <w:rsid w:val="00E66B1D"/>
    <w:rsid w:val="00E66B3E"/>
    <w:rsid w:val="00E66CA3"/>
    <w:rsid w:val="00E6704B"/>
    <w:rsid w:val="00E672D7"/>
    <w:rsid w:val="00E67A44"/>
    <w:rsid w:val="00E700CA"/>
    <w:rsid w:val="00E70139"/>
    <w:rsid w:val="00E701D0"/>
    <w:rsid w:val="00E7041E"/>
    <w:rsid w:val="00E7042D"/>
    <w:rsid w:val="00E704C2"/>
    <w:rsid w:val="00E708A2"/>
    <w:rsid w:val="00E71056"/>
    <w:rsid w:val="00E71548"/>
    <w:rsid w:val="00E71B54"/>
    <w:rsid w:val="00E71BE6"/>
    <w:rsid w:val="00E71C72"/>
    <w:rsid w:val="00E71C7B"/>
    <w:rsid w:val="00E725B8"/>
    <w:rsid w:val="00E72D37"/>
    <w:rsid w:val="00E72F48"/>
    <w:rsid w:val="00E7304E"/>
    <w:rsid w:val="00E734EA"/>
    <w:rsid w:val="00E73CDC"/>
    <w:rsid w:val="00E73D39"/>
    <w:rsid w:val="00E73E46"/>
    <w:rsid w:val="00E73F85"/>
    <w:rsid w:val="00E747DD"/>
    <w:rsid w:val="00E74DF6"/>
    <w:rsid w:val="00E74FB4"/>
    <w:rsid w:val="00E75666"/>
    <w:rsid w:val="00E75801"/>
    <w:rsid w:val="00E76930"/>
    <w:rsid w:val="00E76BF5"/>
    <w:rsid w:val="00E77CCB"/>
    <w:rsid w:val="00E800AD"/>
    <w:rsid w:val="00E80DD3"/>
    <w:rsid w:val="00E812E0"/>
    <w:rsid w:val="00E81A35"/>
    <w:rsid w:val="00E81CAD"/>
    <w:rsid w:val="00E81D37"/>
    <w:rsid w:val="00E81E50"/>
    <w:rsid w:val="00E82406"/>
    <w:rsid w:val="00E82427"/>
    <w:rsid w:val="00E8285A"/>
    <w:rsid w:val="00E829F7"/>
    <w:rsid w:val="00E8359A"/>
    <w:rsid w:val="00E83956"/>
    <w:rsid w:val="00E839D8"/>
    <w:rsid w:val="00E8416D"/>
    <w:rsid w:val="00E84BB3"/>
    <w:rsid w:val="00E8593E"/>
    <w:rsid w:val="00E859FE"/>
    <w:rsid w:val="00E85A47"/>
    <w:rsid w:val="00E860CB"/>
    <w:rsid w:val="00E864BC"/>
    <w:rsid w:val="00E86585"/>
    <w:rsid w:val="00E866BE"/>
    <w:rsid w:val="00E86AF7"/>
    <w:rsid w:val="00E87013"/>
    <w:rsid w:val="00E8795E"/>
    <w:rsid w:val="00E87DFA"/>
    <w:rsid w:val="00E90610"/>
    <w:rsid w:val="00E90696"/>
    <w:rsid w:val="00E90879"/>
    <w:rsid w:val="00E909DB"/>
    <w:rsid w:val="00E910EA"/>
    <w:rsid w:val="00E91195"/>
    <w:rsid w:val="00E9140A"/>
    <w:rsid w:val="00E916FC"/>
    <w:rsid w:val="00E91D78"/>
    <w:rsid w:val="00E91F0F"/>
    <w:rsid w:val="00E91FC9"/>
    <w:rsid w:val="00E920E8"/>
    <w:rsid w:val="00E92500"/>
    <w:rsid w:val="00E92AB7"/>
    <w:rsid w:val="00E9333E"/>
    <w:rsid w:val="00E93694"/>
    <w:rsid w:val="00E93711"/>
    <w:rsid w:val="00E93CC2"/>
    <w:rsid w:val="00E945DD"/>
    <w:rsid w:val="00E94614"/>
    <w:rsid w:val="00E947E1"/>
    <w:rsid w:val="00E9493C"/>
    <w:rsid w:val="00E949BA"/>
    <w:rsid w:val="00E94C8B"/>
    <w:rsid w:val="00E95027"/>
    <w:rsid w:val="00E95585"/>
    <w:rsid w:val="00E9563F"/>
    <w:rsid w:val="00E95854"/>
    <w:rsid w:val="00E9641A"/>
    <w:rsid w:val="00E9663C"/>
    <w:rsid w:val="00E967E0"/>
    <w:rsid w:val="00E96AFE"/>
    <w:rsid w:val="00E96BAE"/>
    <w:rsid w:val="00E9716B"/>
    <w:rsid w:val="00E9725E"/>
    <w:rsid w:val="00E975E2"/>
    <w:rsid w:val="00E9776E"/>
    <w:rsid w:val="00E9777F"/>
    <w:rsid w:val="00E97A94"/>
    <w:rsid w:val="00E97FB3"/>
    <w:rsid w:val="00EA0259"/>
    <w:rsid w:val="00EA045F"/>
    <w:rsid w:val="00EA055E"/>
    <w:rsid w:val="00EA0B3B"/>
    <w:rsid w:val="00EA0C8B"/>
    <w:rsid w:val="00EA119F"/>
    <w:rsid w:val="00EA1328"/>
    <w:rsid w:val="00EA13D7"/>
    <w:rsid w:val="00EA1737"/>
    <w:rsid w:val="00EA2221"/>
    <w:rsid w:val="00EA271E"/>
    <w:rsid w:val="00EA2997"/>
    <w:rsid w:val="00EA2CAD"/>
    <w:rsid w:val="00EA34A4"/>
    <w:rsid w:val="00EA34CA"/>
    <w:rsid w:val="00EA3C52"/>
    <w:rsid w:val="00EA5A19"/>
    <w:rsid w:val="00EA5BBB"/>
    <w:rsid w:val="00EA63A6"/>
    <w:rsid w:val="00EA644F"/>
    <w:rsid w:val="00EA688C"/>
    <w:rsid w:val="00EA6B1E"/>
    <w:rsid w:val="00EA6BE6"/>
    <w:rsid w:val="00EA6F51"/>
    <w:rsid w:val="00EA7236"/>
    <w:rsid w:val="00EA749C"/>
    <w:rsid w:val="00EA7B41"/>
    <w:rsid w:val="00EA7B9F"/>
    <w:rsid w:val="00EA7F5F"/>
    <w:rsid w:val="00EB0019"/>
    <w:rsid w:val="00EB01AE"/>
    <w:rsid w:val="00EB03C6"/>
    <w:rsid w:val="00EB055F"/>
    <w:rsid w:val="00EB0608"/>
    <w:rsid w:val="00EB092F"/>
    <w:rsid w:val="00EB0EDC"/>
    <w:rsid w:val="00EB0FF3"/>
    <w:rsid w:val="00EB2179"/>
    <w:rsid w:val="00EB26B0"/>
    <w:rsid w:val="00EB290D"/>
    <w:rsid w:val="00EB2B26"/>
    <w:rsid w:val="00EB371E"/>
    <w:rsid w:val="00EB3907"/>
    <w:rsid w:val="00EB3A18"/>
    <w:rsid w:val="00EB4347"/>
    <w:rsid w:val="00EB485E"/>
    <w:rsid w:val="00EB4A1C"/>
    <w:rsid w:val="00EB4F9B"/>
    <w:rsid w:val="00EB5485"/>
    <w:rsid w:val="00EB54A2"/>
    <w:rsid w:val="00EB54B6"/>
    <w:rsid w:val="00EB5507"/>
    <w:rsid w:val="00EB585C"/>
    <w:rsid w:val="00EB5E2C"/>
    <w:rsid w:val="00EB6070"/>
    <w:rsid w:val="00EB62C2"/>
    <w:rsid w:val="00EB6AE4"/>
    <w:rsid w:val="00EB7041"/>
    <w:rsid w:val="00EB708C"/>
    <w:rsid w:val="00EB752F"/>
    <w:rsid w:val="00EB75EB"/>
    <w:rsid w:val="00EB7A76"/>
    <w:rsid w:val="00EB7BB6"/>
    <w:rsid w:val="00EB7D6B"/>
    <w:rsid w:val="00EC0280"/>
    <w:rsid w:val="00EC0926"/>
    <w:rsid w:val="00EC0F0E"/>
    <w:rsid w:val="00EC13ED"/>
    <w:rsid w:val="00EC170E"/>
    <w:rsid w:val="00EC17A6"/>
    <w:rsid w:val="00EC1867"/>
    <w:rsid w:val="00EC1A03"/>
    <w:rsid w:val="00EC1FC5"/>
    <w:rsid w:val="00EC217B"/>
    <w:rsid w:val="00EC24E1"/>
    <w:rsid w:val="00EC2B93"/>
    <w:rsid w:val="00EC2E6B"/>
    <w:rsid w:val="00EC31D6"/>
    <w:rsid w:val="00EC3467"/>
    <w:rsid w:val="00EC36E4"/>
    <w:rsid w:val="00EC38D4"/>
    <w:rsid w:val="00EC3C46"/>
    <w:rsid w:val="00EC4280"/>
    <w:rsid w:val="00EC430A"/>
    <w:rsid w:val="00EC4689"/>
    <w:rsid w:val="00EC50C8"/>
    <w:rsid w:val="00EC5A0D"/>
    <w:rsid w:val="00EC5A5B"/>
    <w:rsid w:val="00EC6573"/>
    <w:rsid w:val="00EC662C"/>
    <w:rsid w:val="00EC6D93"/>
    <w:rsid w:val="00EC6E6D"/>
    <w:rsid w:val="00EC6EC3"/>
    <w:rsid w:val="00EC6F79"/>
    <w:rsid w:val="00EC7010"/>
    <w:rsid w:val="00EC71EE"/>
    <w:rsid w:val="00EC7BD7"/>
    <w:rsid w:val="00EC7CE3"/>
    <w:rsid w:val="00EC7FCF"/>
    <w:rsid w:val="00ED05D1"/>
    <w:rsid w:val="00ED0797"/>
    <w:rsid w:val="00ED0873"/>
    <w:rsid w:val="00ED17F5"/>
    <w:rsid w:val="00ED1E94"/>
    <w:rsid w:val="00ED1FF8"/>
    <w:rsid w:val="00ED2186"/>
    <w:rsid w:val="00ED2268"/>
    <w:rsid w:val="00ED2304"/>
    <w:rsid w:val="00ED2813"/>
    <w:rsid w:val="00ED3D11"/>
    <w:rsid w:val="00ED49A8"/>
    <w:rsid w:val="00ED4E42"/>
    <w:rsid w:val="00ED54DF"/>
    <w:rsid w:val="00ED552E"/>
    <w:rsid w:val="00ED5584"/>
    <w:rsid w:val="00ED55C4"/>
    <w:rsid w:val="00ED5817"/>
    <w:rsid w:val="00ED5C9F"/>
    <w:rsid w:val="00ED6278"/>
    <w:rsid w:val="00ED6490"/>
    <w:rsid w:val="00ED746A"/>
    <w:rsid w:val="00ED748A"/>
    <w:rsid w:val="00ED7557"/>
    <w:rsid w:val="00ED7C6C"/>
    <w:rsid w:val="00EE0948"/>
    <w:rsid w:val="00EE0DB5"/>
    <w:rsid w:val="00EE1313"/>
    <w:rsid w:val="00EE17F7"/>
    <w:rsid w:val="00EE283F"/>
    <w:rsid w:val="00EE2FB7"/>
    <w:rsid w:val="00EE374B"/>
    <w:rsid w:val="00EE3FE2"/>
    <w:rsid w:val="00EE3FFA"/>
    <w:rsid w:val="00EE419F"/>
    <w:rsid w:val="00EE4332"/>
    <w:rsid w:val="00EE4820"/>
    <w:rsid w:val="00EE53B2"/>
    <w:rsid w:val="00EE5420"/>
    <w:rsid w:val="00EE542E"/>
    <w:rsid w:val="00EE55A9"/>
    <w:rsid w:val="00EE55AE"/>
    <w:rsid w:val="00EE5639"/>
    <w:rsid w:val="00EE5819"/>
    <w:rsid w:val="00EE6072"/>
    <w:rsid w:val="00EE6376"/>
    <w:rsid w:val="00EE6E23"/>
    <w:rsid w:val="00EE7C2E"/>
    <w:rsid w:val="00EE7D10"/>
    <w:rsid w:val="00EF00AE"/>
    <w:rsid w:val="00EF0440"/>
    <w:rsid w:val="00EF072C"/>
    <w:rsid w:val="00EF083F"/>
    <w:rsid w:val="00EF0930"/>
    <w:rsid w:val="00EF0AF1"/>
    <w:rsid w:val="00EF0CF0"/>
    <w:rsid w:val="00EF0D38"/>
    <w:rsid w:val="00EF1041"/>
    <w:rsid w:val="00EF1170"/>
    <w:rsid w:val="00EF1320"/>
    <w:rsid w:val="00EF1895"/>
    <w:rsid w:val="00EF1DEF"/>
    <w:rsid w:val="00EF1EF5"/>
    <w:rsid w:val="00EF20A1"/>
    <w:rsid w:val="00EF226D"/>
    <w:rsid w:val="00EF282D"/>
    <w:rsid w:val="00EF2972"/>
    <w:rsid w:val="00EF2B2E"/>
    <w:rsid w:val="00EF3A76"/>
    <w:rsid w:val="00EF3F5C"/>
    <w:rsid w:val="00EF3FCE"/>
    <w:rsid w:val="00EF43EA"/>
    <w:rsid w:val="00EF461C"/>
    <w:rsid w:val="00EF47FD"/>
    <w:rsid w:val="00EF4A7D"/>
    <w:rsid w:val="00EF4E4D"/>
    <w:rsid w:val="00EF5692"/>
    <w:rsid w:val="00EF5756"/>
    <w:rsid w:val="00EF595A"/>
    <w:rsid w:val="00EF657E"/>
    <w:rsid w:val="00EF6AF2"/>
    <w:rsid w:val="00EF6AF8"/>
    <w:rsid w:val="00EF6B42"/>
    <w:rsid w:val="00EF721E"/>
    <w:rsid w:val="00EF74B2"/>
    <w:rsid w:val="00F0048A"/>
    <w:rsid w:val="00F006B5"/>
    <w:rsid w:val="00F00F2C"/>
    <w:rsid w:val="00F017BE"/>
    <w:rsid w:val="00F01CC1"/>
    <w:rsid w:val="00F01CCF"/>
    <w:rsid w:val="00F03747"/>
    <w:rsid w:val="00F03C55"/>
    <w:rsid w:val="00F04394"/>
    <w:rsid w:val="00F045F8"/>
    <w:rsid w:val="00F0465F"/>
    <w:rsid w:val="00F054A0"/>
    <w:rsid w:val="00F0573A"/>
    <w:rsid w:val="00F058CE"/>
    <w:rsid w:val="00F05973"/>
    <w:rsid w:val="00F05E4D"/>
    <w:rsid w:val="00F06346"/>
    <w:rsid w:val="00F06794"/>
    <w:rsid w:val="00F06943"/>
    <w:rsid w:val="00F06BDB"/>
    <w:rsid w:val="00F0703D"/>
    <w:rsid w:val="00F07B24"/>
    <w:rsid w:val="00F10AB1"/>
    <w:rsid w:val="00F10E8D"/>
    <w:rsid w:val="00F10F00"/>
    <w:rsid w:val="00F122FC"/>
    <w:rsid w:val="00F12683"/>
    <w:rsid w:val="00F1299D"/>
    <w:rsid w:val="00F129EF"/>
    <w:rsid w:val="00F1384F"/>
    <w:rsid w:val="00F13959"/>
    <w:rsid w:val="00F13E8C"/>
    <w:rsid w:val="00F13EE5"/>
    <w:rsid w:val="00F15AA3"/>
    <w:rsid w:val="00F17190"/>
    <w:rsid w:val="00F17454"/>
    <w:rsid w:val="00F1776E"/>
    <w:rsid w:val="00F2035C"/>
    <w:rsid w:val="00F20EDE"/>
    <w:rsid w:val="00F20F44"/>
    <w:rsid w:val="00F2132C"/>
    <w:rsid w:val="00F2133C"/>
    <w:rsid w:val="00F213F6"/>
    <w:rsid w:val="00F2155E"/>
    <w:rsid w:val="00F2159F"/>
    <w:rsid w:val="00F217D6"/>
    <w:rsid w:val="00F21813"/>
    <w:rsid w:val="00F21C1B"/>
    <w:rsid w:val="00F2279B"/>
    <w:rsid w:val="00F227A7"/>
    <w:rsid w:val="00F2364A"/>
    <w:rsid w:val="00F24393"/>
    <w:rsid w:val="00F2498D"/>
    <w:rsid w:val="00F24E5B"/>
    <w:rsid w:val="00F252B9"/>
    <w:rsid w:val="00F2566C"/>
    <w:rsid w:val="00F25E9B"/>
    <w:rsid w:val="00F25F58"/>
    <w:rsid w:val="00F262E7"/>
    <w:rsid w:val="00F26304"/>
    <w:rsid w:val="00F26312"/>
    <w:rsid w:val="00F26528"/>
    <w:rsid w:val="00F26F06"/>
    <w:rsid w:val="00F275AF"/>
    <w:rsid w:val="00F27DEF"/>
    <w:rsid w:val="00F3086D"/>
    <w:rsid w:val="00F316D1"/>
    <w:rsid w:val="00F3188D"/>
    <w:rsid w:val="00F324FB"/>
    <w:rsid w:val="00F32679"/>
    <w:rsid w:val="00F32BE0"/>
    <w:rsid w:val="00F32FD3"/>
    <w:rsid w:val="00F330A6"/>
    <w:rsid w:val="00F34622"/>
    <w:rsid w:val="00F34B01"/>
    <w:rsid w:val="00F34D05"/>
    <w:rsid w:val="00F3654A"/>
    <w:rsid w:val="00F374BC"/>
    <w:rsid w:val="00F37741"/>
    <w:rsid w:val="00F379D0"/>
    <w:rsid w:val="00F37C3B"/>
    <w:rsid w:val="00F37CE2"/>
    <w:rsid w:val="00F37CFF"/>
    <w:rsid w:val="00F37FA6"/>
    <w:rsid w:val="00F40078"/>
    <w:rsid w:val="00F40150"/>
    <w:rsid w:val="00F405F8"/>
    <w:rsid w:val="00F40932"/>
    <w:rsid w:val="00F40C26"/>
    <w:rsid w:val="00F40DC1"/>
    <w:rsid w:val="00F40E20"/>
    <w:rsid w:val="00F40EA9"/>
    <w:rsid w:val="00F410AD"/>
    <w:rsid w:val="00F419E6"/>
    <w:rsid w:val="00F419FB"/>
    <w:rsid w:val="00F41B54"/>
    <w:rsid w:val="00F41D8C"/>
    <w:rsid w:val="00F41E1F"/>
    <w:rsid w:val="00F4210E"/>
    <w:rsid w:val="00F4224F"/>
    <w:rsid w:val="00F42465"/>
    <w:rsid w:val="00F42DB2"/>
    <w:rsid w:val="00F431B6"/>
    <w:rsid w:val="00F4346F"/>
    <w:rsid w:val="00F435BA"/>
    <w:rsid w:val="00F43680"/>
    <w:rsid w:val="00F43A7A"/>
    <w:rsid w:val="00F43FD1"/>
    <w:rsid w:val="00F4454E"/>
    <w:rsid w:val="00F446A9"/>
    <w:rsid w:val="00F44996"/>
    <w:rsid w:val="00F458CE"/>
    <w:rsid w:val="00F45B91"/>
    <w:rsid w:val="00F45DE8"/>
    <w:rsid w:val="00F46142"/>
    <w:rsid w:val="00F46540"/>
    <w:rsid w:val="00F470B5"/>
    <w:rsid w:val="00F473CF"/>
    <w:rsid w:val="00F47636"/>
    <w:rsid w:val="00F47B9D"/>
    <w:rsid w:val="00F5035D"/>
    <w:rsid w:val="00F508C3"/>
    <w:rsid w:val="00F50A22"/>
    <w:rsid w:val="00F50DBE"/>
    <w:rsid w:val="00F51B7C"/>
    <w:rsid w:val="00F51CDE"/>
    <w:rsid w:val="00F51FDD"/>
    <w:rsid w:val="00F528C3"/>
    <w:rsid w:val="00F52A10"/>
    <w:rsid w:val="00F52BA9"/>
    <w:rsid w:val="00F52C76"/>
    <w:rsid w:val="00F52D7B"/>
    <w:rsid w:val="00F533D6"/>
    <w:rsid w:val="00F5411D"/>
    <w:rsid w:val="00F5423E"/>
    <w:rsid w:val="00F543CA"/>
    <w:rsid w:val="00F54401"/>
    <w:rsid w:val="00F544CA"/>
    <w:rsid w:val="00F5452B"/>
    <w:rsid w:val="00F54595"/>
    <w:rsid w:val="00F5459F"/>
    <w:rsid w:val="00F54AE5"/>
    <w:rsid w:val="00F54FDA"/>
    <w:rsid w:val="00F55119"/>
    <w:rsid w:val="00F5516D"/>
    <w:rsid w:val="00F555EF"/>
    <w:rsid w:val="00F56040"/>
    <w:rsid w:val="00F5653E"/>
    <w:rsid w:val="00F5678D"/>
    <w:rsid w:val="00F56A9F"/>
    <w:rsid w:val="00F56B48"/>
    <w:rsid w:val="00F56C14"/>
    <w:rsid w:val="00F56FF3"/>
    <w:rsid w:val="00F605B0"/>
    <w:rsid w:val="00F60C4E"/>
    <w:rsid w:val="00F60EED"/>
    <w:rsid w:val="00F615AD"/>
    <w:rsid w:val="00F61863"/>
    <w:rsid w:val="00F6194C"/>
    <w:rsid w:val="00F61A52"/>
    <w:rsid w:val="00F61DAC"/>
    <w:rsid w:val="00F61E7F"/>
    <w:rsid w:val="00F62016"/>
    <w:rsid w:val="00F62D4F"/>
    <w:rsid w:val="00F64279"/>
    <w:rsid w:val="00F6436E"/>
    <w:rsid w:val="00F64654"/>
    <w:rsid w:val="00F647A1"/>
    <w:rsid w:val="00F65131"/>
    <w:rsid w:val="00F656AB"/>
    <w:rsid w:val="00F6587B"/>
    <w:rsid w:val="00F65B6E"/>
    <w:rsid w:val="00F65DB7"/>
    <w:rsid w:val="00F65EE1"/>
    <w:rsid w:val="00F65FC5"/>
    <w:rsid w:val="00F6615D"/>
    <w:rsid w:val="00F6669A"/>
    <w:rsid w:val="00F67178"/>
    <w:rsid w:val="00F67427"/>
    <w:rsid w:val="00F67686"/>
    <w:rsid w:val="00F67BA7"/>
    <w:rsid w:val="00F701D4"/>
    <w:rsid w:val="00F70298"/>
    <w:rsid w:val="00F703D3"/>
    <w:rsid w:val="00F70675"/>
    <w:rsid w:val="00F706A8"/>
    <w:rsid w:val="00F70755"/>
    <w:rsid w:val="00F70E5D"/>
    <w:rsid w:val="00F710C2"/>
    <w:rsid w:val="00F71185"/>
    <w:rsid w:val="00F71738"/>
    <w:rsid w:val="00F71843"/>
    <w:rsid w:val="00F71FB2"/>
    <w:rsid w:val="00F726F2"/>
    <w:rsid w:val="00F729C2"/>
    <w:rsid w:val="00F73C20"/>
    <w:rsid w:val="00F74913"/>
    <w:rsid w:val="00F7495C"/>
    <w:rsid w:val="00F74A93"/>
    <w:rsid w:val="00F74F66"/>
    <w:rsid w:val="00F7527F"/>
    <w:rsid w:val="00F7538C"/>
    <w:rsid w:val="00F7554D"/>
    <w:rsid w:val="00F755EC"/>
    <w:rsid w:val="00F75ABA"/>
    <w:rsid w:val="00F75EAD"/>
    <w:rsid w:val="00F76592"/>
    <w:rsid w:val="00F765A7"/>
    <w:rsid w:val="00F768A1"/>
    <w:rsid w:val="00F768E5"/>
    <w:rsid w:val="00F76F2B"/>
    <w:rsid w:val="00F775AC"/>
    <w:rsid w:val="00F778AB"/>
    <w:rsid w:val="00F80A2F"/>
    <w:rsid w:val="00F81335"/>
    <w:rsid w:val="00F819EB"/>
    <w:rsid w:val="00F82159"/>
    <w:rsid w:val="00F82171"/>
    <w:rsid w:val="00F83087"/>
    <w:rsid w:val="00F8375B"/>
    <w:rsid w:val="00F83A97"/>
    <w:rsid w:val="00F83D7C"/>
    <w:rsid w:val="00F83F22"/>
    <w:rsid w:val="00F840ED"/>
    <w:rsid w:val="00F84481"/>
    <w:rsid w:val="00F8475A"/>
    <w:rsid w:val="00F8498D"/>
    <w:rsid w:val="00F84A0D"/>
    <w:rsid w:val="00F84D3C"/>
    <w:rsid w:val="00F850FF"/>
    <w:rsid w:val="00F8524A"/>
    <w:rsid w:val="00F855AC"/>
    <w:rsid w:val="00F85BF9"/>
    <w:rsid w:val="00F85DC2"/>
    <w:rsid w:val="00F85FCE"/>
    <w:rsid w:val="00F8672C"/>
    <w:rsid w:val="00F86B15"/>
    <w:rsid w:val="00F9038A"/>
    <w:rsid w:val="00F90611"/>
    <w:rsid w:val="00F90855"/>
    <w:rsid w:val="00F90C37"/>
    <w:rsid w:val="00F90C3F"/>
    <w:rsid w:val="00F90C7F"/>
    <w:rsid w:val="00F9106A"/>
    <w:rsid w:val="00F9131E"/>
    <w:rsid w:val="00F916C0"/>
    <w:rsid w:val="00F9258B"/>
    <w:rsid w:val="00F92865"/>
    <w:rsid w:val="00F92E65"/>
    <w:rsid w:val="00F936D4"/>
    <w:rsid w:val="00F936F5"/>
    <w:rsid w:val="00F93E09"/>
    <w:rsid w:val="00F93EF5"/>
    <w:rsid w:val="00F943C3"/>
    <w:rsid w:val="00F94923"/>
    <w:rsid w:val="00F94DCB"/>
    <w:rsid w:val="00F95102"/>
    <w:rsid w:val="00F96561"/>
    <w:rsid w:val="00F96D2A"/>
    <w:rsid w:val="00F97156"/>
    <w:rsid w:val="00F97177"/>
    <w:rsid w:val="00F9719B"/>
    <w:rsid w:val="00F9733C"/>
    <w:rsid w:val="00F973BF"/>
    <w:rsid w:val="00F97416"/>
    <w:rsid w:val="00F9772D"/>
    <w:rsid w:val="00F97E97"/>
    <w:rsid w:val="00FA0289"/>
    <w:rsid w:val="00FA02C0"/>
    <w:rsid w:val="00FA0DE4"/>
    <w:rsid w:val="00FA0DF4"/>
    <w:rsid w:val="00FA107F"/>
    <w:rsid w:val="00FA1B45"/>
    <w:rsid w:val="00FA21C2"/>
    <w:rsid w:val="00FA2699"/>
    <w:rsid w:val="00FA27F1"/>
    <w:rsid w:val="00FA3950"/>
    <w:rsid w:val="00FA3BFD"/>
    <w:rsid w:val="00FA3D36"/>
    <w:rsid w:val="00FA4521"/>
    <w:rsid w:val="00FA5273"/>
    <w:rsid w:val="00FA5410"/>
    <w:rsid w:val="00FA5437"/>
    <w:rsid w:val="00FA5A86"/>
    <w:rsid w:val="00FA5AEE"/>
    <w:rsid w:val="00FA60C5"/>
    <w:rsid w:val="00FA7F97"/>
    <w:rsid w:val="00FB0A60"/>
    <w:rsid w:val="00FB0A63"/>
    <w:rsid w:val="00FB0D76"/>
    <w:rsid w:val="00FB0DF4"/>
    <w:rsid w:val="00FB1602"/>
    <w:rsid w:val="00FB18F2"/>
    <w:rsid w:val="00FB25F6"/>
    <w:rsid w:val="00FB28CA"/>
    <w:rsid w:val="00FB2A42"/>
    <w:rsid w:val="00FB3173"/>
    <w:rsid w:val="00FB353E"/>
    <w:rsid w:val="00FB358A"/>
    <w:rsid w:val="00FB37E6"/>
    <w:rsid w:val="00FB3B4B"/>
    <w:rsid w:val="00FB3FC9"/>
    <w:rsid w:val="00FB4053"/>
    <w:rsid w:val="00FB4154"/>
    <w:rsid w:val="00FB4C62"/>
    <w:rsid w:val="00FB4CE0"/>
    <w:rsid w:val="00FB5C08"/>
    <w:rsid w:val="00FB5C7A"/>
    <w:rsid w:val="00FB619A"/>
    <w:rsid w:val="00FB6363"/>
    <w:rsid w:val="00FB66F7"/>
    <w:rsid w:val="00FB6F6C"/>
    <w:rsid w:val="00FB7138"/>
    <w:rsid w:val="00FB76EB"/>
    <w:rsid w:val="00FB7AD1"/>
    <w:rsid w:val="00FC0574"/>
    <w:rsid w:val="00FC057B"/>
    <w:rsid w:val="00FC0A83"/>
    <w:rsid w:val="00FC0B65"/>
    <w:rsid w:val="00FC0DF5"/>
    <w:rsid w:val="00FC0EB7"/>
    <w:rsid w:val="00FC0FBF"/>
    <w:rsid w:val="00FC1002"/>
    <w:rsid w:val="00FC1247"/>
    <w:rsid w:val="00FC13FD"/>
    <w:rsid w:val="00FC159D"/>
    <w:rsid w:val="00FC19E5"/>
    <w:rsid w:val="00FC2194"/>
    <w:rsid w:val="00FC245C"/>
    <w:rsid w:val="00FC25CF"/>
    <w:rsid w:val="00FC3096"/>
    <w:rsid w:val="00FC30D8"/>
    <w:rsid w:val="00FC323C"/>
    <w:rsid w:val="00FC3E38"/>
    <w:rsid w:val="00FC42E3"/>
    <w:rsid w:val="00FC4436"/>
    <w:rsid w:val="00FC4D95"/>
    <w:rsid w:val="00FC4F98"/>
    <w:rsid w:val="00FC539E"/>
    <w:rsid w:val="00FC5A40"/>
    <w:rsid w:val="00FC5E6B"/>
    <w:rsid w:val="00FC65CE"/>
    <w:rsid w:val="00FC75ED"/>
    <w:rsid w:val="00FC77CC"/>
    <w:rsid w:val="00FC7A83"/>
    <w:rsid w:val="00FC7D72"/>
    <w:rsid w:val="00FD0A05"/>
    <w:rsid w:val="00FD19F9"/>
    <w:rsid w:val="00FD1C07"/>
    <w:rsid w:val="00FD25EF"/>
    <w:rsid w:val="00FD2A15"/>
    <w:rsid w:val="00FD31E6"/>
    <w:rsid w:val="00FD3370"/>
    <w:rsid w:val="00FD3BD6"/>
    <w:rsid w:val="00FD46C0"/>
    <w:rsid w:val="00FD47C7"/>
    <w:rsid w:val="00FD4991"/>
    <w:rsid w:val="00FD4CDC"/>
    <w:rsid w:val="00FD53E9"/>
    <w:rsid w:val="00FD5BD4"/>
    <w:rsid w:val="00FD5D34"/>
    <w:rsid w:val="00FD6546"/>
    <w:rsid w:val="00FD667E"/>
    <w:rsid w:val="00FD66AB"/>
    <w:rsid w:val="00FD66E3"/>
    <w:rsid w:val="00FD6A47"/>
    <w:rsid w:val="00FD6AD0"/>
    <w:rsid w:val="00FD6BDC"/>
    <w:rsid w:val="00FD6C4E"/>
    <w:rsid w:val="00FD6C50"/>
    <w:rsid w:val="00FD777E"/>
    <w:rsid w:val="00FE05B7"/>
    <w:rsid w:val="00FE09C8"/>
    <w:rsid w:val="00FE0A53"/>
    <w:rsid w:val="00FE1389"/>
    <w:rsid w:val="00FE16FB"/>
    <w:rsid w:val="00FE1BA4"/>
    <w:rsid w:val="00FE1FC1"/>
    <w:rsid w:val="00FE24CA"/>
    <w:rsid w:val="00FE261A"/>
    <w:rsid w:val="00FE2A9E"/>
    <w:rsid w:val="00FE316A"/>
    <w:rsid w:val="00FE320C"/>
    <w:rsid w:val="00FE3780"/>
    <w:rsid w:val="00FE3F1F"/>
    <w:rsid w:val="00FE4533"/>
    <w:rsid w:val="00FE4C03"/>
    <w:rsid w:val="00FE4FA6"/>
    <w:rsid w:val="00FE50E6"/>
    <w:rsid w:val="00FE551F"/>
    <w:rsid w:val="00FE65DC"/>
    <w:rsid w:val="00FE67A6"/>
    <w:rsid w:val="00FE6B6F"/>
    <w:rsid w:val="00FE6DC3"/>
    <w:rsid w:val="00FE708F"/>
    <w:rsid w:val="00FE719E"/>
    <w:rsid w:val="00FE763E"/>
    <w:rsid w:val="00FE773B"/>
    <w:rsid w:val="00FE7C4A"/>
    <w:rsid w:val="00FE7EAA"/>
    <w:rsid w:val="00FF00C6"/>
    <w:rsid w:val="00FF0B2F"/>
    <w:rsid w:val="00FF205F"/>
    <w:rsid w:val="00FF20CF"/>
    <w:rsid w:val="00FF2188"/>
    <w:rsid w:val="00FF2357"/>
    <w:rsid w:val="00FF2413"/>
    <w:rsid w:val="00FF2B6C"/>
    <w:rsid w:val="00FF35DE"/>
    <w:rsid w:val="00FF3AF0"/>
    <w:rsid w:val="00FF3C36"/>
    <w:rsid w:val="00FF3C37"/>
    <w:rsid w:val="00FF3F7A"/>
    <w:rsid w:val="00FF409E"/>
    <w:rsid w:val="00FF42CF"/>
    <w:rsid w:val="00FF4489"/>
    <w:rsid w:val="00FF474F"/>
    <w:rsid w:val="00FF4DF6"/>
    <w:rsid w:val="00FF5756"/>
    <w:rsid w:val="00FF5960"/>
    <w:rsid w:val="00FF5E98"/>
    <w:rsid w:val="00FF5F7C"/>
    <w:rsid w:val="00FF66B4"/>
    <w:rsid w:val="00FF66BE"/>
    <w:rsid w:val="00FF6C6B"/>
    <w:rsid w:val="00FF6FE4"/>
    <w:rsid w:val="00FF77A5"/>
  </w:rsids>
  <m:mathPr>
    <m:mathFont m:val="Cambria Math"/>
    <m:brkBin m:val="before"/>
    <m:brkBinSub m:val="--"/>
    <m:smallFrac/>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69633"/>
    <o:shapelayout v:ext="edit">
      <o:idmap v:ext="edit" data="1"/>
    </o:shapelayout>
  </w:shapeDefaults>
  <w:decimalSymbol w:val=","/>
  <w:listSeparator w:val=";"/>
  <w14:docId w14:val="65904294"/>
  <w15:docId w15:val="{BCEAFDEB-73C4-4F8C-AFBC-4B9090361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sz w:val="24"/>
        <w:szCs w:val="22"/>
        <w:lang w:val="bg-BG" w:eastAsia="bg-BG" w:bidi="ar-SA"/>
      </w:rPr>
    </w:rPrDefault>
    <w:pPrDefault>
      <w:pPr>
        <w:spacing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2B0E"/>
  </w:style>
  <w:style w:type="paragraph" w:styleId="Heading1">
    <w:name w:val="heading 1"/>
    <w:basedOn w:val="Normal"/>
    <w:next w:val="Normal"/>
    <w:link w:val="Heading1Char"/>
    <w:uiPriority w:val="9"/>
    <w:qFormat/>
    <w:rsid w:val="00B552D5"/>
    <w:pPr>
      <w:keepNext/>
      <w:keepLines/>
      <w:pageBreakBefore/>
      <w:numPr>
        <w:numId w:val="1"/>
      </w:numPr>
      <w:tabs>
        <w:tab w:val="left" w:pos="709"/>
      </w:tabs>
      <w:spacing w:before="600" w:after="1200" w:line="216" w:lineRule="auto"/>
      <w:ind w:hanging="709"/>
      <w:jc w:val="left"/>
      <w:outlineLvl w:val="0"/>
    </w:pPr>
    <w:rPr>
      <w:bCs/>
      <w:smallCaps/>
      <w:color w:val="0D78CA" w:themeColor="background2" w:themeShade="80"/>
      <w:sz w:val="56"/>
      <w:szCs w:val="28"/>
    </w:rPr>
  </w:style>
  <w:style w:type="paragraph" w:styleId="Heading2">
    <w:name w:val="heading 2"/>
    <w:basedOn w:val="Normal"/>
    <w:next w:val="Normal"/>
    <w:link w:val="Heading2Char"/>
    <w:uiPriority w:val="9"/>
    <w:unhideWhenUsed/>
    <w:qFormat/>
    <w:rsid w:val="00EE53B2"/>
    <w:pPr>
      <w:keepNext/>
      <w:keepLines/>
      <w:numPr>
        <w:ilvl w:val="1"/>
        <w:numId w:val="1"/>
      </w:numPr>
      <w:spacing w:before="240" w:after="240"/>
      <w:ind w:hanging="718"/>
      <w:jc w:val="left"/>
      <w:outlineLvl w:val="1"/>
    </w:pPr>
    <w:rPr>
      <w:b/>
      <w:bCs/>
      <w:color w:val="0D78CA" w:themeColor="background2" w:themeShade="80"/>
      <w:sz w:val="26"/>
      <w:szCs w:val="26"/>
    </w:rPr>
  </w:style>
  <w:style w:type="paragraph" w:styleId="Heading3">
    <w:name w:val="heading 3"/>
    <w:basedOn w:val="Normal"/>
    <w:next w:val="Normal"/>
    <w:link w:val="Heading3Char"/>
    <w:uiPriority w:val="9"/>
    <w:unhideWhenUsed/>
    <w:qFormat/>
    <w:rsid w:val="00B552D5"/>
    <w:pPr>
      <w:keepNext/>
      <w:keepLines/>
      <w:numPr>
        <w:ilvl w:val="2"/>
        <w:numId w:val="1"/>
      </w:numPr>
      <w:tabs>
        <w:tab w:val="left" w:pos="357"/>
      </w:tabs>
      <w:spacing w:before="240"/>
      <w:ind w:left="720"/>
      <w:jc w:val="left"/>
      <w:outlineLvl w:val="2"/>
    </w:pPr>
    <w:rPr>
      <w:b/>
      <w:bCs/>
      <w:color w:val="0D78CA" w:themeColor="background2" w:themeShade="80"/>
      <w:szCs w:val="20"/>
    </w:rPr>
  </w:style>
  <w:style w:type="paragraph" w:styleId="Heading4">
    <w:name w:val="heading 4"/>
    <w:basedOn w:val="Normal"/>
    <w:next w:val="Normal"/>
    <w:link w:val="Heading4Char"/>
    <w:uiPriority w:val="9"/>
    <w:unhideWhenUsed/>
    <w:qFormat/>
    <w:rsid w:val="00C0210D"/>
    <w:pPr>
      <w:keepNext/>
      <w:keepLines/>
      <w:numPr>
        <w:numId w:val="2"/>
      </w:numPr>
      <w:tabs>
        <w:tab w:val="left" w:pos="284"/>
      </w:tabs>
      <w:spacing w:before="200"/>
      <w:ind w:left="284" w:hanging="284"/>
      <w:jc w:val="left"/>
      <w:outlineLvl w:val="3"/>
    </w:pPr>
    <w:rPr>
      <w:rFonts w:asciiTheme="majorHAnsi" w:hAnsiTheme="majorHAnsi"/>
      <w:b/>
      <w:bCs/>
      <w:iCs/>
      <w:color w:val="0D78CA" w:themeColor="background2" w:themeShade="80"/>
      <w:szCs w:val="20"/>
    </w:rPr>
  </w:style>
  <w:style w:type="paragraph" w:styleId="Heading5">
    <w:name w:val="heading 5"/>
    <w:basedOn w:val="Normal"/>
    <w:next w:val="Normal"/>
    <w:link w:val="Heading5Char"/>
    <w:uiPriority w:val="9"/>
    <w:unhideWhenUsed/>
    <w:qFormat/>
    <w:rsid w:val="00666881"/>
    <w:pPr>
      <w:keepNext/>
      <w:keepLines/>
      <w:tabs>
        <w:tab w:val="left" w:pos="709"/>
      </w:tabs>
      <w:spacing w:before="200"/>
      <w:ind w:left="397"/>
      <w:outlineLvl w:val="4"/>
    </w:pPr>
    <w:rPr>
      <w:rFonts w:asciiTheme="majorHAnsi" w:eastAsiaTheme="majorEastAsia" w:hAnsiTheme="majorHAnsi" w:cstheme="majorBidi"/>
      <w:b/>
    </w:rPr>
  </w:style>
  <w:style w:type="paragraph" w:styleId="Heading6">
    <w:name w:val="heading 6"/>
    <w:basedOn w:val="Normal"/>
    <w:next w:val="Normal"/>
    <w:link w:val="Heading6Char"/>
    <w:uiPriority w:val="9"/>
    <w:unhideWhenUsed/>
    <w:qFormat/>
    <w:rsid w:val="00274467"/>
    <w:pPr>
      <w:keepNext/>
      <w:keepLines/>
      <w:numPr>
        <w:ilvl w:val="5"/>
        <w:numId w:val="1"/>
      </w:numPr>
      <w:spacing w:before="200" w:after="0"/>
      <w:outlineLvl w:val="5"/>
    </w:pPr>
    <w:rPr>
      <w:rFonts w:asciiTheme="majorHAnsi" w:eastAsiaTheme="majorEastAsia" w:hAnsiTheme="majorHAnsi" w:cstheme="majorBidi"/>
      <w:i/>
      <w:iCs/>
      <w:color w:val="202F69" w:themeColor="accent1" w:themeShade="7F"/>
    </w:rPr>
  </w:style>
  <w:style w:type="paragraph" w:styleId="Heading7">
    <w:name w:val="heading 7"/>
    <w:basedOn w:val="Normal"/>
    <w:next w:val="Normal"/>
    <w:link w:val="Heading7Char"/>
    <w:uiPriority w:val="9"/>
    <w:unhideWhenUsed/>
    <w:qFormat/>
    <w:rsid w:val="00E63A73"/>
    <w:pPr>
      <w:keepNext/>
      <w:keepLines/>
      <w:numPr>
        <w:ilvl w:val="6"/>
        <w:numId w:val="1"/>
      </w:numPr>
      <w:spacing w:before="200" w:after="0"/>
      <w:outlineLvl w:val="6"/>
    </w:pPr>
    <w:rPr>
      <w:rFonts w:ascii="Cambria" w:hAnsi="Cambria"/>
      <w:i/>
      <w:iCs/>
      <w:color w:val="404040"/>
      <w:sz w:val="20"/>
      <w:szCs w:val="20"/>
    </w:rPr>
  </w:style>
  <w:style w:type="paragraph" w:styleId="Heading8">
    <w:name w:val="heading 8"/>
    <w:basedOn w:val="Normal"/>
    <w:next w:val="Normal"/>
    <w:link w:val="Heading8Char"/>
    <w:uiPriority w:val="9"/>
    <w:unhideWhenUsed/>
    <w:qFormat/>
    <w:rsid w:val="00E63A73"/>
    <w:pPr>
      <w:keepNext/>
      <w:keepLines/>
      <w:numPr>
        <w:ilvl w:val="7"/>
        <w:numId w:val="1"/>
      </w:numPr>
      <w:spacing w:before="200" w:after="0"/>
      <w:outlineLvl w:val="7"/>
    </w:pPr>
    <w:rPr>
      <w:rFonts w:ascii="Cambria" w:hAnsi="Cambria"/>
      <w:color w:val="FE8637"/>
      <w:sz w:val="20"/>
      <w:szCs w:val="20"/>
    </w:rPr>
  </w:style>
  <w:style w:type="paragraph" w:styleId="Heading9">
    <w:name w:val="heading 9"/>
    <w:basedOn w:val="Normal"/>
    <w:next w:val="Normal"/>
    <w:link w:val="Heading9Char"/>
    <w:uiPriority w:val="9"/>
    <w:unhideWhenUsed/>
    <w:qFormat/>
    <w:rsid w:val="00E63A73"/>
    <w:pPr>
      <w:keepNext/>
      <w:keepLines/>
      <w:numPr>
        <w:ilvl w:val="8"/>
        <w:numId w:val="1"/>
      </w:numPr>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552D5"/>
    <w:rPr>
      <w:bCs/>
      <w:smallCaps/>
      <w:color w:val="0D78CA" w:themeColor="background2" w:themeShade="80"/>
      <w:sz w:val="56"/>
      <w:szCs w:val="28"/>
    </w:rPr>
  </w:style>
  <w:style w:type="character" w:customStyle="1" w:styleId="Heading2Char">
    <w:name w:val="Heading 2 Char"/>
    <w:link w:val="Heading2"/>
    <w:uiPriority w:val="9"/>
    <w:rsid w:val="00EE53B2"/>
    <w:rPr>
      <w:b/>
      <w:bCs/>
      <w:color w:val="0D78CA" w:themeColor="background2" w:themeShade="80"/>
      <w:sz w:val="26"/>
      <w:szCs w:val="26"/>
    </w:rPr>
  </w:style>
  <w:style w:type="character" w:customStyle="1" w:styleId="Heading3Char">
    <w:name w:val="Heading 3 Char"/>
    <w:link w:val="Heading3"/>
    <w:uiPriority w:val="9"/>
    <w:rsid w:val="00B552D5"/>
    <w:rPr>
      <w:b/>
      <w:bCs/>
      <w:color w:val="0D78CA" w:themeColor="background2" w:themeShade="80"/>
      <w:szCs w:val="20"/>
    </w:rPr>
  </w:style>
  <w:style w:type="character" w:customStyle="1" w:styleId="Heading7Char">
    <w:name w:val="Heading 7 Char"/>
    <w:link w:val="Heading7"/>
    <w:uiPriority w:val="9"/>
    <w:rsid w:val="00E63A73"/>
    <w:rPr>
      <w:rFonts w:ascii="Cambria" w:hAnsi="Cambria"/>
      <w:i/>
      <w:iCs/>
      <w:color w:val="404040"/>
      <w:sz w:val="20"/>
      <w:szCs w:val="20"/>
    </w:rPr>
  </w:style>
  <w:style w:type="character" w:customStyle="1" w:styleId="Heading8Char">
    <w:name w:val="Heading 8 Char"/>
    <w:link w:val="Heading8"/>
    <w:uiPriority w:val="9"/>
    <w:rsid w:val="00E63A73"/>
    <w:rPr>
      <w:rFonts w:ascii="Cambria" w:hAnsi="Cambria"/>
      <w:color w:val="FE8637"/>
      <w:sz w:val="20"/>
      <w:szCs w:val="20"/>
    </w:rPr>
  </w:style>
  <w:style w:type="character" w:customStyle="1" w:styleId="Heading9Char">
    <w:name w:val="Heading 9 Char"/>
    <w:link w:val="Heading9"/>
    <w:uiPriority w:val="9"/>
    <w:rsid w:val="00E63A73"/>
    <w:rPr>
      <w:rFonts w:ascii="Cambria" w:hAnsi="Cambria"/>
      <w:i/>
      <w:iCs/>
      <w:color w:val="404040"/>
      <w:sz w:val="20"/>
      <w:szCs w:val="20"/>
    </w:rPr>
  </w:style>
  <w:style w:type="numbering" w:customStyle="1" w:styleId="NoList1">
    <w:name w:val="No List1"/>
    <w:next w:val="NoList"/>
    <w:uiPriority w:val="99"/>
    <w:semiHidden/>
    <w:unhideWhenUsed/>
    <w:rsid w:val="00D359FF"/>
  </w:style>
  <w:style w:type="paragraph" w:styleId="BalloonText">
    <w:name w:val="Balloon Text"/>
    <w:basedOn w:val="Normal"/>
    <w:link w:val="BalloonTextChar"/>
    <w:semiHidden/>
    <w:unhideWhenUsed/>
    <w:rsid w:val="007923B3"/>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7923B3"/>
    <w:rPr>
      <w:rFonts w:ascii="Tahoma" w:hAnsi="Tahoma" w:cs="Tahoma"/>
      <w:color w:val="404040" w:themeColor="text1" w:themeTint="BF"/>
      <w:sz w:val="16"/>
      <w:szCs w:val="16"/>
      <w:lang w:eastAsia="en-US"/>
    </w:rPr>
  </w:style>
  <w:style w:type="paragraph" w:styleId="Footer">
    <w:name w:val="footer"/>
    <w:basedOn w:val="Normal"/>
    <w:link w:val="FooterChar"/>
    <w:uiPriority w:val="99"/>
    <w:rsid w:val="005D2BBF"/>
    <w:pPr>
      <w:tabs>
        <w:tab w:val="center" w:pos="4536"/>
        <w:tab w:val="right" w:pos="9072"/>
      </w:tabs>
      <w:spacing w:after="0" w:line="216" w:lineRule="auto"/>
      <w:ind w:left="-851" w:right="-851"/>
    </w:pPr>
    <w:rPr>
      <w:rFonts w:eastAsia="Calibri"/>
      <w:color w:val="0D78CA" w:themeColor="background2" w:themeShade="80"/>
      <w:spacing w:val="20"/>
      <w:sz w:val="18"/>
      <w:szCs w:val="24"/>
    </w:rPr>
  </w:style>
  <w:style w:type="character" w:customStyle="1" w:styleId="FooterChar">
    <w:name w:val="Footer Char"/>
    <w:link w:val="Footer"/>
    <w:uiPriority w:val="99"/>
    <w:rsid w:val="005D2BBF"/>
    <w:rPr>
      <w:rFonts w:asciiTheme="minorHAnsi" w:eastAsia="Calibri" w:hAnsiTheme="minorHAnsi"/>
      <w:color w:val="0D78CA" w:themeColor="background2" w:themeShade="80"/>
      <w:spacing w:val="20"/>
      <w:sz w:val="18"/>
      <w:szCs w:val="24"/>
      <w:lang w:eastAsia="en-US"/>
    </w:rPr>
  </w:style>
  <w:style w:type="character" w:styleId="PageNumber">
    <w:name w:val="page number"/>
    <w:rsid w:val="007923B3"/>
    <w:rPr>
      <w:rFonts w:ascii="Cambria" w:hAnsi="Cambria" w:cs="Times New Roman"/>
      <w:color w:val="0D78CA" w:themeColor="background2" w:themeShade="80"/>
      <w:sz w:val="20"/>
    </w:rPr>
  </w:style>
  <w:style w:type="paragraph" w:styleId="FootnoteText">
    <w:name w:val="footnote text"/>
    <w:aliases w:val="Footnote,Footnote1,Footnote2,Footnote3,stile 1,Footnote4,Footnote5,Footnote6,Footnote7,Footnote8,Footnote9,Footnote10,Footnote11,Footnote21,Footnote31,Footnote41,Footnote51,Footnote61,Footnote71,Footnote81,Footnote91,single space,fn,stile"/>
    <w:basedOn w:val="Normal"/>
    <w:link w:val="FootnoteTextChar"/>
    <w:uiPriority w:val="99"/>
    <w:qFormat/>
    <w:rsid w:val="00687035"/>
    <w:pPr>
      <w:tabs>
        <w:tab w:val="left" w:pos="426"/>
      </w:tabs>
      <w:spacing w:after="60"/>
      <w:ind w:left="426" w:hanging="426"/>
    </w:pPr>
    <w:rPr>
      <w:rFonts w:eastAsia="Calibri"/>
      <w:sz w:val="20"/>
      <w:szCs w:val="20"/>
    </w:rPr>
  </w:style>
  <w:style w:type="character" w:customStyle="1" w:styleId="FootnoteTextChar">
    <w:name w:val="Footnote Text Char"/>
    <w:aliases w:val="Footnote Char,Footnote1 Char,Footnote2 Char,Footnote3 Char,stile 1 Char,Footnote4 Char,Footnote5 Char,Footnote6 Char,Footnote7 Char,Footnote8 Char,Footnote9 Char,Footnote10 Char,Footnote11 Char,Footnote21 Char,Footnote31 Char,fn Char"/>
    <w:link w:val="FootnoteText"/>
    <w:uiPriority w:val="99"/>
    <w:rsid w:val="00687035"/>
    <w:rPr>
      <w:rFonts w:eastAsia="Calibri"/>
      <w:sz w:val="20"/>
      <w:szCs w:val="20"/>
    </w:rPr>
  </w:style>
  <w:style w:type="paragraph" w:styleId="Caption">
    <w:name w:val="caption"/>
    <w:basedOn w:val="Normal"/>
    <w:next w:val="Normal"/>
    <w:link w:val="CaptionChar"/>
    <w:unhideWhenUsed/>
    <w:qFormat/>
    <w:rsid w:val="00541E16"/>
    <w:pPr>
      <w:tabs>
        <w:tab w:val="left" w:pos="1134"/>
      </w:tabs>
      <w:spacing w:before="240" w:after="240"/>
      <w:ind w:left="1134" w:hanging="1134"/>
      <w:jc w:val="left"/>
    </w:pPr>
    <w:rPr>
      <w:b/>
      <w:bCs/>
      <w:color w:val="0D78CA" w:themeColor="background2" w:themeShade="80"/>
      <w:sz w:val="22"/>
      <w:szCs w:val="18"/>
    </w:rPr>
  </w:style>
  <w:style w:type="paragraph" w:styleId="ListParagraph">
    <w:name w:val="List Paragraph"/>
    <w:aliases w:val="Recommendatio,Párrafo de lista,Recommendation,OBC Bullet,Dot pt,F5 List Paragraph,No Spacing1,List Paragraph Char Char Char,Indicator Text,Numbered Para 1,Bullet 1,Bullet Points,L,3,References,Colorful List - Accent 11"/>
    <w:basedOn w:val="Normal"/>
    <w:link w:val="ListParagraphChar"/>
    <w:uiPriority w:val="34"/>
    <w:qFormat/>
    <w:rsid w:val="00CF6A85"/>
    <w:pPr>
      <w:tabs>
        <w:tab w:val="left" w:pos="680"/>
      </w:tabs>
    </w:pPr>
  </w:style>
  <w:style w:type="paragraph" w:styleId="BodyTextIndent">
    <w:name w:val="Body Text Indent"/>
    <w:basedOn w:val="Normal"/>
    <w:link w:val="BodyTextIndentChar"/>
    <w:semiHidden/>
    <w:rsid w:val="00D359FF"/>
    <w:pPr>
      <w:spacing w:line="260" w:lineRule="atLeast"/>
      <w:ind w:left="283"/>
    </w:pPr>
    <w:rPr>
      <w:rFonts w:ascii="Verdana" w:eastAsia="Calibri" w:hAnsi="Verdana"/>
      <w:sz w:val="18"/>
      <w:szCs w:val="24"/>
    </w:rPr>
  </w:style>
  <w:style w:type="character" w:customStyle="1" w:styleId="BodyTextIndentChar">
    <w:name w:val="Body Text Indent Char"/>
    <w:link w:val="BodyTextIndent"/>
    <w:semiHidden/>
    <w:rsid w:val="00D359FF"/>
    <w:rPr>
      <w:rFonts w:ascii="Verdana" w:eastAsia="Calibri" w:hAnsi="Verdana" w:cs="Times New Roman"/>
      <w:sz w:val="18"/>
      <w:szCs w:val="24"/>
    </w:rPr>
  </w:style>
  <w:style w:type="character" w:styleId="Hyperlink">
    <w:name w:val="Hyperlink"/>
    <w:uiPriority w:val="99"/>
    <w:rsid w:val="00D359FF"/>
    <w:rPr>
      <w:rFonts w:cs="Times New Roman"/>
      <w:color w:val="0000FF"/>
      <w:u w:val="single"/>
    </w:rPr>
  </w:style>
  <w:style w:type="paragraph" w:customStyle="1" w:styleId="Default">
    <w:name w:val="Default"/>
    <w:rsid w:val="00D359FF"/>
    <w:pPr>
      <w:autoSpaceDE w:val="0"/>
      <w:autoSpaceDN w:val="0"/>
      <w:adjustRightInd w:val="0"/>
    </w:pPr>
    <w:rPr>
      <w:rFonts w:eastAsia="Calibri" w:cs="Calibri"/>
      <w:color w:val="000000"/>
      <w:szCs w:val="24"/>
      <w:lang w:eastAsia="en-US"/>
    </w:rPr>
  </w:style>
  <w:style w:type="character" w:styleId="IntenseEmphasis">
    <w:name w:val="Intense Emphasis"/>
    <w:uiPriority w:val="21"/>
    <w:qFormat/>
    <w:rsid w:val="00E63A73"/>
    <w:rPr>
      <w:b/>
      <w:bCs/>
      <w:i/>
      <w:iCs/>
      <w:color w:val="FE8637"/>
    </w:rPr>
  </w:style>
  <w:style w:type="paragraph" w:styleId="Header">
    <w:name w:val="header"/>
    <w:basedOn w:val="Normal"/>
    <w:link w:val="HeaderChar"/>
    <w:rsid w:val="00D359FF"/>
    <w:pPr>
      <w:tabs>
        <w:tab w:val="center" w:pos="4536"/>
        <w:tab w:val="right" w:pos="9072"/>
      </w:tabs>
      <w:spacing w:line="260" w:lineRule="atLeast"/>
    </w:pPr>
    <w:rPr>
      <w:rFonts w:ascii="Verdana" w:eastAsia="Calibri" w:hAnsi="Verdana"/>
      <w:sz w:val="18"/>
      <w:szCs w:val="24"/>
    </w:rPr>
  </w:style>
  <w:style w:type="character" w:customStyle="1" w:styleId="HeaderChar">
    <w:name w:val="Header Char"/>
    <w:link w:val="Header"/>
    <w:rsid w:val="00D359FF"/>
    <w:rPr>
      <w:rFonts w:ascii="Verdana" w:eastAsia="Calibri" w:hAnsi="Verdana" w:cs="Times New Roman"/>
      <w:sz w:val="18"/>
      <w:szCs w:val="24"/>
    </w:rPr>
  </w:style>
  <w:style w:type="paragraph" w:styleId="CommentSubject">
    <w:name w:val="annotation subject"/>
    <w:basedOn w:val="Normal"/>
    <w:link w:val="CommentSubjectChar"/>
    <w:semiHidden/>
    <w:rsid w:val="007A3E85"/>
    <w:rPr>
      <w:rFonts w:ascii="Verdana" w:eastAsia="Calibri" w:hAnsi="Verdana"/>
      <w:b/>
      <w:bCs/>
      <w:sz w:val="20"/>
      <w:szCs w:val="20"/>
    </w:rPr>
  </w:style>
  <w:style w:type="character" w:customStyle="1" w:styleId="CommentSubjectChar">
    <w:name w:val="Comment Subject Char"/>
    <w:link w:val="CommentSubject"/>
    <w:semiHidden/>
    <w:rsid w:val="007A3E85"/>
    <w:rPr>
      <w:rFonts w:ascii="Verdana" w:eastAsia="Calibri" w:hAnsi="Verdana" w:cs="Times New Roman"/>
      <w:b/>
      <w:bCs/>
      <w:sz w:val="20"/>
      <w:szCs w:val="20"/>
      <w:lang w:eastAsia="bg-BG"/>
    </w:rPr>
  </w:style>
  <w:style w:type="table" w:styleId="TableGrid">
    <w:name w:val="Table Grid"/>
    <w:basedOn w:val="TableNormal"/>
    <w:uiPriority w:val="39"/>
    <w:rsid w:val="00561149"/>
    <w:rPr>
      <w:rFonts w:eastAsia="Calibri"/>
    </w:rPr>
    <w:tblPr>
      <w:tblBorders>
        <w:insideH w:val="single" w:sz="4" w:space="0" w:color="7F7F7F" w:themeColor="text1" w:themeTint="80"/>
        <w:insideV w:val="single" w:sz="4" w:space="0" w:color="7F7F7F" w:themeColor="text1" w:themeTint="80"/>
      </w:tblBorders>
    </w:tblPr>
  </w:style>
  <w:style w:type="paragraph" w:customStyle="1" w:styleId="tabletextleft">
    <w:name w:val="table text left"/>
    <w:basedOn w:val="Normal"/>
    <w:link w:val="tabletextleftChar"/>
    <w:rsid w:val="00C04BEB"/>
    <w:pPr>
      <w:spacing w:before="20" w:after="20"/>
      <w:jc w:val="left"/>
    </w:pPr>
    <w:rPr>
      <w:sz w:val="18"/>
      <w:szCs w:val="20"/>
    </w:rPr>
  </w:style>
  <w:style w:type="character" w:customStyle="1" w:styleId="tabletextleftChar">
    <w:name w:val="table text left Char"/>
    <w:link w:val="tabletextleft"/>
    <w:rsid w:val="00C04BEB"/>
    <w:rPr>
      <w:sz w:val="18"/>
      <w:szCs w:val="20"/>
    </w:rPr>
  </w:style>
  <w:style w:type="character" w:customStyle="1" w:styleId="CharChar3">
    <w:name w:val="Char Char3"/>
    <w:semiHidden/>
    <w:rsid w:val="00D359FF"/>
    <w:rPr>
      <w:lang w:val="bg-BG" w:eastAsia="en-US" w:bidi="ar-SA"/>
    </w:rPr>
  </w:style>
  <w:style w:type="character" w:styleId="Strong">
    <w:name w:val="Strong"/>
    <w:uiPriority w:val="22"/>
    <w:qFormat/>
    <w:rsid w:val="00E63A73"/>
    <w:rPr>
      <w:b/>
      <w:bCs/>
    </w:rPr>
  </w:style>
  <w:style w:type="paragraph" w:styleId="IntenseQuote">
    <w:name w:val="Intense Quote"/>
    <w:basedOn w:val="Normal"/>
    <w:next w:val="Normal"/>
    <w:link w:val="IntenseQuoteChar"/>
    <w:uiPriority w:val="30"/>
    <w:qFormat/>
    <w:rsid w:val="00E63A73"/>
    <w:pPr>
      <w:pBdr>
        <w:bottom w:val="single" w:sz="4" w:space="4" w:color="FE8637"/>
      </w:pBdr>
      <w:spacing w:before="200" w:after="280"/>
      <w:ind w:left="936" w:right="936"/>
    </w:pPr>
    <w:rPr>
      <w:b/>
      <w:bCs/>
      <w:i/>
      <w:iCs/>
      <w:color w:val="FE8637"/>
      <w:sz w:val="20"/>
      <w:szCs w:val="20"/>
    </w:rPr>
  </w:style>
  <w:style w:type="character" w:customStyle="1" w:styleId="IntenseQuoteChar">
    <w:name w:val="Intense Quote Char"/>
    <w:link w:val="IntenseQuote"/>
    <w:uiPriority w:val="30"/>
    <w:rsid w:val="00E63A73"/>
    <w:rPr>
      <w:b/>
      <w:bCs/>
      <w:i/>
      <w:iCs/>
      <w:color w:val="FE8637"/>
    </w:rPr>
  </w:style>
  <w:style w:type="paragraph" w:styleId="Title">
    <w:name w:val="Title"/>
    <w:basedOn w:val="Normal"/>
    <w:next w:val="Normal"/>
    <w:link w:val="TitleChar"/>
    <w:uiPriority w:val="10"/>
    <w:qFormat/>
    <w:rsid w:val="00F70298"/>
    <w:pPr>
      <w:spacing w:before="2600" w:after="0"/>
      <w:contextualSpacing/>
    </w:pPr>
    <w:rPr>
      <w:rFonts w:ascii="Cambria" w:hAnsi="Cambria"/>
      <w:caps/>
      <w:color w:val="0D78CA" w:themeColor="background2" w:themeShade="80"/>
      <w:spacing w:val="5"/>
      <w:w w:val="90"/>
      <w:kern w:val="28"/>
      <w:sz w:val="96"/>
      <w:szCs w:val="52"/>
    </w:rPr>
  </w:style>
  <w:style w:type="paragraph" w:customStyle="1" w:styleId="a">
    <w:name w:val="Източник"/>
    <w:basedOn w:val="Normal"/>
    <w:link w:val="Char"/>
    <w:rsid w:val="00215D6A"/>
    <w:pPr>
      <w:spacing w:before="60" w:after="240"/>
      <w:jc w:val="right"/>
    </w:pPr>
    <w:rPr>
      <w:rFonts w:eastAsia="Calibri"/>
      <w:sz w:val="18"/>
      <w:szCs w:val="24"/>
    </w:rPr>
  </w:style>
  <w:style w:type="paragraph" w:customStyle="1" w:styleId="a0">
    <w:name w:val="граф"/>
    <w:basedOn w:val="Normal"/>
    <w:link w:val="Char0"/>
    <w:rsid w:val="00701AC1"/>
    <w:pPr>
      <w:spacing w:before="120"/>
      <w:jc w:val="left"/>
    </w:pPr>
    <w:rPr>
      <w:rFonts w:eastAsia="Calibri"/>
      <w:noProof/>
      <w:sz w:val="18"/>
      <w:szCs w:val="24"/>
    </w:rPr>
  </w:style>
  <w:style w:type="character" w:customStyle="1" w:styleId="Char">
    <w:name w:val="Източник Char"/>
    <w:link w:val="a"/>
    <w:rsid w:val="00215D6A"/>
    <w:rPr>
      <w:rFonts w:eastAsia="Calibri"/>
      <w:color w:val="404040" w:themeColor="text1" w:themeTint="BF"/>
      <w:sz w:val="18"/>
      <w:szCs w:val="24"/>
    </w:rPr>
  </w:style>
  <w:style w:type="character" w:customStyle="1" w:styleId="Char0">
    <w:name w:val="граф Char"/>
    <w:link w:val="a0"/>
    <w:rsid w:val="00701AC1"/>
    <w:rPr>
      <w:rFonts w:eastAsia="Calibri"/>
      <w:noProof/>
      <w:color w:val="404040" w:themeColor="text1" w:themeTint="BF"/>
      <w:sz w:val="18"/>
      <w:szCs w:val="24"/>
    </w:rPr>
  </w:style>
  <w:style w:type="paragraph" w:styleId="Revision">
    <w:name w:val="Revision"/>
    <w:hidden/>
    <w:uiPriority w:val="99"/>
    <w:semiHidden/>
    <w:rsid w:val="00D359FF"/>
    <w:rPr>
      <w:rFonts w:ascii="Verdana" w:eastAsia="Calibri" w:hAnsi="Verdana"/>
      <w:sz w:val="18"/>
      <w:szCs w:val="24"/>
      <w:lang w:eastAsia="en-US"/>
    </w:rPr>
  </w:style>
  <w:style w:type="paragraph" w:styleId="TOC1">
    <w:name w:val="toc 1"/>
    <w:basedOn w:val="Normal"/>
    <w:next w:val="Normal"/>
    <w:autoRedefine/>
    <w:uiPriority w:val="39"/>
    <w:rsid w:val="00DD12E9"/>
    <w:pPr>
      <w:tabs>
        <w:tab w:val="left" w:pos="567"/>
        <w:tab w:val="left" w:pos="993"/>
        <w:tab w:val="right" w:pos="9070"/>
      </w:tabs>
      <w:spacing w:before="60" w:after="60"/>
    </w:pPr>
    <w:rPr>
      <w:rFonts w:asciiTheme="majorHAnsi" w:eastAsia="Calibri" w:hAnsiTheme="majorHAnsi"/>
      <w:b/>
      <w:bCs/>
      <w:noProof/>
      <w:color w:val="0D78CA" w:themeColor="background2" w:themeShade="80"/>
      <w:kern w:val="32"/>
      <w:sz w:val="20"/>
      <w:szCs w:val="18"/>
    </w:rPr>
  </w:style>
  <w:style w:type="paragraph" w:styleId="TOC2">
    <w:name w:val="toc 2"/>
    <w:basedOn w:val="Normal"/>
    <w:next w:val="Normal"/>
    <w:autoRedefine/>
    <w:uiPriority w:val="39"/>
    <w:rsid w:val="00CB7812"/>
    <w:pPr>
      <w:tabs>
        <w:tab w:val="left" w:pos="993"/>
        <w:tab w:val="right" w:pos="9070"/>
      </w:tabs>
      <w:spacing w:after="0"/>
      <w:ind w:left="578" w:hanging="397"/>
      <w:jc w:val="left"/>
    </w:pPr>
    <w:rPr>
      <w:rFonts w:eastAsia="Calibri"/>
      <w:noProof/>
      <w:sz w:val="20"/>
      <w:szCs w:val="20"/>
      <w:lang w:val="ru-RU"/>
    </w:rPr>
  </w:style>
  <w:style w:type="paragraph" w:styleId="TOC3">
    <w:name w:val="toc 3"/>
    <w:basedOn w:val="Normal"/>
    <w:next w:val="Normal"/>
    <w:autoRedefine/>
    <w:uiPriority w:val="39"/>
    <w:rsid w:val="00D359FF"/>
    <w:pPr>
      <w:spacing w:after="100" w:line="260" w:lineRule="atLeast"/>
      <w:ind w:left="360"/>
    </w:pPr>
    <w:rPr>
      <w:rFonts w:ascii="Verdana" w:eastAsia="Calibri" w:hAnsi="Verdana"/>
      <w:sz w:val="18"/>
      <w:szCs w:val="24"/>
    </w:rPr>
  </w:style>
  <w:style w:type="paragraph" w:styleId="NoSpacing">
    <w:name w:val="No Spacing"/>
    <w:basedOn w:val="Normal"/>
    <w:link w:val="NoSpacingChar"/>
    <w:uiPriority w:val="1"/>
    <w:qFormat/>
    <w:rsid w:val="00D62D45"/>
    <w:pPr>
      <w:spacing w:after="0"/>
    </w:pPr>
    <w:rPr>
      <w:rFonts w:eastAsia="Calibri"/>
      <w:sz w:val="20"/>
      <w:szCs w:val="24"/>
    </w:rPr>
  </w:style>
  <w:style w:type="character" w:customStyle="1" w:styleId="NoSpacingChar">
    <w:name w:val="No Spacing Char"/>
    <w:link w:val="NoSpacing"/>
    <w:uiPriority w:val="1"/>
    <w:rsid w:val="007A3E85"/>
    <w:rPr>
      <w:rFonts w:eastAsia="Calibri" w:cs="Times New Roman"/>
      <w:szCs w:val="24"/>
    </w:rPr>
  </w:style>
  <w:style w:type="table" w:styleId="LightList-Accent2">
    <w:name w:val="Light List Accent 2"/>
    <w:basedOn w:val="TableNormal"/>
    <w:uiPriority w:val="61"/>
    <w:rsid w:val="00F52D7B"/>
    <w:tblPr>
      <w:tblStyleRowBandSize w:val="1"/>
      <w:tblStyleColBandSize w:val="1"/>
      <w:tblBorders>
        <w:top w:val="single" w:sz="8" w:space="0" w:color="7598D9"/>
        <w:left w:val="single" w:sz="8" w:space="0" w:color="7598D9"/>
        <w:bottom w:val="single" w:sz="8" w:space="0" w:color="7598D9"/>
        <w:right w:val="single" w:sz="8" w:space="0" w:color="7598D9"/>
      </w:tblBorders>
    </w:tblPr>
    <w:tblStylePr w:type="firstRow">
      <w:pPr>
        <w:spacing w:before="0" w:after="0" w:line="240" w:lineRule="auto"/>
      </w:pPr>
      <w:rPr>
        <w:b/>
        <w:bCs/>
        <w:color w:val="FFFFFF"/>
      </w:rPr>
      <w:tblPr/>
      <w:tcPr>
        <w:shd w:val="clear" w:color="auto" w:fill="7598D9"/>
      </w:tcPr>
    </w:tblStylePr>
    <w:tblStylePr w:type="lastRow">
      <w:pPr>
        <w:spacing w:before="0" w:after="0" w:line="240" w:lineRule="auto"/>
      </w:pPr>
      <w:rPr>
        <w:b/>
        <w:bCs/>
      </w:rPr>
      <w:tblPr/>
      <w:tcPr>
        <w:tcBorders>
          <w:top w:val="double" w:sz="6" w:space="0" w:color="7598D9"/>
          <w:left w:val="single" w:sz="8" w:space="0" w:color="7598D9"/>
          <w:bottom w:val="single" w:sz="8" w:space="0" w:color="7598D9"/>
          <w:right w:val="single" w:sz="8" w:space="0" w:color="7598D9"/>
        </w:tcBorders>
      </w:tcPr>
    </w:tblStylePr>
    <w:tblStylePr w:type="firstCol">
      <w:rPr>
        <w:b/>
        <w:bCs/>
      </w:rPr>
    </w:tblStylePr>
    <w:tblStylePr w:type="lastCol">
      <w:rPr>
        <w:b/>
        <w:bCs/>
      </w:rPr>
    </w:tblStylePr>
    <w:tblStylePr w:type="band1Vert">
      <w:tblPr/>
      <w:tcPr>
        <w:tcBorders>
          <w:top w:val="single" w:sz="8" w:space="0" w:color="7598D9"/>
          <w:left w:val="single" w:sz="8" w:space="0" w:color="7598D9"/>
          <w:bottom w:val="single" w:sz="8" w:space="0" w:color="7598D9"/>
          <w:right w:val="single" w:sz="8" w:space="0" w:color="7598D9"/>
        </w:tcBorders>
      </w:tcPr>
    </w:tblStylePr>
    <w:tblStylePr w:type="band1Horz">
      <w:tblPr/>
      <w:tcPr>
        <w:tcBorders>
          <w:top w:val="single" w:sz="8" w:space="0" w:color="7598D9"/>
          <w:left w:val="single" w:sz="8" w:space="0" w:color="7598D9"/>
          <w:bottom w:val="single" w:sz="8" w:space="0" w:color="7598D9"/>
          <w:right w:val="single" w:sz="8" w:space="0" w:color="7598D9"/>
        </w:tcBorders>
      </w:tcPr>
    </w:tblStylePr>
  </w:style>
  <w:style w:type="table" w:customStyle="1" w:styleId="-11">
    <w:name w:val="Светло оцветяване - Акцент 11"/>
    <w:basedOn w:val="TableNormal"/>
    <w:next w:val="LightShading-Accent11"/>
    <w:uiPriority w:val="60"/>
    <w:rsid w:val="00EE7D10"/>
    <w:rPr>
      <w:color w:val="0B5294"/>
      <w:lang w:val="en-US"/>
    </w:rPr>
    <w:tblPr>
      <w:tblStyleRowBandSize w:val="1"/>
      <w:tblStyleColBandSize w:val="1"/>
      <w:tblBorders>
        <w:top w:val="single" w:sz="8" w:space="0" w:color="0F6FC6"/>
        <w:bottom w:val="single" w:sz="8" w:space="0" w:color="0F6FC6"/>
      </w:tblBorders>
    </w:tblPr>
    <w:tblStylePr w:type="firstRow">
      <w:pPr>
        <w:spacing w:before="0" w:after="0" w:line="240" w:lineRule="auto"/>
      </w:pPr>
      <w:rPr>
        <w:b/>
        <w:bCs/>
      </w:rPr>
      <w:tblPr/>
      <w:tcPr>
        <w:tcBorders>
          <w:top w:val="single" w:sz="8" w:space="0" w:color="0F6FC6"/>
          <w:left w:val="nil"/>
          <w:bottom w:val="single" w:sz="8" w:space="0" w:color="0F6FC6"/>
          <w:right w:val="nil"/>
          <w:insideH w:val="nil"/>
          <w:insideV w:val="nil"/>
        </w:tcBorders>
      </w:tcPr>
    </w:tblStylePr>
    <w:tblStylePr w:type="lastRow">
      <w:pPr>
        <w:spacing w:before="0" w:after="0" w:line="240" w:lineRule="auto"/>
      </w:pPr>
      <w:rPr>
        <w:b/>
        <w:bCs/>
      </w:rPr>
      <w:tblPr/>
      <w:tcPr>
        <w:tcBorders>
          <w:top w:val="single" w:sz="8" w:space="0" w:color="0F6FC6"/>
          <w:left w:val="nil"/>
          <w:bottom w:val="single" w:sz="8" w:space="0" w:color="0F6F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DBF9"/>
      </w:tcPr>
    </w:tblStylePr>
    <w:tblStylePr w:type="band1Horz">
      <w:tblPr/>
      <w:tcPr>
        <w:tcBorders>
          <w:left w:val="nil"/>
          <w:right w:val="nil"/>
          <w:insideH w:val="nil"/>
          <w:insideV w:val="nil"/>
        </w:tcBorders>
        <w:shd w:val="clear" w:color="auto" w:fill="BADBF9"/>
      </w:tcPr>
    </w:tblStylePr>
  </w:style>
  <w:style w:type="table" w:customStyle="1" w:styleId="LightShading-Accent11">
    <w:name w:val="Light Shading - Accent 11"/>
    <w:basedOn w:val="TableNormal"/>
    <w:uiPriority w:val="60"/>
    <w:rsid w:val="00EE7D10"/>
    <w:rPr>
      <w:color w:val="E65B01"/>
    </w:rPr>
    <w:tblPr>
      <w:tblStyleRowBandSize w:val="1"/>
      <w:tblStyleColBandSize w:val="1"/>
      <w:tblBorders>
        <w:top w:val="single" w:sz="8" w:space="0" w:color="FE8637"/>
        <w:bottom w:val="single" w:sz="8" w:space="0" w:color="FE8637"/>
      </w:tblBorders>
    </w:tblPr>
    <w:tblStylePr w:type="firstRow">
      <w:pPr>
        <w:spacing w:before="0" w:after="0" w:line="240" w:lineRule="auto"/>
      </w:pPr>
      <w:rPr>
        <w:b/>
        <w:bCs/>
      </w:rPr>
      <w:tblPr/>
      <w:tcPr>
        <w:tcBorders>
          <w:top w:val="single" w:sz="8" w:space="0" w:color="FE8637"/>
          <w:left w:val="nil"/>
          <w:bottom w:val="single" w:sz="8" w:space="0" w:color="FE8637"/>
          <w:right w:val="nil"/>
          <w:insideH w:val="nil"/>
          <w:insideV w:val="nil"/>
        </w:tcBorders>
      </w:tcPr>
    </w:tblStylePr>
    <w:tblStylePr w:type="lastRow">
      <w:pPr>
        <w:spacing w:before="0" w:after="0" w:line="240" w:lineRule="auto"/>
      </w:pPr>
      <w:rPr>
        <w:b/>
        <w:bCs/>
      </w:rPr>
      <w:tblPr/>
      <w:tcPr>
        <w:tcBorders>
          <w:top w:val="single" w:sz="8" w:space="0" w:color="FE8637"/>
          <w:left w:val="nil"/>
          <w:bottom w:val="single" w:sz="8" w:space="0" w:color="FE863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1CD"/>
      </w:tcPr>
    </w:tblStylePr>
    <w:tblStylePr w:type="band1Horz">
      <w:tblPr/>
      <w:tcPr>
        <w:tcBorders>
          <w:left w:val="nil"/>
          <w:right w:val="nil"/>
          <w:insideH w:val="nil"/>
          <w:insideV w:val="nil"/>
        </w:tcBorders>
        <w:shd w:val="clear" w:color="auto" w:fill="FEE1CD"/>
      </w:tcPr>
    </w:tblStylePr>
  </w:style>
  <w:style w:type="table" w:styleId="LightGrid-Accent2">
    <w:name w:val="Light Grid Accent 2"/>
    <w:basedOn w:val="TableNormal"/>
    <w:uiPriority w:val="62"/>
    <w:rsid w:val="00A3699E"/>
    <w:tblPr>
      <w:tblStyleRowBandSize w:val="1"/>
      <w:tblStyleColBandSize w:val="1"/>
      <w:tblBorders>
        <w:top w:val="single" w:sz="8" w:space="0" w:color="7598D9"/>
        <w:left w:val="single" w:sz="8" w:space="0" w:color="7598D9"/>
        <w:bottom w:val="single" w:sz="8" w:space="0" w:color="7598D9"/>
        <w:right w:val="single" w:sz="8" w:space="0" w:color="7598D9"/>
        <w:insideH w:val="single" w:sz="8" w:space="0" w:color="7598D9"/>
        <w:insideV w:val="single" w:sz="8" w:space="0" w:color="7598D9"/>
      </w:tblBorders>
    </w:tblPr>
    <w:tblStylePr w:type="firstRow">
      <w:pPr>
        <w:spacing w:before="0" w:after="0" w:line="240" w:lineRule="auto"/>
      </w:pPr>
      <w:rPr>
        <w:rFonts w:ascii="Cambria" w:eastAsia="Times New Roman" w:hAnsi="Cambria" w:cs="Times New Roman"/>
        <w:b/>
        <w:bCs/>
      </w:rPr>
      <w:tblPr/>
      <w:tcPr>
        <w:tcBorders>
          <w:top w:val="single" w:sz="8" w:space="0" w:color="7598D9"/>
          <w:left w:val="single" w:sz="8" w:space="0" w:color="7598D9"/>
          <w:bottom w:val="single" w:sz="18" w:space="0" w:color="7598D9"/>
          <w:right w:val="single" w:sz="8" w:space="0" w:color="7598D9"/>
          <w:insideH w:val="nil"/>
          <w:insideV w:val="single" w:sz="8" w:space="0" w:color="7598D9"/>
        </w:tcBorders>
      </w:tcPr>
    </w:tblStylePr>
    <w:tblStylePr w:type="lastRow">
      <w:pPr>
        <w:spacing w:before="0" w:after="0" w:line="240" w:lineRule="auto"/>
      </w:pPr>
      <w:rPr>
        <w:rFonts w:ascii="Cambria" w:eastAsia="Times New Roman" w:hAnsi="Cambria" w:cs="Times New Roman"/>
        <w:b/>
        <w:bCs/>
      </w:rPr>
      <w:tblPr/>
      <w:tcPr>
        <w:tcBorders>
          <w:top w:val="double" w:sz="6" w:space="0" w:color="7598D9"/>
          <w:left w:val="single" w:sz="8" w:space="0" w:color="7598D9"/>
          <w:bottom w:val="single" w:sz="8" w:space="0" w:color="7598D9"/>
          <w:right w:val="single" w:sz="8" w:space="0" w:color="7598D9"/>
          <w:insideH w:val="nil"/>
          <w:insideV w:val="single" w:sz="8" w:space="0" w:color="7598D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7598D9"/>
          <w:left w:val="single" w:sz="8" w:space="0" w:color="7598D9"/>
          <w:bottom w:val="single" w:sz="8" w:space="0" w:color="7598D9"/>
          <w:right w:val="single" w:sz="8" w:space="0" w:color="7598D9"/>
        </w:tcBorders>
      </w:tcPr>
    </w:tblStylePr>
    <w:tblStylePr w:type="band1Vert">
      <w:tblPr/>
      <w:tcPr>
        <w:tcBorders>
          <w:top w:val="single" w:sz="8" w:space="0" w:color="7598D9"/>
          <w:left w:val="single" w:sz="8" w:space="0" w:color="7598D9"/>
          <w:bottom w:val="single" w:sz="8" w:space="0" w:color="7598D9"/>
          <w:right w:val="single" w:sz="8" w:space="0" w:color="7598D9"/>
        </w:tcBorders>
        <w:shd w:val="clear" w:color="auto" w:fill="DCE5F5"/>
      </w:tcPr>
    </w:tblStylePr>
    <w:tblStylePr w:type="band1Horz">
      <w:tblPr/>
      <w:tcPr>
        <w:tcBorders>
          <w:top w:val="single" w:sz="8" w:space="0" w:color="7598D9"/>
          <w:left w:val="single" w:sz="8" w:space="0" w:color="7598D9"/>
          <w:bottom w:val="single" w:sz="8" w:space="0" w:color="7598D9"/>
          <w:right w:val="single" w:sz="8" w:space="0" w:color="7598D9"/>
          <w:insideV w:val="single" w:sz="8" w:space="0" w:color="7598D9"/>
        </w:tcBorders>
        <w:shd w:val="clear" w:color="auto" w:fill="DCE5F5"/>
      </w:tcPr>
    </w:tblStylePr>
    <w:tblStylePr w:type="band2Horz">
      <w:tblPr/>
      <w:tcPr>
        <w:tcBorders>
          <w:top w:val="single" w:sz="8" w:space="0" w:color="7598D9"/>
          <w:left w:val="single" w:sz="8" w:space="0" w:color="7598D9"/>
          <w:bottom w:val="single" w:sz="8" w:space="0" w:color="7598D9"/>
          <w:right w:val="single" w:sz="8" w:space="0" w:color="7598D9"/>
          <w:insideV w:val="single" w:sz="8" w:space="0" w:color="7598D9"/>
        </w:tcBorders>
      </w:tcPr>
    </w:tblStylePr>
  </w:style>
  <w:style w:type="table" w:styleId="LightShading-Accent2">
    <w:name w:val="Light Shading Accent 2"/>
    <w:basedOn w:val="TableNormal"/>
    <w:uiPriority w:val="60"/>
    <w:rsid w:val="00DA4004"/>
    <w:rPr>
      <w:color w:val="3667C3"/>
    </w:rPr>
    <w:tblPr>
      <w:tblStyleRowBandSize w:val="1"/>
      <w:tblStyleColBandSize w:val="1"/>
      <w:tblBorders>
        <w:top w:val="single" w:sz="8" w:space="0" w:color="7598D9"/>
        <w:bottom w:val="single" w:sz="8" w:space="0" w:color="7598D9"/>
      </w:tblBorders>
    </w:tblPr>
    <w:tblStylePr w:type="firstRow">
      <w:pPr>
        <w:spacing w:before="0" w:after="0" w:line="240" w:lineRule="auto"/>
      </w:pPr>
      <w:rPr>
        <w:b/>
        <w:bCs/>
      </w:rPr>
      <w:tblPr/>
      <w:tcPr>
        <w:tcBorders>
          <w:top w:val="single" w:sz="8" w:space="0" w:color="7598D9"/>
          <w:left w:val="nil"/>
          <w:bottom w:val="single" w:sz="8" w:space="0" w:color="7598D9"/>
          <w:right w:val="nil"/>
          <w:insideH w:val="nil"/>
          <w:insideV w:val="nil"/>
        </w:tcBorders>
      </w:tcPr>
    </w:tblStylePr>
    <w:tblStylePr w:type="lastRow">
      <w:pPr>
        <w:spacing w:before="0" w:after="0" w:line="240" w:lineRule="auto"/>
      </w:pPr>
      <w:rPr>
        <w:b/>
        <w:bCs/>
      </w:rPr>
      <w:tblPr/>
      <w:tcPr>
        <w:tcBorders>
          <w:top w:val="single" w:sz="8" w:space="0" w:color="7598D9"/>
          <w:left w:val="nil"/>
          <w:bottom w:val="single" w:sz="8" w:space="0" w:color="7598D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E5F5"/>
      </w:tcPr>
    </w:tblStylePr>
    <w:tblStylePr w:type="band1Horz">
      <w:tblPr/>
      <w:tcPr>
        <w:tcBorders>
          <w:left w:val="nil"/>
          <w:right w:val="nil"/>
          <w:insideH w:val="nil"/>
          <w:insideV w:val="nil"/>
        </w:tcBorders>
        <w:shd w:val="clear" w:color="auto" w:fill="DCE5F5"/>
      </w:tcPr>
    </w:tblStylePr>
  </w:style>
  <w:style w:type="character" w:customStyle="1" w:styleId="a1">
    <w:name w:val="Заглавие Знак"/>
    <w:uiPriority w:val="10"/>
    <w:rsid w:val="00D62D45"/>
    <w:rPr>
      <w:rFonts w:ascii="Cambria" w:hAnsi="Cambria" w:cs="Times New Roman"/>
      <w:color w:val="414751"/>
      <w:w w:val="90"/>
      <w:kern w:val="28"/>
      <w:sz w:val="60"/>
      <w:szCs w:val="52"/>
    </w:rPr>
  </w:style>
  <w:style w:type="character" w:styleId="Emphasis">
    <w:name w:val="Emphasis"/>
    <w:uiPriority w:val="20"/>
    <w:qFormat/>
    <w:rsid w:val="00E63A73"/>
    <w:rPr>
      <w:i/>
      <w:iCs/>
    </w:rPr>
  </w:style>
  <w:style w:type="paragraph" w:styleId="Quote">
    <w:name w:val="Quote"/>
    <w:basedOn w:val="Normal"/>
    <w:next w:val="Normal"/>
    <w:link w:val="QuoteChar"/>
    <w:uiPriority w:val="29"/>
    <w:qFormat/>
    <w:rsid w:val="00E63A73"/>
    <w:rPr>
      <w:i/>
      <w:iCs/>
      <w:color w:val="000000"/>
      <w:sz w:val="20"/>
      <w:szCs w:val="20"/>
    </w:rPr>
  </w:style>
  <w:style w:type="character" w:customStyle="1" w:styleId="QuoteChar">
    <w:name w:val="Quote Char"/>
    <w:link w:val="Quote"/>
    <w:uiPriority w:val="29"/>
    <w:rsid w:val="00E63A73"/>
    <w:rPr>
      <w:i/>
      <w:iCs/>
      <w:color w:val="000000"/>
    </w:rPr>
  </w:style>
  <w:style w:type="character" w:styleId="SubtleEmphasis">
    <w:name w:val="Subtle Emphasis"/>
    <w:uiPriority w:val="19"/>
    <w:qFormat/>
    <w:rsid w:val="00E63A73"/>
    <w:rPr>
      <w:i/>
      <w:iCs/>
      <w:color w:val="808080"/>
    </w:rPr>
  </w:style>
  <w:style w:type="character" w:styleId="SubtleReference">
    <w:name w:val="Subtle Reference"/>
    <w:uiPriority w:val="31"/>
    <w:qFormat/>
    <w:rsid w:val="00E63A73"/>
    <w:rPr>
      <w:smallCaps/>
      <w:color w:val="7598D9"/>
      <w:u w:val="single"/>
    </w:rPr>
  </w:style>
  <w:style w:type="character" w:styleId="IntenseReference">
    <w:name w:val="Intense Reference"/>
    <w:uiPriority w:val="32"/>
    <w:qFormat/>
    <w:rsid w:val="00E63A73"/>
    <w:rPr>
      <w:b/>
      <w:bCs/>
      <w:smallCaps/>
      <w:color w:val="7598D9"/>
      <w:spacing w:val="5"/>
      <w:u w:val="single"/>
    </w:rPr>
  </w:style>
  <w:style w:type="paragraph" w:styleId="TOCHeading">
    <w:name w:val="TOC Heading"/>
    <w:basedOn w:val="Heading1"/>
    <w:next w:val="Normal"/>
    <w:uiPriority w:val="39"/>
    <w:semiHidden/>
    <w:unhideWhenUsed/>
    <w:qFormat/>
    <w:rsid w:val="00E63A73"/>
    <w:pPr>
      <w:outlineLvl w:val="9"/>
    </w:pPr>
  </w:style>
  <w:style w:type="table" w:customStyle="1" w:styleId="LightGrid-Accent11">
    <w:name w:val="Light Grid - Accent 11"/>
    <w:basedOn w:val="TableNormal"/>
    <w:uiPriority w:val="62"/>
    <w:rsid w:val="00E63A73"/>
    <w:tblPr>
      <w:tblStyleRowBandSize w:val="1"/>
      <w:tblStyleColBandSize w:val="1"/>
      <w:tblBorders>
        <w:top w:val="single" w:sz="8" w:space="0" w:color="FE8637"/>
        <w:left w:val="single" w:sz="8" w:space="0" w:color="FE8637"/>
        <w:bottom w:val="single" w:sz="8" w:space="0" w:color="FE8637"/>
        <w:right w:val="single" w:sz="8" w:space="0" w:color="FE8637"/>
        <w:insideH w:val="single" w:sz="8" w:space="0" w:color="FE8637"/>
        <w:insideV w:val="single" w:sz="8" w:space="0" w:color="FE8637"/>
      </w:tblBorders>
    </w:tblPr>
    <w:tblStylePr w:type="firstRow">
      <w:pPr>
        <w:spacing w:before="0" w:after="0" w:line="240" w:lineRule="auto"/>
      </w:pPr>
      <w:rPr>
        <w:rFonts w:ascii="Cambria" w:eastAsia="Times New Roman" w:hAnsi="Cambria" w:cs="Times New Roman"/>
        <w:b/>
        <w:bCs/>
      </w:rPr>
      <w:tblPr/>
      <w:tcPr>
        <w:tcBorders>
          <w:top w:val="single" w:sz="8" w:space="0" w:color="FE8637"/>
          <w:left w:val="single" w:sz="8" w:space="0" w:color="FE8637"/>
          <w:bottom w:val="single" w:sz="18" w:space="0" w:color="FE8637"/>
          <w:right w:val="single" w:sz="8" w:space="0" w:color="FE8637"/>
          <w:insideH w:val="nil"/>
          <w:insideV w:val="single" w:sz="8" w:space="0" w:color="FE8637"/>
        </w:tcBorders>
      </w:tcPr>
    </w:tblStylePr>
    <w:tblStylePr w:type="lastRow">
      <w:pPr>
        <w:spacing w:before="0" w:after="0" w:line="240" w:lineRule="auto"/>
      </w:pPr>
      <w:rPr>
        <w:rFonts w:ascii="Cambria" w:eastAsia="Times New Roman" w:hAnsi="Cambria" w:cs="Times New Roman"/>
        <w:b/>
        <w:bCs/>
      </w:rPr>
      <w:tblPr/>
      <w:tcPr>
        <w:tcBorders>
          <w:top w:val="double" w:sz="6" w:space="0" w:color="FE8637"/>
          <w:left w:val="single" w:sz="8" w:space="0" w:color="FE8637"/>
          <w:bottom w:val="single" w:sz="8" w:space="0" w:color="FE8637"/>
          <w:right w:val="single" w:sz="8" w:space="0" w:color="FE8637"/>
          <w:insideH w:val="nil"/>
          <w:insideV w:val="single" w:sz="8" w:space="0" w:color="FE863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E8637"/>
          <w:left w:val="single" w:sz="8" w:space="0" w:color="FE8637"/>
          <w:bottom w:val="single" w:sz="8" w:space="0" w:color="FE8637"/>
          <w:right w:val="single" w:sz="8" w:space="0" w:color="FE8637"/>
        </w:tcBorders>
      </w:tcPr>
    </w:tblStylePr>
    <w:tblStylePr w:type="band1Vert">
      <w:tblPr/>
      <w:tcPr>
        <w:tcBorders>
          <w:top w:val="single" w:sz="8" w:space="0" w:color="FE8637"/>
          <w:left w:val="single" w:sz="8" w:space="0" w:color="FE8637"/>
          <w:bottom w:val="single" w:sz="8" w:space="0" w:color="FE8637"/>
          <w:right w:val="single" w:sz="8" w:space="0" w:color="FE8637"/>
        </w:tcBorders>
        <w:shd w:val="clear" w:color="auto" w:fill="FEE1CD"/>
      </w:tcPr>
    </w:tblStylePr>
    <w:tblStylePr w:type="band1Horz">
      <w:tblPr/>
      <w:tcPr>
        <w:tcBorders>
          <w:top w:val="single" w:sz="8" w:space="0" w:color="FE8637"/>
          <w:left w:val="single" w:sz="8" w:space="0" w:color="FE8637"/>
          <w:bottom w:val="single" w:sz="8" w:space="0" w:color="FE8637"/>
          <w:right w:val="single" w:sz="8" w:space="0" w:color="FE8637"/>
          <w:insideV w:val="single" w:sz="8" w:space="0" w:color="FE8637"/>
        </w:tcBorders>
        <w:shd w:val="clear" w:color="auto" w:fill="FEE1CD"/>
      </w:tcPr>
    </w:tblStylePr>
    <w:tblStylePr w:type="band2Horz">
      <w:tblPr/>
      <w:tcPr>
        <w:tcBorders>
          <w:top w:val="single" w:sz="8" w:space="0" w:color="FE8637"/>
          <w:left w:val="single" w:sz="8" w:space="0" w:color="FE8637"/>
          <w:bottom w:val="single" w:sz="8" w:space="0" w:color="FE8637"/>
          <w:right w:val="single" w:sz="8" w:space="0" w:color="FE8637"/>
          <w:insideV w:val="single" w:sz="8" w:space="0" w:color="FE8637"/>
        </w:tcBorders>
      </w:tcPr>
    </w:tblStylePr>
  </w:style>
  <w:style w:type="table" w:customStyle="1" w:styleId="MediumShading1-Accent11">
    <w:name w:val="Medium Shading 1 - Accent 11"/>
    <w:basedOn w:val="TableNormal"/>
    <w:uiPriority w:val="63"/>
    <w:rsid w:val="00E63A73"/>
    <w:tblPr>
      <w:tblStyleRowBandSize w:val="1"/>
      <w:tblStyleColBandSize w:val="1"/>
      <w:tblBorders>
        <w:top w:val="single" w:sz="8" w:space="0" w:color="FEA469"/>
        <w:left w:val="single" w:sz="8" w:space="0" w:color="FEA469"/>
        <w:bottom w:val="single" w:sz="8" w:space="0" w:color="FEA469"/>
        <w:right w:val="single" w:sz="8" w:space="0" w:color="FEA469"/>
        <w:insideH w:val="single" w:sz="8" w:space="0" w:color="FEA469"/>
      </w:tblBorders>
    </w:tblPr>
    <w:tblStylePr w:type="firstRow">
      <w:pPr>
        <w:spacing w:before="0" w:after="0" w:line="240" w:lineRule="auto"/>
      </w:pPr>
      <w:rPr>
        <w:b/>
        <w:bCs/>
        <w:color w:val="FFFFFF"/>
      </w:rPr>
      <w:tblPr/>
      <w:tcPr>
        <w:tcBorders>
          <w:top w:val="single" w:sz="8" w:space="0" w:color="FEA469"/>
          <w:left w:val="single" w:sz="8" w:space="0" w:color="FEA469"/>
          <w:bottom w:val="single" w:sz="8" w:space="0" w:color="FEA469"/>
          <w:right w:val="single" w:sz="8" w:space="0" w:color="FEA469"/>
          <w:insideH w:val="nil"/>
          <w:insideV w:val="nil"/>
        </w:tcBorders>
        <w:shd w:val="clear" w:color="auto" w:fill="FE8637"/>
      </w:tcPr>
    </w:tblStylePr>
    <w:tblStylePr w:type="lastRow">
      <w:pPr>
        <w:spacing w:before="0" w:after="0" w:line="240" w:lineRule="auto"/>
      </w:pPr>
      <w:rPr>
        <w:b/>
        <w:bCs/>
      </w:rPr>
      <w:tblPr/>
      <w:tcPr>
        <w:tcBorders>
          <w:top w:val="double" w:sz="6" w:space="0" w:color="FEA469"/>
          <w:left w:val="single" w:sz="8" w:space="0" w:color="FEA469"/>
          <w:bottom w:val="single" w:sz="8" w:space="0" w:color="FEA469"/>
          <w:right w:val="single" w:sz="8" w:space="0" w:color="FEA469"/>
          <w:insideH w:val="nil"/>
          <w:insideV w:val="nil"/>
        </w:tcBorders>
      </w:tcPr>
    </w:tblStylePr>
    <w:tblStylePr w:type="firstCol">
      <w:rPr>
        <w:b/>
        <w:bCs/>
      </w:rPr>
    </w:tblStylePr>
    <w:tblStylePr w:type="lastCol">
      <w:rPr>
        <w:b/>
        <w:bCs/>
      </w:rPr>
    </w:tblStylePr>
    <w:tblStylePr w:type="band1Vert">
      <w:tblPr/>
      <w:tcPr>
        <w:shd w:val="clear" w:color="auto" w:fill="FEE1CD"/>
      </w:tcPr>
    </w:tblStylePr>
    <w:tblStylePr w:type="band1Horz">
      <w:tblPr/>
      <w:tcPr>
        <w:tcBorders>
          <w:insideH w:val="nil"/>
          <w:insideV w:val="nil"/>
        </w:tcBorders>
        <w:shd w:val="clear" w:color="auto" w:fill="FEE1CD"/>
      </w:tcPr>
    </w:tblStylePr>
    <w:tblStylePr w:type="band2Horz">
      <w:tblPr/>
      <w:tcPr>
        <w:tcBorders>
          <w:insideH w:val="nil"/>
          <w:insideV w:val="nil"/>
        </w:tcBorders>
      </w:tcPr>
    </w:tblStylePr>
  </w:style>
  <w:style w:type="table" w:customStyle="1" w:styleId="LightShading-Accent12">
    <w:name w:val="Light Shading - Accent 12"/>
    <w:basedOn w:val="TableNormal"/>
    <w:uiPriority w:val="60"/>
    <w:rsid w:val="002F1E9D"/>
    <w:pPr>
      <w:spacing w:before="20" w:after="20"/>
    </w:pPr>
    <w:rPr>
      <w:color w:val="000000"/>
      <w:sz w:val="18"/>
    </w:rPr>
    <w:tblPr>
      <w:tblStyleRowBandSize w:val="1"/>
      <w:tblStyleColBandSize w:val="1"/>
      <w:tblInd w:w="113" w:type="dxa"/>
      <w:tblBorders>
        <w:top w:val="single" w:sz="8" w:space="0" w:color="FE8637"/>
        <w:bottom w:val="single" w:sz="8" w:space="0" w:color="FE8637"/>
      </w:tblBorders>
    </w:tblPr>
    <w:tblStylePr w:type="firstRow">
      <w:pPr>
        <w:spacing w:before="0" w:after="0" w:line="240" w:lineRule="auto"/>
      </w:pPr>
      <w:rPr>
        <w:b/>
        <w:bCs/>
      </w:rPr>
      <w:tblPr/>
      <w:tcPr>
        <w:tcBorders>
          <w:top w:val="single" w:sz="8" w:space="0" w:color="FE8637"/>
          <w:left w:val="nil"/>
          <w:bottom w:val="single" w:sz="8" w:space="0" w:color="FE8637"/>
          <w:right w:val="nil"/>
          <w:insideH w:val="nil"/>
          <w:insideV w:val="nil"/>
        </w:tcBorders>
      </w:tcPr>
    </w:tblStylePr>
    <w:tblStylePr w:type="lastRow">
      <w:pPr>
        <w:spacing w:before="0" w:after="0" w:line="240" w:lineRule="auto"/>
      </w:pPr>
      <w:rPr>
        <w:b/>
        <w:bCs/>
      </w:rPr>
      <w:tblPr/>
      <w:tcPr>
        <w:tcBorders>
          <w:top w:val="single" w:sz="8" w:space="0" w:color="FE8637"/>
          <w:left w:val="nil"/>
          <w:bottom w:val="single" w:sz="8" w:space="0" w:color="FE863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1CD"/>
      </w:tcPr>
    </w:tblStylePr>
    <w:tblStylePr w:type="band1Horz">
      <w:tblPr/>
      <w:tcPr>
        <w:tcBorders>
          <w:left w:val="nil"/>
          <w:right w:val="nil"/>
          <w:insideH w:val="nil"/>
          <w:insideV w:val="nil"/>
        </w:tcBorders>
        <w:shd w:val="clear" w:color="auto" w:fill="FEE1CD"/>
      </w:tcPr>
    </w:tblStylePr>
  </w:style>
  <w:style w:type="table" w:styleId="LightShading-Accent5">
    <w:name w:val="Light Shading Accent 5"/>
    <w:basedOn w:val="TableNormal"/>
    <w:uiPriority w:val="60"/>
    <w:rsid w:val="00B4432C"/>
    <w:rPr>
      <w:color w:val="6D83B3"/>
    </w:rPr>
    <w:tblPr>
      <w:tblStyleRowBandSize w:val="1"/>
      <w:tblStyleColBandSize w:val="1"/>
      <w:tblBorders>
        <w:top w:val="single" w:sz="8" w:space="0" w:color="AEBAD5"/>
        <w:bottom w:val="single" w:sz="8" w:space="0" w:color="AEBAD5"/>
      </w:tblBorders>
    </w:tblPr>
    <w:tblStylePr w:type="firstRow">
      <w:pPr>
        <w:spacing w:before="0" w:after="0" w:line="240" w:lineRule="auto"/>
      </w:pPr>
      <w:rPr>
        <w:b/>
        <w:bCs/>
      </w:rPr>
      <w:tblPr/>
      <w:tcPr>
        <w:tcBorders>
          <w:top w:val="single" w:sz="8" w:space="0" w:color="AEBAD5"/>
          <w:left w:val="nil"/>
          <w:bottom w:val="single" w:sz="8" w:space="0" w:color="AEBAD5"/>
          <w:right w:val="nil"/>
          <w:insideH w:val="nil"/>
          <w:insideV w:val="nil"/>
        </w:tcBorders>
      </w:tcPr>
    </w:tblStylePr>
    <w:tblStylePr w:type="lastRow">
      <w:pPr>
        <w:spacing w:before="0" w:after="0" w:line="240" w:lineRule="auto"/>
      </w:pPr>
      <w:rPr>
        <w:b/>
        <w:bCs/>
      </w:rPr>
      <w:tblPr/>
      <w:tcPr>
        <w:tcBorders>
          <w:top w:val="single" w:sz="8" w:space="0" w:color="AEBAD5"/>
          <w:left w:val="nil"/>
          <w:bottom w:val="single" w:sz="8" w:space="0" w:color="AEBA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EDF4"/>
      </w:tcPr>
    </w:tblStylePr>
    <w:tblStylePr w:type="band1Horz">
      <w:tblPr/>
      <w:tcPr>
        <w:tcBorders>
          <w:left w:val="nil"/>
          <w:right w:val="nil"/>
          <w:insideH w:val="nil"/>
          <w:insideV w:val="nil"/>
        </w:tcBorders>
        <w:shd w:val="clear" w:color="auto" w:fill="EAEDF4"/>
      </w:tcPr>
    </w:tblStylePr>
  </w:style>
  <w:style w:type="paragraph" w:styleId="CommentText">
    <w:name w:val="annotation text"/>
    <w:basedOn w:val="Normal"/>
    <w:link w:val="CommentTextChar"/>
    <w:uiPriority w:val="99"/>
    <w:unhideWhenUsed/>
    <w:rsid w:val="0016224D"/>
    <w:rPr>
      <w:sz w:val="20"/>
      <w:szCs w:val="20"/>
    </w:rPr>
  </w:style>
  <w:style w:type="character" w:customStyle="1" w:styleId="CommentTextChar">
    <w:name w:val="Comment Text Char"/>
    <w:link w:val="CommentText"/>
    <w:uiPriority w:val="99"/>
    <w:rsid w:val="0016224D"/>
    <w:rPr>
      <w:sz w:val="20"/>
      <w:szCs w:val="20"/>
    </w:rPr>
  </w:style>
  <w:style w:type="character" w:styleId="CommentReference">
    <w:name w:val="annotation reference"/>
    <w:uiPriority w:val="99"/>
    <w:unhideWhenUsed/>
    <w:rsid w:val="0016224D"/>
    <w:rPr>
      <w:sz w:val="16"/>
      <w:szCs w:val="16"/>
    </w:rPr>
  </w:style>
  <w:style w:type="paragraph" w:styleId="TableofFigures">
    <w:name w:val="table of figures"/>
    <w:basedOn w:val="Normal"/>
    <w:next w:val="Normal"/>
    <w:uiPriority w:val="99"/>
    <w:unhideWhenUsed/>
    <w:rsid w:val="00E37BBA"/>
    <w:pPr>
      <w:spacing w:after="0"/>
      <w:ind w:left="440" w:hanging="440"/>
    </w:pPr>
    <w:rPr>
      <w:b/>
      <w:bCs/>
      <w:sz w:val="20"/>
      <w:szCs w:val="20"/>
    </w:rPr>
  </w:style>
  <w:style w:type="character" w:customStyle="1" w:styleId="TitleChar">
    <w:name w:val="Title Char"/>
    <w:link w:val="Title"/>
    <w:uiPriority w:val="10"/>
    <w:rsid w:val="00F70298"/>
    <w:rPr>
      <w:rFonts w:ascii="Cambria" w:hAnsi="Cambria"/>
      <w:caps/>
      <w:color w:val="0D78CA" w:themeColor="background2" w:themeShade="80"/>
      <w:spacing w:val="5"/>
      <w:w w:val="90"/>
      <w:kern w:val="28"/>
      <w:sz w:val="96"/>
      <w:szCs w:val="52"/>
      <w:lang w:eastAsia="en-US"/>
    </w:rPr>
  </w:style>
  <w:style w:type="character" w:customStyle="1" w:styleId="Heading4Char">
    <w:name w:val="Heading 4 Char"/>
    <w:link w:val="Heading4"/>
    <w:uiPriority w:val="9"/>
    <w:rsid w:val="00C0210D"/>
    <w:rPr>
      <w:rFonts w:asciiTheme="majorHAnsi" w:hAnsiTheme="majorHAnsi"/>
      <w:b/>
      <w:bCs/>
      <w:iCs/>
      <w:color w:val="0D78CA" w:themeColor="background2" w:themeShade="80"/>
      <w:szCs w:val="20"/>
    </w:rPr>
  </w:style>
  <w:style w:type="table" w:customStyle="1" w:styleId="LightShading-Accent13">
    <w:name w:val="Light Shading - Accent 13"/>
    <w:basedOn w:val="TableNormal"/>
    <w:uiPriority w:val="60"/>
    <w:rsid w:val="003F6ABC"/>
    <w:rPr>
      <w:rFonts w:eastAsia="Calibri"/>
      <w:color w:val="E65B01"/>
    </w:rPr>
    <w:tblPr>
      <w:tblStyleRowBandSize w:val="1"/>
      <w:tblStyleColBandSize w:val="1"/>
      <w:tblBorders>
        <w:top w:val="single" w:sz="8" w:space="0" w:color="FE8637"/>
        <w:bottom w:val="single" w:sz="8" w:space="0" w:color="FE8637"/>
      </w:tblBorders>
    </w:tblPr>
    <w:tblStylePr w:type="firstRow">
      <w:pPr>
        <w:spacing w:before="0" w:after="0" w:line="240" w:lineRule="auto"/>
      </w:pPr>
      <w:rPr>
        <w:b/>
        <w:bCs/>
      </w:rPr>
      <w:tblPr/>
      <w:tcPr>
        <w:tcBorders>
          <w:top w:val="single" w:sz="8" w:space="0" w:color="FE8637"/>
          <w:left w:val="nil"/>
          <w:bottom w:val="single" w:sz="8" w:space="0" w:color="FE8637"/>
          <w:right w:val="nil"/>
          <w:insideH w:val="nil"/>
          <w:insideV w:val="nil"/>
        </w:tcBorders>
      </w:tcPr>
    </w:tblStylePr>
    <w:tblStylePr w:type="lastRow">
      <w:pPr>
        <w:spacing w:before="0" w:after="0" w:line="240" w:lineRule="auto"/>
      </w:pPr>
      <w:rPr>
        <w:b/>
        <w:bCs/>
      </w:rPr>
      <w:tblPr/>
      <w:tcPr>
        <w:tcBorders>
          <w:top w:val="single" w:sz="8" w:space="0" w:color="FE8637"/>
          <w:left w:val="nil"/>
          <w:bottom w:val="single" w:sz="8" w:space="0" w:color="FE863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1CD"/>
      </w:tcPr>
    </w:tblStylePr>
    <w:tblStylePr w:type="band1Horz">
      <w:tblPr/>
      <w:tcPr>
        <w:tcBorders>
          <w:left w:val="nil"/>
          <w:right w:val="nil"/>
          <w:insideH w:val="nil"/>
          <w:insideV w:val="nil"/>
        </w:tcBorders>
        <w:shd w:val="clear" w:color="auto" w:fill="FEE1CD"/>
      </w:tcPr>
    </w:tblStylePr>
  </w:style>
  <w:style w:type="table" w:styleId="LightShading-Accent6">
    <w:name w:val="Light Shading Accent 6"/>
    <w:basedOn w:val="TableNormal"/>
    <w:uiPriority w:val="60"/>
    <w:rsid w:val="002C3333"/>
    <w:rPr>
      <w:color w:val="000000"/>
    </w:rPr>
    <w:tblPr>
      <w:tblStyleRowBandSize w:val="1"/>
      <w:tblStyleColBandSize w:val="1"/>
      <w:tblInd w:w="113" w:type="dxa"/>
      <w:tblBorders>
        <w:top w:val="single" w:sz="8" w:space="0" w:color="777C84"/>
        <w:bottom w:val="single" w:sz="8" w:space="0" w:color="777C84"/>
      </w:tblBorders>
    </w:tblPr>
    <w:tblStylePr w:type="firstRow">
      <w:pPr>
        <w:spacing w:before="0" w:after="0" w:line="240" w:lineRule="auto"/>
      </w:pPr>
      <w:rPr>
        <w:b/>
        <w:bCs/>
      </w:rPr>
      <w:tblPr/>
      <w:tcPr>
        <w:tcBorders>
          <w:top w:val="single" w:sz="8" w:space="0" w:color="777C84"/>
          <w:left w:val="nil"/>
          <w:bottom w:val="single" w:sz="8" w:space="0" w:color="777C84"/>
          <w:right w:val="nil"/>
          <w:insideH w:val="nil"/>
          <w:insideV w:val="nil"/>
        </w:tcBorders>
      </w:tcPr>
    </w:tblStylePr>
    <w:tblStylePr w:type="lastRow">
      <w:pPr>
        <w:spacing w:before="0" w:after="0" w:line="240" w:lineRule="auto"/>
      </w:pPr>
      <w:rPr>
        <w:b/>
        <w:bCs/>
      </w:rPr>
      <w:tblPr/>
      <w:tcPr>
        <w:tcBorders>
          <w:top w:val="single" w:sz="8" w:space="0" w:color="777C84"/>
          <w:left w:val="nil"/>
          <w:bottom w:val="single" w:sz="8" w:space="0" w:color="777C8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EE0"/>
      </w:tcPr>
    </w:tblStylePr>
    <w:tblStylePr w:type="band1Horz">
      <w:tblPr/>
      <w:tcPr>
        <w:tcBorders>
          <w:left w:val="nil"/>
          <w:right w:val="nil"/>
          <w:insideH w:val="nil"/>
          <w:insideV w:val="nil"/>
        </w:tcBorders>
        <w:shd w:val="clear" w:color="auto" w:fill="DDDEE0"/>
      </w:tcPr>
    </w:tblStylePr>
  </w:style>
  <w:style w:type="table" w:styleId="MediumList1-Accent6">
    <w:name w:val="Medium List 1 Accent 6"/>
    <w:basedOn w:val="TableNormal"/>
    <w:uiPriority w:val="65"/>
    <w:rsid w:val="00DB34FE"/>
    <w:rPr>
      <w:color w:val="404040" w:themeColor="text1" w:themeTint="BF"/>
      <w:sz w:val="18"/>
    </w:rPr>
    <w:tblPr>
      <w:tblStyleRowBandSize w:val="1"/>
      <w:tblStyleColBandSize w:val="1"/>
      <w:tblInd w:w="113" w:type="dxa"/>
      <w:tblBorders>
        <w:top w:val="single" w:sz="8" w:space="0" w:color="777C84"/>
        <w:bottom w:val="single" w:sz="8" w:space="0" w:color="777C84"/>
      </w:tblBorders>
    </w:tblPr>
    <w:tblStylePr w:type="firstRow">
      <w:rPr>
        <w:rFonts w:ascii="Cambria" w:eastAsia="Times New Roman" w:hAnsi="Cambria" w:cs="Times New Roman"/>
      </w:rPr>
      <w:tblPr/>
      <w:tcPr>
        <w:tcBorders>
          <w:top w:val="nil"/>
          <w:bottom w:val="single" w:sz="8" w:space="0" w:color="777C84"/>
        </w:tcBorders>
      </w:tcPr>
    </w:tblStylePr>
    <w:tblStylePr w:type="lastRow">
      <w:rPr>
        <w:b/>
        <w:bCs/>
        <w:color w:val="575F6D"/>
      </w:rPr>
      <w:tblPr/>
      <w:tcPr>
        <w:tcBorders>
          <w:top w:val="single" w:sz="8" w:space="0" w:color="777C84"/>
          <w:bottom w:val="single" w:sz="8" w:space="0" w:color="777C84"/>
        </w:tcBorders>
      </w:tcPr>
    </w:tblStylePr>
    <w:tblStylePr w:type="firstCol">
      <w:rPr>
        <w:b/>
        <w:bCs/>
      </w:rPr>
    </w:tblStylePr>
    <w:tblStylePr w:type="lastCol">
      <w:rPr>
        <w:b/>
        <w:bCs/>
      </w:rPr>
      <w:tblPr/>
      <w:tcPr>
        <w:tcBorders>
          <w:top w:val="single" w:sz="8" w:space="0" w:color="777C84"/>
          <w:bottom w:val="single" w:sz="8" w:space="0" w:color="777C84"/>
        </w:tcBorders>
      </w:tcPr>
    </w:tblStylePr>
    <w:tblStylePr w:type="band1Vert">
      <w:tblPr/>
      <w:tcPr>
        <w:shd w:val="clear" w:color="auto" w:fill="DDDEE0"/>
      </w:tcPr>
    </w:tblStylePr>
    <w:tblStylePr w:type="band1Horz">
      <w:tblPr/>
      <w:tcPr>
        <w:shd w:val="clear" w:color="auto" w:fill="DDDEE0"/>
      </w:tcPr>
    </w:tblStylePr>
  </w:style>
  <w:style w:type="table" w:customStyle="1" w:styleId="1">
    <w:name w:val="Среден списък 1"/>
    <w:basedOn w:val="TableNormal"/>
    <w:uiPriority w:val="65"/>
    <w:rsid w:val="00AB7362"/>
    <w:rPr>
      <w:color w:val="000000"/>
      <w:sz w:val="16"/>
    </w:rPr>
    <w:tblPr>
      <w:tblStyleRowBandSize w:val="1"/>
      <w:tblStyleColBandSize w:val="1"/>
      <w:tblInd w:w="113" w:type="dxa"/>
      <w:tblBorders>
        <w:top w:val="single" w:sz="2" w:space="0" w:color="auto"/>
        <w:bottom w:val="single" w:sz="2" w:space="0" w:color="auto"/>
      </w:tblBorders>
    </w:tblPr>
    <w:tblStylePr w:type="firstRow">
      <w:rPr>
        <w:rFonts w:ascii="Calibri" w:eastAsia="Times New Roman" w:hAnsi="Calibri" w:cs="Times New Roman"/>
        <w:b/>
        <w:sz w:val="16"/>
      </w:rPr>
      <w:tblPr/>
      <w:tcPr>
        <w:tcBorders>
          <w:top w:val="nil"/>
          <w:bottom w:val="single" w:sz="2" w:space="0" w:color="auto"/>
        </w:tcBorders>
      </w:tcPr>
    </w:tblStylePr>
    <w:tblStylePr w:type="lastRow">
      <w:rPr>
        <w:b/>
        <w:bCs/>
        <w:color w:val="575F6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a2">
    <w:name w:val="Светло оцветяване"/>
    <w:basedOn w:val="TableNormal"/>
    <w:uiPriority w:val="60"/>
    <w:rsid w:val="002F68D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FootnoteReference">
    <w:name w:val="footnote reference"/>
    <w:aliases w:val="Footnote symbol,SUPERS,BVI fnr,Footnote reference number,Times 10 Point,Exposant 3 Point,Ref,de nota al pie,note TESI,EN Footnote text,EN Footnote Reference,Footnote Reference Number,E FNZ,Appel note de bas de p,Nota,BVI fnr1,BVI fnr2"/>
    <w:basedOn w:val="DefaultParagraphFont"/>
    <w:uiPriority w:val="99"/>
    <w:unhideWhenUsed/>
    <w:qFormat/>
    <w:rsid w:val="00687035"/>
    <w:rPr>
      <w:color w:val="auto"/>
      <w:vertAlign w:val="superscript"/>
    </w:rPr>
  </w:style>
  <w:style w:type="table" w:customStyle="1" w:styleId="LightShading1">
    <w:name w:val="Light Shading1"/>
    <w:basedOn w:val="TableNormal"/>
    <w:uiPriority w:val="60"/>
    <w:rsid w:val="00BC3DD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basedOn w:val="Normal"/>
    <w:link w:val="BodyTextChar"/>
    <w:unhideWhenUsed/>
    <w:rsid w:val="00D943B5"/>
  </w:style>
  <w:style w:type="character" w:customStyle="1" w:styleId="BodyTextChar">
    <w:name w:val="Body Text Char"/>
    <w:basedOn w:val="DefaultParagraphFont"/>
    <w:link w:val="BodyText"/>
    <w:rsid w:val="00D943B5"/>
    <w:rPr>
      <w:color w:val="404040" w:themeColor="text1" w:themeTint="BF"/>
      <w:sz w:val="22"/>
      <w:szCs w:val="22"/>
      <w:lang w:eastAsia="en-US"/>
    </w:rPr>
  </w:style>
  <w:style w:type="paragraph" w:customStyle="1" w:styleId="a3">
    <w:name w:val="Списък на абзаци"/>
    <w:basedOn w:val="Normal"/>
    <w:qFormat/>
    <w:rsid w:val="00D943B5"/>
    <w:pPr>
      <w:tabs>
        <w:tab w:val="left" w:pos="794"/>
      </w:tabs>
      <w:ind w:left="502" w:hanging="360"/>
    </w:pPr>
    <w:rPr>
      <w:sz w:val="21"/>
    </w:rPr>
  </w:style>
  <w:style w:type="table" w:customStyle="1" w:styleId="LightList-Accent11">
    <w:name w:val="Light List - Accent 11"/>
    <w:basedOn w:val="TableNormal"/>
    <w:uiPriority w:val="61"/>
    <w:rsid w:val="00E151DE"/>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tblBorders>
    </w:tblPr>
    <w:tblStylePr w:type="firstRow">
      <w:pPr>
        <w:spacing w:before="0" w:after="0" w:line="240" w:lineRule="auto"/>
      </w:pPr>
      <w:rPr>
        <w:b/>
        <w:bCs/>
        <w:color w:val="FFFFFF" w:themeColor="background1"/>
      </w:rPr>
      <w:tblPr/>
      <w:tcPr>
        <w:shd w:val="clear" w:color="auto" w:fill="4E67C8" w:themeFill="accent1"/>
      </w:tcPr>
    </w:tblStylePr>
    <w:tblStylePr w:type="lastRow">
      <w:pPr>
        <w:spacing w:before="0" w:after="0" w:line="240" w:lineRule="auto"/>
      </w:pPr>
      <w:rPr>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tcBorders>
      </w:tcPr>
    </w:tblStylePr>
    <w:tblStylePr w:type="firstCol">
      <w:rPr>
        <w:b/>
        <w:bCs/>
      </w:rPr>
    </w:tblStylePr>
    <w:tblStylePr w:type="lastCol">
      <w:rPr>
        <w:b/>
        <w:bCs/>
      </w:r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style>
  <w:style w:type="table" w:customStyle="1" w:styleId="MediumShading1-Accent12">
    <w:name w:val="Medium Shading 1 - Accent 12"/>
    <w:basedOn w:val="TableNormal"/>
    <w:uiPriority w:val="63"/>
    <w:rsid w:val="00E151DE"/>
    <w:tblPr>
      <w:tblStyleRowBandSize w:val="1"/>
      <w:tblStyleColBandSize w:val="1"/>
      <w:tblBorders>
        <w:top w:val="single" w:sz="8" w:space="0" w:color="7A8CD5" w:themeColor="accent1" w:themeTint="BF"/>
        <w:left w:val="single" w:sz="8" w:space="0" w:color="7A8CD5" w:themeColor="accent1" w:themeTint="BF"/>
        <w:bottom w:val="single" w:sz="8" w:space="0" w:color="7A8CD5" w:themeColor="accent1" w:themeTint="BF"/>
        <w:right w:val="single" w:sz="8" w:space="0" w:color="7A8CD5" w:themeColor="accent1" w:themeTint="BF"/>
        <w:insideH w:val="single" w:sz="8" w:space="0" w:color="7A8CD5" w:themeColor="accent1" w:themeTint="BF"/>
      </w:tblBorders>
    </w:tblPr>
    <w:tblStylePr w:type="firstRow">
      <w:pPr>
        <w:spacing w:before="0" w:after="0" w:line="240" w:lineRule="auto"/>
      </w:pPr>
      <w:rPr>
        <w:b/>
        <w:bCs/>
        <w:color w:val="FFFFFF" w:themeColor="background1"/>
      </w:rPr>
      <w:tblPr/>
      <w:tcPr>
        <w:tcBorders>
          <w:top w:val="single" w:sz="8" w:space="0" w:color="7A8CD5" w:themeColor="accent1" w:themeTint="BF"/>
          <w:left w:val="single" w:sz="8" w:space="0" w:color="7A8CD5" w:themeColor="accent1" w:themeTint="BF"/>
          <w:bottom w:val="single" w:sz="8" w:space="0" w:color="7A8CD5" w:themeColor="accent1" w:themeTint="BF"/>
          <w:right w:val="single" w:sz="8" w:space="0" w:color="7A8CD5" w:themeColor="accent1" w:themeTint="BF"/>
          <w:insideH w:val="nil"/>
          <w:insideV w:val="nil"/>
        </w:tcBorders>
        <w:shd w:val="clear" w:color="auto" w:fill="4E67C8" w:themeFill="accent1"/>
      </w:tcPr>
    </w:tblStylePr>
    <w:tblStylePr w:type="lastRow">
      <w:pPr>
        <w:spacing w:before="0" w:after="0" w:line="240" w:lineRule="auto"/>
      </w:pPr>
      <w:rPr>
        <w:b/>
        <w:bCs/>
      </w:rPr>
      <w:tblPr/>
      <w:tcPr>
        <w:tcBorders>
          <w:top w:val="double" w:sz="6" w:space="0" w:color="7A8CD5" w:themeColor="accent1" w:themeTint="BF"/>
          <w:left w:val="single" w:sz="8" w:space="0" w:color="7A8CD5" w:themeColor="accent1" w:themeTint="BF"/>
          <w:bottom w:val="single" w:sz="8" w:space="0" w:color="7A8CD5" w:themeColor="accent1" w:themeTint="BF"/>
          <w:right w:val="single" w:sz="8" w:space="0" w:color="7A8C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9F1" w:themeFill="accent1" w:themeFillTint="3F"/>
      </w:tcPr>
    </w:tblStylePr>
    <w:tblStylePr w:type="band1Horz">
      <w:tblPr/>
      <w:tcPr>
        <w:tcBorders>
          <w:insideH w:val="nil"/>
          <w:insideV w:val="nil"/>
        </w:tcBorders>
        <w:shd w:val="clear" w:color="auto" w:fill="D3D9F1"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BA2046"/>
    <w:tblPr>
      <w:tblStyleRowBandSize w:val="1"/>
      <w:tblStyleColBandSize w:val="1"/>
      <w:tblBorders>
        <w:top w:val="single" w:sz="8" w:space="0" w:color="86D8F6" w:themeColor="accent2" w:themeTint="BF"/>
        <w:left w:val="single" w:sz="8" w:space="0" w:color="86D8F6" w:themeColor="accent2" w:themeTint="BF"/>
        <w:bottom w:val="single" w:sz="8" w:space="0" w:color="86D8F6" w:themeColor="accent2" w:themeTint="BF"/>
        <w:right w:val="single" w:sz="8" w:space="0" w:color="86D8F6" w:themeColor="accent2" w:themeTint="BF"/>
        <w:insideH w:val="single" w:sz="8" w:space="0" w:color="86D8F6" w:themeColor="accent2" w:themeTint="BF"/>
      </w:tblBorders>
    </w:tblPr>
    <w:tblStylePr w:type="firstRow">
      <w:pPr>
        <w:spacing w:before="0" w:after="0" w:line="240" w:lineRule="auto"/>
      </w:pPr>
      <w:rPr>
        <w:b/>
        <w:bCs/>
        <w:color w:val="FFFFFF" w:themeColor="background1"/>
      </w:rPr>
      <w:tblPr/>
      <w:tcPr>
        <w:tcBorders>
          <w:top w:val="single" w:sz="8" w:space="0" w:color="86D8F6" w:themeColor="accent2" w:themeTint="BF"/>
          <w:left w:val="single" w:sz="8" w:space="0" w:color="86D8F6" w:themeColor="accent2" w:themeTint="BF"/>
          <w:bottom w:val="single" w:sz="8" w:space="0" w:color="86D8F6" w:themeColor="accent2" w:themeTint="BF"/>
          <w:right w:val="single" w:sz="8" w:space="0" w:color="86D8F6" w:themeColor="accent2" w:themeTint="BF"/>
          <w:insideH w:val="nil"/>
          <w:insideV w:val="nil"/>
        </w:tcBorders>
        <w:shd w:val="clear" w:color="auto" w:fill="5ECCF3" w:themeFill="accent2"/>
      </w:tcPr>
    </w:tblStylePr>
    <w:tblStylePr w:type="lastRow">
      <w:pPr>
        <w:spacing w:before="0" w:after="0" w:line="240" w:lineRule="auto"/>
      </w:pPr>
      <w:rPr>
        <w:b/>
        <w:bCs/>
      </w:rPr>
      <w:tblPr/>
      <w:tcPr>
        <w:tcBorders>
          <w:top w:val="double" w:sz="6" w:space="0" w:color="86D8F6" w:themeColor="accent2" w:themeTint="BF"/>
          <w:left w:val="single" w:sz="8" w:space="0" w:color="86D8F6" w:themeColor="accent2" w:themeTint="BF"/>
          <w:bottom w:val="single" w:sz="8" w:space="0" w:color="86D8F6" w:themeColor="accent2" w:themeTint="BF"/>
          <w:right w:val="single" w:sz="8" w:space="0" w:color="86D8F6" w:themeColor="accent2" w:themeTint="BF"/>
          <w:insideH w:val="nil"/>
          <w:insideV w:val="nil"/>
        </w:tcBorders>
      </w:tcPr>
    </w:tblStylePr>
    <w:tblStylePr w:type="firstCol">
      <w:rPr>
        <w:b/>
        <w:bCs/>
      </w:rPr>
    </w:tblStylePr>
    <w:tblStylePr w:type="lastCol">
      <w:rPr>
        <w:b/>
        <w:bCs/>
      </w:rPr>
    </w:tblStylePr>
    <w:tblStylePr w:type="band1Vert">
      <w:tblPr/>
      <w:tcPr>
        <w:shd w:val="clear" w:color="auto" w:fill="D6F2FC" w:themeFill="accent2" w:themeFillTint="3F"/>
      </w:tcPr>
    </w:tblStylePr>
    <w:tblStylePr w:type="band1Horz">
      <w:tblPr/>
      <w:tcPr>
        <w:tcBorders>
          <w:insideH w:val="nil"/>
          <w:insideV w:val="nil"/>
        </w:tcBorders>
        <w:shd w:val="clear" w:color="auto" w:fill="D6F2FC" w:themeFill="accent2" w:themeFillTint="3F"/>
      </w:tcPr>
    </w:tblStylePr>
    <w:tblStylePr w:type="band2Horz">
      <w:tblPr/>
      <w:tcPr>
        <w:tcBorders>
          <w:insideH w:val="nil"/>
          <w:insideV w:val="nil"/>
        </w:tcBorders>
      </w:tcPr>
    </w:tblStylePr>
  </w:style>
  <w:style w:type="paragraph" w:customStyle="1" w:styleId="CM1">
    <w:name w:val="CM1"/>
    <w:basedOn w:val="Default"/>
    <w:next w:val="Default"/>
    <w:uiPriority w:val="99"/>
    <w:rsid w:val="009D105C"/>
    <w:rPr>
      <w:rFonts w:ascii="EUAlbertina" w:eastAsia="Times New Roman" w:hAnsi="EUAlbertina" w:cs="Times New Roman"/>
      <w:color w:val="auto"/>
      <w:lang w:eastAsia="bg-BG"/>
    </w:rPr>
  </w:style>
  <w:style w:type="paragraph" w:customStyle="1" w:styleId="CM3">
    <w:name w:val="CM3"/>
    <w:basedOn w:val="Default"/>
    <w:next w:val="Default"/>
    <w:uiPriority w:val="99"/>
    <w:rsid w:val="009D105C"/>
    <w:rPr>
      <w:rFonts w:ascii="EUAlbertina" w:eastAsia="Times New Roman" w:hAnsi="EUAlbertina" w:cs="Times New Roman"/>
      <w:color w:val="auto"/>
      <w:lang w:eastAsia="bg-BG"/>
    </w:rPr>
  </w:style>
  <w:style w:type="character" w:customStyle="1" w:styleId="Heading5Char">
    <w:name w:val="Heading 5 Char"/>
    <w:basedOn w:val="DefaultParagraphFont"/>
    <w:link w:val="Heading5"/>
    <w:uiPriority w:val="9"/>
    <w:rsid w:val="00666881"/>
    <w:rPr>
      <w:rFonts w:asciiTheme="majorHAnsi" w:eastAsiaTheme="majorEastAsia" w:hAnsiTheme="majorHAnsi" w:cstheme="majorBidi"/>
      <w:b/>
      <w:color w:val="262626" w:themeColor="text1" w:themeTint="D9"/>
    </w:rPr>
  </w:style>
  <w:style w:type="character" w:styleId="FollowedHyperlink">
    <w:name w:val="FollowedHyperlink"/>
    <w:basedOn w:val="DefaultParagraphFont"/>
    <w:uiPriority w:val="99"/>
    <w:semiHidden/>
    <w:unhideWhenUsed/>
    <w:rsid w:val="0006464A"/>
    <w:rPr>
      <w:color w:val="59A8D1" w:themeColor="followedHyperlink"/>
      <w:u w:val="single"/>
    </w:rPr>
  </w:style>
  <w:style w:type="paragraph" w:customStyle="1" w:styleId="listparagraph0">
    <w:name w:val="listparagraph"/>
    <w:basedOn w:val="Normal"/>
    <w:rsid w:val="00730ADA"/>
    <w:pPr>
      <w:spacing w:before="100" w:beforeAutospacing="1" w:after="100" w:afterAutospacing="1"/>
      <w:jc w:val="left"/>
    </w:pPr>
    <w:rPr>
      <w:rFonts w:eastAsiaTheme="minorHAnsi"/>
      <w:szCs w:val="24"/>
    </w:rPr>
  </w:style>
  <w:style w:type="paragraph" w:customStyle="1" w:styleId="m">
    <w:name w:val="m"/>
    <w:basedOn w:val="Normal"/>
    <w:rsid w:val="0025371D"/>
    <w:pPr>
      <w:spacing w:after="0"/>
      <w:ind w:firstLine="990"/>
    </w:pPr>
    <w:rPr>
      <w:rFonts w:eastAsia="Times New Roman"/>
      <w:color w:val="000000"/>
      <w:szCs w:val="24"/>
    </w:rPr>
  </w:style>
  <w:style w:type="paragraph" w:styleId="BodyTextIndent2">
    <w:name w:val="Body Text Indent 2"/>
    <w:basedOn w:val="Normal"/>
    <w:link w:val="BodyTextIndent2Char"/>
    <w:semiHidden/>
    <w:unhideWhenUsed/>
    <w:rsid w:val="005F28AC"/>
    <w:pPr>
      <w:spacing w:line="480" w:lineRule="auto"/>
      <w:ind w:left="283"/>
    </w:pPr>
  </w:style>
  <w:style w:type="character" w:customStyle="1" w:styleId="BodyTextIndent2Char">
    <w:name w:val="Body Text Indent 2 Char"/>
    <w:basedOn w:val="DefaultParagraphFont"/>
    <w:link w:val="BodyTextIndent2"/>
    <w:semiHidden/>
    <w:rsid w:val="005F28AC"/>
    <w:rPr>
      <w:color w:val="404040" w:themeColor="text1" w:themeTint="BF"/>
      <w:sz w:val="22"/>
      <w:szCs w:val="22"/>
      <w:lang w:eastAsia="en-US"/>
    </w:rPr>
  </w:style>
  <w:style w:type="character" w:customStyle="1" w:styleId="apple-converted-space">
    <w:name w:val="apple-converted-space"/>
    <w:basedOn w:val="DefaultParagraphFont"/>
    <w:rsid w:val="00324F42"/>
  </w:style>
  <w:style w:type="paragraph" w:styleId="EndnoteText">
    <w:name w:val="endnote text"/>
    <w:basedOn w:val="Normal"/>
    <w:link w:val="EndnoteTextChar"/>
    <w:uiPriority w:val="99"/>
    <w:semiHidden/>
    <w:unhideWhenUsed/>
    <w:rsid w:val="00783FA8"/>
    <w:pPr>
      <w:spacing w:after="0"/>
    </w:pPr>
    <w:rPr>
      <w:sz w:val="20"/>
      <w:szCs w:val="20"/>
    </w:rPr>
  </w:style>
  <w:style w:type="character" w:customStyle="1" w:styleId="EndnoteTextChar">
    <w:name w:val="Endnote Text Char"/>
    <w:basedOn w:val="DefaultParagraphFont"/>
    <w:link w:val="EndnoteText"/>
    <w:uiPriority w:val="99"/>
    <w:semiHidden/>
    <w:rsid w:val="00783FA8"/>
    <w:rPr>
      <w:color w:val="404040" w:themeColor="text1" w:themeTint="BF"/>
      <w:lang w:eastAsia="en-US"/>
    </w:rPr>
  </w:style>
  <w:style w:type="character" w:styleId="EndnoteReference">
    <w:name w:val="endnote reference"/>
    <w:basedOn w:val="DefaultParagraphFont"/>
    <w:uiPriority w:val="99"/>
    <w:semiHidden/>
    <w:unhideWhenUsed/>
    <w:rsid w:val="00783FA8"/>
    <w:rPr>
      <w:vertAlign w:val="superscript"/>
    </w:rPr>
  </w:style>
  <w:style w:type="paragraph" w:styleId="NormalWeb">
    <w:name w:val="Normal (Web)"/>
    <w:basedOn w:val="Normal"/>
    <w:uiPriority w:val="99"/>
    <w:semiHidden/>
    <w:unhideWhenUsed/>
    <w:rsid w:val="00165AC8"/>
    <w:pPr>
      <w:spacing w:after="0"/>
      <w:ind w:firstLine="990"/>
    </w:pPr>
    <w:rPr>
      <w:rFonts w:eastAsia="Times New Roman"/>
      <w:color w:val="000000"/>
      <w:szCs w:val="24"/>
    </w:rPr>
  </w:style>
  <w:style w:type="paragraph" w:styleId="PlainText">
    <w:name w:val="Plain Text"/>
    <w:basedOn w:val="Normal"/>
    <w:link w:val="PlainTextChar"/>
    <w:uiPriority w:val="99"/>
    <w:unhideWhenUsed/>
    <w:rsid w:val="0064715C"/>
    <w:pPr>
      <w:spacing w:after="0"/>
      <w:jc w:val="left"/>
    </w:pPr>
    <w:rPr>
      <w:rFonts w:eastAsia="Times New Roman" w:cs="Consolas"/>
      <w:szCs w:val="21"/>
    </w:rPr>
  </w:style>
  <w:style w:type="character" w:customStyle="1" w:styleId="PlainTextChar">
    <w:name w:val="Plain Text Char"/>
    <w:basedOn w:val="DefaultParagraphFont"/>
    <w:link w:val="PlainText"/>
    <w:uiPriority w:val="99"/>
    <w:rsid w:val="0064715C"/>
    <w:rPr>
      <w:rFonts w:eastAsia="Times New Roman" w:cs="Consolas"/>
      <w:sz w:val="22"/>
      <w:szCs w:val="21"/>
    </w:rPr>
  </w:style>
  <w:style w:type="character" w:customStyle="1" w:styleId="Heading6Char">
    <w:name w:val="Heading 6 Char"/>
    <w:basedOn w:val="DefaultParagraphFont"/>
    <w:link w:val="Heading6"/>
    <w:uiPriority w:val="9"/>
    <w:rsid w:val="00274467"/>
    <w:rPr>
      <w:rFonts w:asciiTheme="majorHAnsi" w:eastAsiaTheme="majorEastAsia" w:hAnsiTheme="majorHAnsi" w:cstheme="majorBidi"/>
      <w:i/>
      <w:iCs/>
      <w:color w:val="202F69" w:themeColor="accent1" w:themeShade="7F"/>
    </w:rPr>
  </w:style>
  <w:style w:type="table" w:styleId="MediumList1">
    <w:name w:val="Medium List 1"/>
    <w:basedOn w:val="TableNormal"/>
    <w:uiPriority w:val="65"/>
    <w:rsid w:val="00A75332"/>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12745"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ghtShading-Accent61">
    <w:name w:val="Light Shading - Accent 61"/>
    <w:basedOn w:val="TableNormal"/>
    <w:next w:val="LightShading-Accent6"/>
    <w:uiPriority w:val="99"/>
    <w:rsid w:val="00FF474F"/>
    <w:rPr>
      <w:color w:val="000000"/>
      <w:lang w:val="en-GB" w:eastAsia="en-GB" w:bidi="en-GB"/>
    </w:rPr>
    <w:tblPr>
      <w:tblStyleRowBandSize w:val="1"/>
      <w:tblStyleColBandSize w:val="1"/>
      <w:tblInd w:w="113" w:type="dxa"/>
      <w:tblBorders>
        <w:top w:val="single" w:sz="8" w:space="0" w:color="777C84"/>
        <w:bottom w:val="single" w:sz="8" w:space="0" w:color="777C84"/>
      </w:tblBorders>
    </w:tblPr>
    <w:tblStylePr w:type="firstRow">
      <w:pPr>
        <w:spacing w:before="0" w:after="0" w:line="240" w:lineRule="auto"/>
      </w:pPr>
      <w:rPr>
        <w:b/>
        <w:bCs/>
      </w:rPr>
      <w:tblPr/>
      <w:tcPr>
        <w:tcBorders>
          <w:top w:val="single" w:sz="8" w:space="0" w:color="777C84"/>
          <w:left w:val="nil"/>
          <w:bottom w:val="single" w:sz="8" w:space="0" w:color="777C84"/>
          <w:right w:val="nil"/>
          <w:insideH w:val="nil"/>
          <w:insideV w:val="nil"/>
        </w:tcBorders>
      </w:tcPr>
    </w:tblStylePr>
    <w:tblStylePr w:type="lastRow">
      <w:pPr>
        <w:spacing w:before="0" w:after="0" w:line="240" w:lineRule="auto"/>
      </w:pPr>
      <w:rPr>
        <w:b/>
        <w:bCs/>
      </w:rPr>
      <w:tblPr/>
      <w:tcPr>
        <w:tcBorders>
          <w:top w:val="single" w:sz="8" w:space="0" w:color="777C84"/>
          <w:left w:val="nil"/>
          <w:bottom w:val="single" w:sz="8" w:space="0" w:color="777C8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EE0"/>
      </w:tcPr>
    </w:tblStylePr>
    <w:tblStylePr w:type="band1Horz">
      <w:tblPr/>
      <w:tcPr>
        <w:tcBorders>
          <w:left w:val="nil"/>
          <w:right w:val="nil"/>
          <w:insideH w:val="nil"/>
          <w:insideV w:val="nil"/>
        </w:tcBorders>
        <w:shd w:val="clear" w:color="auto" w:fill="DDDEE0"/>
      </w:tcPr>
    </w:tblStylePr>
  </w:style>
  <w:style w:type="paragraph" w:customStyle="1" w:styleId="a4">
    <w:name w:val="каре"/>
    <w:basedOn w:val="Normal"/>
    <w:qFormat/>
    <w:rsid w:val="00392DAB"/>
    <w:pPr>
      <w:pBdr>
        <w:top w:val="single" w:sz="2" w:space="1" w:color="5DCEAF" w:themeColor="accent4"/>
        <w:left w:val="single" w:sz="2" w:space="4" w:color="5DCEAF" w:themeColor="accent4"/>
        <w:bottom w:val="single" w:sz="2" w:space="1" w:color="5DCEAF" w:themeColor="accent4"/>
        <w:right w:val="single" w:sz="2" w:space="4" w:color="5DCEAF" w:themeColor="accent4"/>
      </w:pBdr>
      <w:shd w:val="clear" w:color="auto" w:fill="DEF5EE" w:themeFill="accent4" w:themeFillTint="33"/>
      <w:spacing w:after="0"/>
    </w:pPr>
    <w:rPr>
      <w:rFonts w:eastAsia="Times New Roman"/>
      <w:bCs/>
      <w:i/>
    </w:rPr>
  </w:style>
  <w:style w:type="paragraph" w:styleId="Subtitle">
    <w:name w:val="Subtitle"/>
    <w:basedOn w:val="Normal"/>
    <w:next w:val="Normal"/>
    <w:link w:val="SubtitleChar"/>
    <w:qFormat/>
    <w:rsid w:val="00802FC3"/>
    <w:pPr>
      <w:numPr>
        <w:ilvl w:val="1"/>
      </w:numPr>
      <w:jc w:val="left"/>
    </w:pPr>
    <w:rPr>
      <w:rFonts w:asciiTheme="majorHAnsi" w:eastAsiaTheme="majorEastAsia" w:hAnsiTheme="majorHAnsi" w:cstheme="majorBidi"/>
      <w:iCs/>
      <w:color w:val="595959" w:themeColor="text1" w:themeTint="A6"/>
      <w:spacing w:val="15"/>
      <w:sz w:val="40"/>
      <w:szCs w:val="24"/>
      <w:lang w:val="en-GB"/>
    </w:rPr>
  </w:style>
  <w:style w:type="character" w:customStyle="1" w:styleId="SubtitleChar">
    <w:name w:val="Subtitle Char"/>
    <w:basedOn w:val="DefaultParagraphFont"/>
    <w:link w:val="Subtitle"/>
    <w:rsid w:val="00802FC3"/>
    <w:rPr>
      <w:rFonts w:asciiTheme="majorHAnsi" w:eastAsiaTheme="majorEastAsia" w:hAnsiTheme="majorHAnsi" w:cstheme="majorBidi"/>
      <w:iCs/>
      <w:color w:val="595959" w:themeColor="text1" w:themeTint="A6"/>
      <w:spacing w:val="15"/>
      <w:sz w:val="40"/>
      <w:szCs w:val="24"/>
      <w:lang w:val="en-GB" w:eastAsia="en-US"/>
    </w:rPr>
  </w:style>
  <w:style w:type="paragraph" w:customStyle="1" w:styleId="doc-ti">
    <w:name w:val="doc-ti"/>
    <w:basedOn w:val="Normal"/>
    <w:rsid w:val="00E71C7B"/>
    <w:pPr>
      <w:spacing w:before="100" w:beforeAutospacing="1" w:after="100" w:afterAutospacing="1"/>
      <w:jc w:val="left"/>
    </w:pPr>
    <w:rPr>
      <w:rFonts w:eastAsia="Times New Roman"/>
      <w:szCs w:val="24"/>
    </w:rPr>
  </w:style>
  <w:style w:type="table" w:customStyle="1" w:styleId="Style1">
    <w:name w:val="Style1"/>
    <w:basedOn w:val="TableNormal"/>
    <w:uiPriority w:val="99"/>
    <w:rsid w:val="00AE2692"/>
    <w:rPr>
      <w:sz w:val="18"/>
    </w:rPr>
    <w:tblPr>
      <w:tblBorders>
        <w:top w:val="single" w:sz="2" w:space="0" w:color="7F7F7F" w:themeColor="text1" w:themeTint="80"/>
        <w:bottom w:val="single" w:sz="2" w:space="0" w:color="7F7F7F" w:themeColor="text1" w:themeTint="80"/>
        <w:insideH w:val="single" w:sz="2" w:space="0" w:color="7F7F7F" w:themeColor="text1" w:themeTint="80"/>
        <w:insideV w:val="single" w:sz="2" w:space="0" w:color="7F7F7F" w:themeColor="text1" w:themeTint="80"/>
      </w:tblBorders>
    </w:tblPr>
  </w:style>
  <w:style w:type="paragraph" w:customStyle="1" w:styleId="footnote">
    <w:name w:val="footnote"/>
    <w:basedOn w:val="Normal"/>
    <w:link w:val="footnoteChar"/>
    <w:uiPriority w:val="99"/>
    <w:rsid w:val="00461C7F"/>
    <w:pPr>
      <w:spacing w:after="0"/>
    </w:pPr>
    <w:rPr>
      <w:rFonts w:ascii="Verdana" w:eastAsia="Calibri" w:hAnsi="Verdana"/>
      <w:sz w:val="14"/>
      <w:szCs w:val="20"/>
    </w:rPr>
  </w:style>
  <w:style w:type="character" w:customStyle="1" w:styleId="footnoteChar">
    <w:name w:val="footnote Char"/>
    <w:link w:val="footnote"/>
    <w:uiPriority w:val="99"/>
    <w:locked/>
    <w:rsid w:val="00461C7F"/>
    <w:rPr>
      <w:rFonts w:ascii="Verdana" w:eastAsia="Calibri" w:hAnsi="Verdana"/>
      <w:sz w:val="14"/>
    </w:rPr>
  </w:style>
  <w:style w:type="paragraph" w:customStyle="1" w:styleId="a5">
    <w:name w:val="Обикн. параграф"/>
    <w:basedOn w:val="Normal"/>
    <w:link w:val="Char1"/>
    <w:rsid w:val="007B71CE"/>
    <w:pPr>
      <w:spacing w:before="120" w:after="0" w:line="360" w:lineRule="auto"/>
      <w:ind w:firstLine="720"/>
    </w:pPr>
    <w:rPr>
      <w:rFonts w:eastAsia="Times New Roman"/>
      <w:szCs w:val="20"/>
    </w:rPr>
  </w:style>
  <w:style w:type="character" w:customStyle="1" w:styleId="FootnoteTextChar1">
    <w:name w:val="Footnote Text Char1"/>
    <w:aliases w:val="Footnote Char2,Footnote1 Char2,Footnote2 Char2,Footnote3 Char2,stile 1 Char2,Footnote4 Char2,Footnote5 Char2,Footnote6 Char2,Footnote7 Char2,Footnote8 Char2,Footnote9 Char2,Footnote10 Char2,Footnote11 Char2,Footnote21 Char2,fn Char2"/>
    <w:uiPriority w:val="99"/>
    <w:rsid w:val="007B71CE"/>
    <w:rPr>
      <w:lang w:val="bg-BG"/>
    </w:rPr>
  </w:style>
  <w:style w:type="table" w:customStyle="1" w:styleId="TableGrid1">
    <w:name w:val="Table Grid1"/>
    <w:basedOn w:val="TableNormal"/>
    <w:next w:val="TableGrid"/>
    <w:uiPriority w:val="39"/>
    <w:rsid w:val="000856AB"/>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0856AB"/>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0856AB"/>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0856AB"/>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0856AB"/>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1">
    <w:name w:val="Style11"/>
    <w:basedOn w:val="TableNormal"/>
    <w:uiPriority w:val="99"/>
    <w:rsid w:val="000F4063"/>
    <w:rPr>
      <w:sz w:val="18"/>
    </w:rPr>
    <w:tblPr>
      <w:tblBorders>
        <w:top w:val="single" w:sz="2" w:space="0" w:color="7F7F7F"/>
        <w:bottom w:val="single" w:sz="2" w:space="0" w:color="7F7F7F"/>
        <w:insideH w:val="single" w:sz="2" w:space="0" w:color="7F7F7F"/>
        <w:insideV w:val="single" w:sz="2" w:space="0" w:color="7F7F7F"/>
      </w:tblBorders>
    </w:tblPr>
  </w:style>
  <w:style w:type="table" w:customStyle="1" w:styleId="Style12">
    <w:name w:val="Style12"/>
    <w:basedOn w:val="TableNormal"/>
    <w:uiPriority w:val="99"/>
    <w:rsid w:val="00DF1DA5"/>
    <w:rPr>
      <w:sz w:val="18"/>
    </w:rPr>
    <w:tblPr>
      <w:tblBorders>
        <w:top w:val="single" w:sz="2" w:space="0" w:color="7F7F7F" w:themeColor="text1" w:themeTint="80"/>
        <w:bottom w:val="single" w:sz="2" w:space="0" w:color="7F7F7F" w:themeColor="text1" w:themeTint="80"/>
        <w:insideH w:val="single" w:sz="2" w:space="0" w:color="7F7F7F" w:themeColor="text1" w:themeTint="80"/>
        <w:insideV w:val="single" w:sz="2" w:space="0" w:color="7F7F7F" w:themeColor="text1" w:themeTint="80"/>
      </w:tblBorders>
    </w:tblPr>
  </w:style>
  <w:style w:type="table" w:customStyle="1" w:styleId="Style13">
    <w:name w:val="Style13"/>
    <w:basedOn w:val="TableNormal"/>
    <w:uiPriority w:val="99"/>
    <w:rsid w:val="00DF1DA5"/>
    <w:rPr>
      <w:sz w:val="18"/>
    </w:rPr>
    <w:tblPr>
      <w:tblBorders>
        <w:top w:val="single" w:sz="2" w:space="0" w:color="7F7F7F" w:themeColor="text1" w:themeTint="80"/>
        <w:bottom w:val="single" w:sz="2" w:space="0" w:color="7F7F7F" w:themeColor="text1" w:themeTint="80"/>
        <w:insideH w:val="single" w:sz="2" w:space="0" w:color="7F7F7F" w:themeColor="text1" w:themeTint="80"/>
        <w:insideV w:val="single" w:sz="2" w:space="0" w:color="7F7F7F" w:themeColor="text1" w:themeTint="80"/>
      </w:tblBorders>
    </w:tblPr>
  </w:style>
  <w:style w:type="table" w:customStyle="1" w:styleId="Style14">
    <w:name w:val="Style14"/>
    <w:basedOn w:val="TableNormal"/>
    <w:uiPriority w:val="99"/>
    <w:rsid w:val="00DF1DA5"/>
    <w:rPr>
      <w:sz w:val="18"/>
    </w:rPr>
    <w:tblPr>
      <w:tblBorders>
        <w:top w:val="single" w:sz="2" w:space="0" w:color="7F7F7F" w:themeColor="text1" w:themeTint="80"/>
        <w:bottom w:val="single" w:sz="2" w:space="0" w:color="7F7F7F" w:themeColor="text1" w:themeTint="80"/>
        <w:insideH w:val="single" w:sz="2" w:space="0" w:color="7F7F7F" w:themeColor="text1" w:themeTint="80"/>
        <w:insideV w:val="single" w:sz="2" w:space="0" w:color="7F7F7F" w:themeColor="text1" w:themeTint="80"/>
      </w:tblBorders>
    </w:tblPr>
  </w:style>
  <w:style w:type="table" w:customStyle="1" w:styleId="Style15">
    <w:name w:val="Style15"/>
    <w:basedOn w:val="TableNormal"/>
    <w:uiPriority w:val="99"/>
    <w:rsid w:val="00DF1DA5"/>
    <w:rPr>
      <w:sz w:val="18"/>
    </w:rPr>
    <w:tblPr>
      <w:tblBorders>
        <w:top w:val="single" w:sz="2" w:space="0" w:color="7F7F7F" w:themeColor="text1" w:themeTint="80"/>
        <w:bottom w:val="single" w:sz="2" w:space="0" w:color="7F7F7F" w:themeColor="text1" w:themeTint="80"/>
        <w:insideH w:val="single" w:sz="2" w:space="0" w:color="7F7F7F" w:themeColor="text1" w:themeTint="80"/>
        <w:insideV w:val="single" w:sz="2" w:space="0" w:color="7F7F7F" w:themeColor="text1" w:themeTint="80"/>
      </w:tblBorders>
    </w:tblPr>
  </w:style>
  <w:style w:type="table" w:customStyle="1" w:styleId="Style16">
    <w:name w:val="Style16"/>
    <w:basedOn w:val="TableNormal"/>
    <w:uiPriority w:val="99"/>
    <w:rsid w:val="00D425D2"/>
    <w:rPr>
      <w:sz w:val="18"/>
    </w:rPr>
    <w:tblPr>
      <w:tblBorders>
        <w:top w:val="single" w:sz="2" w:space="0" w:color="7F7F7F" w:themeColor="text1" w:themeTint="80"/>
        <w:bottom w:val="single" w:sz="2" w:space="0" w:color="7F7F7F" w:themeColor="text1" w:themeTint="80"/>
        <w:insideH w:val="single" w:sz="2" w:space="0" w:color="7F7F7F" w:themeColor="text1" w:themeTint="80"/>
        <w:insideV w:val="single" w:sz="2" w:space="0" w:color="7F7F7F" w:themeColor="text1" w:themeTint="80"/>
      </w:tblBorders>
    </w:tblPr>
  </w:style>
  <w:style w:type="table" w:customStyle="1" w:styleId="Style17">
    <w:name w:val="Style17"/>
    <w:basedOn w:val="TableNormal"/>
    <w:uiPriority w:val="99"/>
    <w:rsid w:val="00D425D2"/>
    <w:rPr>
      <w:sz w:val="18"/>
    </w:rPr>
    <w:tblPr>
      <w:tblBorders>
        <w:top w:val="single" w:sz="2" w:space="0" w:color="7F7F7F" w:themeColor="text1" w:themeTint="80"/>
        <w:bottom w:val="single" w:sz="2" w:space="0" w:color="7F7F7F" w:themeColor="text1" w:themeTint="80"/>
        <w:insideH w:val="single" w:sz="2" w:space="0" w:color="7F7F7F" w:themeColor="text1" w:themeTint="80"/>
        <w:insideV w:val="single" w:sz="2" w:space="0" w:color="7F7F7F" w:themeColor="text1" w:themeTint="80"/>
      </w:tblBorders>
    </w:tblPr>
  </w:style>
  <w:style w:type="table" w:customStyle="1" w:styleId="TableGrid6">
    <w:name w:val="Table Grid6"/>
    <w:basedOn w:val="TableNormal"/>
    <w:next w:val="TableGrid"/>
    <w:uiPriority w:val="59"/>
    <w:rsid w:val="003B3A19"/>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8">
    <w:name w:val="Style18"/>
    <w:basedOn w:val="TableNormal"/>
    <w:uiPriority w:val="99"/>
    <w:rsid w:val="00CA14AB"/>
    <w:rPr>
      <w:sz w:val="18"/>
    </w:rPr>
    <w:tblPr>
      <w:tblBorders>
        <w:top w:val="single" w:sz="2" w:space="0" w:color="7F7F7F"/>
        <w:bottom w:val="single" w:sz="2" w:space="0" w:color="7F7F7F"/>
        <w:insideH w:val="single" w:sz="2" w:space="0" w:color="7F7F7F"/>
        <w:insideV w:val="single" w:sz="2" w:space="0" w:color="7F7F7F"/>
      </w:tblBorders>
    </w:tblPr>
  </w:style>
  <w:style w:type="table" w:customStyle="1" w:styleId="Style19">
    <w:name w:val="Style19"/>
    <w:basedOn w:val="TableNormal"/>
    <w:uiPriority w:val="99"/>
    <w:rsid w:val="00F46540"/>
    <w:rPr>
      <w:sz w:val="18"/>
    </w:rPr>
    <w:tblPr>
      <w:tblBorders>
        <w:top w:val="single" w:sz="2" w:space="0" w:color="7F7F7F"/>
        <w:bottom w:val="single" w:sz="2" w:space="0" w:color="7F7F7F"/>
        <w:insideH w:val="single" w:sz="2" w:space="0" w:color="7F7F7F"/>
        <w:insideV w:val="single" w:sz="2" w:space="0" w:color="7F7F7F"/>
      </w:tblBorders>
    </w:tblPr>
  </w:style>
  <w:style w:type="table" w:customStyle="1" w:styleId="Style110">
    <w:name w:val="Style110"/>
    <w:basedOn w:val="TableNormal"/>
    <w:uiPriority w:val="99"/>
    <w:rsid w:val="003008A4"/>
    <w:rPr>
      <w:sz w:val="18"/>
    </w:rPr>
    <w:tblPr>
      <w:tblBorders>
        <w:top w:val="single" w:sz="2" w:space="0" w:color="7F7F7F"/>
        <w:bottom w:val="single" w:sz="2" w:space="0" w:color="7F7F7F"/>
        <w:insideH w:val="single" w:sz="2" w:space="0" w:color="7F7F7F"/>
        <w:insideV w:val="single" w:sz="2" w:space="0" w:color="7F7F7F"/>
      </w:tblBorders>
    </w:tblPr>
  </w:style>
  <w:style w:type="paragraph" w:customStyle="1" w:styleId="ListParagraph2">
    <w:name w:val="List Paragraph2"/>
    <w:basedOn w:val="ListParagraph"/>
    <w:qFormat/>
    <w:rsid w:val="00064DE9"/>
    <w:pPr>
      <w:numPr>
        <w:ilvl w:val="1"/>
        <w:numId w:val="3"/>
      </w:numPr>
    </w:pPr>
  </w:style>
  <w:style w:type="table" w:customStyle="1" w:styleId="Style191">
    <w:name w:val="Style191"/>
    <w:basedOn w:val="TableNormal"/>
    <w:uiPriority w:val="99"/>
    <w:rsid w:val="009A635E"/>
    <w:rPr>
      <w:sz w:val="18"/>
    </w:rPr>
    <w:tblPr>
      <w:tblBorders>
        <w:top w:val="single" w:sz="2" w:space="0" w:color="7F7F7F"/>
        <w:bottom w:val="single" w:sz="2" w:space="0" w:color="7F7F7F"/>
        <w:insideH w:val="single" w:sz="2" w:space="0" w:color="7F7F7F"/>
        <w:insideV w:val="single" w:sz="2" w:space="0" w:color="7F7F7F"/>
      </w:tblBorders>
    </w:tblPr>
  </w:style>
  <w:style w:type="character" w:customStyle="1" w:styleId="Char1">
    <w:name w:val="Обикн. параграф Char"/>
    <w:link w:val="a5"/>
    <w:locked/>
    <w:rsid w:val="0040503E"/>
    <w:rPr>
      <w:rFonts w:ascii="Times New Roman" w:eastAsia="Times New Roman" w:hAnsi="Times New Roman"/>
      <w:sz w:val="24"/>
    </w:rPr>
  </w:style>
  <w:style w:type="table" w:customStyle="1" w:styleId="GridTable5Dark-Accent11">
    <w:name w:val="Grid Table 5 Dark - Accent 11"/>
    <w:basedOn w:val="TableNormal"/>
    <w:uiPriority w:val="50"/>
    <w:rsid w:val="00A0783A"/>
    <w:rPr>
      <w:rFonts w:asciiTheme="minorHAnsi" w:eastAsiaTheme="minorHAnsi" w:hAnsiTheme="minorHAnsi" w:cstheme="minorBidi"/>
      <w:sz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0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67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67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67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67C8" w:themeFill="accent1"/>
      </w:tcPr>
    </w:tblStylePr>
    <w:tblStylePr w:type="band1Vert">
      <w:tblPr/>
      <w:tcPr>
        <w:shd w:val="clear" w:color="auto" w:fill="B8C1E9" w:themeFill="accent1" w:themeFillTint="66"/>
      </w:tcPr>
    </w:tblStylePr>
    <w:tblStylePr w:type="band1Horz">
      <w:tblPr/>
      <w:tcPr>
        <w:shd w:val="clear" w:color="auto" w:fill="B8C1E9" w:themeFill="accent1" w:themeFillTint="66"/>
      </w:tcPr>
    </w:tblStylePr>
  </w:style>
  <w:style w:type="table" w:customStyle="1" w:styleId="TableGrid7">
    <w:name w:val="Table Grid7"/>
    <w:basedOn w:val="TableNormal"/>
    <w:next w:val="TableGrid"/>
    <w:uiPriority w:val="59"/>
    <w:rsid w:val="00F5452B"/>
    <w:rPr>
      <w:rFonts w:eastAsia="Calibri"/>
      <w:sz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207054"/>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207054"/>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07054"/>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207054"/>
    <w:rPr>
      <w:rFonts w:eastAsia="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locked/>
    <w:rsid w:val="00541E16"/>
    <w:rPr>
      <w:b/>
      <w:bCs/>
      <w:color w:val="0D78CA" w:themeColor="background2" w:themeShade="80"/>
      <w:sz w:val="22"/>
      <w:szCs w:val="18"/>
    </w:rPr>
  </w:style>
  <w:style w:type="character" w:customStyle="1" w:styleId="ListParagraphChar">
    <w:name w:val="List Paragraph Char"/>
    <w:aliases w:val="Recommendatio Char,Párrafo de lista Char,Recommendation Char,OBC Bullet Char,Dot pt Char,F5 List Paragraph Char,No Spacing1 Char,List Paragraph Char Char Char Char,Indicator Text Char,Numbered Para 1 Char,Bullet 1 Char,L Char,3 Char"/>
    <w:link w:val="ListParagraph"/>
    <w:uiPriority w:val="34"/>
    <w:qFormat/>
    <w:locked/>
    <w:rsid w:val="00597F1E"/>
  </w:style>
  <w:style w:type="table" w:styleId="GridTable1Light-Accent1">
    <w:name w:val="Grid Table 1 Light Accent 1"/>
    <w:basedOn w:val="TableNormal"/>
    <w:uiPriority w:val="46"/>
    <w:rsid w:val="007B1D84"/>
    <w:pPr>
      <w:spacing w:after="0"/>
    </w:pPr>
    <w:tblPr>
      <w:tblStyleRowBandSize w:val="1"/>
      <w:tblStyleColBandSize w:val="1"/>
      <w:tblBorders>
        <w:top w:val="single" w:sz="4" w:space="0" w:color="B8C1E9" w:themeColor="accent1" w:themeTint="66"/>
        <w:left w:val="single" w:sz="4" w:space="0" w:color="B8C1E9" w:themeColor="accent1" w:themeTint="66"/>
        <w:bottom w:val="single" w:sz="4" w:space="0" w:color="B8C1E9" w:themeColor="accent1" w:themeTint="66"/>
        <w:right w:val="single" w:sz="4" w:space="0" w:color="B8C1E9" w:themeColor="accent1" w:themeTint="66"/>
        <w:insideH w:val="single" w:sz="4" w:space="0" w:color="B8C1E9" w:themeColor="accent1" w:themeTint="66"/>
        <w:insideV w:val="single" w:sz="4" w:space="0" w:color="B8C1E9" w:themeColor="accent1" w:themeTint="66"/>
      </w:tblBorders>
    </w:tblPr>
    <w:tblStylePr w:type="firstRow">
      <w:rPr>
        <w:b/>
        <w:bCs/>
      </w:rPr>
      <w:tblPr/>
      <w:tcPr>
        <w:tcBorders>
          <w:bottom w:val="single" w:sz="12" w:space="0" w:color="94A3DE" w:themeColor="accent1" w:themeTint="99"/>
        </w:tcBorders>
      </w:tcPr>
    </w:tblStylePr>
    <w:tblStylePr w:type="lastRow">
      <w:rPr>
        <w:b/>
        <w:bCs/>
      </w:rPr>
      <w:tblPr/>
      <w:tcPr>
        <w:tcBorders>
          <w:top w:val="double" w:sz="2" w:space="0" w:color="94A3DE" w:themeColor="accen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C1337B"/>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3">
    <w:name w:val="Body Text 3"/>
    <w:basedOn w:val="Normal"/>
    <w:link w:val="BodyText3Char"/>
    <w:uiPriority w:val="99"/>
    <w:unhideWhenUsed/>
    <w:rsid w:val="0081379D"/>
    <w:rPr>
      <w:sz w:val="16"/>
      <w:szCs w:val="16"/>
    </w:rPr>
  </w:style>
  <w:style w:type="character" w:customStyle="1" w:styleId="BodyText3Char">
    <w:name w:val="Body Text 3 Char"/>
    <w:basedOn w:val="DefaultParagraphFont"/>
    <w:link w:val="BodyText3"/>
    <w:uiPriority w:val="99"/>
    <w:rsid w:val="0081379D"/>
    <w:rPr>
      <w:sz w:val="16"/>
      <w:szCs w:val="16"/>
    </w:rPr>
  </w:style>
  <w:style w:type="paragraph" w:styleId="BodyText2">
    <w:name w:val="Body Text 2"/>
    <w:basedOn w:val="Normal"/>
    <w:link w:val="BodyText2Char"/>
    <w:uiPriority w:val="99"/>
    <w:semiHidden/>
    <w:unhideWhenUsed/>
    <w:rsid w:val="006251FD"/>
    <w:pPr>
      <w:spacing w:line="480" w:lineRule="auto"/>
    </w:pPr>
    <w:rPr>
      <w:rFonts w:asciiTheme="minorHAnsi" w:hAnsiTheme="minorHAnsi"/>
      <w:sz w:val="22"/>
      <w:lang w:eastAsia="en-US"/>
    </w:rPr>
  </w:style>
  <w:style w:type="character" w:customStyle="1" w:styleId="BodyText2Char">
    <w:name w:val="Body Text 2 Char"/>
    <w:basedOn w:val="DefaultParagraphFont"/>
    <w:link w:val="BodyText2"/>
    <w:uiPriority w:val="99"/>
    <w:semiHidden/>
    <w:rsid w:val="006251FD"/>
    <w:rPr>
      <w:rFonts w:asciiTheme="minorHAnsi" w:hAnsiTheme="minorHAnsi"/>
      <w:color w:val="262626" w:themeColor="text1" w:themeTint="D9"/>
      <w:sz w:val="22"/>
      <w:lang w:eastAsia="en-US"/>
    </w:rPr>
  </w:style>
  <w:style w:type="paragraph" w:customStyle="1" w:styleId="a6">
    <w:name w:val="табл"/>
    <w:basedOn w:val="Normal"/>
    <w:qFormat/>
    <w:rsid w:val="001C65FE"/>
    <w:pPr>
      <w:spacing w:after="0"/>
    </w:pPr>
    <w:rPr>
      <w:rFonts w:ascii="Calibri" w:eastAsia="Times New Roman" w:hAnsi="Calibri"/>
      <w:sz w:val="16"/>
      <w:szCs w:val="14"/>
      <w:lang w:val="en-GB" w:eastAsia="ja-JP"/>
    </w:rPr>
  </w:style>
  <w:style w:type="paragraph" w:customStyle="1" w:styleId="oj-doc-ti">
    <w:name w:val="oj-doc-ti"/>
    <w:basedOn w:val="Normal"/>
    <w:rsid w:val="008764B6"/>
    <w:pPr>
      <w:spacing w:before="240"/>
      <w:jc w:val="center"/>
    </w:pPr>
    <w:rPr>
      <w:rFonts w:eastAsia="Times New Roman"/>
      <w:b/>
      <w:bCs/>
      <w:szCs w:val="24"/>
    </w:rPr>
  </w:style>
  <w:style w:type="table" w:customStyle="1" w:styleId="TableGrid12">
    <w:name w:val="Table Grid12"/>
    <w:basedOn w:val="TableNormal"/>
    <w:next w:val="TableGrid"/>
    <w:uiPriority w:val="39"/>
    <w:rsid w:val="00D61ADD"/>
    <w:pPr>
      <w:spacing w:after="0"/>
      <w:jc w:val="left"/>
    </w:pPr>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6885">
      <w:bodyDiv w:val="1"/>
      <w:marLeft w:val="0"/>
      <w:marRight w:val="0"/>
      <w:marTop w:val="0"/>
      <w:marBottom w:val="0"/>
      <w:divBdr>
        <w:top w:val="none" w:sz="0" w:space="0" w:color="auto"/>
        <w:left w:val="none" w:sz="0" w:space="0" w:color="auto"/>
        <w:bottom w:val="none" w:sz="0" w:space="0" w:color="auto"/>
        <w:right w:val="none" w:sz="0" w:space="0" w:color="auto"/>
      </w:divBdr>
    </w:div>
    <w:div w:id="12532615">
      <w:bodyDiv w:val="1"/>
      <w:marLeft w:val="0"/>
      <w:marRight w:val="0"/>
      <w:marTop w:val="0"/>
      <w:marBottom w:val="0"/>
      <w:divBdr>
        <w:top w:val="none" w:sz="0" w:space="0" w:color="auto"/>
        <w:left w:val="none" w:sz="0" w:space="0" w:color="auto"/>
        <w:bottom w:val="none" w:sz="0" w:space="0" w:color="auto"/>
        <w:right w:val="none" w:sz="0" w:space="0" w:color="auto"/>
      </w:divBdr>
    </w:div>
    <w:div w:id="13312285">
      <w:bodyDiv w:val="1"/>
      <w:marLeft w:val="0"/>
      <w:marRight w:val="0"/>
      <w:marTop w:val="0"/>
      <w:marBottom w:val="0"/>
      <w:divBdr>
        <w:top w:val="none" w:sz="0" w:space="0" w:color="auto"/>
        <w:left w:val="none" w:sz="0" w:space="0" w:color="auto"/>
        <w:bottom w:val="none" w:sz="0" w:space="0" w:color="auto"/>
        <w:right w:val="none" w:sz="0" w:space="0" w:color="auto"/>
      </w:divBdr>
    </w:div>
    <w:div w:id="13698847">
      <w:bodyDiv w:val="1"/>
      <w:marLeft w:val="0"/>
      <w:marRight w:val="0"/>
      <w:marTop w:val="0"/>
      <w:marBottom w:val="0"/>
      <w:divBdr>
        <w:top w:val="none" w:sz="0" w:space="0" w:color="auto"/>
        <w:left w:val="none" w:sz="0" w:space="0" w:color="auto"/>
        <w:bottom w:val="none" w:sz="0" w:space="0" w:color="auto"/>
        <w:right w:val="none" w:sz="0" w:space="0" w:color="auto"/>
      </w:divBdr>
    </w:div>
    <w:div w:id="18095236">
      <w:bodyDiv w:val="1"/>
      <w:marLeft w:val="0"/>
      <w:marRight w:val="0"/>
      <w:marTop w:val="0"/>
      <w:marBottom w:val="0"/>
      <w:divBdr>
        <w:top w:val="none" w:sz="0" w:space="0" w:color="auto"/>
        <w:left w:val="none" w:sz="0" w:space="0" w:color="auto"/>
        <w:bottom w:val="none" w:sz="0" w:space="0" w:color="auto"/>
        <w:right w:val="none" w:sz="0" w:space="0" w:color="auto"/>
      </w:divBdr>
    </w:div>
    <w:div w:id="21904637">
      <w:bodyDiv w:val="1"/>
      <w:marLeft w:val="0"/>
      <w:marRight w:val="0"/>
      <w:marTop w:val="0"/>
      <w:marBottom w:val="0"/>
      <w:divBdr>
        <w:top w:val="none" w:sz="0" w:space="0" w:color="auto"/>
        <w:left w:val="none" w:sz="0" w:space="0" w:color="auto"/>
        <w:bottom w:val="none" w:sz="0" w:space="0" w:color="auto"/>
        <w:right w:val="none" w:sz="0" w:space="0" w:color="auto"/>
      </w:divBdr>
    </w:div>
    <w:div w:id="29457384">
      <w:bodyDiv w:val="1"/>
      <w:marLeft w:val="0"/>
      <w:marRight w:val="0"/>
      <w:marTop w:val="0"/>
      <w:marBottom w:val="0"/>
      <w:divBdr>
        <w:top w:val="none" w:sz="0" w:space="0" w:color="auto"/>
        <w:left w:val="none" w:sz="0" w:space="0" w:color="auto"/>
        <w:bottom w:val="none" w:sz="0" w:space="0" w:color="auto"/>
        <w:right w:val="none" w:sz="0" w:space="0" w:color="auto"/>
      </w:divBdr>
    </w:div>
    <w:div w:id="32507971">
      <w:bodyDiv w:val="1"/>
      <w:marLeft w:val="0"/>
      <w:marRight w:val="0"/>
      <w:marTop w:val="0"/>
      <w:marBottom w:val="0"/>
      <w:divBdr>
        <w:top w:val="none" w:sz="0" w:space="0" w:color="auto"/>
        <w:left w:val="none" w:sz="0" w:space="0" w:color="auto"/>
        <w:bottom w:val="none" w:sz="0" w:space="0" w:color="auto"/>
        <w:right w:val="none" w:sz="0" w:space="0" w:color="auto"/>
      </w:divBdr>
    </w:div>
    <w:div w:id="35082400">
      <w:bodyDiv w:val="1"/>
      <w:marLeft w:val="0"/>
      <w:marRight w:val="0"/>
      <w:marTop w:val="0"/>
      <w:marBottom w:val="0"/>
      <w:divBdr>
        <w:top w:val="none" w:sz="0" w:space="0" w:color="auto"/>
        <w:left w:val="none" w:sz="0" w:space="0" w:color="auto"/>
        <w:bottom w:val="none" w:sz="0" w:space="0" w:color="auto"/>
        <w:right w:val="none" w:sz="0" w:space="0" w:color="auto"/>
      </w:divBdr>
    </w:div>
    <w:div w:id="38476259">
      <w:bodyDiv w:val="1"/>
      <w:marLeft w:val="0"/>
      <w:marRight w:val="0"/>
      <w:marTop w:val="0"/>
      <w:marBottom w:val="0"/>
      <w:divBdr>
        <w:top w:val="none" w:sz="0" w:space="0" w:color="auto"/>
        <w:left w:val="none" w:sz="0" w:space="0" w:color="auto"/>
        <w:bottom w:val="none" w:sz="0" w:space="0" w:color="auto"/>
        <w:right w:val="none" w:sz="0" w:space="0" w:color="auto"/>
      </w:divBdr>
    </w:div>
    <w:div w:id="45227069">
      <w:bodyDiv w:val="1"/>
      <w:marLeft w:val="0"/>
      <w:marRight w:val="0"/>
      <w:marTop w:val="0"/>
      <w:marBottom w:val="0"/>
      <w:divBdr>
        <w:top w:val="none" w:sz="0" w:space="0" w:color="auto"/>
        <w:left w:val="none" w:sz="0" w:space="0" w:color="auto"/>
        <w:bottom w:val="none" w:sz="0" w:space="0" w:color="auto"/>
        <w:right w:val="none" w:sz="0" w:space="0" w:color="auto"/>
      </w:divBdr>
    </w:div>
    <w:div w:id="47532967">
      <w:bodyDiv w:val="1"/>
      <w:marLeft w:val="0"/>
      <w:marRight w:val="0"/>
      <w:marTop w:val="0"/>
      <w:marBottom w:val="0"/>
      <w:divBdr>
        <w:top w:val="none" w:sz="0" w:space="0" w:color="auto"/>
        <w:left w:val="none" w:sz="0" w:space="0" w:color="auto"/>
        <w:bottom w:val="none" w:sz="0" w:space="0" w:color="auto"/>
        <w:right w:val="none" w:sz="0" w:space="0" w:color="auto"/>
      </w:divBdr>
    </w:div>
    <w:div w:id="57361188">
      <w:bodyDiv w:val="1"/>
      <w:marLeft w:val="0"/>
      <w:marRight w:val="0"/>
      <w:marTop w:val="0"/>
      <w:marBottom w:val="0"/>
      <w:divBdr>
        <w:top w:val="none" w:sz="0" w:space="0" w:color="auto"/>
        <w:left w:val="none" w:sz="0" w:space="0" w:color="auto"/>
        <w:bottom w:val="none" w:sz="0" w:space="0" w:color="auto"/>
        <w:right w:val="none" w:sz="0" w:space="0" w:color="auto"/>
      </w:divBdr>
    </w:div>
    <w:div w:id="60061506">
      <w:bodyDiv w:val="1"/>
      <w:marLeft w:val="0"/>
      <w:marRight w:val="0"/>
      <w:marTop w:val="0"/>
      <w:marBottom w:val="0"/>
      <w:divBdr>
        <w:top w:val="none" w:sz="0" w:space="0" w:color="auto"/>
        <w:left w:val="none" w:sz="0" w:space="0" w:color="auto"/>
        <w:bottom w:val="none" w:sz="0" w:space="0" w:color="auto"/>
        <w:right w:val="none" w:sz="0" w:space="0" w:color="auto"/>
      </w:divBdr>
    </w:div>
    <w:div w:id="68160479">
      <w:bodyDiv w:val="1"/>
      <w:marLeft w:val="0"/>
      <w:marRight w:val="0"/>
      <w:marTop w:val="0"/>
      <w:marBottom w:val="0"/>
      <w:divBdr>
        <w:top w:val="none" w:sz="0" w:space="0" w:color="auto"/>
        <w:left w:val="none" w:sz="0" w:space="0" w:color="auto"/>
        <w:bottom w:val="none" w:sz="0" w:space="0" w:color="auto"/>
        <w:right w:val="none" w:sz="0" w:space="0" w:color="auto"/>
      </w:divBdr>
    </w:div>
    <w:div w:id="75174924">
      <w:bodyDiv w:val="1"/>
      <w:marLeft w:val="0"/>
      <w:marRight w:val="0"/>
      <w:marTop w:val="0"/>
      <w:marBottom w:val="0"/>
      <w:divBdr>
        <w:top w:val="none" w:sz="0" w:space="0" w:color="auto"/>
        <w:left w:val="none" w:sz="0" w:space="0" w:color="auto"/>
        <w:bottom w:val="none" w:sz="0" w:space="0" w:color="auto"/>
        <w:right w:val="none" w:sz="0" w:space="0" w:color="auto"/>
      </w:divBdr>
    </w:div>
    <w:div w:id="86266913">
      <w:bodyDiv w:val="1"/>
      <w:marLeft w:val="0"/>
      <w:marRight w:val="0"/>
      <w:marTop w:val="0"/>
      <w:marBottom w:val="0"/>
      <w:divBdr>
        <w:top w:val="none" w:sz="0" w:space="0" w:color="auto"/>
        <w:left w:val="none" w:sz="0" w:space="0" w:color="auto"/>
        <w:bottom w:val="none" w:sz="0" w:space="0" w:color="auto"/>
        <w:right w:val="none" w:sz="0" w:space="0" w:color="auto"/>
      </w:divBdr>
    </w:div>
    <w:div w:id="97993972">
      <w:bodyDiv w:val="1"/>
      <w:marLeft w:val="0"/>
      <w:marRight w:val="0"/>
      <w:marTop w:val="0"/>
      <w:marBottom w:val="0"/>
      <w:divBdr>
        <w:top w:val="none" w:sz="0" w:space="0" w:color="auto"/>
        <w:left w:val="none" w:sz="0" w:space="0" w:color="auto"/>
        <w:bottom w:val="none" w:sz="0" w:space="0" w:color="auto"/>
        <w:right w:val="none" w:sz="0" w:space="0" w:color="auto"/>
      </w:divBdr>
    </w:div>
    <w:div w:id="99691764">
      <w:bodyDiv w:val="1"/>
      <w:marLeft w:val="0"/>
      <w:marRight w:val="0"/>
      <w:marTop w:val="0"/>
      <w:marBottom w:val="0"/>
      <w:divBdr>
        <w:top w:val="none" w:sz="0" w:space="0" w:color="auto"/>
        <w:left w:val="none" w:sz="0" w:space="0" w:color="auto"/>
        <w:bottom w:val="none" w:sz="0" w:space="0" w:color="auto"/>
        <w:right w:val="none" w:sz="0" w:space="0" w:color="auto"/>
      </w:divBdr>
    </w:div>
    <w:div w:id="101152211">
      <w:bodyDiv w:val="1"/>
      <w:marLeft w:val="0"/>
      <w:marRight w:val="0"/>
      <w:marTop w:val="0"/>
      <w:marBottom w:val="0"/>
      <w:divBdr>
        <w:top w:val="none" w:sz="0" w:space="0" w:color="auto"/>
        <w:left w:val="none" w:sz="0" w:space="0" w:color="auto"/>
        <w:bottom w:val="none" w:sz="0" w:space="0" w:color="auto"/>
        <w:right w:val="none" w:sz="0" w:space="0" w:color="auto"/>
      </w:divBdr>
      <w:divsChild>
        <w:div w:id="2129160670">
          <w:marLeft w:val="0"/>
          <w:marRight w:val="0"/>
          <w:marTop w:val="0"/>
          <w:marBottom w:val="0"/>
          <w:divBdr>
            <w:top w:val="none" w:sz="0" w:space="0" w:color="auto"/>
            <w:left w:val="none" w:sz="0" w:space="0" w:color="auto"/>
            <w:bottom w:val="none" w:sz="0" w:space="0" w:color="auto"/>
            <w:right w:val="none" w:sz="0" w:space="0" w:color="auto"/>
          </w:divBdr>
          <w:divsChild>
            <w:div w:id="170316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40273">
      <w:bodyDiv w:val="1"/>
      <w:marLeft w:val="0"/>
      <w:marRight w:val="0"/>
      <w:marTop w:val="0"/>
      <w:marBottom w:val="0"/>
      <w:divBdr>
        <w:top w:val="none" w:sz="0" w:space="0" w:color="auto"/>
        <w:left w:val="none" w:sz="0" w:space="0" w:color="auto"/>
        <w:bottom w:val="none" w:sz="0" w:space="0" w:color="auto"/>
        <w:right w:val="none" w:sz="0" w:space="0" w:color="auto"/>
      </w:divBdr>
    </w:div>
    <w:div w:id="113983224">
      <w:bodyDiv w:val="1"/>
      <w:marLeft w:val="0"/>
      <w:marRight w:val="0"/>
      <w:marTop w:val="0"/>
      <w:marBottom w:val="0"/>
      <w:divBdr>
        <w:top w:val="none" w:sz="0" w:space="0" w:color="auto"/>
        <w:left w:val="none" w:sz="0" w:space="0" w:color="auto"/>
        <w:bottom w:val="none" w:sz="0" w:space="0" w:color="auto"/>
        <w:right w:val="none" w:sz="0" w:space="0" w:color="auto"/>
      </w:divBdr>
    </w:div>
    <w:div w:id="133180743">
      <w:bodyDiv w:val="1"/>
      <w:marLeft w:val="0"/>
      <w:marRight w:val="0"/>
      <w:marTop w:val="0"/>
      <w:marBottom w:val="0"/>
      <w:divBdr>
        <w:top w:val="none" w:sz="0" w:space="0" w:color="auto"/>
        <w:left w:val="none" w:sz="0" w:space="0" w:color="auto"/>
        <w:bottom w:val="none" w:sz="0" w:space="0" w:color="auto"/>
        <w:right w:val="none" w:sz="0" w:space="0" w:color="auto"/>
      </w:divBdr>
    </w:div>
    <w:div w:id="139931760">
      <w:bodyDiv w:val="1"/>
      <w:marLeft w:val="0"/>
      <w:marRight w:val="0"/>
      <w:marTop w:val="0"/>
      <w:marBottom w:val="0"/>
      <w:divBdr>
        <w:top w:val="none" w:sz="0" w:space="0" w:color="auto"/>
        <w:left w:val="none" w:sz="0" w:space="0" w:color="auto"/>
        <w:bottom w:val="none" w:sz="0" w:space="0" w:color="auto"/>
        <w:right w:val="none" w:sz="0" w:space="0" w:color="auto"/>
      </w:divBdr>
    </w:div>
    <w:div w:id="152375967">
      <w:bodyDiv w:val="1"/>
      <w:marLeft w:val="0"/>
      <w:marRight w:val="0"/>
      <w:marTop w:val="0"/>
      <w:marBottom w:val="0"/>
      <w:divBdr>
        <w:top w:val="none" w:sz="0" w:space="0" w:color="auto"/>
        <w:left w:val="none" w:sz="0" w:space="0" w:color="auto"/>
        <w:bottom w:val="none" w:sz="0" w:space="0" w:color="auto"/>
        <w:right w:val="none" w:sz="0" w:space="0" w:color="auto"/>
      </w:divBdr>
    </w:div>
    <w:div w:id="154029621">
      <w:bodyDiv w:val="1"/>
      <w:marLeft w:val="0"/>
      <w:marRight w:val="0"/>
      <w:marTop w:val="0"/>
      <w:marBottom w:val="0"/>
      <w:divBdr>
        <w:top w:val="none" w:sz="0" w:space="0" w:color="auto"/>
        <w:left w:val="none" w:sz="0" w:space="0" w:color="auto"/>
        <w:bottom w:val="none" w:sz="0" w:space="0" w:color="auto"/>
        <w:right w:val="none" w:sz="0" w:space="0" w:color="auto"/>
      </w:divBdr>
    </w:div>
    <w:div w:id="180432852">
      <w:bodyDiv w:val="1"/>
      <w:marLeft w:val="0"/>
      <w:marRight w:val="0"/>
      <w:marTop w:val="0"/>
      <w:marBottom w:val="0"/>
      <w:divBdr>
        <w:top w:val="none" w:sz="0" w:space="0" w:color="auto"/>
        <w:left w:val="none" w:sz="0" w:space="0" w:color="auto"/>
        <w:bottom w:val="none" w:sz="0" w:space="0" w:color="auto"/>
        <w:right w:val="none" w:sz="0" w:space="0" w:color="auto"/>
      </w:divBdr>
    </w:div>
    <w:div w:id="184444145">
      <w:bodyDiv w:val="1"/>
      <w:marLeft w:val="0"/>
      <w:marRight w:val="0"/>
      <w:marTop w:val="0"/>
      <w:marBottom w:val="0"/>
      <w:divBdr>
        <w:top w:val="none" w:sz="0" w:space="0" w:color="auto"/>
        <w:left w:val="none" w:sz="0" w:space="0" w:color="auto"/>
        <w:bottom w:val="none" w:sz="0" w:space="0" w:color="auto"/>
        <w:right w:val="none" w:sz="0" w:space="0" w:color="auto"/>
      </w:divBdr>
    </w:div>
    <w:div w:id="190262853">
      <w:bodyDiv w:val="1"/>
      <w:marLeft w:val="0"/>
      <w:marRight w:val="0"/>
      <w:marTop w:val="0"/>
      <w:marBottom w:val="0"/>
      <w:divBdr>
        <w:top w:val="none" w:sz="0" w:space="0" w:color="auto"/>
        <w:left w:val="none" w:sz="0" w:space="0" w:color="auto"/>
        <w:bottom w:val="none" w:sz="0" w:space="0" w:color="auto"/>
        <w:right w:val="none" w:sz="0" w:space="0" w:color="auto"/>
      </w:divBdr>
    </w:div>
    <w:div w:id="217984175">
      <w:bodyDiv w:val="1"/>
      <w:marLeft w:val="0"/>
      <w:marRight w:val="0"/>
      <w:marTop w:val="0"/>
      <w:marBottom w:val="0"/>
      <w:divBdr>
        <w:top w:val="none" w:sz="0" w:space="0" w:color="auto"/>
        <w:left w:val="none" w:sz="0" w:space="0" w:color="auto"/>
        <w:bottom w:val="none" w:sz="0" w:space="0" w:color="auto"/>
        <w:right w:val="none" w:sz="0" w:space="0" w:color="auto"/>
      </w:divBdr>
    </w:div>
    <w:div w:id="228661510">
      <w:bodyDiv w:val="1"/>
      <w:marLeft w:val="0"/>
      <w:marRight w:val="0"/>
      <w:marTop w:val="0"/>
      <w:marBottom w:val="0"/>
      <w:divBdr>
        <w:top w:val="none" w:sz="0" w:space="0" w:color="auto"/>
        <w:left w:val="none" w:sz="0" w:space="0" w:color="auto"/>
        <w:bottom w:val="none" w:sz="0" w:space="0" w:color="auto"/>
        <w:right w:val="none" w:sz="0" w:space="0" w:color="auto"/>
      </w:divBdr>
    </w:div>
    <w:div w:id="235480497">
      <w:bodyDiv w:val="1"/>
      <w:marLeft w:val="0"/>
      <w:marRight w:val="0"/>
      <w:marTop w:val="0"/>
      <w:marBottom w:val="0"/>
      <w:divBdr>
        <w:top w:val="none" w:sz="0" w:space="0" w:color="auto"/>
        <w:left w:val="none" w:sz="0" w:space="0" w:color="auto"/>
        <w:bottom w:val="none" w:sz="0" w:space="0" w:color="auto"/>
        <w:right w:val="none" w:sz="0" w:space="0" w:color="auto"/>
      </w:divBdr>
    </w:div>
    <w:div w:id="238253701">
      <w:bodyDiv w:val="1"/>
      <w:marLeft w:val="0"/>
      <w:marRight w:val="0"/>
      <w:marTop w:val="0"/>
      <w:marBottom w:val="0"/>
      <w:divBdr>
        <w:top w:val="none" w:sz="0" w:space="0" w:color="auto"/>
        <w:left w:val="none" w:sz="0" w:space="0" w:color="auto"/>
        <w:bottom w:val="none" w:sz="0" w:space="0" w:color="auto"/>
        <w:right w:val="none" w:sz="0" w:space="0" w:color="auto"/>
      </w:divBdr>
    </w:div>
    <w:div w:id="242490134">
      <w:bodyDiv w:val="1"/>
      <w:marLeft w:val="0"/>
      <w:marRight w:val="0"/>
      <w:marTop w:val="0"/>
      <w:marBottom w:val="0"/>
      <w:divBdr>
        <w:top w:val="none" w:sz="0" w:space="0" w:color="auto"/>
        <w:left w:val="none" w:sz="0" w:space="0" w:color="auto"/>
        <w:bottom w:val="none" w:sz="0" w:space="0" w:color="auto"/>
        <w:right w:val="none" w:sz="0" w:space="0" w:color="auto"/>
      </w:divBdr>
    </w:div>
    <w:div w:id="244073770">
      <w:bodyDiv w:val="1"/>
      <w:marLeft w:val="0"/>
      <w:marRight w:val="0"/>
      <w:marTop w:val="0"/>
      <w:marBottom w:val="0"/>
      <w:divBdr>
        <w:top w:val="none" w:sz="0" w:space="0" w:color="auto"/>
        <w:left w:val="none" w:sz="0" w:space="0" w:color="auto"/>
        <w:bottom w:val="none" w:sz="0" w:space="0" w:color="auto"/>
        <w:right w:val="none" w:sz="0" w:space="0" w:color="auto"/>
      </w:divBdr>
    </w:div>
    <w:div w:id="256062787">
      <w:bodyDiv w:val="1"/>
      <w:marLeft w:val="0"/>
      <w:marRight w:val="0"/>
      <w:marTop w:val="0"/>
      <w:marBottom w:val="0"/>
      <w:divBdr>
        <w:top w:val="none" w:sz="0" w:space="0" w:color="auto"/>
        <w:left w:val="none" w:sz="0" w:space="0" w:color="auto"/>
        <w:bottom w:val="none" w:sz="0" w:space="0" w:color="auto"/>
        <w:right w:val="none" w:sz="0" w:space="0" w:color="auto"/>
      </w:divBdr>
    </w:div>
    <w:div w:id="263805483">
      <w:bodyDiv w:val="1"/>
      <w:marLeft w:val="0"/>
      <w:marRight w:val="0"/>
      <w:marTop w:val="0"/>
      <w:marBottom w:val="0"/>
      <w:divBdr>
        <w:top w:val="none" w:sz="0" w:space="0" w:color="auto"/>
        <w:left w:val="none" w:sz="0" w:space="0" w:color="auto"/>
        <w:bottom w:val="none" w:sz="0" w:space="0" w:color="auto"/>
        <w:right w:val="none" w:sz="0" w:space="0" w:color="auto"/>
      </w:divBdr>
    </w:div>
    <w:div w:id="268508133">
      <w:bodyDiv w:val="1"/>
      <w:marLeft w:val="0"/>
      <w:marRight w:val="0"/>
      <w:marTop w:val="0"/>
      <w:marBottom w:val="0"/>
      <w:divBdr>
        <w:top w:val="none" w:sz="0" w:space="0" w:color="auto"/>
        <w:left w:val="none" w:sz="0" w:space="0" w:color="auto"/>
        <w:bottom w:val="none" w:sz="0" w:space="0" w:color="auto"/>
        <w:right w:val="none" w:sz="0" w:space="0" w:color="auto"/>
      </w:divBdr>
    </w:div>
    <w:div w:id="273557495">
      <w:bodyDiv w:val="1"/>
      <w:marLeft w:val="0"/>
      <w:marRight w:val="0"/>
      <w:marTop w:val="0"/>
      <w:marBottom w:val="0"/>
      <w:divBdr>
        <w:top w:val="none" w:sz="0" w:space="0" w:color="auto"/>
        <w:left w:val="none" w:sz="0" w:space="0" w:color="auto"/>
        <w:bottom w:val="none" w:sz="0" w:space="0" w:color="auto"/>
        <w:right w:val="none" w:sz="0" w:space="0" w:color="auto"/>
      </w:divBdr>
    </w:div>
    <w:div w:id="301011066">
      <w:bodyDiv w:val="1"/>
      <w:marLeft w:val="0"/>
      <w:marRight w:val="0"/>
      <w:marTop w:val="0"/>
      <w:marBottom w:val="0"/>
      <w:divBdr>
        <w:top w:val="none" w:sz="0" w:space="0" w:color="auto"/>
        <w:left w:val="none" w:sz="0" w:space="0" w:color="auto"/>
        <w:bottom w:val="none" w:sz="0" w:space="0" w:color="auto"/>
        <w:right w:val="none" w:sz="0" w:space="0" w:color="auto"/>
      </w:divBdr>
    </w:div>
    <w:div w:id="303660221">
      <w:bodyDiv w:val="1"/>
      <w:marLeft w:val="0"/>
      <w:marRight w:val="0"/>
      <w:marTop w:val="0"/>
      <w:marBottom w:val="0"/>
      <w:divBdr>
        <w:top w:val="none" w:sz="0" w:space="0" w:color="auto"/>
        <w:left w:val="none" w:sz="0" w:space="0" w:color="auto"/>
        <w:bottom w:val="none" w:sz="0" w:space="0" w:color="auto"/>
        <w:right w:val="none" w:sz="0" w:space="0" w:color="auto"/>
      </w:divBdr>
    </w:div>
    <w:div w:id="304748298">
      <w:bodyDiv w:val="1"/>
      <w:marLeft w:val="0"/>
      <w:marRight w:val="0"/>
      <w:marTop w:val="0"/>
      <w:marBottom w:val="0"/>
      <w:divBdr>
        <w:top w:val="none" w:sz="0" w:space="0" w:color="auto"/>
        <w:left w:val="none" w:sz="0" w:space="0" w:color="auto"/>
        <w:bottom w:val="none" w:sz="0" w:space="0" w:color="auto"/>
        <w:right w:val="none" w:sz="0" w:space="0" w:color="auto"/>
      </w:divBdr>
    </w:div>
    <w:div w:id="304939897">
      <w:bodyDiv w:val="1"/>
      <w:marLeft w:val="0"/>
      <w:marRight w:val="0"/>
      <w:marTop w:val="0"/>
      <w:marBottom w:val="0"/>
      <w:divBdr>
        <w:top w:val="none" w:sz="0" w:space="0" w:color="auto"/>
        <w:left w:val="none" w:sz="0" w:space="0" w:color="auto"/>
        <w:bottom w:val="none" w:sz="0" w:space="0" w:color="auto"/>
        <w:right w:val="none" w:sz="0" w:space="0" w:color="auto"/>
      </w:divBdr>
    </w:div>
    <w:div w:id="307637840">
      <w:bodyDiv w:val="1"/>
      <w:marLeft w:val="0"/>
      <w:marRight w:val="0"/>
      <w:marTop w:val="0"/>
      <w:marBottom w:val="0"/>
      <w:divBdr>
        <w:top w:val="none" w:sz="0" w:space="0" w:color="auto"/>
        <w:left w:val="none" w:sz="0" w:space="0" w:color="auto"/>
        <w:bottom w:val="none" w:sz="0" w:space="0" w:color="auto"/>
        <w:right w:val="none" w:sz="0" w:space="0" w:color="auto"/>
      </w:divBdr>
    </w:div>
    <w:div w:id="317195826">
      <w:bodyDiv w:val="1"/>
      <w:marLeft w:val="0"/>
      <w:marRight w:val="0"/>
      <w:marTop w:val="0"/>
      <w:marBottom w:val="0"/>
      <w:divBdr>
        <w:top w:val="none" w:sz="0" w:space="0" w:color="auto"/>
        <w:left w:val="none" w:sz="0" w:space="0" w:color="auto"/>
        <w:bottom w:val="none" w:sz="0" w:space="0" w:color="auto"/>
        <w:right w:val="none" w:sz="0" w:space="0" w:color="auto"/>
      </w:divBdr>
    </w:div>
    <w:div w:id="321470789">
      <w:bodyDiv w:val="1"/>
      <w:marLeft w:val="0"/>
      <w:marRight w:val="0"/>
      <w:marTop w:val="0"/>
      <w:marBottom w:val="0"/>
      <w:divBdr>
        <w:top w:val="none" w:sz="0" w:space="0" w:color="auto"/>
        <w:left w:val="none" w:sz="0" w:space="0" w:color="auto"/>
        <w:bottom w:val="none" w:sz="0" w:space="0" w:color="auto"/>
        <w:right w:val="none" w:sz="0" w:space="0" w:color="auto"/>
      </w:divBdr>
    </w:div>
    <w:div w:id="323364639">
      <w:bodyDiv w:val="1"/>
      <w:marLeft w:val="0"/>
      <w:marRight w:val="0"/>
      <w:marTop w:val="0"/>
      <w:marBottom w:val="0"/>
      <w:divBdr>
        <w:top w:val="none" w:sz="0" w:space="0" w:color="auto"/>
        <w:left w:val="none" w:sz="0" w:space="0" w:color="auto"/>
        <w:bottom w:val="none" w:sz="0" w:space="0" w:color="auto"/>
        <w:right w:val="none" w:sz="0" w:space="0" w:color="auto"/>
      </w:divBdr>
    </w:div>
    <w:div w:id="323631935">
      <w:bodyDiv w:val="1"/>
      <w:marLeft w:val="0"/>
      <w:marRight w:val="0"/>
      <w:marTop w:val="0"/>
      <w:marBottom w:val="0"/>
      <w:divBdr>
        <w:top w:val="none" w:sz="0" w:space="0" w:color="auto"/>
        <w:left w:val="none" w:sz="0" w:space="0" w:color="auto"/>
        <w:bottom w:val="none" w:sz="0" w:space="0" w:color="auto"/>
        <w:right w:val="none" w:sz="0" w:space="0" w:color="auto"/>
      </w:divBdr>
    </w:div>
    <w:div w:id="324207139">
      <w:bodyDiv w:val="1"/>
      <w:marLeft w:val="0"/>
      <w:marRight w:val="0"/>
      <w:marTop w:val="0"/>
      <w:marBottom w:val="0"/>
      <w:divBdr>
        <w:top w:val="none" w:sz="0" w:space="0" w:color="auto"/>
        <w:left w:val="none" w:sz="0" w:space="0" w:color="auto"/>
        <w:bottom w:val="none" w:sz="0" w:space="0" w:color="auto"/>
        <w:right w:val="none" w:sz="0" w:space="0" w:color="auto"/>
      </w:divBdr>
    </w:div>
    <w:div w:id="325911321">
      <w:bodyDiv w:val="1"/>
      <w:marLeft w:val="0"/>
      <w:marRight w:val="0"/>
      <w:marTop w:val="0"/>
      <w:marBottom w:val="0"/>
      <w:divBdr>
        <w:top w:val="none" w:sz="0" w:space="0" w:color="auto"/>
        <w:left w:val="none" w:sz="0" w:space="0" w:color="auto"/>
        <w:bottom w:val="none" w:sz="0" w:space="0" w:color="auto"/>
        <w:right w:val="none" w:sz="0" w:space="0" w:color="auto"/>
      </w:divBdr>
    </w:div>
    <w:div w:id="327484229">
      <w:bodyDiv w:val="1"/>
      <w:marLeft w:val="0"/>
      <w:marRight w:val="0"/>
      <w:marTop w:val="0"/>
      <w:marBottom w:val="0"/>
      <w:divBdr>
        <w:top w:val="none" w:sz="0" w:space="0" w:color="auto"/>
        <w:left w:val="none" w:sz="0" w:space="0" w:color="auto"/>
        <w:bottom w:val="none" w:sz="0" w:space="0" w:color="auto"/>
        <w:right w:val="none" w:sz="0" w:space="0" w:color="auto"/>
      </w:divBdr>
      <w:divsChild>
        <w:div w:id="1337149889">
          <w:marLeft w:val="0"/>
          <w:marRight w:val="0"/>
          <w:marTop w:val="0"/>
          <w:marBottom w:val="0"/>
          <w:divBdr>
            <w:top w:val="none" w:sz="0" w:space="0" w:color="auto"/>
            <w:left w:val="none" w:sz="0" w:space="0" w:color="auto"/>
            <w:bottom w:val="none" w:sz="0" w:space="0" w:color="auto"/>
            <w:right w:val="none" w:sz="0" w:space="0" w:color="auto"/>
          </w:divBdr>
        </w:div>
      </w:divsChild>
    </w:div>
    <w:div w:id="340396720">
      <w:bodyDiv w:val="1"/>
      <w:marLeft w:val="0"/>
      <w:marRight w:val="0"/>
      <w:marTop w:val="0"/>
      <w:marBottom w:val="0"/>
      <w:divBdr>
        <w:top w:val="none" w:sz="0" w:space="0" w:color="auto"/>
        <w:left w:val="none" w:sz="0" w:space="0" w:color="auto"/>
        <w:bottom w:val="none" w:sz="0" w:space="0" w:color="auto"/>
        <w:right w:val="none" w:sz="0" w:space="0" w:color="auto"/>
      </w:divBdr>
    </w:div>
    <w:div w:id="352153446">
      <w:bodyDiv w:val="1"/>
      <w:marLeft w:val="0"/>
      <w:marRight w:val="0"/>
      <w:marTop w:val="0"/>
      <w:marBottom w:val="0"/>
      <w:divBdr>
        <w:top w:val="none" w:sz="0" w:space="0" w:color="auto"/>
        <w:left w:val="none" w:sz="0" w:space="0" w:color="auto"/>
        <w:bottom w:val="none" w:sz="0" w:space="0" w:color="auto"/>
        <w:right w:val="none" w:sz="0" w:space="0" w:color="auto"/>
      </w:divBdr>
    </w:div>
    <w:div w:id="354501689">
      <w:bodyDiv w:val="1"/>
      <w:marLeft w:val="0"/>
      <w:marRight w:val="0"/>
      <w:marTop w:val="0"/>
      <w:marBottom w:val="0"/>
      <w:divBdr>
        <w:top w:val="none" w:sz="0" w:space="0" w:color="auto"/>
        <w:left w:val="none" w:sz="0" w:space="0" w:color="auto"/>
        <w:bottom w:val="none" w:sz="0" w:space="0" w:color="auto"/>
        <w:right w:val="none" w:sz="0" w:space="0" w:color="auto"/>
      </w:divBdr>
    </w:div>
    <w:div w:id="357313580">
      <w:bodyDiv w:val="1"/>
      <w:marLeft w:val="0"/>
      <w:marRight w:val="0"/>
      <w:marTop w:val="0"/>
      <w:marBottom w:val="0"/>
      <w:divBdr>
        <w:top w:val="none" w:sz="0" w:space="0" w:color="auto"/>
        <w:left w:val="none" w:sz="0" w:space="0" w:color="auto"/>
        <w:bottom w:val="none" w:sz="0" w:space="0" w:color="auto"/>
        <w:right w:val="none" w:sz="0" w:space="0" w:color="auto"/>
      </w:divBdr>
    </w:div>
    <w:div w:id="359667705">
      <w:bodyDiv w:val="1"/>
      <w:marLeft w:val="0"/>
      <w:marRight w:val="0"/>
      <w:marTop w:val="0"/>
      <w:marBottom w:val="0"/>
      <w:divBdr>
        <w:top w:val="none" w:sz="0" w:space="0" w:color="auto"/>
        <w:left w:val="none" w:sz="0" w:space="0" w:color="auto"/>
        <w:bottom w:val="none" w:sz="0" w:space="0" w:color="auto"/>
        <w:right w:val="none" w:sz="0" w:space="0" w:color="auto"/>
      </w:divBdr>
    </w:div>
    <w:div w:id="372922323">
      <w:bodyDiv w:val="1"/>
      <w:marLeft w:val="0"/>
      <w:marRight w:val="0"/>
      <w:marTop w:val="0"/>
      <w:marBottom w:val="0"/>
      <w:divBdr>
        <w:top w:val="none" w:sz="0" w:space="0" w:color="auto"/>
        <w:left w:val="none" w:sz="0" w:space="0" w:color="auto"/>
        <w:bottom w:val="none" w:sz="0" w:space="0" w:color="auto"/>
        <w:right w:val="none" w:sz="0" w:space="0" w:color="auto"/>
      </w:divBdr>
    </w:div>
    <w:div w:id="377702011">
      <w:bodyDiv w:val="1"/>
      <w:marLeft w:val="0"/>
      <w:marRight w:val="0"/>
      <w:marTop w:val="0"/>
      <w:marBottom w:val="0"/>
      <w:divBdr>
        <w:top w:val="none" w:sz="0" w:space="0" w:color="auto"/>
        <w:left w:val="none" w:sz="0" w:space="0" w:color="auto"/>
        <w:bottom w:val="none" w:sz="0" w:space="0" w:color="auto"/>
        <w:right w:val="none" w:sz="0" w:space="0" w:color="auto"/>
      </w:divBdr>
    </w:div>
    <w:div w:id="383022595">
      <w:bodyDiv w:val="1"/>
      <w:marLeft w:val="0"/>
      <w:marRight w:val="0"/>
      <w:marTop w:val="0"/>
      <w:marBottom w:val="0"/>
      <w:divBdr>
        <w:top w:val="none" w:sz="0" w:space="0" w:color="auto"/>
        <w:left w:val="none" w:sz="0" w:space="0" w:color="auto"/>
        <w:bottom w:val="none" w:sz="0" w:space="0" w:color="auto"/>
        <w:right w:val="none" w:sz="0" w:space="0" w:color="auto"/>
      </w:divBdr>
    </w:div>
    <w:div w:id="393087755">
      <w:bodyDiv w:val="1"/>
      <w:marLeft w:val="0"/>
      <w:marRight w:val="0"/>
      <w:marTop w:val="0"/>
      <w:marBottom w:val="0"/>
      <w:divBdr>
        <w:top w:val="none" w:sz="0" w:space="0" w:color="auto"/>
        <w:left w:val="none" w:sz="0" w:space="0" w:color="auto"/>
        <w:bottom w:val="none" w:sz="0" w:space="0" w:color="auto"/>
        <w:right w:val="none" w:sz="0" w:space="0" w:color="auto"/>
      </w:divBdr>
    </w:div>
    <w:div w:id="399329137">
      <w:bodyDiv w:val="1"/>
      <w:marLeft w:val="0"/>
      <w:marRight w:val="0"/>
      <w:marTop w:val="0"/>
      <w:marBottom w:val="0"/>
      <w:divBdr>
        <w:top w:val="none" w:sz="0" w:space="0" w:color="auto"/>
        <w:left w:val="none" w:sz="0" w:space="0" w:color="auto"/>
        <w:bottom w:val="none" w:sz="0" w:space="0" w:color="auto"/>
        <w:right w:val="none" w:sz="0" w:space="0" w:color="auto"/>
      </w:divBdr>
    </w:div>
    <w:div w:id="404571830">
      <w:bodyDiv w:val="1"/>
      <w:marLeft w:val="0"/>
      <w:marRight w:val="0"/>
      <w:marTop w:val="0"/>
      <w:marBottom w:val="0"/>
      <w:divBdr>
        <w:top w:val="none" w:sz="0" w:space="0" w:color="auto"/>
        <w:left w:val="none" w:sz="0" w:space="0" w:color="auto"/>
        <w:bottom w:val="none" w:sz="0" w:space="0" w:color="auto"/>
        <w:right w:val="none" w:sz="0" w:space="0" w:color="auto"/>
      </w:divBdr>
    </w:div>
    <w:div w:id="410853114">
      <w:bodyDiv w:val="1"/>
      <w:marLeft w:val="0"/>
      <w:marRight w:val="0"/>
      <w:marTop w:val="0"/>
      <w:marBottom w:val="0"/>
      <w:divBdr>
        <w:top w:val="none" w:sz="0" w:space="0" w:color="auto"/>
        <w:left w:val="none" w:sz="0" w:space="0" w:color="auto"/>
        <w:bottom w:val="none" w:sz="0" w:space="0" w:color="auto"/>
        <w:right w:val="none" w:sz="0" w:space="0" w:color="auto"/>
      </w:divBdr>
    </w:div>
    <w:div w:id="416052062">
      <w:bodyDiv w:val="1"/>
      <w:marLeft w:val="0"/>
      <w:marRight w:val="0"/>
      <w:marTop w:val="0"/>
      <w:marBottom w:val="0"/>
      <w:divBdr>
        <w:top w:val="none" w:sz="0" w:space="0" w:color="auto"/>
        <w:left w:val="none" w:sz="0" w:space="0" w:color="auto"/>
        <w:bottom w:val="none" w:sz="0" w:space="0" w:color="auto"/>
        <w:right w:val="none" w:sz="0" w:space="0" w:color="auto"/>
      </w:divBdr>
    </w:div>
    <w:div w:id="420104241">
      <w:bodyDiv w:val="1"/>
      <w:marLeft w:val="0"/>
      <w:marRight w:val="0"/>
      <w:marTop w:val="0"/>
      <w:marBottom w:val="0"/>
      <w:divBdr>
        <w:top w:val="none" w:sz="0" w:space="0" w:color="auto"/>
        <w:left w:val="none" w:sz="0" w:space="0" w:color="auto"/>
        <w:bottom w:val="none" w:sz="0" w:space="0" w:color="auto"/>
        <w:right w:val="none" w:sz="0" w:space="0" w:color="auto"/>
      </w:divBdr>
    </w:div>
    <w:div w:id="420492962">
      <w:bodyDiv w:val="1"/>
      <w:marLeft w:val="0"/>
      <w:marRight w:val="0"/>
      <w:marTop w:val="0"/>
      <w:marBottom w:val="0"/>
      <w:divBdr>
        <w:top w:val="none" w:sz="0" w:space="0" w:color="auto"/>
        <w:left w:val="none" w:sz="0" w:space="0" w:color="auto"/>
        <w:bottom w:val="none" w:sz="0" w:space="0" w:color="auto"/>
        <w:right w:val="none" w:sz="0" w:space="0" w:color="auto"/>
      </w:divBdr>
    </w:div>
    <w:div w:id="426266325">
      <w:bodyDiv w:val="1"/>
      <w:marLeft w:val="0"/>
      <w:marRight w:val="0"/>
      <w:marTop w:val="0"/>
      <w:marBottom w:val="0"/>
      <w:divBdr>
        <w:top w:val="none" w:sz="0" w:space="0" w:color="auto"/>
        <w:left w:val="none" w:sz="0" w:space="0" w:color="auto"/>
        <w:bottom w:val="none" w:sz="0" w:space="0" w:color="auto"/>
        <w:right w:val="none" w:sz="0" w:space="0" w:color="auto"/>
      </w:divBdr>
    </w:div>
    <w:div w:id="430201056">
      <w:bodyDiv w:val="1"/>
      <w:marLeft w:val="0"/>
      <w:marRight w:val="0"/>
      <w:marTop w:val="0"/>
      <w:marBottom w:val="0"/>
      <w:divBdr>
        <w:top w:val="none" w:sz="0" w:space="0" w:color="auto"/>
        <w:left w:val="none" w:sz="0" w:space="0" w:color="auto"/>
        <w:bottom w:val="none" w:sz="0" w:space="0" w:color="auto"/>
        <w:right w:val="none" w:sz="0" w:space="0" w:color="auto"/>
      </w:divBdr>
    </w:div>
    <w:div w:id="439881376">
      <w:bodyDiv w:val="1"/>
      <w:marLeft w:val="0"/>
      <w:marRight w:val="0"/>
      <w:marTop w:val="0"/>
      <w:marBottom w:val="0"/>
      <w:divBdr>
        <w:top w:val="none" w:sz="0" w:space="0" w:color="auto"/>
        <w:left w:val="none" w:sz="0" w:space="0" w:color="auto"/>
        <w:bottom w:val="none" w:sz="0" w:space="0" w:color="auto"/>
        <w:right w:val="none" w:sz="0" w:space="0" w:color="auto"/>
      </w:divBdr>
    </w:div>
    <w:div w:id="440489443">
      <w:bodyDiv w:val="1"/>
      <w:marLeft w:val="0"/>
      <w:marRight w:val="0"/>
      <w:marTop w:val="0"/>
      <w:marBottom w:val="0"/>
      <w:divBdr>
        <w:top w:val="none" w:sz="0" w:space="0" w:color="auto"/>
        <w:left w:val="none" w:sz="0" w:space="0" w:color="auto"/>
        <w:bottom w:val="none" w:sz="0" w:space="0" w:color="auto"/>
        <w:right w:val="none" w:sz="0" w:space="0" w:color="auto"/>
      </w:divBdr>
    </w:div>
    <w:div w:id="450634347">
      <w:bodyDiv w:val="1"/>
      <w:marLeft w:val="0"/>
      <w:marRight w:val="0"/>
      <w:marTop w:val="0"/>
      <w:marBottom w:val="0"/>
      <w:divBdr>
        <w:top w:val="none" w:sz="0" w:space="0" w:color="auto"/>
        <w:left w:val="none" w:sz="0" w:space="0" w:color="auto"/>
        <w:bottom w:val="none" w:sz="0" w:space="0" w:color="auto"/>
        <w:right w:val="none" w:sz="0" w:space="0" w:color="auto"/>
      </w:divBdr>
    </w:div>
    <w:div w:id="450824312">
      <w:bodyDiv w:val="1"/>
      <w:marLeft w:val="0"/>
      <w:marRight w:val="0"/>
      <w:marTop w:val="0"/>
      <w:marBottom w:val="0"/>
      <w:divBdr>
        <w:top w:val="none" w:sz="0" w:space="0" w:color="auto"/>
        <w:left w:val="none" w:sz="0" w:space="0" w:color="auto"/>
        <w:bottom w:val="none" w:sz="0" w:space="0" w:color="auto"/>
        <w:right w:val="none" w:sz="0" w:space="0" w:color="auto"/>
      </w:divBdr>
    </w:div>
    <w:div w:id="468787989">
      <w:bodyDiv w:val="1"/>
      <w:marLeft w:val="0"/>
      <w:marRight w:val="0"/>
      <w:marTop w:val="0"/>
      <w:marBottom w:val="0"/>
      <w:divBdr>
        <w:top w:val="none" w:sz="0" w:space="0" w:color="auto"/>
        <w:left w:val="none" w:sz="0" w:space="0" w:color="auto"/>
        <w:bottom w:val="none" w:sz="0" w:space="0" w:color="auto"/>
        <w:right w:val="none" w:sz="0" w:space="0" w:color="auto"/>
      </w:divBdr>
    </w:div>
    <w:div w:id="482939704">
      <w:bodyDiv w:val="1"/>
      <w:marLeft w:val="0"/>
      <w:marRight w:val="0"/>
      <w:marTop w:val="0"/>
      <w:marBottom w:val="0"/>
      <w:divBdr>
        <w:top w:val="none" w:sz="0" w:space="0" w:color="auto"/>
        <w:left w:val="none" w:sz="0" w:space="0" w:color="auto"/>
        <w:bottom w:val="none" w:sz="0" w:space="0" w:color="auto"/>
        <w:right w:val="none" w:sz="0" w:space="0" w:color="auto"/>
      </w:divBdr>
    </w:div>
    <w:div w:id="490175678">
      <w:bodyDiv w:val="1"/>
      <w:marLeft w:val="0"/>
      <w:marRight w:val="0"/>
      <w:marTop w:val="0"/>
      <w:marBottom w:val="0"/>
      <w:divBdr>
        <w:top w:val="none" w:sz="0" w:space="0" w:color="auto"/>
        <w:left w:val="none" w:sz="0" w:space="0" w:color="auto"/>
        <w:bottom w:val="none" w:sz="0" w:space="0" w:color="auto"/>
        <w:right w:val="none" w:sz="0" w:space="0" w:color="auto"/>
      </w:divBdr>
    </w:div>
    <w:div w:id="497118300">
      <w:bodyDiv w:val="1"/>
      <w:marLeft w:val="0"/>
      <w:marRight w:val="0"/>
      <w:marTop w:val="0"/>
      <w:marBottom w:val="0"/>
      <w:divBdr>
        <w:top w:val="none" w:sz="0" w:space="0" w:color="auto"/>
        <w:left w:val="none" w:sz="0" w:space="0" w:color="auto"/>
        <w:bottom w:val="none" w:sz="0" w:space="0" w:color="auto"/>
        <w:right w:val="none" w:sz="0" w:space="0" w:color="auto"/>
      </w:divBdr>
    </w:div>
    <w:div w:id="504590552">
      <w:bodyDiv w:val="1"/>
      <w:marLeft w:val="0"/>
      <w:marRight w:val="0"/>
      <w:marTop w:val="0"/>
      <w:marBottom w:val="0"/>
      <w:divBdr>
        <w:top w:val="none" w:sz="0" w:space="0" w:color="auto"/>
        <w:left w:val="none" w:sz="0" w:space="0" w:color="auto"/>
        <w:bottom w:val="none" w:sz="0" w:space="0" w:color="auto"/>
        <w:right w:val="none" w:sz="0" w:space="0" w:color="auto"/>
      </w:divBdr>
    </w:div>
    <w:div w:id="516046581">
      <w:bodyDiv w:val="1"/>
      <w:marLeft w:val="0"/>
      <w:marRight w:val="0"/>
      <w:marTop w:val="0"/>
      <w:marBottom w:val="0"/>
      <w:divBdr>
        <w:top w:val="none" w:sz="0" w:space="0" w:color="auto"/>
        <w:left w:val="none" w:sz="0" w:space="0" w:color="auto"/>
        <w:bottom w:val="none" w:sz="0" w:space="0" w:color="auto"/>
        <w:right w:val="none" w:sz="0" w:space="0" w:color="auto"/>
      </w:divBdr>
    </w:div>
    <w:div w:id="519583826">
      <w:bodyDiv w:val="1"/>
      <w:marLeft w:val="0"/>
      <w:marRight w:val="0"/>
      <w:marTop w:val="0"/>
      <w:marBottom w:val="0"/>
      <w:divBdr>
        <w:top w:val="none" w:sz="0" w:space="0" w:color="auto"/>
        <w:left w:val="none" w:sz="0" w:space="0" w:color="auto"/>
        <w:bottom w:val="none" w:sz="0" w:space="0" w:color="auto"/>
        <w:right w:val="none" w:sz="0" w:space="0" w:color="auto"/>
      </w:divBdr>
    </w:div>
    <w:div w:id="520434302">
      <w:bodyDiv w:val="1"/>
      <w:marLeft w:val="0"/>
      <w:marRight w:val="0"/>
      <w:marTop w:val="0"/>
      <w:marBottom w:val="0"/>
      <w:divBdr>
        <w:top w:val="none" w:sz="0" w:space="0" w:color="auto"/>
        <w:left w:val="none" w:sz="0" w:space="0" w:color="auto"/>
        <w:bottom w:val="none" w:sz="0" w:space="0" w:color="auto"/>
        <w:right w:val="none" w:sz="0" w:space="0" w:color="auto"/>
      </w:divBdr>
    </w:div>
    <w:div w:id="545221815">
      <w:bodyDiv w:val="1"/>
      <w:marLeft w:val="0"/>
      <w:marRight w:val="0"/>
      <w:marTop w:val="0"/>
      <w:marBottom w:val="0"/>
      <w:divBdr>
        <w:top w:val="none" w:sz="0" w:space="0" w:color="auto"/>
        <w:left w:val="none" w:sz="0" w:space="0" w:color="auto"/>
        <w:bottom w:val="none" w:sz="0" w:space="0" w:color="auto"/>
        <w:right w:val="none" w:sz="0" w:space="0" w:color="auto"/>
      </w:divBdr>
    </w:div>
    <w:div w:id="552423964">
      <w:bodyDiv w:val="1"/>
      <w:marLeft w:val="0"/>
      <w:marRight w:val="0"/>
      <w:marTop w:val="0"/>
      <w:marBottom w:val="0"/>
      <w:divBdr>
        <w:top w:val="none" w:sz="0" w:space="0" w:color="auto"/>
        <w:left w:val="none" w:sz="0" w:space="0" w:color="auto"/>
        <w:bottom w:val="none" w:sz="0" w:space="0" w:color="auto"/>
        <w:right w:val="none" w:sz="0" w:space="0" w:color="auto"/>
      </w:divBdr>
    </w:div>
    <w:div w:id="555091686">
      <w:bodyDiv w:val="1"/>
      <w:marLeft w:val="0"/>
      <w:marRight w:val="0"/>
      <w:marTop w:val="0"/>
      <w:marBottom w:val="0"/>
      <w:divBdr>
        <w:top w:val="none" w:sz="0" w:space="0" w:color="auto"/>
        <w:left w:val="none" w:sz="0" w:space="0" w:color="auto"/>
        <w:bottom w:val="none" w:sz="0" w:space="0" w:color="auto"/>
        <w:right w:val="none" w:sz="0" w:space="0" w:color="auto"/>
      </w:divBdr>
    </w:div>
    <w:div w:id="556016242">
      <w:bodyDiv w:val="1"/>
      <w:marLeft w:val="0"/>
      <w:marRight w:val="0"/>
      <w:marTop w:val="0"/>
      <w:marBottom w:val="0"/>
      <w:divBdr>
        <w:top w:val="none" w:sz="0" w:space="0" w:color="auto"/>
        <w:left w:val="none" w:sz="0" w:space="0" w:color="auto"/>
        <w:bottom w:val="none" w:sz="0" w:space="0" w:color="auto"/>
        <w:right w:val="none" w:sz="0" w:space="0" w:color="auto"/>
      </w:divBdr>
    </w:div>
    <w:div w:id="575088433">
      <w:bodyDiv w:val="1"/>
      <w:marLeft w:val="0"/>
      <w:marRight w:val="0"/>
      <w:marTop w:val="0"/>
      <w:marBottom w:val="0"/>
      <w:divBdr>
        <w:top w:val="none" w:sz="0" w:space="0" w:color="auto"/>
        <w:left w:val="none" w:sz="0" w:space="0" w:color="auto"/>
        <w:bottom w:val="none" w:sz="0" w:space="0" w:color="auto"/>
        <w:right w:val="none" w:sz="0" w:space="0" w:color="auto"/>
      </w:divBdr>
    </w:div>
    <w:div w:id="590896592">
      <w:bodyDiv w:val="1"/>
      <w:marLeft w:val="0"/>
      <w:marRight w:val="0"/>
      <w:marTop w:val="0"/>
      <w:marBottom w:val="0"/>
      <w:divBdr>
        <w:top w:val="none" w:sz="0" w:space="0" w:color="auto"/>
        <w:left w:val="none" w:sz="0" w:space="0" w:color="auto"/>
        <w:bottom w:val="none" w:sz="0" w:space="0" w:color="auto"/>
        <w:right w:val="none" w:sz="0" w:space="0" w:color="auto"/>
      </w:divBdr>
    </w:div>
    <w:div w:id="591547936">
      <w:bodyDiv w:val="1"/>
      <w:marLeft w:val="0"/>
      <w:marRight w:val="0"/>
      <w:marTop w:val="0"/>
      <w:marBottom w:val="0"/>
      <w:divBdr>
        <w:top w:val="none" w:sz="0" w:space="0" w:color="auto"/>
        <w:left w:val="none" w:sz="0" w:space="0" w:color="auto"/>
        <w:bottom w:val="none" w:sz="0" w:space="0" w:color="auto"/>
        <w:right w:val="none" w:sz="0" w:space="0" w:color="auto"/>
      </w:divBdr>
    </w:div>
    <w:div w:id="599139454">
      <w:bodyDiv w:val="1"/>
      <w:marLeft w:val="0"/>
      <w:marRight w:val="0"/>
      <w:marTop w:val="0"/>
      <w:marBottom w:val="0"/>
      <w:divBdr>
        <w:top w:val="none" w:sz="0" w:space="0" w:color="auto"/>
        <w:left w:val="none" w:sz="0" w:space="0" w:color="auto"/>
        <w:bottom w:val="none" w:sz="0" w:space="0" w:color="auto"/>
        <w:right w:val="none" w:sz="0" w:space="0" w:color="auto"/>
      </w:divBdr>
    </w:div>
    <w:div w:id="600837640">
      <w:bodyDiv w:val="1"/>
      <w:marLeft w:val="0"/>
      <w:marRight w:val="0"/>
      <w:marTop w:val="0"/>
      <w:marBottom w:val="0"/>
      <w:divBdr>
        <w:top w:val="none" w:sz="0" w:space="0" w:color="auto"/>
        <w:left w:val="none" w:sz="0" w:space="0" w:color="auto"/>
        <w:bottom w:val="none" w:sz="0" w:space="0" w:color="auto"/>
        <w:right w:val="none" w:sz="0" w:space="0" w:color="auto"/>
      </w:divBdr>
    </w:div>
    <w:div w:id="601109529">
      <w:bodyDiv w:val="1"/>
      <w:marLeft w:val="0"/>
      <w:marRight w:val="0"/>
      <w:marTop w:val="0"/>
      <w:marBottom w:val="0"/>
      <w:divBdr>
        <w:top w:val="none" w:sz="0" w:space="0" w:color="auto"/>
        <w:left w:val="none" w:sz="0" w:space="0" w:color="auto"/>
        <w:bottom w:val="none" w:sz="0" w:space="0" w:color="auto"/>
        <w:right w:val="none" w:sz="0" w:space="0" w:color="auto"/>
      </w:divBdr>
    </w:div>
    <w:div w:id="605697064">
      <w:bodyDiv w:val="1"/>
      <w:marLeft w:val="0"/>
      <w:marRight w:val="0"/>
      <w:marTop w:val="0"/>
      <w:marBottom w:val="0"/>
      <w:divBdr>
        <w:top w:val="none" w:sz="0" w:space="0" w:color="auto"/>
        <w:left w:val="none" w:sz="0" w:space="0" w:color="auto"/>
        <w:bottom w:val="none" w:sz="0" w:space="0" w:color="auto"/>
        <w:right w:val="none" w:sz="0" w:space="0" w:color="auto"/>
      </w:divBdr>
    </w:div>
    <w:div w:id="606622213">
      <w:bodyDiv w:val="1"/>
      <w:marLeft w:val="0"/>
      <w:marRight w:val="0"/>
      <w:marTop w:val="0"/>
      <w:marBottom w:val="0"/>
      <w:divBdr>
        <w:top w:val="none" w:sz="0" w:space="0" w:color="auto"/>
        <w:left w:val="none" w:sz="0" w:space="0" w:color="auto"/>
        <w:bottom w:val="none" w:sz="0" w:space="0" w:color="auto"/>
        <w:right w:val="none" w:sz="0" w:space="0" w:color="auto"/>
      </w:divBdr>
    </w:div>
    <w:div w:id="615211330">
      <w:bodyDiv w:val="1"/>
      <w:marLeft w:val="0"/>
      <w:marRight w:val="0"/>
      <w:marTop w:val="0"/>
      <w:marBottom w:val="0"/>
      <w:divBdr>
        <w:top w:val="none" w:sz="0" w:space="0" w:color="auto"/>
        <w:left w:val="none" w:sz="0" w:space="0" w:color="auto"/>
        <w:bottom w:val="none" w:sz="0" w:space="0" w:color="auto"/>
        <w:right w:val="none" w:sz="0" w:space="0" w:color="auto"/>
      </w:divBdr>
    </w:div>
    <w:div w:id="619261199">
      <w:bodyDiv w:val="1"/>
      <w:marLeft w:val="0"/>
      <w:marRight w:val="0"/>
      <w:marTop w:val="0"/>
      <w:marBottom w:val="0"/>
      <w:divBdr>
        <w:top w:val="none" w:sz="0" w:space="0" w:color="auto"/>
        <w:left w:val="none" w:sz="0" w:space="0" w:color="auto"/>
        <w:bottom w:val="none" w:sz="0" w:space="0" w:color="auto"/>
        <w:right w:val="none" w:sz="0" w:space="0" w:color="auto"/>
      </w:divBdr>
    </w:div>
    <w:div w:id="639916880">
      <w:bodyDiv w:val="1"/>
      <w:marLeft w:val="0"/>
      <w:marRight w:val="0"/>
      <w:marTop w:val="0"/>
      <w:marBottom w:val="0"/>
      <w:divBdr>
        <w:top w:val="none" w:sz="0" w:space="0" w:color="auto"/>
        <w:left w:val="none" w:sz="0" w:space="0" w:color="auto"/>
        <w:bottom w:val="none" w:sz="0" w:space="0" w:color="auto"/>
        <w:right w:val="none" w:sz="0" w:space="0" w:color="auto"/>
      </w:divBdr>
    </w:div>
    <w:div w:id="643631211">
      <w:bodyDiv w:val="1"/>
      <w:marLeft w:val="0"/>
      <w:marRight w:val="0"/>
      <w:marTop w:val="0"/>
      <w:marBottom w:val="0"/>
      <w:divBdr>
        <w:top w:val="none" w:sz="0" w:space="0" w:color="auto"/>
        <w:left w:val="none" w:sz="0" w:space="0" w:color="auto"/>
        <w:bottom w:val="none" w:sz="0" w:space="0" w:color="auto"/>
        <w:right w:val="none" w:sz="0" w:space="0" w:color="auto"/>
      </w:divBdr>
    </w:div>
    <w:div w:id="648480586">
      <w:bodyDiv w:val="1"/>
      <w:marLeft w:val="0"/>
      <w:marRight w:val="0"/>
      <w:marTop w:val="0"/>
      <w:marBottom w:val="0"/>
      <w:divBdr>
        <w:top w:val="none" w:sz="0" w:space="0" w:color="auto"/>
        <w:left w:val="none" w:sz="0" w:space="0" w:color="auto"/>
        <w:bottom w:val="none" w:sz="0" w:space="0" w:color="auto"/>
        <w:right w:val="none" w:sz="0" w:space="0" w:color="auto"/>
      </w:divBdr>
    </w:div>
    <w:div w:id="667950593">
      <w:bodyDiv w:val="1"/>
      <w:marLeft w:val="0"/>
      <w:marRight w:val="0"/>
      <w:marTop w:val="0"/>
      <w:marBottom w:val="0"/>
      <w:divBdr>
        <w:top w:val="none" w:sz="0" w:space="0" w:color="auto"/>
        <w:left w:val="none" w:sz="0" w:space="0" w:color="auto"/>
        <w:bottom w:val="none" w:sz="0" w:space="0" w:color="auto"/>
        <w:right w:val="none" w:sz="0" w:space="0" w:color="auto"/>
      </w:divBdr>
    </w:div>
    <w:div w:id="672804938">
      <w:bodyDiv w:val="1"/>
      <w:marLeft w:val="0"/>
      <w:marRight w:val="0"/>
      <w:marTop w:val="0"/>
      <w:marBottom w:val="0"/>
      <w:divBdr>
        <w:top w:val="none" w:sz="0" w:space="0" w:color="auto"/>
        <w:left w:val="none" w:sz="0" w:space="0" w:color="auto"/>
        <w:bottom w:val="none" w:sz="0" w:space="0" w:color="auto"/>
        <w:right w:val="none" w:sz="0" w:space="0" w:color="auto"/>
      </w:divBdr>
    </w:div>
    <w:div w:id="693262210">
      <w:bodyDiv w:val="1"/>
      <w:marLeft w:val="0"/>
      <w:marRight w:val="0"/>
      <w:marTop w:val="0"/>
      <w:marBottom w:val="0"/>
      <w:divBdr>
        <w:top w:val="none" w:sz="0" w:space="0" w:color="auto"/>
        <w:left w:val="none" w:sz="0" w:space="0" w:color="auto"/>
        <w:bottom w:val="none" w:sz="0" w:space="0" w:color="auto"/>
        <w:right w:val="none" w:sz="0" w:space="0" w:color="auto"/>
      </w:divBdr>
    </w:div>
    <w:div w:id="697244973">
      <w:bodyDiv w:val="1"/>
      <w:marLeft w:val="0"/>
      <w:marRight w:val="0"/>
      <w:marTop w:val="0"/>
      <w:marBottom w:val="0"/>
      <w:divBdr>
        <w:top w:val="none" w:sz="0" w:space="0" w:color="auto"/>
        <w:left w:val="none" w:sz="0" w:space="0" w:color="auto"/>
        <w:bottom w:val="none" w:sz="0" w:space="0" w:color="auto"/>
        <w:right w:val="none" w:sz="0" w:space="0" w:color="auto"/>
      </w:divBdr>
    </w:div>
    <w:div w:id="697702579">
      <w:bodyDiv w:val="1"/>
      <w:marLeft w:val="0"/>
      <w:marRight w:val="0"/>
      <w:marTop w:val="0"/>
      <w:marBottom w:val="0"/>
      <w:divBdr>
        <w:top w:val="none" w:sz="0" w:space="0" w:color="auto"/>
        <w:left w:val="none" w:sz="0" w:space="0" w:color="auto"/>
        <w:bottom w:val="none" w:sz="0" w:space="0" w:color="auto"/>
        <w:right w:val="none" w:sz="0" w:space="0" w:color="auto"/>
      </w:divBdr>
    </w:div>
    <w:div w:id="705906712">
      <w:bodyDiv w:val="1"/>
      <w:marLeft w:val="0"/>
      <w:marRight w:val="0"/>
      <w:marTop w:val="0"/>
      <w:marBottom w:val="0"/>
      <w:divBdr>
        <w:top w:val="none" w:sz="0" w:space="0" w:color="auto"/>
        <w:left w:val="none" w:sz="0" w:space="0" w:color="auto"/>
        <w:bottom w:val="none" w:sz="0" w:space="0" w:color="auto"/>
        <w:right w:val="none" w:sz="0" w:space="0" w:color="auto"/>
      </w:divBdr>
    </w:div>
    <w:div w:id="707265312">
      <w:bodyDiv w:val="1"/>
      <w:marLeft w:val="0"/>
      <w:marRight w:val="0"/>
      <w:marTop w:val="0"/>
      <w:marBottom w:val="0"/>
      <w:divBdr>
        <w:top w:val="none" w:sz="0" w:space="0" w:color="auto"/>
        <w:left w:val="none" w:sz="0" w:space="0" w:color="auto"/>
        <w:bottom w:val="none" w:sz="0" w:space="0" w:color="auto"/>
        <w:right w:val="none" w:sz="0" w:space="0" w:color="auto"/>
      </w:divBdr>
    </w:div>
    <w:div w:id="714934942">
      <w:bodyDiv w:val="1"/>
      <w:marLeft w:val="0"/>
      <w:marRight w:val="0"/>
      <w:marTop w:val="0"/>
      <w:marBottom w:val="0"/>
      <w:divBdr>
        <w:top w:val="none" w:sz="0" w:space="0" w:color="auto"/>
        <w:left w:val="none" w:sz="0" w:space="0" w:color="auto"/>
        <w:bottom w:val="none" w:sz="0" w:space="0" w:color="auto"/>
        <w:right w:val="none" w:sz="0" w:space="0" w:color="auto"/>
      </w:divBdr>
    </w:div>
    <w:div w:id="717314824">
      <w:bodyDiv w:val="1"/>
      <w:marLeft w:val="0"/>
      <w:marRight w:val="0"/>
      <w:marTop w:val="0"/>
      <w:marBottom w:val="0"/>
      <w:divBdr>
        <w:top w:val="none" w:sz="0" w:space="0" w:color="auto"/>
        <w:left w:val="none" w:sz="0" w:space="0" w:color="auto"/>
        <w:bottom w:val="none" w:sz="0" w:space="0" w:color="auto"/>
        <w:right w:val="none" w:sz="0" w:space="0" w:color="auto"/>
      </w:divBdr>
    </w:div>
    <w:div w:id="724260872">
      <w:bodyDiv w:val="1"/>
      <w:marLeft w:val="0"/>
      <w:marRight w:val="0"/>
      <w:marTop w:val="0"/>
      <w:marBottom w:val="0"/>
      <w:divBdr>
        <w:top w:val="none" w:sz="0" w:space="0" w:color="auto"/>
        <w:left w:val="none" w:sz="0" w:space="0" w:color="auto"/>
        <w:bottom w:val="none" w:sz="0" w:space="0" w:color="auto"/>
        <w:right w:val="none" w:sz="0" w:space="0" w:color="auto"/>
      </w:divBdr>
    </w:div>
    <w:div w:id="725909281">
      <w:bodyDiv w:val="1"/>
      <w:marLeft w:val="0"/>
      <w:marRight w:val="0"/>
      <w:marTop w:val="0"/>
      <w:marBottom w:val="0"/>
      <w:divBdr>
        <w:top w:val="none" w:sz="0" w:space="0" w:color="auto"/>
        <w:left w:val="none" w:sz="0" w:space="0" w:color="auto"/>
        <w:bottom w:val="none" w:sz="0" w:space="0" w:color="auto"/>
        <w:right w:val="none" w:sz="0" w:space="0" w:color="auto"/>
      </w:divBdr>
    </w:div>
    <w:div w:id="735397191">
      <w:bodyDiv w:val="1"/>
      <w:marLeft w:val="0"/>
      <w:marRight w:val="0"/>
      <w:marTop w:val="0"/>
      <w:marBottom w:val="0"/>
      <w:divBdr>
        <w:top w:val="none" w:sz="0" w:space="0" w:color="auto"/>
        <w:left w:val="none" w:sz="0" w:space="0" w:color="auto"/>
        <w:bottom w:val="none" w:sz="0" w:space="0" w:color="auto"/>
        <w:right w:val="none" w:sz="0" w:space="0" w:color="auto"/>
      </w:divBdr>
    </w:div>
    <w:div w:id="737165388">
      <w:bodyDiv w:val="1"/>
      <w:marLeft w:val="0"/>
      <w:marRight w:val="0"/>
      <w:marTop w:val="0"/>
      <w:marBottom w:val="0"/>
      <w:divBdr>
        <w:top w:val="none" w:sz="0" w:space="0" w:color="auto"/>
        <w:left w:val="none" w:sz="0" w:space="0" w:color="auto"/>
        <w:bottom w:val="none" w:sz="0" w:space="0" w:color="auto"/>
        <w:right w:val="none" w:sz="0" w:space="0" w:color="auto"/>
      </w:divBdr>
    </w:div>
    <w:div w:id="748581053">
      <w:bodyDiv w:val="1"/>
      <w:marLeft w:val="0"/>
      <w:marRight w:val="0"/>
      <w:marTop w:val="0"/>
      <w:marBottom w:val="0"/>
      <w:divBdr>
        <w:top w:val="none" w:sz="0" w:space="0" w:color="auto"/>
        <w:left w:val="none" w:sz="0" w:space="0" w:color="auto"/>
        <w:bottom w:val="none" w:sz="0" w:space="0" w:color="auto"/>
        <w:right w:val="none" w:sz="0" w:space="0" w:color="auto"/>
      </w:divBdr>
    </w:div>
    <w:div w:id="750809409">
      <w:bodyDiv w:val="1"/>
      <w:marLeft w:val="0"/>
      <w:marRight w:val="0"/>
      <w:marTop w:val="0"/>
      <w:marBottom w:val="0"/>
      <w:divBdr>
        <w:top w:val="none" w:sz="0" w:space="0" w:color="auto"/>
        <w:left w:val="none" w:sz="0" w:space="0" w:color="auto"/>
        <w:bottom w:val="none" w:sz="0" w:space="0" w:color="auto"/>
        <w:right w:val="none" w:sz="0" w:space="0" w:color="auto"/>
      </w:divBdr>
    </w:div>
    <w:div w:id="763380909">
      <w:bodyDiv w:val="1"/>
      <w:marLeft w:val="0"/>
      <w:marRight w:val="0"/>
      <w:marTop w:val="0"/>
      <w:marBottom w:val="0"/>
      <w:divBdr>
        <w:top w:val="none" w:sz="0" w:space="0" w:color="auto"/>
        <w:left w:val="none" w:sz="0" w:space="0" w:color="auto"/>
        <w:bottom w:val="none" w:sz="0" w:space="0" w:color="auto"/>
        <w:right w:val="none" w:sz="0" w:space="0" w:color="auto"/>
      </w:divBdr>
    </w:div>
    <w:div w:id="767699439">
      <w:bodyDiv w:val="1"/>
      <w:marLeft w:val="0"/>
      <w:marRight w:val="0"/>
      <w:marTop w:val="0"/>
      <w:marBottom w:val="0"/>
      <w:divBdr>
        <w:top w:val="none" w:sz="0" w:space="0" w:color="auto"/>
        <w:left w:val="none" w:sz="0" w:space="0" w:color="auto"/>
        <w:bottom w:val="none" w:sz="0" w:space="0" w:color="auto"/>
        <w:right w:val="none" w:sz="0" w:space="0" w:color="auto"/>
      </w:divBdr>
    </w:div>
    <w:div w:id="772869735">
      <w:bodyDiv w:val="1"/>
      <w:marLeft w:val="0"/>
      <w:marRight w:val="0"/>
      <w:marTop w:val="0"/>
      <w:marBottom w:val="0"/>
      <w:divBdr>
        <w:top w:val="none" w:sz="0" w:space="0" w:color="auto"/>
        <w:left w:val="none" w:sz="0" w:space="0" w:color="auto"/>
        <w:bottom w:val="none" w:sz="0" w:space="0" w:color="auto"/>
        <w:right w:val="none" w:sz="0" w:space="0" w:color="auto"/>
      </w:divBdr>
    </w:div>
    <w:div w:id="782962984">
      <w:bodyDiv w:val="1"/>
      <w:marLeft w:val="0"/>
      <w:marRight w:val="0"/>
      <w:marTop w:val="0"/>
      <w:marBottom w:val="0"/>
      <w:divBdr>
        <w:top w:val="none" w:sz="0" w:space="0" w:color="auto"/>
        <w:left w:val="none" w:sz="0" w:space="0" w:color="auto"/>
        <w:bottom w:val="none" w:sz="0" w:space="0" w:color="auto"/>
        <w:right w:val="none" w:sz="0" w:space="0" w:color="auto"/>
      </w:divBdr>
    </w:div>
    <w:div w:id="783576206">
      <w:bodyDiv w:val="1"/>
      <w:marLeft w:val="0"/>
      <w:marRight w:val="0"/>
      <w:marTop w:val="0"/>
      <w:marBottom w:val="0"/>
      <w:divBdr>
        <w:top w:val="none" w:sz="0" w:space="0" w:color="auto"/>
        <w:left w:val="none" w:sz="0" w:space="0" w:color="auto"/>
        <w:bottom w:val="none" w:sz="0" w:space="0" w:color="auto"/>
        <w:right w:val="none" w:sz="0" w:space="0" w:color="auto"/>
      </w:divBdr>
    </w:div>
    <w:div w:id="805583433">
      <w:bodyDiv w:val="1"/>
      <w:marLeft w:val="0"/>
      <w:marRight w:val="0"/>
      <w:marTop w:val="0"/>
      <w:marBottom w:val="0"/>
      <w:divBdr>
        <w:top w:val="none" w:sz="0" w:space="0" w:color="auto"/>
        <w:left w:val="none" w:sz="0" w:space="0" w:color="auto"/>
        <w:bottom w:val="none" w:sz="0" w:space="0" w:color="auto"/>
        <w:right w:val="none" w:sz="0" w:space="0" w:color="auto"/>
      </w:divBdr>
    </w:div>
    <w:div w:id="820384688">
      <w:bodyDiv w:val="1"/>
      <w:marLeft w:val="0"/>
      <w:marRight w:val="0"/>
      <w:marTop w:val="0"/>
      <w:marBottom w:val="0"/>
      <w:divBdr>
        <w:top w:val="none" w:sz="0" w:space="0" w:color="auto"/>
        <w:left w:val="none" w:sz="0" w:space="0" w:color="auto"/>
        <w:bottom w:val="none" w:sz="0" w:space="0" w:color="auto"/>
        <w:right w:val="none" w:sz="0" w:space="0" w:color="auto"/>
      </w:divBdr>
    </w:div>
    <w:div w:id="822241221">
      <w:bodyDiv w:val="1"/>
      <w:marLeft w:val="0"/>
      <w:marRight w:val="0"/>
      <w:marTop w:val="0"/>
      <w:marBottom w:val="0"/>
      <w:divBdr>
        <w:top w:val="none" w:sz="0" w:space="0" w:color="auto"/>
        <w:left w:val="none" w:sz="0" w:space="0" w:color="auto"/>
        <w:bottom w:val="none" w:sz="0" w:space="0" w:color="auto"/>
        <w:right w:val="none" w:sz="0" w:space="0" w:color="auto"/>
      </w:divBdr>
    </w:div>
    <w:div w:id="857887313">
      <w:bodyDiv w:val="1"/>
      <w:marLeft w:val="0"/>
      <w:marRight w:val="0"/>
      <w:marTop w:val="0"/>
      <w:marBottom w:val="0"/>
      <w:divBdr>
        <w:top w:val="none" w:sz="0" w:space="0" w:color="auto"/>
        <w:left w:val="none" w:sz="0" w:space="0" w:color="auto"/>
        <w:bottom w:val="none" w:sz="0" w:space="0" w:color="auto"/>
        <w:right w:val="none" w:sz="0" w:space="0" w:color="auto"/>
      </w:divBdr>
    </w:div>
    <w:div w:id="864824710">
      <w:bodyDiv w:val="1"/>
      <w:marLeft w:val="0"/>
      <w:marRight w:val="0"/>
      <w:marTop w:val="0"/>
      <w:marBottom w:val="0"/>
      <w:divBdr>
        <w:top w:val="none" w:sz="0" w:space="0" w:color="auto"/>
        <w:left w:val="none" w:sz="0" w:space="0" w:color="auto"/>
        <w:bottom w:val="none" w:sz="0" w:space="0" w:color="auto"/>
        <w:right w:val="none" w:sz="0" w:space="0" w:color="auto"/>
      </w:divBdr>
    </w:div>
    <w:div w:id="864902090">
      <w:bodyDiv w:val="1"/>
      <w:marLeft w:val="0"/>
      <w:marRight w:val="0"/>
      <w:marTop w:val="0"/>
      <w:marBottom w:val="0"/>
      <w:divBdr>
        <w:top w:val="none" w:sz="0" w:space="0" w:color="auto"/>
        <w:left w:val="none" w:sz="0" w:space="0" w:color="auto"/>
        <w:bottom w:val="none" w:sz="0" w:space="0" w:color="auto"/>
        <w:right w:val="none" w:sz="0" w:space="0" w:color="auto"/>
      </w:divBdr>
    </w:div>
    <w:div w:id="871187862">
      <w:bodyDiv w:val="1"/>
      <w:marLeft w:val="0"/>
      <w:marRight w:val="0"/>
      <w:marTop w:val="0"/>
      <w:marBottom w:val="0"/>
      <w:divBdr>
        <w:top w:val="none" w:sz="0" w:space="0" w:color="auto"/>
        <w:left w:val="none" w:sz="0" w:space="0" w:color="auto"/>
        <w:bottom w:val="none" w:sz="0" w:space="0" w:color="auto"/>
        <w:right w:val="none" w:sz="0" w:space="0" w:color="auto"/>
      </w:divBdr>
    </w:div>
    <w:div w:id="873036987">
      <w:bodyDiv w:val="1"/>
      <w:marLeft w:val="0"/>
      <w:marRight w:val="0"/>
      <w:marTop w:val="0"/>
      <w:marBottom w:val="0"/>
      <w:divBdr>
        <w:top w:val="none" w:sz="0" w:space="0" w:color="auto"/>
        <w:left w:val="none" w:sz="0" w:space="0" w:color="auto"/>
        <w:bottom w:val="none" w:sz="0" w:space="0" w:color="auto"/>
        <w:right w:val="none" w:sz="0" w:space="0" w:color="auto"/>
      </w:divBdr>
    </w:div>
    <w:div w:id="893545697">
      <w:bodyDiv w:val="1"/>
      <w:marLeft w:val="0"/>
      <w:marRight w:val="0"/>
      <w:marTop w:val="0"/>
      <w:marBottom w:val="0"/>
      <w:divBdr>
        <w:top w:val="none" w:sz="0" w:space="0" w:color="auto"/>
        <w:left w:val="none" w:sz="0" w:space="0" w:color="auto"/>
        <w:bottom w:val="none" w:sz="0" w:space="0" w:color="auto"/>
        <w:right w:val="none" w:sz="0" w:space="0" w:color="auto"/>
      </w:divBdr>
    </w:div>
    <w:div w:id="917902413">
      <w:bodyDiv w:val="1"/>
      <w:marLeft w:val="0"/>
      <w:marRight w:val="0"/>
      <w:marTop w:val="0"/>
      <w:marBottom w:val="0"/>
      <w:divBdr>
        <w:top w:val="none" w:sz="0" w:space="0" w:color="auto"/>
        <w:left w:val="none" w:sz="0" w:space="0" w:color="auto"/>
        <w:bottom w:val="none" w:sz="0" w:space="0" w:color="auto"/>
        <w:right w:val="none" w:sz="0" w:space="0" w:color="auto"/>
      </w:divBdr>
    </w:div>
    <w:div w:id="923488895">
      <w:bodyDiv w:val="1"/>
      <w:marLeft w:val="0"/>
      <w:marRight w:val="0"/>
      <w:marTop w:val="0"/>
      <w:marBottom w:val="0"/>
      <w:divBdr>
        <w:top w:val="none" w:sz="0" w:space="0" w:color="auto"/>
        <w:left w:val="none" w:sz="0" w:space="0" w:color="auto"/>
        <w:bottom w:val="none" w:sz="0" w:space="0" w:color="auto"/>
        <w:right w:val="none" w:sz="0" w:space="0" w:color="auto"/>
      </w:divBdr>
    </w:div>
    <w:div w:id="927084538">
      <w:bodyDiv w:val="1"/>
      <w:marLeft w:val="0"/>
      <w:marRight w:val="0"/>
      <w:marTop w:val="0"/>
      <w:marBottom w:val="0"/>
      <w:divBdr>
        <w:top w:val="none" w:sz="0" w:space="0" w:color="auto"/>
        <w:left w:val="none" w:sz="0" w:space="0" w:color="auto"/>
        <w:bottom w:val="none" w:sz="0" w:space="0" w:color="auto"/>
        <w:right w:val="none" w:sz="0" w:space="0" w:color="auto"/>
      </w:divBdr>
      <w:divsChild>
        <w:div w:id="472211270">
          <w:marLeft w:val="0"/>
          <w:marRight w:val="0"/>
          <w:marTop w:val="0"/>
          <w:marBottom w:val="0"/>
          <w:divBdr>
            <w:top w:val="none" w:sz="0" w:space="0" w:color="auto"/>
            <w:left w:val="none" w:sz="0" w:space="0" w:color="auto"/>
            <w:bottom w:val="none" w:sz="0" w:space="0" w:color="auto"/>
            <w:right w:val="none" w:sz="0" w:space="0" w:color="auto"/>
          </w:divBdr>
          <w:divsChild>
            <w:div w:id="122756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726671">
      <w:bodyDiv w:val="1"/>
      <w:marLeft w:val="0"/>
      <w:marRight w:val="0"/>
      <w:marTop w:val="0"/>
      <w:marBottom w:val="0"/>
      <w:divBdr>
        <w:top w:val="none" w:sz="0" w:space="0" w:color="auto"/>
        <w:left w:val="none" w:sz="0" w:space="0" w:color="auto"/>
        <w:bottom w:val="none" w:sz="0" w:space="0" w:color="auto"/>
        <w:right w:val="none" w:sz="0" w:space="0" w:color="auto"/>
      </w:divBdr>
    </w:div>
    <w:div w:id="957565636">
      <w:bodyDiv w:val="1"/>
      <w:marLeft w:val="0"/>
      <w:marRight w:val="0"/>
      <w:marTop w:val="0"/>
      <w:marBottom w:val="0"/>
      <w:divBdr>
        <w:top w:val="none" w:sz="0" w:space="0" w:color="auto"/>
        <w:left w:val="none" w:sz="0" w:space="0" w:color="auto"/>
        <w:bottom w:val="none" w:sz="0" w:space="0" w:color="auto"/>
        <w:right w:val="none" w:sz="0" w:space="0" w:color="auto"/>
      </w:divBdr>
    </w:div>
    <w:div w:id="970600875">
      <w:bodyDiv w:val="1"/>
      <w:marLeft w:val="0"/>
      <w:marRight w:val="0"/>
      <w:marTop w:val="0"/>
      <w:marBottom w:val="0"/>
      <w:divBdr>
        <w:top w:val="none" w:sz="0" w:space="0" w:color="auto"/>
        <w:left w:val="none" w:sz="0" w:space="0" w:color="auto"/>
        <w:bottom w:val="none" w:sz="0" w:space="0" w:color="auto"/>
        <w:right w:val="none" w:sz="0" w:space="0" w:color="auto"/>
      </w:divBdr>
    </w:div>
    <w:div w:id="974796367">
      <w:bodyDiv w:val="1"/>
      <w:marLeft w:val="0"/>
      <w:marRight w:val="0"/>
      <w:marTop w:val="0"/>
      <w:marBottom w:val="0"/>
      <w:divBdr>
        <w:top w:val="none" w:sz="0" w:space="0" w:color="auto"/>
        <w:left w:val="none" w:sz="0" w:space="0" w:color="auto"/>
        <w:bottom w:val="none" w:sz="0" w:space="0" w:color="auto"/>
        <w:right w:val="none" w:sz="0" w:space="0" w:color="auto"/>
      </w:divBdr>
    </w:div>
    <w:div w:id="985932226">
      <w:bodyDiv w:val="1"/>
      <w:marLeft w:val="0"/>
      <w:marRight w:val="0"/>
      <w:marTop w:val="0"/>
      <w:marBottom w:val="0"/>
      <w:divBdr>
        <w:top w:val="none" w:sz="0" w:space="0" w:color="auto"/>
        <w:left w:val="none" w:sz="0" w:space="0" w:color="auto"/>
        <w:bottom w:val="none" w:sz="0" w:space="0" w:color="auto"/>
        <w:right w:val="none" w:sz="0" w:space="0" w:color="auto"/>
      </w:divBdr>
    </w:div>
    <w:div w:id="986667587">
      <w:bodyDiv w:val="1"/>
      <w:marLeft w:val="0"/>
      <w:marRight w:val="0"/>
      <w:marTop w:val="0"/>
      <w:marBottom w:val="0"/>
      <w:divBdr>
        <w:top w:val="none" w:sz="0" w:space="0" w:color="auto"/>
        <w:left w:val="none" w:sz="0" w:space="0" w:color="auto"/>
        <w:bottom w:val="none" w:sz="0" w:space="0" w:color="auto"/>
        <w:right w:val="none" w:sz="0" w:space="0" w:color="auto"/>
      </w:divBdr>
    </w:div>
    <w:div w:id="989406895">
      <w:bodyDiv w:val="1"/>
      <w:marLeft w:val="0"/>
      <w:marRight w:val="0"/>
      <w:marTop w:val="0"/>
      <w:marBottom w:val="0"/>
      <w:divBdr>
        <w:top w:val="none" w:sz="0" w:space="0" w:color="auto"/>
        <w:left w:val="none" w:sz="0" w:space="0" w:color="auto"/>
        <w:bottom w:val="none" w:sz="0" w:space="0" w:color="auto"/>
        <w:right w:val="none" w:sz="0" w:space="0" w:color="auto"/>
      </w:divBdr>
    </w:div>
    <w:div w:id="993919574">
      <w:bodyDiv w:val="1"/>
      <w:marLeft w:val="0"/>
      <w:marRight w:val="0"/>
      <w:marTop w:val="0"/>
      <w:marBottom w:val="0"/>
      <w:divBdr>
        <w:top w:val="none" w:sz="0" w:space="0" w:color="auto"/>
        <w:left w:val="none" w:sz="0" w:space="0" w:color="auto"/>
        <w:bottom w:val="none" w:sz="0" w:space="0" w:color="auto"/>
        <w:right w:val="none" w:sz="0" w:space="0" w:color="auto"/>
      </w:divBdr>
    </w:div>
    <w:div w:id="1004405683">
      <w:bodyDiv w:val="1"/>
      <w:marLeft w:val="0"/>
      <w:marRight w:val="0"/>
      <w:marTop w:val="0"/>
      <w:marBottom w:val="0"/>
      <w:divBdr>
        <w:top w:val="none" w:sz="0" w:space="0" w:color="auto"/>
        <w:left w:val="none" w:sz="0" w:space="0" w:color="auto"/>
        <w:bottom w:val="none" w:sz="0" w:space="0" w:color="auto"/>
        <w:right w:val="none" w:sz="0" w:space="0" w:color="auto"/>
      </w:divBdr>
    </w:div>
    <w:div w:id="1006443702">
      <w:bodyDiv w:val="1"/>
      <w:marLeft w:val="0"/>
      <w:marRight w:val="0"/>
      <w:marTop w:val="0"/>
      <w:marBottom w:val="0"/>
      <w:divBdr>
        <w:top w:val="none" w:sz="0" w:space="0" w:color="auto"/>
        <w:left w:val="none" w:sz="0" w:space="0" w:color="auto"/>
        <w:bottom w:val="none" w:sz="0" w:space="0" w:color="auto"/>
        <w:right w:val="none" w:sz="0" w:space="0" w:color="auto"/>
      </w:divBdr>
    </w:div>
    <w:div w:id="1013074832">
      <w:bodyDiv w:val="1"/>
      <w:marLeft w:val="390"/>
      <w:marRight w:val="390"/>
      <w:marTop w:val="0"/>
      <w:marBottom w:val="0"/>
      <w:divBdr>
        <w:top w:val="none" w:sz="0" w:space="0" w:color="auto"/>
        <w:left w:val="none" w:sz="0" w:space="0" w:color="auto"/>
        <w:bottom w:val="none" w:sz="0" w:space="0" w:color="auto"/>
        <w:right w:val="none" w:sz="0" w:space="0" w:color="auto"/>
      </w:divBdr>
      <w:divsChild>
        <w:div w:id="1820880268">
          <w:marLeft w:val="0"/>
          <w:marRight w:val="0"/>
          <w:marTop w:val="0"/>
          <w:marBottom w:val="0"/>
          <w:divBdr>
            <w:top w:val="none" w:sz="0" w:space="0" w:color="auto"/>
            <w:left w:val="none" w:sz="0" w:space="0" w:color="auto"/>
            <w:bottom w:val="none" w:sz="0" w:space="0" w:color="auto"/>
            <w:right w:val="none" w:sz="0" w:space="0" w:color="auto"/>
          </w:divBdr>
          <w:divsChild>
            <w:div w:id="45422069">
              <w:marLeft w:val="0"/>
              <w:marRight w:val="0"/>
              <w:marTop w:val="0"/>
              <w:marBottom w:val="0"/>
              <w:divBdr>
                <w:top w:val="none" w:sz="0" w:space="0" w:color="auto"/>
                <w:left w:val="none" w:sz="0" w:space="0" w:color="auto"/>
                <w:bottom w:val="none" w:sz="0" w:space="0" w:color="auto"/>
                <w:right w:val="none" w:sz="0" w:space="0" w:color="auto"/>
              </w:divBdr>
              <w:divsChild>
                <w:div w:id="1649507206">
                  <w:marLeft w:val="-225"/>
                  <w:marRight w:val="-225"/>
                  <w:marTop w:val="0"/>
                  <w:marBottom w:val="0"/>
                  <w:divBdr>
                    <w:top w:val="none" w:sz="0" w:space="0" w:color="auto"/>
                    <w:left w:val="none" w:sz="0" w:space="0" w:color="auto"/>
                    <w:bottom w:val="none" w:sz="0" w:space="0" w:color="auto"/>
                    <w:right w:val="none" w:sz="0" w:space="0" w:color="auto"/>
                  </w:divBdr>
                  <w:divsChild>
                    <w:div w:id="678655721">
                      <w:marLeft w:val="0"/>
                      <w:marRight w:val="0"/>
                      <w:marTop w:val="0"/>
                      <w:marBottom w:val="0"/>
                      <w:divBdr>
                        <w:top w:val="none" w:sz="0" w:space="0" w:color="auto"/>
                        <w:left w:val="none" w:sz="0" w:space="0" w:color="auto"/>
                        <w:bottom w:val="none" w:sz="0" w:space="0" w:color="auto"/>
                        <w:right w:val="none" w:sz="0" w:space="0" w:color="auto"/>
                      </w:divBdr>
                      <w:divsChild>
                        <w:div w:id="150890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0426737">
      <w:bodyDiv w:val="1"/>
      <w:marLeft w:val="0"/>
      <w:marRight w:val="0"/>
      <w:marTop w:val="0"/>
      <w:marBottom w:val="0"/>
      <w:divBdr>
        <w:top w:val="none" w:sz="0" w:space="0" w:color="auto"/>
        <w:left w:val="none" w:sz="0" w:space="0" w:color="auto"/>
        <w:bottom w:val="none" w:sz="0" w:space="0" w:color="auto"/>
        <w:right w:val="none" w:sz="0" w:space="0" w:color="auto"/>
      </w:divBdr>
    </w:div>
    <w:div w:id="1023820556">
      <w:bodyDiv w:val="1"/>
      <w:marLeft w:val="0"/>
      <w:marRight w:val="0"/>
      <w:marTop w:val="0"/>
      <w:marBottom w:val="0"/>
      <w:divBdr>
        <w:top w:val="none" w:sz="0" w:space="0" w:color="auto"/>
        <w:left w:val="none" w:sz="0" w:space="0" w:color="auto"/>
        <w:bottom w:val="none" w:sz="0" w:space="0" w:color="auto"/>
        <w:right w:val="none" w:sz="0" w:space="0" w:color="auto"/>
      </w:divBdr>
    </w:div>
    <w:div w:id="1028985683">
      <w:bodyDiv w:val="1"/>
      <w:marLeft w:val="0"/>
      <w:marRight w:val="0"/>
      <w:marTop w:val="0"/>
      <w:marBottom w:val="0"/>
      <w:divBdr>
        <w:top w:val="none" w:sz="0" w:space="0" w:color="auto"/>
        <w:left w:val="none" w:sz="0" w:space="0" w:color="auto"/>
        <w:bottom w:val="none" w:sz="0" w:space="0" w:color="auto"/>
        <w:right w:val="none" w:sz="0" w:space="0" w:color="auto"/>
      </w:divBdr>
    </w:div>
    <w:div w:id="1029794684">
      <w:bodyDiv w:val="1"/>
      <w:marLeft w:val="390"/>
      <w:marRight w:val="390"/>
      <w:marTop w:val="0"/>
      <w:marBottom w:val="0"/>
      <w:divBdr>
        <w:top w:val="none" w:sz="0" w:space="0" w:color="auto"/>
        <w:left w:val="none" w:sz="0" w:space="0" w:color="auto"/>
        <w:bottom w:val="none" w:sz="0" w:space="0" w:color="auto"/>
        <w:right w:val="none" w:sz="0" w:space="0" w:color="auto"/>
      </w:divBdr>
      <w:divsChild>
        <w:div w:id="757680408">
          <w:marLeft w:val="0"/>
          <w:marRight w:val="0"/>
          <w:marTop w:val="0"/>
          <w:marBottom w:val="0"/>
          <w:divBdr>
            <w:top w:val="none" w:sz="0" w:space="0" w:color="auto"/>
            <w:left w:val="none" w:sz="0" w:space="0" w:color="auto"/>
            <w:bottom w:val="none" w:sz="0" w:space="0" w:color="auto"/>
            <w:right w:val="none" w:sz="0" w:space="0" w:color="auto"/>
          </w:divBdr>
          <w:divsChild>
            <w:div w:id="935089039">
              <w:marLeft w:val="0"/>
              <w:marRight w:val="0"/>
              <w:marTop w:val="0"/>
              <w:marBottom w:val="0"/>
              <w:divBdr>
                <w:top w:val="none" w:sz="0" w:space="0" w:color="auto"/>
                <w:left w:val="none" w:sz="0" w:space="0" w:color="auto"/>
                <w:bottom w:val="none" w:sz="0" w:space="0" w:color="auto"/>
                <w:right w:val="none" w:sz="0" w:space="0" w:color="auto"/>
              </w:divBdr>
              <w:divsChild>
                <w:div w:id="170681953">
                  <w:marLeft w:val="-225"/>
                  <w:marRight w:val="-225"/>
                  <w:marTop w:val="0"/>
                  <w:marBottom w:val="0"/>
                  <w:divBdr>
                    <w:top w:val="none" w:sz="0" w:space="0" w:color="auto"/>
                    <w:left w:val="none" w:sz="0" w:space="0" w:color="auto"/>
                    <w:bottom w:val="none" w:sz="0" w:space="0" w:color="auto"/>
                    <w:right w:val="none" w:sz="0" w:space="0" w:color="auto"/>
                  </w:divBdr>
                  <w:divsChild>
                    <w:div w:id="1637055981">
                      <w:marLeft w:val="0"/>
                      <w:marRight w:val="0"/>
                      <w:marTop w:val="0"/>
                      <w:marBottom w:val="0"/>
                      <w:divBdr>
                        <w:top w:val="none" w:sz="0" w:space="0" w:color="auto"/>
                        <w:left w:val="none" w:sz="0" w:space="0" w:color="auto"/>
                        <w:bottom w:val="none" w:sz="0" w:space="0" w:color="auto"/>
                        <w:right w:val="none" w:sz="0" w:space="0" w:color="auto"/>
                      </w:divBdr>
                      <w:divsChild>
                        <w:div w:id="202794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8507096">
      <w:bodyDiv w:val="1"/>
      <w:marLeft w:val="0"/>
      <w:marRight w:val="0"/>
      <w:marTop w:val="0"/>
      <w:marBottom w:val="0"/>
      <w:divBdr>
        <w:top w:val="none" w:sz="0" w:space="0" w:color="auto"/>
        <w:left w:val="none" w:sz="0" w:space="0" w:color="auto"/>
        <w:bottom w:val="none" w:sz="0" w:space="0" w:color="auto"/>
        <w:right w:val="none" w:sz="0" w:space="0" w:color="auto"/>
      </w:divBdr>
    </w:div>
    <w:div w:id="1042560781">
      <w:bodyDiv w:val="1"/>
      <w:marLeft w:val="0"/>
      <w:marRight w:val="0"/>
      <w:marTop w:val="0"/>
      <w:marBottom w:val="0"/>
      <w:divBdr>
        <w:top w:val="none" w:sz="0" w:space="0" w:color="auto"/>
        <w:left w:val="none" w:sz="0" w:space="0" w:color="auto"/>
        <w:bottom w:val="none" w:sz="0" w:space="0" w:color="auto"/>
        <w:right w:val="none" w:sz="0" w:space="0" w:color="auto"/>
      </w:divBdr>
    </w:div>
    <w:div w:id="1043481611">
      <w:bodyDiv w:val="1"/>
      <w:marLeft w:val="0"/>
      <w:marRight w:val="0"/>
      <w:marTop w:val="0"/>
      <w:marBottom w:val="0"/>
      <w:divBdr>
        <w:top w:val="none" w:sz="0" w:space="0" w:color="auto"/>
        <w:left w:val="none" w:sz="0" w:space="0" w:color="auto"/>
        <w:bottom w:val="none" w:sz="0" w:space="0" w:color="auto"/>
        <w:right w:val="none" w:sz="0" w:space="0" w:color="auto"/>
      </w:divBdr>
    </w:div>
    <w:div w:id="1045133216">
      <w:bodyDiv w:val="1"/>
      <w:marLeft w:val="0"/>
      <w:marRight w:val="0"/>
      <w:marTop w:val="0"/>
      <w:marBottom w:val="0"/>
      <w:divBdr>
        <w:top w:val="none" w:sz="0" w:space="0" w:color="auto"/>
        <w:left w:val="none" w:sz="0" w:space="0" w:color="auto"/>
        <w:bottom w:val="none" w:sz="0" w:space="0" w:color="auto"/>
        <w:right w:val="none" w:sz="0" w:space="0" w:color="auto"/>
      </w:divBdr>
    </w:div>
    <w:div w:id="1050498463">
      <w:bodyDiv w:val="1"/>
      <w:marLeft w:val="0"/>
      <w:marRight w:val="0"/>
      <w:marTop w:val="0"/>
      <w:marBottom w:val="0"/>
      <w:divBdr>
        <w:top w:val="none" w:sz="0" w:space="0" w:color="auto"/>
        <w:left w:val="none" w:sz="0" w:space="0" w:color="auto"/>
        <w:bottom w:val="none" w:sz="0" w:space="0" w:color="auto"/>
        <w:right w:val="none" w:sz="0" w:space="0" w:color="auto"/>
      </w:divBdr>
    </w:div>
    <w:div w:id="1066025506">
      <w:bodyDiv w:val="1"/>
      <w:marLeft w:val="0"/>
      <w:marRight w:val="0"/>
      <w:marTop w:val="0"/>
      <w:marBottom w:val="0"/>
      <w:divBdr>
        <w:top w:val="none" w:sz="0" w:space="0" w:color="auto"/>
        <w:left w:val="none" w:sz="0" w:space="0" w:color="auto"/>
        <w:bottom w:val="none" w:sz="0" w:space="0" w:color="auto"/>
        <w:right w:val="none" w:sz="0" w:space="0" w:color="auto"/>
      </w:divBdr>
      <w:divsChild>
        <w:div w:id="1050881429">
          <w:marLeft w:val="0"/>
          <w:marRight w:val="0"/>
          <w:marTop w:val="150"/>
          <w:marBottom w:val="0"/>
          <w:divBdr>
            <w:top w:val="single" w:sz="6" w:space="0" w:color="FFFFFF"/>
            <w:left w:val="single" w:sz="6" w:space="0" w:color="FFFFFF"/>
            <w:bottom w:val="single" w:sz="6" w:space="0" w:color="FFFFFF"/>
            <w:right w:val="single" w:sz="6" w:space="0" w:color="FFFFFF"/>
          </w:divBdr>
        </w:div>
      </w:divsChild>
    </w:div>
    <w:div w:id="1070688518">
      <w:bodyDiv w:val="1"/>
      <w:marLeft w:val="0"/>
      <w:marRight w:val="0"/>
      <w:marTop w:val="0"/>
      <w:marBottom w:val="0"/>
      <w:divBdr>
        <w:top w:val="none" w:sz="0" w:space="0" w:color="auto"/>
        <w:left w:val="none" w:sz="0" w:space="0" w:color="auto"/>
        <w:bottom w:val="none" w:sz="0" w:space="0" w:color="auto"/>
        <w:right w:val="none" w:sz="0" w:space="0" w:color="auto"/>
      </w:divBdr>
    </w:div>
    <w:div w:id="1072315996">
      <w:bodyDiv w:val="1"/>
      <w:marLeft w:val="0"/>
      <w:marRight w:val="0"/>
      <w:marTop w:val="0"/>
      <w:marBottom w:val="0"/>
      <w:divBdr>
        <w:top w:val="none" w:sz="0" w:space="0" w:color="auto"/>
        <w:left w:val="none" w:sz="0" w:space="0" w:color="auto"/>
        <w:bottom w:val="none" w:sz="0" w:space="0" w:color="auto"/>
        <w:right w:val="none" w:sz="0" w:space="0" w:color="auto"/>
      </w:divBdr>
    </w:div>
    <w:div w:id="1072854801">
      <w:bodyDiv w:val="1"/>
      <w:marLeft w:val="0"/>
      <w:marRight w:val="0"/>
      <w:marTop w:val="0"/>
      <w:marBottom w:val="0"/>
      <w:divBdr>
        <w:top w:val="none" w:sz="0" w:space="0" w:color="auto"/>
        <w:left w:val="none" w:sz="0" w:space="0" w:color="auto"/>
        <w:bottom w:val="none" w:sz="0" w:space="0" w:color="auto"/>
        <w:right w:val="none" w:sz="0" w:space="0" w:color="auto"/>
      </w:divBdr>
    </w:div>
    <w:div w:id="1073088463">
      <w:bodyDiv w:val="1"/>
      <w:marLeft w:val="0"/>
      <w:marRight w:val="0"/>
      <w:marTop w:val="0"/>
      <w:marBottom w:val="0"/>
      <w:divBdr>
        <w:top w:val="none" w:sz="0" w:space="0" w:color="auto"/>
        <w:left w:val="none" w:sz="0" w:space="0" w:color="auto"/>
        <w:bottom w:val="none" w:sz="0" w:space="0" w:color="auto"/>
        <w:right w:val="none" w:sz="0" w:space="0" w:color="auto"/>
      </w:divBdr>
    </w:div>
    <w:div w:id="1076129092">
      <w:bodyDiv w:val="1"/>
      <w:marLeft w:val="0"/>
      <w:marRight w:val="0"/>
      <w:marTop w:val="0"/>
      <w:marBottom w:val="0"/>
      <w:divBdr>
        <w:top w:val="none" w:sz="0" w:space="0" w:color="auto"/>
        <w:left w:val="none" w:sz="0" w:space="0" w:color="auto"/>
        <w:bottom w:val="none" w:sz="0" w:space="0" w:color="auto"/>
        <w:right w:val="none" w:sz="0" w:space="0" w:color="auto"/>
      </w:divBdr>
    </w:div>
    <w:div w:id="1083645751">
      <w:bodyDiv w:val="1"/>
      <w:marLeft w:val="0"/>
      <w:marRight w:val="0"/>
      <w:marTop w:val="0"/>
      <w:marBottom w:val="0"/>
      <w:divBdr>
        <w:top w:val="none" w:sz="0" w:space="0" w:color="auto"/>
        <w:left w:val="none" w:sz="0" w:space="0" w:color="auto"/>
        <w:bottom w:val="none" w:sz="0" w:space="0" w:color="auto"/>
        <w:right w:val="none" w:sz="0" w:space="0" w:color="auto"/>
      </w:divBdr>
      <w:divsChild>
        <w:div w:id="124394243">
          <w:marLeft w:val="0"/>
          <w:marRight w:val="0"/>
          <w:marTop w:val="0"/>
          <w:marBottom w:val="0"/>
          <w:divBdr>
            <w:top w:val="none" w:sz="0" w:space="0" w:color="auto"/>
            <w:left w:val="none" w:sz="0" w:space="0" w:color="auto"/>
            <w:bottom w:val="none" w:sz="0" w:space="0" w:color="auto"/>
            <w:right w:val="none" w:sz="0" w:space="0" w:color="auto"/>
          </w:divBdr>
          <w:divsChild>
            <w:div w:id="47915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856496">
      <w:bodyDiv w:val="1"/>
      <w:marLeft w:val="0"/>
      <w:marRight w:val="0"/>
      <w:marTop w:val="0"/>
      <w:marBottom w:val="0"/>
      <w:divBdr>
        <w:top w:val="none" w:sz="0" w:space="0" w:color="auto"/>
        <w:left w:val="none" w:sz="0" w:space="0" w:color="auto"/>
        <w:bottom w:val="none" w:sz="0" w:space="0" w:color="auto"/>
        <w:right w:val="none" w:sz="0" w:space="0" w:color="auto"/>
      </w:divBdr>
    </w:div>
    <w:div w:id="1101753661">
      <w:bodyDiv w:val="1"/>
      <w:marLeft w:val="0"/>
      <w:marRight w:val="0"/>
      <w:marTop w:val="0"/>
      <w:marBottom w:val="0"/>
      <w:divBdr>
        <w:top w:val="none" w:sz="0" w:space="0" w:color="auto"/>
        <w:left w:val="none" w:sz="0" w:space="0" w:color="auto"/>
        <w:bottom w:val="none" w:sz="0" w:space="0" w:color="auto"/>
        <w:right w:val="none" w:sz="0" w:space="0" w:color="auto"/>
      </w:divBdr>
    </w:div>
    <w:div w:id="1117991678">
      <w:bodyDiv w:val="1"/>
      <w:marLeft w:val="0"/>
      <w:marRight w:val="0"/>
      <w:marTop w:val="0"/>
      <w:marBottom w:val="0"/>
      <w:divBdr>
        <w:top w:val="none" w:sz="0" w:space="0" w:color="auto"/>
        <w:left w:val="none" w:sz="0" w:space="0" w:color="auto"/>
        <w:bottom w:val="none" w:sz="0" w:space="0" w:color="auto"/>
        <w:right w:val="none" w:sz="0" w:space="0" w:color="auto"/>
      </w:divBdr>
    </w:div>
    <w:div w:id="1122308769">
      <w:bodyDiv w:val="1"/>
      <w:marLeft w:val="0"/>
      <w:marRight w:val="0"/>
      <w:marTop w:val="0"/>
      <w:marBottom w:val="0"/>
      <w:divBdr>
        <w:top w:val="none" w:sz="0" w:space="0" w:color="auto"/>
        <w:left w:val="none" w:sz="0" w:space="0" w:color="auto"/>
        <w:bottom w:val="none" w:sz="0" w:space="0" w:color="auto"/>
        <w:right w:val="none" w:sz="0" w:space="0" w:color="auto"/>
      </w:divBdr>
    </w:div>
    <w:div w:id="1122455435">
      <w:bodyDiv w:val="1"/>
      <w:marLeft w:val="0"/>
      <w:marRight w:val="0"/>
      <w:marTop w:val="0"/>
      <w:marBottom w:val="0"/>
      <w:divBdr>
        <w:top w:val="none" w:sz="0" w:space="0" w:color="auto"/>
        <w:left w:val="none" w:sz="0" w:space="0" w:color="auto"/>
        <w:bottom w:val="none" w:sz="0" w:space="0" w:color="auto"/>
        <w:right w:val="none" w:sz="0" w:space="0" w:color="auto"/>
      </w:divBdr>
    </w:div>
    <w:div w:id="1123694325">
      <w:bodyDiv w:val="1"/>
      <w:marLeft w:val="0"/>
      <w:marRight w:val="0"/>
      <w:marTop w:val="0"/>
      <w:marBottom w:val="0"/>
      <w:divBdr>
        <w:top w:val="none" w:sz="0" w:space="0" w:color="auto"/>
        <w:left w:val="none" w:sz="0" w:space="0" w:color="auto"/>
        <w:bottom w:val="none" w:sz="0" w:space="0" w:color="auto"/>
        <w:right w:val="none" w:sz="0" w:space="0" w:color="auto"/>
      </w:divBdr>
    </w:div>
    <w:div w:id="1136290758">
      <w:bodyDiv w:val="1"/>
      <w:marLeft w:val="0"/>
      <w:marRight w:val="0"/>
      <w:marTop w:val="0"/>
      <w:marBottom w:val="0"/>
      <w:divBdr>
        <w:top w:val="none" w:sz="0" w:space="0" w:color="auto"/>
        <w:left w:val="none" w:sz="0" w:space="0" w:color="auto"/>
        <w:bottom w:val="none" w:sz="0" w:space="0" w:color="auto"/>
        <w:right w:val="none" w:sz="0" w:space="0" w:color="auto"/>
      </w:divBdr>
    </w:div>
    <w:div w:id="1150052610">
      <w:bodyDiv w:val="1"/>
      <w:marLeft w:val="0"/>
      <w:marRight w:val="0"/>
      <w:marTop w:val="0"/>
      <w:marBottom w:val="0"/>
      <w:divBdr>
        <w:top w:val="none" w:sz="0" w:space="0" w:color="auto"/>
        <w:left w:val="none" w:sz="0" w:space="0" w:color="auto"/>
        <w:bottom w:val="none" w:sz="0" w:space="0" w:color="auto"/>
        <w:right w:val="none" w:sz="0" w:space="0" w:color="auto"/>
      </w:divBdr>
    </w:div>
    <w:div w:id="1153834277">
      <w:bodyDiv w:val="1"/>
      <w:marLeft w:val="0"/>
      <w:marRight w:val="0"/>
      <w:marTop w:val="0"/>
      <w:marBottom w:val="0"/>
      <w:divBdr>
        <w:top w:val="none" w:sz="0" w:space="0" w:color="auto"/>
        <w:left w:val="none" w:sz="0" w:space="0" w:color="auto"/>
        <w:bottom w:val="none" w:sz="0" w:space="0" w:color="auto"/>
        <w:right w:val="none" w:sz="0" w:space="0" w:color="auto"/>
      </w:divBdr>
    </w:div>
    <w:div w:id="1158157569">
      <w:bodyDiv w:val="1"/>
      <w:marLeft w:val="0"/>
      <w:marRight w:val="0"/>
      <w:marTop w:val="0"/>
      <w:marBottom w:val="0"/>
      <w:divBdr>
        <w:top w:val="none" w:sz="0" w:space="0" w:color="auto"/>
        <w:left w:val="none" w:sz="0" w:space="0" w:color="auto"/>
        <w:bottom w:val="none" w:sz="0" w:space="0" w:color="auto"/>
        <w:right w:val="none" w:sz="0" w:space="0" w:color="auto"/>
      </w:divBdr>
    </w:div>
    <w:div w:id="1158570098">
      <w:bodyDiv w:val="1"/>
      <w:marLeft w:val="0"/>
      <w:marRight w:val="0"/>
      <w:marTop w:val="0"/>
      <w:marBottom w:val="0"/>
      <w:divBdr>
        <w:top w:val="none" w:sz="0" w:space="0" w:color="auto"/>
        <w:left w:val="none" w:sz="0" w:space="0" w:color="auto"/>
        <w:bottom w:val="none" w:sz="0" w:space="0" w:color="auto"/>
        <w:right w:val="none" w:sz="0" w:space="0" w:color="auto"/>
      </w:divBdr>
    </w:div>
    <w:div w:id="1174995891">
      <w:bodyDiv w:val="1"/>
      <w:marLeft w:val="0"/>
      <w:marRight w:val="0"/>
      <w:marTop w:val="0"/>
      <w:marBottom w:val="0"/>
      <w:divBdr>
        <w:top w:val="none" w:sz="0" w:space="0" w:color="auto"/>
        <w:left w:val="none" w:sz="0" w:space="0" w:color="auto"/>
        <w:bottom w:val="none" w:sz="0" w:space="0" w:color="auto"/>
        <w:right w:val="none" w:sz="0" w:space="0" w:color="auto"/>
      </w:divBdr>
    </w:div>
    <w:div w:id="1183470684">
      <w:bodyDiv w:val="1"/>
      <w:marLeft w:val="0"/>
      <w:marRight w:val="0"/>
      <w:marTop w:val="0"/>
      <w:marBottom w:val="0"/>
      <w:divBdr>
        <w:top w:val="none" w:sz="0" w:space="0" w:color="auto"/>
        <w:left w:val="none" w:sz="0" w:space="0" w:color="auto"/>
        <w:bottom w:val="none" w:sz="0" w:space="0" w:color="auto"/>
        <w:right w:val="none" w:sz="0" w:space="0" w:color="auto"/>
      </w:divBdr>
    </w:div>
    <w:div w:id="1187057176">
      <w:bodyDiv w:val="1"/>
      <w:marLeft w:val="0"/>
      <w:marRight w:val="0"/>
      <w:marTop w:val="0"/>
      <w:marBottom w:val="0"/>
      <w:divBdr>
        <w:top w:val="none" w:sz="0" w:space="0" w:color="auto"/>
        <w:left w:val="none" w:sz="0" w:space="0" w:color="auto"/>
        <w:bottom w:val="none" w:sz="0" w:space="0" w:color="auto"/>
        <w:right w:val="none" w:sz="0" w:space="0" w:color="auto"/>
      </w:divBdr>
    </w:div>
    <w:div w:id="1190415672">
      <w:bodyDiv w:val="1"/>
      <w:marLeft w:val="0"/>
      <w:marRight w:val="0"/>
      <w:marTop w:val="0"/>
      <w:marBottom w:val="0"/>
      <w:divBdr>
        <w:top w:val="none" w:sz="0" w:space="0" w:color="auto"/>
        <w:left w:val="none" w:sz="0" w:space="0" w:color="auto"/>
        <w:bottom w:val="none" w:sz="0" w:space="0" w:color="auto"/>
        <w:right w:val="none" w:sz="0" w:space="0" w:color="auto"/>
      </w:divBdr>
    </w:div>
    <w:div w:id="1191458138">
      <w:bodyDiv w:val="1"/>
      <w:marLeft w:val="0"/>
      <w:marRight w:val="0"/>
      <w:marTop w:val="0"/>
      <w:marBottom w:val="0"/>
      <w:divBdr>
        <w:top w:val="none" w:sz="0" w:space="0" w:color="auto"/>
        <w:left w:val="none" w:sz="0" w:space="0" w:color="auto"/>
        <w:bottom w:val="none" w:sz="0" w:space="0" w:color="auto"/>
        <w:right w:val="none" w:sz="0" w:space="0" w:color="auto"/>
      </w:divBdr>
    </w:div>
    <w:div w:id="1192456422">
      <w:bodyDiv w:val="1"/>
      <w:marLeft w:val="0"/>
      <w:marRight w:val="0"/>
      <w:marTop w:val="0"/>
      <w:marBottom w:val="0"/>
      <w:divBdr>
        <w:top w:val="none" w:sz="0" w:space="0" w:color="auto"/>
        <w:left w:val="none" w:sz="0" w:space="0" w:color="auto"/>
        <w:bottom w:val="none" w:sz="0" w:space="0" w:color="auto"/>
        <w:right w:val="none" w:sz="0" w:space="0" w:color="auto"/>
      </w:divBdr>
    </w:div>
    <w:div w:id="1199465169">
      <w:bodyDiv w:val="1"/>
      <w:marLeft w:val="0"/>
      <w:marRight w:val="0"/>
      <w:marTop w:val="0"/>
      <w:marBottom w:val="0"/>
      <w:divBdr>
        <w:top w:val="none" w:sz="0" w:space="0" w:color="auto"/>
        <w:left w:val="none" w:sz="0" w:space="0" w:color="auto"/>
        <w:bottom w:val="none" w:sz="0" w:space="0" w:color="auto"/>
        <w:right w:val="none" w:sz="0" w:space="0" w:color="auto"/>
      </w:divBdr>
    </w:div>
    <w:div w:id="1202590739">
      <w:bodyDiv w:val="1"/>
      <w:marLeft w:val="0"/>
      <w:marRight w:val="0"/>
      <w:marTop w:val="0"/>
      <w:marBottom w:val="0"/>
      <w:divBdr>
        <w:top w:val="none" w:sz="0" w:space="0" w:color="auto"/>
        <w:left w:val="none" w:sz="0" w:space="0" w:color="auto"/>
        <w:bottom w:val="none" w:sz="0" w:space="0" w:color="auto"/>
        <w:right w:val="none" w:sz="0" w:space="0" w:color="auto"/>
      </w:divBdr>
    </w:div>
    <w:div w:id="1224632928">
      <w:bodyDiv w:val="1"/>
      <w:marLeft w:val="0"/>
      <w:marRight w:val="0"/>
      <w:marTop w:val="0"/>
      <w:marBottom w:val="0"/>
      <w:divBdr>
        <w:top w:val="none" w:sz="0" w:space="0" w:color="auto"/>
        <w:left w:val="none" w:sz="0" w:space="0" w:color="auto"/>
        <w:bottom w:val="none" w:sz="0" w:space="0" w:color="auto"/>
        <w:right w:val="none" w:sz="0" w:space="0" w:color="auto"/>
      </w:divBdr>
    </w:div>
    <w:div w:id="1235318555">
      <w:bodyDiv w:val="1"/>
      <w:marLeft w:val="0"/>
      <w:marRight w:val="0"/>
      <w:marTop w:val="0"/>
      <w:marBottom w:val="0"/>
      <w:divBdr>
        <w:top w:val="none" w:sz="0" w:space="0" w:color="auto"/>
        <w:left w:val="none" w:sz="0" w:space="0" w:color="auto"/>
        <w:bottom w:val="none" w:sz="0" w:space="0" w:color="auto"/>
        <w:right w:val="none" w:sz="0" w:space="0" w:color="auto"/>
      </w:divBdr>
    </w:div>
    <w:div w:id="1236627441">
      <w:bodyDiv w:val="1"/>
      <w:marLeft w:val="0"/>
      <w:marRight w:val="0"/>
      <w:marTop w:val="0"/>
      <w:marBottom w:val="0"/>
      <w:divBdr>
        <w:top w:val="none" w:sz="0" w:space="0" w:color="auto"/>
        <w:left w:val="none" w:sz="0" w:space="0" w:color="auto"/>
        <w:bottom w:val="none" w:sz="0" w:space="0" w:color="auto"/>
        <w:right w:val="none" w:sz="0" w:space="0" w:color="auto"/>
      </w:divBdr>
    </w:div>
    <w:div w:id="1244027352">
      <w:bodyDiv w:val="1"/>
      <w:marLeft w:val="0"/>
      <w:marRight w:val="0"/>
      <w:marTop w:val="0"/>
      <w:marBottom w:val="0"/>
      <w:divBdr>
        <w:top w:val="none" w:sz="0" w:space="0" w:color="auto"/>
        <w:left w:val="none" w:sz="0" w:space="0" w:color="auto"/>
        <w:bottom w:val="none" w:sz="0" w:space="0" w:color="auto"/>
        <w:right w:val="none" w:sz="0" w:space="0" w:color="auto"/>
      </w:divBdr>
    </w:div>
    <w:div w:id="1256011522">
      <w:bodyDiv w:val="1"/>
      <w:marLeft w:val="0"/>
      <w:marRight w:val="0"/>
      <w:marTop w:val="0"/>
      <w:marBottom w:val="0"/>
      <w:divBdr>
        <w:top w:val="none" w:sz="0" w:space="0" w:color="auto"/>
        <w:left w:val="none" w:sz="0" w:space="0" w:color="auto"/>
        <w:bottom w:val="none" w:sz="0" w:space="0" w:color="auto"/>
        <w:right w:val="none" w:sz="0" w:space="0" w:color="auto"/>
      </w:divBdr>
    </w:div>
    <w:div w:id="1259487542">
      <w:bodyDiv w:val="1"/>
      <w:marLeft w:val="0"/>
      <w:marRight w:val="0"/>
      <w:marTop w:val="0"/>
      <w:marBottom w:val="0"/>
      <w:divBdr>
        <w:top w:val="none" w:sz="0" w:space="0" w:color="auto"/>
        <w:left w:val="none" w:sz="0" w:space="0" w:color="auto"/>
        <w:bottom w:val="none" w:sz="0" w:space="0" w:color="auto"/>
        <w:right w:val="none" w:sz="0" w:space="0" w:color="auto"/>
      </w:divBdr>
    </w:div>
    <w:div w:id="1277057334">
      <w:bodyDiv w:val="1"/>
      <w:marLeft w:val="0"/>
      <w:marRight w:val="0"/>
      <w:marTop w:val="0"/>
      <w:marBottom w:val="0"/>
      <w:divBdr>
        <w:top w:val="none" w:sz="0" w:space="0" w:color="auto"/>
        <w:left w:val="none" w:sz="0" w:space="0" w:color="auto"/>
        <w:bottom w:val="none" w:sz="0" w:space="0" w:color="auto"/>
        <w:right w:val="none" w:sz="0" w:space="0" w:color="auto"/>
      </w:divBdr>
    </w:div>
    <w:div w:id="1283881340">
      <w:bodyDiv w:val="1"/>
      <w:marLeft w:val="0"/>
      <w:marRight w:val="0"/>
      <w:marTop w:val="0"/>
      <w:marBottom w:val="0"/>
      <w:divBdr>
        <w:top w:val="none" w:sz="0" w:space="0" w:color="auto"/>
        <w:left w:val="none" w:sz="0" w:space="0" w:color="auto"/>
        <w:bottom w:val="none" w:sz="0" w:space="0" w:color="auto"/>
        <w:right w:val="none" w:sz="0" w:space="0" w:color="auto"/>
      </w:divBdr>
    </w:div>
    <w:div w:id="1292243555">
      <w:bodyDiv w:val="1"/>
      <w:marLeft w:val="0"/>
      <w:marRight w:val="0"/>
      <w:marTop w:val="0"/>
      <w:marBottom w:val="0"/>
      <w:divBdr>
        <w:top w:val="none" w:sz="0" w:space="0" w:color="auto"/>
        <w:left w:val="none" w:sz="0" w:space="0" w:color="auto"/>
        <w:bottom w:val="none" w:sz="0" w:space="0" w:color="auto"/>
        <w:right w:val="none" w:sz="0" w:space="0" w:color="auto"/>
      </w:divBdr>
    </w:div>
    <w:div w:id="1297292379">
      <w:bodyDiv w:val="1"/>
      <w:marLeft w:val="0"/>
      <w:marRight w:val="0"/>
      <w:marTop w:val="0"/>
      <w:marBottom w:val="0"/>
      <w:divBdr>
        <w:top w:val="none" w:sz="0" w:space="0" w:color="auto"/>
        <w:left w:val="none" w:sz="0" w:space="0" w:color="auto"/>
        <w:bottom w:val="none" w:sz="0" w:space="0" w:color="auto"/>
        <w:right w:val="none" w:sz="0" w:space="0" w:color="auto"/>
      </w:divBdr>
    </w:div>
    <w:div w:id="1308902258">
      <w:bodyDiv w:val="1"/>
      <w:marLeft w:val="0"/>
      <w:marRight w:val="0"/>
      <w:marTop w:val="0"/>
      <w:marBottom w:val="0"/>
      <w:divBdr>
        <w:top w:val="none" w:sz="0" w:space="0" w:color="auto"/>
        <w:left w:val="none" w:sz="0" w:space="0" w:color="auto"/>
        <w:bottom w:val="none" w:sz="0" w:space="0" w:color="auto"/>
        <w:right w:val="none" w:sz="0" w:space="0" w:color="auto"/>
      </w:divBdr>
    </w:div>
    <w:div w:id="1327708498">
      <w:bodyDiv w:val="1"/>
      <w:marLeft w:val="0"/>
      <w:marRight w:val="0"/>
      <w:marTop w:val="0"/>
      <w:marBottom w:val="0"/>
      <w:divBdr>
        <w:top w:val="none" w:sz="0" w:space="0" w:color="auto"/>
        <w:left w:val="none" w:sz="0" w:space="0" w:color="auto"/>
        <w:bottom w:val="none" w:sz="0" w:space="0" w:color="auto"/>
        <w:right w:val="none" w:sz="0" w:space="0" w:color="auto"/>
      </w:divBdr>
    </w:div>
    <w:div w:id="1342779026">
      <w:bodyDiv w:val="1"/>
      <w:marLeft w:val="0"/>
      <w:marRight w:val="0"/>
      <w:marTop w:val="0"/>
      <w:marBottom w:val="0"/>
      <w:divBdr>
        <w:top w:val="none" w:sz="0" w:space="0" w:color="auto"/>
        <w:left w:val="none" w:sz="0" w:space="0" w:color="auto"/>
        <w:bottom w:val="none" w:sz="0" w:space="0" w:color="auto"/>
        <w:right w:val="none" w:sz="0" w:space="0" w:color="auto"/>
      </w:divBdr>
    </w:div>
    <w:div w:id="1374577957">
      <w:bodyDiv w:val="1"/>
      <w:marLeft w:val="0"/>
      <w:marRight w:val="0"/>
      <w:marTop w:val="0"/>
      <w:marBottom w:val="0"/>
      <w:divBdr>
        <w:top w:val="none" w:sz="0" w:space="0" w:color="auto"/>
        <w:left w:val="none" w:sz="0" w:space="0" w:color="auto"/>
        <w:bottom w:val="none" w:sz="0" w:space="0" w:color="auto"/>
        <w:right w:val="none" w:sz="0" w:space="0" w:color="auto"/>
      </w:divBdr>
    </w:div>
    <w:div w:id="1379356082">
      <w:bodyDiv w:val="1"/>
      <w:marLeft w:val="0"/>
      <w:marRight w:val="0"/>
      <w:marTop w:val="0"/>
      <w:marBottom w:val="0"/>
      <w:divBdr>
        <w:top w:val="none" w:sz="0" w:space="0" w:color="auto"/>
        <w:left w:val="none" w:sz="0" w:space="0" w:color="auto"/>
        <w:bottom w:val="none" w:sz="0" w:space="0" w:color="auto"/>
        <w:right w:val="none" w:sz="0" w:space="0" w:color="auto"/>
      </w:divBdr>
    </w:div>
    <w:div w:id="1379744810">
      <w:bodyDiv w:val="1"/>
      <w:marLeft w:val="0"/>
      <w:marRight w:val="0"/>
      <w:marTop w:val="0"/>
      <w:marBottom w:val="0"/>
      <w:divBdr>
        <w:top w:val="none" w:sz="0" w:space="0" w:color="auto"/>
        <w:left w:val="none" w:sz="0" w:space="0" w:color="auto"/>
        <w:bottom w:val="none" w:sz="0" w:space="0" w:color="auto"/>
        <w:right w:val="none" w:sz="0" w:space="0" w:color="auto"/>
      </w:divBdr>
    </w:div>
    <w:div w:id="1384714540">
      <w:bodyDiv w:val="1"/>
      <w:marLeft w:val="0"/>
      <w:marRight w:val="0"/>
      <w:marTop w:val="0"/>
      <w:marBottom w:val="0"/>
      <w:divBdr>
        <w:top w:val="none" w:sz="0" w:space="0" w:color="auto"/>
        <w:left w:val="none" w:sz="0" w:space="0" w:color="auto"/>
        <w:bottom w:val="none" w:sz="0" w:space="0" w:color="auto"/>
        <w:right w:val="none" w:sz="0" w:space="0" w:color="auto"/>
      </w:divBdr>
    </w:div>
    <w:div w:id="1405420894">
      <w:bodyDiv w:val="1"/>
      <w:marLeft w:val="0"/>
      <w:marRight w:val="0"/>
      <w:marTop w:val="0"/>
      <w:marBottom w:val="0"/>
      <w:divBdr>
        <w:top w:val="none" w:sz="0" w:space="0" w:color="auto"/>
        <w:left w:val="none" w:sz="0" w:space="0" w:color="auto"/>
        <w:bottom w:val="none" w:sz="0" w:space="0" w:color="auto"/>
        <w:right w:val="none" w:sz="0" w:space="0" w:color="auto"/>
      </w:divBdr>
    </w:div>
    <w:div w:id="1408579663">
      <w:bodyDiv w:val="1"/>
      <w:marLeft w:val="0"/>
      <w:marRight w:val="0"/>
      <w:marTop w:val="0"/>
      <w:marBottom w:val="0"/>
      <w:divBdr>
        <w:top w:val="none" w:sz="0" w:space="0" w:color="auto"/>
        <w:left w:val="none" w:sz="0" w:space="0" w:color="auto"/>
        <w:bottom w:val="none" w:sz="0" w:space="0" w:color="auto"/>
        <w:right w:val="none" w:sz="0" w:space="0" w:color="auto"/>
      </w:divBdr>
    </w:div>
    <w:div w:id="1410810167">
      <w:bodyDiv w:val="1"/>
      <w:marLeft w:val="0"/>
      <w:marRight w:val="0"/>
      <w:marTop w:val="0"/>
      <w:marBottom w:val="0"/>
      <w:divBdr>
        <w:top w:val="none" w:sz="0" w:space="0" w:color="auto"/>
        <w:left w:val="none" w:sz="0" w:space="0" w:color="auto"/>
        <w:bottom w:val="none" w:sz="0" w:space="0" w:color="auto"/>
        <w:right w:val="none" w:sz="0" w:space="0" w:color="auto"/>
      </w:divBdr>
    </w:div>
    <w:div w:id="1421024424">
      <w:bodyDiv w:val="1"/>
      <w:marLeft w:val="0"/>
      <w:marRight w:val="0"/>
      <w:marTop w:val="0"/>
      <w:marBottom w:val="0"/>
      <w:divBdr>
        <w:top w:val="none" w:sz="0" w:space="0" w:color="auto"/>
        <w:left w:val="none" w:sz="0" w:space="0" w:color="auto"/>
        <w:bottom w:val="none" w:sz="0" w:space="0" w:color="auto"/>
        <w:right w:val="none" w:sz="0" w:space="0" w:color="auto"/>
      </w:divBdr>
    </w:div>
    <w:div w:id="1426880591">
      <w:bodyDiv w:val="1"/>
      <w:marLeft w:val="0"/>
      <w:marRight w:val="0"/>
      <w:marTop w:val="0"/>
      <w:marBottom w:val="0"/>
      <w:divBdr>
        <w:top w:val="none" w:sz="0" w:space="0" w:color="auto"/>
        <w:left w:val="none" w:sz="0" w:space="0" w:color="auto"/>
        <w:bottom w:val="none" w:sz="0" w:space="0" w:color="auto"/>
        <w:right w:val="none" w:sz="0" w:space="0" w:color="auto"/>
      </w:divBdr>
    </w:div>
    <w:div w:id="1428498585">
      <w:bodyDiv w:val="1"/>
      <w:marLeft w:val="0"/>
      <w:marRight w:val="0"/>
      <w:marTop w:val="0"/>
      <w:marBottom w:val="0"/>
      <w:divBdr>
        <w:top w:val="none" w:sz="0" w:space="0" w:color="auto"/>
        <w:left w:val="none" w:sz="0" w:space="0" w:color="auto"/>
        <w:bottom w:val="none" w:sz="0" w:space="0" w:color="auto"/>
        <w:right w:val="none" w:sz="0" w:space="0" w:color="auto"/>
      </w:divBdr>
    </w:div>
    <w:div w:id="1431975448">
      <w:bodyDiv w:val="1"/>
      <w:marLeft w:val="0"/>
      <w:marRight w:val="0"/>
      <w:marTop w:val="0"/>
      <w:marBottom w:val="0"/>
      <w:divBdr>
        <w:top w:val="none" w:sz="0" w:space="0" w:color="auto"/>
        <w:left w:val="none" w:sz="0" w:space="0" w:color="auto"/>
        <w:bottom w:val="none" w:sz="0" w:space="0" w:color="auto"/>
        <w:right w:val="none" w:sz="0" w:space="0" w:color="auto"/>
      </w:divBdr>
    </w:div>
    <w:div w:id="1435512375">
      <w:bodyDiv w:val="1"/>
      <w:marLeft w:val="0"/>
      <w:marRight w:val="0"/>
      <w:marTop w:val="0"/>
      <w:marBottom w:val="0"/>
      <w:divBdr>
        <w:top w:val="none" w:sz="0" w:space="0" w:color="auto"/>
        <w:left w:val="none" w:sz="0" w:space="0" w:color="auto"/>
        <w:bottom w:val="none" w:sz="0" w:space="0" w:color="auto"/>
        <w:right w:val="none" w:sz="0" w:space="0" w:color="auto"/>
      </w:divBdr>
    </w:div>
    <w:div w:id="1435638333">
      <w:bodyDiv w:val="1"/>
      <w:marLeft w:val="0"/>
      <w:marRight w:val="0"/>
      <w:marTop w:val="0"/>
      <w:marBottom w:val="0"/>
      <w:divBdr>
        <w:top w:val="none" w:sz="0" w:space="0" w:color="auto"/>
        <w:left w:val="none" w:sz="0" w:space="0" w:color="auto"/>
        <w:bottom w:val="none" w:sz="0" w:space="0" w:color="auto"/>
        <w:right w:val="none" w:sz="0" w:space="0" w:color="auto"/>
      </w:divBdr>
    </w:div>
    <w:div w:id="1443651651">
      <w:bodyDiv w:val="1"/>
      <w:marLeft w:val="0"/>
      <w:marRight w:val="0"/>
      <w:marTop w:val="0"/>
      <w:marBottom w:val="0"/>
      <w:divBdr>
        <w:top w:val="none" w:sz="0" w:space="0" w:color="auto"/>
        <w:left w:val="none" w:sz="0" w:space="0" w:color="auto"/>
        <w:bottom w:val="none" w:sz="0" w:space="0" w:color="auto"/>
        <w:right w:val="none" w:sz="0" w:space="0" w:color="auto"/>
      </w:divBdr>
    </w:div>
    <w:div w:id="1451632416">
      <w:bodyDiv w:val="1"/>
      <w:marLeft w:val="0"/>
      <w:marRight w:val="0"/>
      <w:marTop w:val="0"/>
      <w:marBottom w:val="0"/>
      <w:divBdr>
        <w:top w:val="none" w:sz="0" w:space="0" w:color="auto"/>
        <w:left w:val="none" w:sz="0" w:space="0" w:color="auto"/>
        <w:bottom w:val="none" w:sz="0" w:space="0" w:color="auto"/>
        <w:right w:val="none" w:sz="0" w:space="0" w:color="auto"/>
      </w:divBdr>
    </w:div>
    <w:div w:id="1469854565">
      <w:bodyDiv w:val="1"/>
      <w:marLeft w:val="0"/>
      <w:marRight w:val="0"/>
      <w:marTop w:val="0"/>
      <w:marBottom w:val="0"/>
      <w:divBdr>
        <w:top w:val="none" w:sz="0" w:space="0" w:color="auto"/>
        <w:left w:val="none" w:sz="0" w:space="0" w:color="auto"/>
        <w:bottom w:val="none" w:sz="0" w:space="0" w:color="auto"/>
        <w:right w:val="none" w:sz="0" w:space="0" w:color="auto"/>
      </w:divBdr>
    </w:div>
    <w:div w:id="1472482980">
      <w:bodyDiv w:val="1"/>
      <w:marLeft w:val="0"/>
      <w:marRight w:val="0"/>
      <w:marTop w:val="0"/>
      <w:marBottom w:val="0"/>
      <w:divBdr>
        <w:top w:val="none" w:sz="0" w:space="0" w:color="auto"/>
        <w:left w:val="none" w:sz="0" w:space="0" w:color="auto"/>
        <w:bottom w:val="none" w:sz="0" w:space="0" w:color="auto"/>
        <w:right w:val="none" w:sz="0" w:space="0" w:color="auto"/>
      </w:divBdr>
    </w:div>
    <w:div w:id="1475683721">
      <w:bodyDiv w:val="1"/>
      <w:marLeft w:val="0"/>
      <w:marRight w:val="0"/>
      <w:marTop w:val="0"/>
      <w:marBottom w:val="0"/>
      <w:divBdr>
        <w:top w:val="none" w:sz="0" w:space="0" w:color="auto"/>
        <w:left w:val="none" w:sz="0" w:space="0" w:color="auto"/>
        <w:bottom w:val="none" w:sz="0" w:space="0" w:color="auto"/>
        <w:right w:val="none" w:sz="0" w:space="0" w:color="auto"/>
      </w:divBdr>
    </w:div>
    <w:div w:id="1493180245">
      <w:bodyDiv w:val="1"/>
      <w:marLeft w:val="0"/>
      <w:marRight w:val="0"/>
      <w:marTop w:val="0"/>
      <w:marBottom w:val="0"/>
      <w:divBdr>
        <w:top w:val="none" w:sz="0" w:space="0" w:color="auto"/>
        <w:left w:val="none" w:sz="0" w:space="0" w:color="auto"/>
        <w:bottom w:val="none" w:sz="0" w:space="0" w:color="auto"/>
        <w:right w:val="none" w:sz="0" w:space="0" w:color="auto"/>
      </w:divBdr>
    </w:div>
    <w:div w:id="1511024834">
      <w:bodyDiv w:val="1"/>
      <w:marLeft w:val="0"/>
      <w:marRight w:val="0"/>
      <w:marTop w:val="0"/>
      <w:marBottom w:val="0"/>
      <w:divBdr>
        <w:top w:val="none" w:sz="0" w:space="0" w:color="auto"/>
        <w:left w:val="none" w:sz="0" w:space="0" w:color="auto"/>
        <w:bottom w:val="none" w:sz="0" w:space="0" w:color="auto"/>
        <w:right w:val="none" w:sz="0" w:space="0" w:color="auto"/>
      </w:divBdr>
    </w:div>
    <w:div w:id="1514416737">
      <w:bodyDiv w:val="1"/>
      <w:marLeft w:val="0"/>
      <w:marRight w:val="0"/>
      <w:marTop w:val="0"/>
      <w:marBottom w:val="0"/>
      <w:divBdr>
        <w:top w:val="none" w:sz="0" w:space="0" w:color="auto"/>
        <w:left w:val="none" w:sz="0" w:space="0" w:color="auto"/>
        <w:bottom w:val="none" w:sz="0" w:space="0" w:color="auto"/>
        <w:right w:val="none" w:sz="0" w:space="0" w:color="auto"/>
      </w:divBdr>
    </w:div>
    <w:div w:id="1522469860">
      <w:bodyDiv w:val="1"/>
      <w:marLeft w:val="0"/>
      <w:marRight w:val="0"/>
      <w:marTop w:val="0"/>
      <w:marBottom w:val="0"/>
      <w:divBdr>
        <w:top w:val="none" w:sz="0" w:space="0" w:color="auto"/>
        <w:left w:val="none" w:sz="0" w:space="0" w:color="auto"/>
        <w:bottom w:val="none" w:sz="0" w:space="0" w:color="auto"/>
        <w:right w:val="none" w:sz="0" w:space="0" w:color="auto"/>
      </w:divBdr>
    </w:div>
    <w:div w:id="1523667326">
      <w:bodyDiv w:val="1"/>
      <w:marLeft w:val="0"/>
      <w:marRight w:val="0"/>
      <w:marTop w:val="0"/>
      <w:marBottom w:val="0"/>
      <w:divBdr>
        <w:top w:val="none" w:sz="0" w:space="0" w:color="auto"/>
        <w:left w:val="none" w:sz="0" w:space="0" w:color="auto"/>
        <w:bottom w:val="none" w:sz="0" w:space="0" w:color="auto"/>
        <w:right w:val="none" w:sz="0" w:space="0" w:color="auto"/>
      </w:divBdr>
    </w:div>
    <w:div w:id="1524591158">
      <w:bodyDiv w:val="1"/>
      <w:marLeft w:val="0"/>
      <w:marRight w:val="0"/>
      <w:marTop w:val="0"/>
      <w:marBottom w:val="0"/>
      <w:divBdr>
        <w:top w:val="none" w:sz="0" w:space="0" w:color="auto"/>
        <w:left w:val="none" w:sz="0" w:space="0" w:color="auto"/>
        <w:bottom w:val="none" w:sz="0" w:space="0" w:color="auto"/>
        <w:right w:val="none" w:sz="0" w:space="0" w:color="auto"/>
      </w:divBdr>
    </w:div>
    <w:div w:id="1541866603">
      <w:bodyDiv w:val="1"/>
      <w:marLeft w:val="0"/>
      <w:marRight w:val="0"/>
      <w:marTop w:val="0"/>
      <w:marBottom w:val="0"/>
      <w:divBdr>
        <w:top w:val="none" w:sz="0" w:space="0" w:color="auto"/>
        <w:left w:val="none" w:sz="0" w:space="0" w:color="auto"/>
        <w:bottom w:val="none" w:sz="0" w:space="0" w:color="auto"/>
        <w:right w:val="none" w:sz="0" w:space="0" w:color="auto"/>
      </w:divBdr>
    </w:div>
    <w:div w:id="1556701717">
      <w:bodyDiv w:val="1"/>
      <w:marLeft w:val="0"/>
      <w:marRight w:val="0"/>
      <w:marTop w:val="0"/>
      <w:marBottom w:val="0"/>
      <w:divBdr>
        <w:top w:val="none" w:sz="0" w:space="0" w:color="auto"/>
        <w:left w:val="none" w:sz="0" w:space="0" w:color="auto"/>
        <w:bottom w:val="none" w:sz="0" w:space="0" w:color="auto"/>
        <w:right w:val="none" w:sz="0" w:space="0" w:color="auto"/>
      </w:divBdr>
    </w:div>
    <w:div w:id="1559051537">
      <w:bodyDiv w:val="1"/>
      <w:marLeft w:val="0"/>
      <w:marRight w:val="0"/>
      <w:marTop w:val="0"/>
      <w:marBottom w:val="0"/>
      <w:divBdr>
        <w:top w:val="none" w:sz="0" w:space="0" w:color="auto"/>
        <w:left w:val="none" w:sz="0" w:space="0" w:color="auto"/>
        <w:bottom w:val="none" w:sz="0" w:space="0" w:color="auto"/>
        <w:right w:val="none" w:sz="0" w:space="0" w:color="auto"/>
      </w:divBdr>
    </w:div>
    <w:div w:id="1563171350">
      <w:bodyDiv w:val="1"/>
      <w:marLeft w:val="0"/>
      <w:marRight w:val="0"/>
      <w:marTop w:val="0"/>
      <w:marBottom w:val="0"/>
      <w:divBdr>
        <w:top w:val="none" w:sz="0" w:space="0" w:color="auto"/>
        <w:left w:val="none" w:sz="0" w:space="0" w:color="auto"/>
        <w:bottom w:val="none" w:sz="0" w:space="0" w:color="auto"/>
        <w:right w:val="none" w:sz="0" w:space="0" w:color="auto"/>
      </w:divBdr>
    </w:div>
    <w:div w:id="1563910917">
      <w:bodyDiv w:val="1"/>
      <w:marLeft w:val="0"/>
      <w:marRight w:val="0"/>
      <w:marTop w:val="0"/>
      <w:marBottom w:val="0"/>
      <w:divBdr>
        <w:top w:val="none" w:sz="0" w:space="0" w:color="auto"/>
        <w:left w:val="none" w:sz="0" w:space="0" w:color="auto"/>
        <w:bottom w:val="none" w:sz="0" w:space="0" w:color="auto"/>
        <w:right w:val="none" w:sz="0" w:space="0" w:color="auto"/>
      </w:divBdr>
    </w:div>
    <w:div w:id="1572229109">
      <w:bodyDiv w:val="1"/>
      <w:marLeft w:val="0"/>
      <w:marRight w:val="0"/>
      <w:marTop w:val="0"/>
      <w:marBottom w:val="0"/>
      <w:divBdr>
        <w:top w:val="none" w:sz="0" w:space="0" w:color="auto"/>
        <w:left w:val="none" w:sz="0" w:space="0" w:color="auto"/>
        <w:bottom w:val="none" w:sz="0" w:space="0" w:color="auto"/>
        <w:right w:val="none" w:sz="0" w:space="0" w:color="auto"/>
      </w:divBdr>
    </w:div>
    <w:div w:id="1583416381">
      <w:bodyDiv w:val="1"/>
      <w:marLeft w:val="0"/>
      <w:marRight w:val="0"/>
      <w:marTop w:val="0"/>
      <w:marBottom w:val="0"/>
      <w:divBdr>
        <w:top w:val="none" w:sz="0" w:space="0" w:color="auto"/>
        <w:left w:val="none" w:sz="0" w:space="0" w:color="auto"/>
        <w:bottom w:val="none" w:sz="0" w:space="0" w:color="auto"/>
        <w:right w:val="none" w:sz="0" w:space="0" w:color="auto"/>
      </w:divBdr>
    </w:div>
    <w:div w:id="1595899444">
      <w:bodyDiv w:val="1"/>
      <w:marLeft w:val="0"/>
      <w:marRight w:val="0"/>
      <w:marTop w:val="0"/>
      <w:marBottom w:val="0"/>
      <w:divBdr>
        <w:top w:val="none" w:sz="0" w:space="0" w:color="auto"/>
        <w:left w:val="none" w:sz="0" w:space="0" w:color="auto"/>
        <w:bottom w:val="none" w:sz="0" w:space="0" w:color="auto"/>
        <w:right w:val="none" w:sz="0" w:space="0" w:color="auto"/>
      </w:divBdr>
    </w:div>
    <w:div w:id="1606574429">
      <w:bodyDiv w:val="1"/>
      <w:marLeft w:val="0"/>
      <w:marRight w:val="0"/>
      <w:marTop w:val="0"/>
      <w:marBottom w:val="0"/>
      <w:divBdr>
        <w:top w:val="none" w:sz="0" w:space="0" w:color="auto"/>
        <w:left w:val="none" w:sz="0" w:space="0" w:color="auto"/>
        <w:bottom w:val="none" w:sz="0" w:space="0" w:color="auto"/>
        <w:right w:val="none" w:sz="0" w:space="0" w:color="auto"/>
      </w:divBdr>
    </w:div>
    <w:div w:id="1607037418">
      <w:bodyDiv w:val="1"/>
      <w:marLeft w:val="0"/>
      <w:marRight w:val="0"/>
      <w:marTop w:val="0"/>
      <w:marBottom w:val="0"/>
      <w:divBdr>
        <w:top w:val="none" w:sz="0" w:space="0" w:color="auto"/>
        <w:left w:val="none" w:sz="0" w:space="0" w:color="auto"/>
        <w:bottom w:val="none" w:sz="0" w:space="0" w:color="auto"/>
        <w:right w:val="none" w:sz="0" w:space="0" w:color="auto"/>
      </w:divBdr>
    </w:div>
    <w:div w:id="1608460782">
      <w:bodyDiv w:val="1"/>
      <w:marLeft w:val="0"/>
      <w:marRight w:val="0"/>
      <w:marTop w:val="0"/>
      <w:marBottom w:val="0"/>
      <w:divBdr>
        <w:top w:val="none" w:sz="0" w:space="0" w:color="auto"/>
        <w:left w:val="none" w:sz="0" w:space="0" w:color="auto"/>
        <w:bottom w:val="none" w:sz="0" w:space="0" w:color="auto"/>
        <w:right w:val="none" w:sz="0" w:space="0" w:color="auto"/>
      </w:divBdr>
    </w:div>
    <w:div w:id="1613634448">
      <w:bodyDiv w:val="1"/>
      <w:marLeft w:val="0"/>
      <w:marRight w:val="0"/>
      <w:marTop w:val="0"/>
      <w:marBottom w:val="0"/>
      <w:divBdr>
        <w:top w:val="none" w:sz="0" w:space="0" w:color="auto"/>
        <w:left w:val="none" w:sz="0" w:space="0" w:color="auto"/>
        <w:bottom w:val="none" w:sz="0" w:space="0" w:color="auto"/>
        <w:right w:val="none" w:sz="0" w:space="0" w:color="auto"/>
      </w:divBdr>
    </w:div>
    <w:div w:id="1616789434">
      <w:bodyDiv w:val="1"/>
      <w:marLeft w:val="0"/>
      <w:marRight w:val="0"/>
      <w:marTop w:val="0"/>
      <w:marBottom w:val="0"/>
      <w:divBdr>
        <w:top w:val="none" w:sz="0" w:space="0" w:color="auto"/>
        <w:left w:val="none" w:sz="0" w:space="0" w:color="auto"/>
        <w:bottom w:val="none" w:sz="0" w:space="0" w:color="auto"/>
        <w:right w:val="none" w:sz="0" w:space="0" w:color="auto"/>
      </w:divBdr>
    </w:div>
    <w:div w:id="1631549612">
      <w:bodyDiv w:val="1"/>
      <w:marLeft w:val="0"/>
      <w:marRight w:val="0"/>
      <w:marTop w:val="0"/>
      <w:marBottom w:val="0"/>
      <w:divBdr>
        <w:top w:val="none" w:sz="0" w:space="0" w:color="auto"/>
        <w:left w:val="none" w:sz="0" w:space="0" w:color="auto"/>
        <w:bottom w:val="none" w:sz="0" w:space="0" w:color="auto"/>
        <w:right w:val="none" w:sz="0" w:space="0" w:color="auto"/>
      </w:divBdr>
    </w:div>
    <w:div w:id="1645894598">
      <w:bodyDiv w:val="1"/>
      <w:marLeft w:val="0"/>
      <w:marRight w:val="0"/>
      <w:marTop w:val="0"/>
      <w:marBottom w:val="0"/>
      <w:divBdr>
        <w:top w:val="none" w:sz="0" w:space="0" w:color="auto"/>
        <w:left w:val="none" w:sz="0" w:space="0" w:color="auto"/>
        <w:bottom w:val="none" w:sz="0" w:space="0" w:color="auto"/>
        <w:right w:val="none" w:sz="0" w:space="0" w:color="auto"/>
      </w:divBdr>
    </w:div>
    <w:div w:id="1649283075">
      <w:bodyDiv w:val="1"/>
      <w:marLeft w:val="0"/>
      <w:marRight w:val="0"/>
      <w:marTop w:val="0"/>
      <w:marBottom w:val="0"/>
      <w:divBdr>
        <w:top w:val="none" w:sz="0" w:space="0" w:color="auto"/>
        <w:left w:val="none" w:sz="0" w:space="0" w:color="auto"/>
        <w:bottom w:val="none" w:sz="0" w:space="0" w:color="auto"/>
        <w:right w:val="none" w:sz="0" w:space="0" w:color="auto"/>
      </w:divBdr>
    </w:div>
    <w:div w:id="1650136527">
      <w:bodyDiv w:val="1"/>
      <w:marLeft w:val="0"/>
      <w:marRight w:val="0"/>
      <w:marTop w:val="0"/>
      <w:marBottom w:val="0"/>
      <w:divBdr>
        <w:top w:val="none" w:sz="0" w:space="0" w:color="auto"/>
        <w:left w:val="none" w:sz="0" w:space="0" w:color="auto"/>
        <w:bottom w:val="none" w:sz="0" w:space="0" w:color="auto"/>
        <w:right w:val="none" w:sz="0" w:space="0" w:color="auto"/>
      </w:divBdr>
    </w:div>
    <w:div w:id="1658336824">
      <w:bodyDiv w:val="1"/>
      <w:marLeft w:val="0"/>
      <w:marRight w:val="0"/>
      <w:marTop w:val="0"/>
      <w:marBottom w:val="0"/>
      <w:divBdr>
        <w:top w:val="none" w:sz="0" w:space="0" w:color="auto"/>
        <w:left w:val="none" w:sz="0" w:space="0" w:color="auto"/>
        <w:bottom w:val="none" w:sz="0" w:space="0" w:color="auto"/>
        <w:right w:val="none" w:sz="0" w:space="0" w:color="auto"/>
      </w:divBdr>
    </w:div>
    <w:div w:id="1666669825">
      <w:bodyDiv w:val="1"/>
      <w:marLeft w:val="0"/>
      <w:marRight w:val="0"/>
      <w:marTop w:val="0"/>
      <w:marBottom w:val="0"/>
      <w:divBdr>
        <w:top w:val="none" w:sz="0" w:space="0" w:color="auto"/>
        <w:left w:val="none" w:sz="0" w:space="0" w:color="auto"/>
        <w:bottom w:val="none" w:sz="0" w:space="0" w:color="auto"/>
        <w:right w:val="none" w:sz="0" w:space="0" w:color="auto"/>
      </w:divBdr>
    </w:div>
    <w:div w:id="1671641101">
      <w:bodyDiv w:val="1"/>
      <w:marLeft w:val="0"/>
      <w:marRight w:val="0"/>
      <w:marTop w:val="0"/>
      <w:marBottom w:val="0"/>
      <w:divBdr>
        <w:top w:val="none" w:sz="0" w:space="0" w:color="auto"/>
        <w:left w:val="none" w:sz="0" w:space="0" w:color="auto"/>
        <w:bottom w:val="none" w:sz="0" w:space="0" w:color="auto"/>
        <w:right w:val="none" w:sz="0" w:space="0" w:color="auto"/>
      </w:divBdr>
    </w:div>
    <w:div w:id="1685204815">
      <w:bodyDiv w:val="1"/>
      <w:marLeft w:val="0"/>
      <w:marRight w:val="0"/>
      <w:marTop w:val="0"/>
      <w:marBottom w:val="0"/>
      <w:divBdr>
        <w:top w:val="none" w:sz="0" w:space="0" w:color="auto"/>
        <w:left w:val="none" w:sz="0" w:space="0" w:color="auto"/>
        <w:bottom w:val="none" w:sz="0" w:space="0" w:color="auto"/>
        <w:right w:val="none" w:sz="0" w:space="0" w:color="auto"/>
      </w:divBdr>
    </w:div>
    <w:div w:id="1686207463">
      <w:bodyDiv w:val="1"/>
      <w:marLeft w:val="0"/>
      <w:marRight w:val="0"/>
      <w:marTop w:val="0"/>
      <w:marBottom w:val="0"/>
      <w:divBdr>
        <w:top w:val="none" w:sz="0" w:space="0" w:color="auto"/>
        <w:left w:val="none" w:sz="0" w:space="0" w:color="auto"/>
        <w:bottom w:val="none" w:sz="0" w:space="0" w:color="auto"/>
        <w:right w:val="none" w:sz="0" w:space="0" w:color="auto"/>
      </w:divBdr>
    </w:div>
    <w:div w:id="1688408360">
      <w:bodyDiv w:val="1"/>
      <w:marLeft w:val="0"/>
      <w:marRight w:val="0"/>
      <w:marTop w:val="0"/>
      <w:marBottom w:val="0"/>
      <w:divBdr>
        <w:top w:val="none" w:sz="0" w:space="0" w:color="auto"/>
        <w:left w:val="none" w:sz="0" w:space="0" w:color="auto"/>
        <w:bottom w:val="none" w:sz="0" w:space="0" w:color="auto"/>
        <w:right w:val="none" w:sz="0" w:space="0" w:color="auto"/>
      </w:divBdr>
    </w:div>
    <w:div w:id="1696493985">
      <w:bodyDiv w:val="1"/>
      <w:marLeft w:val="0"/>
      <w:marRight w:val="0"/>
      <w:marTop w:val="0"/>
      <w:marBottom w:val="0"/>
      <w:divBdr>
        <w:top w:val="none" w:sz="0" w:space="0" w:color="auto"/>
        <w:left w:val="none" w:sz="0" w:space="0" w:color="auto"/>
        <w:bottom w:val="none" w:sz="0" w:space="0" w:color="auto"/>
        <w:right w:val="none" w:sz="0" w:space="0" w:color="auto"/>
      </w:divBdr>
    </w:div>
    <w:div w:id="1719740596">
      <w:bodyDiv w:val="1"/>
      <w:marLeft w:val="0"/>
      <w:marRight w:val="0"/>
      <w:marTop w:val="0"/>
      <w:marBottom w:val="0"/>
      <w:divBdr>
        <w:top w:val="none" w:sz="0" w:space="0" w:color="auto"/>
        <w:left w:val="none" w:sz="0" w:space="0" w:color="auto"/>
        <w:bottom w:val="none" w:sz="0" w:space="0" w:color="auto"/>
        <w:right w:val="none" w:sz="0" w:space="0" w:color="auto"/>
      </w:divBdr>
    </w:div>
    <w:div w:id="1742174803">
      <w:bodyDiv w:val="1"/>
      <w:marLeft w:val="0"/>
      <w:marRight w:val="0"/>
      <w:marTop w:val="0"/>
      <w:marBottom w:val="0"/>
      <w:divBdr>
        <w:top w:val="none" w:sz="0" w:space="0" w:color="auto"/>
        <w:left w:val="none" w:sz="0" w:space="0" w:color="auto"/>
        <w:bottom w:val="none" w:sz="0" w:space="0" w:color="auto"/>
        <w:right w:val="none" w:sz="0" w:space="0" w:color="auto"/>
      </w:divBdr>
    </w:div>
    <w:div w:id="1746881360">
      <w:bodyDiv w:val="1"/>
      <w:marLeft w:val="0"/>
      <w:marRight w:val="0"/>
      <w:marTop w:val="0"/>
      <w:marBottom w:val="0"/>
      <w:divBdr>
        <w:top w:val="none" w:sz="0" w:space="0" w:color="auto"/>
        <w:left w:val="none" w:sz="0" w:space="0" w:color="auto"/>
        <w:bottom w:val="none" w:sz="0" w:space="0" w:color="auto"/>
        <w:right w:val="none" w:sz="0" w:space="0" w:color="auto"/>
      </w:divBdr>
    </w:div>
    <w:div w:id="1747143508">
      <w:bodyDiv w:val="1"/>
      <w:marLeft w:val="0"/>
      <w:marRight w:val="0"/>
      <w:marTop w:val="0"/>
      <w:marBottom w:val="0"/>
      <w:divBdr>
        <w:top w:val="none" w:sz="0" w:space="0" w:color="auto"/>
        <w:left w:val="none" w:sz="0" w:space="0" w:color="auto"/>
        <w:bottom w:val="none" w:sz="0" w:space="0" w:color="auto"/>
        <w:right w:val="none" w:sz="0" w:space="0" w:color="auto"/>
      </w:divBdr>
    </w:div>
    <w:div w:id="1757824016">
      <w:bodyDiv w:val="1"/>
      <w:marLeft w:val="0"/>
      <w:marRight w:val="0"/>
      <w:marTop w:val="0"/>
      <w:marBottom w:val="0"/>
      <w:divBdr>
        <w:top w:val="none" w:sz="0" w:space="0" w:color="auto"/>
        <w:left w:val="none" w:sz="0" w:space="0" w:color="auto"/>
        <w:bottom w:val="none" w:sz="0" w:space="0" w:color="auto"/>
        <w:right w:val="none" w:sz="0" w:space="0" w:color="auto"/>
      </w:divBdr>
    </w:div>
    <w:div w:id="1776903884">
      <w:bodyDiv w:val="1"/>
      <w:marLeft w:val="0"/>
      <w:marRight w:val="0"/>
      <w:marTop w:val="0"/>
      <w:marBottom w:val="0"/>
      <w:divBdr>
        <w:top w:val="none" w:sz="0" w:space="0" w:color="auto"/>
        <w:left w:val="none" w:sz="0" w:space="0" w:color="auto"/>
        <w:bottom w:val="none" w:sz="0" w:space="0" w:color="auto"/>
        <w:right w:val="none" w:sz="0" w:space="0" w:color="auto"/>
      </w:divBdr>
    </w:div>
    <w:div w:id="1786271039">
      <w:bodyDiv w:val="1"/>
      <w:marLeft w:val="0"/>
      <w:marRight w:val="0"/>
      <w:marTop w:val="0"/>
      <w:marBottom w:val="0"/>
      <w:divBdr>
        <w:top w:val="none" w:sz="0" w:space="0" w:color="auto"/>
        <w:left w:val="none" w:sz="0" w:space="0" w:color="auto"/>
        <w:bottom w:val="none" w:sz="0" w:space="0" w:color="auto"/>
        <w:right w:val="none" w:sz="0" w:space="0" w:color="auto"/>
      </w:divBdr>
    </w:div>
    <w:div w:id="1787194340">
      <w:bodyDiv w:val="1"/>
      <w:marLeft w:val="0"/>
      <w:marRight w:val="0"/>
      <w:marTop w:val="0"/>
      <w:marBottom w:val="0"/>
      <w:divBdr>
        <w:top w:val="none" w:sz="0" w:space="0" w:color="auto"/>
        <w:left w:val="none" w:sz="0" w:space="0" w:color="auto"/>
        <w:bottom w:val="none" w:sz="0" w:space="0" w:color="auto"/>
        <w:right w:val="none" w:sz="0" w:space="0" w:color="auto"/>
      </w:divBdr>
    </w:div>
    <w:div w:id="1794208452">
      <w:bodyDiv w:val="1"/>
      <w:marLeft w:val="0"/>
      <w:marRight w:val="0"/>
      <w:marTop w:val="0"/>
      <w:marBottom w:val="0"/>
      <w:divBdr>
        <w:top w:val="none" w:sz="0" w:space="0" w:color="auto"/>
        <w:left w:val="none" w:sz="0" w:space="0" w:color="auto"/>
        <w:bottom w:val="none" w:sz="0" w:space="0" w:color="auto"/>
        <w:right w:val="none" w:sz="0" w:space="0" w:color="auto"/>
      </w:divBdr>
    </w:div>
    <w:div w:id="1812626019">
      <w:bodyDiv w:val="1"/>
      <w:marLeft w:val="0"/>
      <w:marRight w:val="0"/>
      <w:marTop w:val="0"/>
      <w:marBottom w:val="0"/>
      <w:divBdr>
        <w:top w:val="none" w:sz="0" w:space="0" w:color="auto"/>
        <w:left w:val="none" w:sz="0" w:space="0" w:color="auto"/>
        <w:bottom w:val="none" w:sz="0" w:space="0" w:color="auto"/>
        <w:right w:val="none" w:sz="0" w:space="0" w:color="auto"/>
      </w:divBdr>
    </w:div>
    <w:div w:id="1827436710">
      <w:bodyDiv w:val="1"/>
      <w:marLeft w:val="0"/>
      <w:marRight w:val="0"/>
      <w:marTop w:val="0"/>
      <w:marBottom w:val="0"/>
      <w:divBdr>
        <w:top w:val="none" w:sz="0" w:space="0" w:color="auto"/>
        <w:left w:val="none" w:sz="0" w:space="0" w:color="auto"/>
        <w:bottom w:val="none" w:sz="0" w:space="0" w:color="auto"/>
        <w:right w:val="none" w:sz="0" w:space="0" w:color="auto"/>
      </w:divBdr>
    </w:div>
    <w:div w:id="1833180667">
      <w:bodyDiv w:val="1"/>
      <w:marLeft w:val="0"/>
      <w:marRight w:val="0"/>
      <w:marTop w:val="0"/>
      <w:marBottom w:val="0"/>
      <w:divBdr>
        <w:top w:val="none" w:sz="0" w:space="0" w:color="auto"/>
        <w:left w:val="none" w:sz="0" w:space="0" w:color="auto"/>
        <w:bottom w:val="none" w:sz="0" w:space="0" w:color="auto"/>
        <w:right w:val="none" w:sz="0" w:space="0" w:color="auto"/>
      </w:divBdr>
    </w:div>
    <w:div w:id="1848669661">
      <w:bodyDiv w:val="1"/>
      <w:marLeft w:val="0"/>
      <w:marRight w:val="0"/>
      <w:marTop w:val="0"/>
      <w:marBottom w:val="0"/>
      <w:divBdr>
        <w:top w:val="none" w:sz="0" w:space="0" w:color="auto"/>
        <w:left w:val="none" w:sz="0" w:space="0" w:color="auto"/>
        <w:bottom w:val="none" w:sz="0" w:space="0" w:color="auto"/>
        <w:right w:val="none" w:sz="0" w:space="0" w:color="auto"/>
      </w:divBdr>
    </w:div>
    <w:div w:id="1855655532">
      <w:bodyDiv w:val="1"/>
      <w:marLeft w:val="0"/>
      <w:marRight w:val="0"/>
      <w:marTop w:val="0"/>
      <w:marBottom w:val="0"/>
      <w:divBdr>
        <w:top w:val="none" w:sz="0" w:space="0" w:color="auto"/>
        <w:left w:val="none" w:sz="0" w:space="0" w:color="auto"/>
        <w:bottom w:val="none" w:sz="0" w:space="0" w:color="auto"/>
        <w:right w:val="none" w:sz="0" w:space="0" w:color="auto"/>
      </w:divBdr>
    </w:div>
    <w:div w:id="1863861898">
      <w:bodyDiv w:val="1"/>
      <w:marLeft w:val="0"/>
      <w:marRight w:val="0"/>
      <w:marTop w:val="0"/>
      <w:marBottom w:val="0"/>
      <w:divBdr>
        <w:top w:val="none" w:sz="0" w:space="0" w:color="auto"/>
        <w:left w:val="none" w:sz="0" w:space="0" w:color="auto"/>
        <w:bottom w:val="none" w:sz="0" w:space="0" w:color="auto"/>
        <w:right w:val="none" w:sz="0" w:space="0" w:color="auto"/>
      </w:divBdr>
    </w:div>
    <w:div w:id="1881085430">
      <w:bodyDiv w:val="1"/>
      <w:marLeft w:val="0"/>
      <w:marRight w:val="0"/>
      <w:marTop w:val="0"/>
      <w:marBottom w:val="0"/>
      <w:divBdr>
        <w:top w:val="none" w:sz="0" w:space="0" w:color="auto"/>
        <w:left w:val="none" w:sz="0" w:space="0" w:color="auto"/>
        <w:bottom w:val="none" w:sz="0" w:space="0" w:color="auto"/>
        <w:right w:val="none" w:sz="0" w:space="0" w:color="auto"/>
      </w:divBdr>
    </w:div>
    <w:div w:id="1886915600">
      <w:bodyDiv w:val="1"/>
      <w:marLeft w:val="0"/>
      <w:marRight w:val="0"/>
      <w:marTop w:val="0"/>
      <w:marBottom w:val="0"/>
      <w:divBdr>
        <w:top w:val="none" w:sz="0" w:space="0" w:color="auto"/>
        <w:left w:val="none" w:sz="0" w:space="0" w:color="auto"/>
        <w:bottom w:val="none" w:sz="0" w:space="0" w:color="auto"/>
        <w:right w:val="none" w:sz="0" w:space="0" w:color="auto"/>
      </w:divBdr>
    </w:div>
    <w:div w:id="1886986663">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11379948">
      <w:bodyDiv w:val="1"/>
      <w:marLeft w:val="0"/>
      <w:marRight w:val="0"/>
      <w:marTop w:val="0"/>
      <w:marBottom w:val="0"/>
      <w:divBdr>
        <w:top w:val="none" w:sz="0" w:space="0" w:color="auto"/>
        <w:left w:val="none" w:sz="0" w:space="0" w:color="auto"/>
        <w:bottom w:val="none" w:sz="0" w:space="0" w:color="auto"/>
        <w:right w:val="none" w:sz="0" w:space="0" w:color="auto"/>
      </w:divBdr>
    </w:div>
    <w:div w:id="1915119138">
      <w:bodyDiv w:val="1"/>
      <w:marLeft w:val="0"/>
      <w:marRight w:val="0"/>
      <w:marTop w:val="0"/>
      <w:marBottom w:val="0"/>
      <w:divBdr>
        <w:top w:val="none" w:sz="0" w:space="0" w:color="auto"/>
        <w:left w:val="none" w:sz="0" w:space="0" w:color="auto"/>
        <w:bottom w:val="none" w:sz="0" w:space="0" w:color="auto"/>
        <w:right w:val="none" w:sz="0" w:space="0" w:color="auto"/>
      </w:divBdr>
    </w:div>
    <w:div w:id="1915968626">
      <w:bodyDiv w:val="1"/>
      <w:marLeft w:val="0"/>
      <w:marRight w:val="0"/>
      <w:marTop w:val="0"/>
      <w:marBottom w:val="0"/>
      <w:divBdr>
        <w:top w:val="none" w:sz="0" w:space="0" w:color="auto"/>
        <w:left w:val="none" w:sz="0" w:space="0" w:color="auto"/>
        <w:bottom w:val="none" w:sz="0" w:space="0" w:color="auto"/>
        <w:right w:val="none" w:sz="0" w:space="0" w:color="auto"/>
      </w:divBdr>
    </w:div>
    <w:div w:id="1936353772">
      <w:bodyDiv w:val="1"/>
      <w:marLeft w:val="0"/>
      <w:marRight w:val="0"/>
      <w:marTop w:val="0"/>
      <w:marBottom w:val="0"/>
      <w:divBdr>
        <w:top w:val="none" w:sz="0" w:space="0" w:color="auto"/>
        <w:left w:val="none" w:sz="0" w:space="0" w:color="auto"/>
        <w:bottom w:val="none" w:sz="0" w:space="0" w:color="auto"/>
        <w:right w:val="none" w:sz="0" w:space="0" w:color="auto"/>
      </w:divBdr>
    </w:div>
    <w:div w:id="1937669528">
      <w:bodyDiv w:val="1"/>
      <w:marLeft w:val="0"/>
      <w:marRight w:val="0"/>
      <w:marTop w:val="0"/>
      <w:marBottom w:val="0"/>
      <w:divBdr>
        <w:top w:val="none" w:sz="0" w:space="0" w:color="auto"/>
        <w:left w:val="none" w:sz="0" w:space="0" w:color="auto"/>
        <w:bottom w:val="none" w:sz="0" w:space="0" w:color="auto"/>
        <w:right w:val="none" w:sz="0" w:space="0" w:color="auto"/>
      </w:divBdr>
    </w:div>
    <w:div w:id="1960337779">
      <w:bodyDiv w:val="1"/>
      <w:marLeft w:val="0"/>
      <w:marRight w:val="0"/>
      <w:marTop w:val="0"/>
      <w:marBottom w:val="0"/>
      <w:divBdr>
        <w:top w:val="none" w:sz="0" w:space="0" w:color="auto"/>
        <w:left w:val="none" w:sz="0" w:space="0" w:color="auto"/>
        <w:bottom w:val="none" w:sz="0" w:space="0" w:color="auto"/>
        <w:right w:val="none" w:sz="0" w:space="0" w:color="auto"/>
      </w:divBdr>
    </w:div>
    <w:div w:id="1968193978">
      <w:bodyDiv w:val="1"/>
      <w:marLeft w:val="0"/>
      <w:marRight w:val="0"/>
      <w:marTop w:val="0"/>
      <w:marBottom w:val="0"/>
      <w:divBdr>
        <w:top w:val="none" w:sz="0" w:space="0" w:color="auto"/>
        <w:left w:val="none" w:sz="0" w:space="0" w:color="auto"/>
        <w:bottom w:val="none" w:sz="0" w:space="0" w:color="auto"/>
        <w:right w:val="none" w:sz="0" w:space="0" w:color="auto"/>
      </w:divBdr>
    </w:div>
    <w:div w:id="1974604037">
      <w:bodyDiv w:val="1"/>
      <w:marLeft w:val="0"/>
      <w:marRight w:val="0"/>
      <w:marTop w:val="0"/>
      <w:marBottom w:val="0"/>
      <w:divBdr>
        <w:top w:val="none" w:sz="0" w:space="0" w:color="auto"/>
        <w:left w:val="none" w:sz="0" w:space="0" w:color="auto"/>
        <w:bottom w:val="none" w:sz="0" w:space="0" w:color="auto"/>
        <w:right w:val="none" w:sz="0" w:space="0" w:color="auto"/>
      </w:divBdr>
    </w:div>
    <w:div w:id="1980265807">
      <w:bodyDiv w:val="1"/>
      <w:marLeft w:val="0"/>
      <w:marRight w:val="0"/>
      <w:marTop w:val="0"/>
      <w:marBottom w:val="0"/>
      <w:divBdr>
        <w:top w:val="none" w:sz="0" w:space="0" w:color="auto"/>
        <w:left w:val="none" w:sz="0" w:space="0" w:color="auto"/>
        <w:bottom w:val="none" w:sz="0" w:space="0" w:color="auto"/>
        <w:right w:val="none" w:sz="0" w:space="0" w:color="auto"/>
      </w:divBdr>
    </w:div>
    <w:div w:id="1995646243">
      <w:bodyDiv w:val="1"/>
      <w:marLeft w:val="0"/>
      <w:marRight w:val="0"/>
      <w:marTop w:val="0"/>
      <w:marBottom w:val="0"/>
      <w:divBdr>
        <w:top w:val="none" w:sz="0" w:space="0" w:color="auto"/>
        <w:left w:val="none" w:sz="0" w:space="0" w:color="auto"/>
        <w:bottom w:val="none" w:sz="0" w:space="0" w:color="auto"/>
        <w:right w:val="none" w:sz="0" w:space="0" w:color="auto"/>
      </w:divBdr>
    </w:div>
    <w:div w:id="2006787049">
      <w:bodyDiv w:val="1"/>
      <w:marLeft w:val="390"/>
      <w:marRight w:val="390"/>
      <w:marTop w:val="0"/>
      <w:marBottom w:val="0"/>
      <w:divBdr>
        <w:top w:val="none" w:sz="0" w:space="0" w:color="auto"/>
        <w:left w:val="none" w:sz="0" w:space="0" w:color="auto"/>
        <w:bottom w:val="none" w:sz="0" w:space="0" w:color="auto"/>
        <w:right w:val="none" w:sz="0" w:space="0" w:color="auto"/>
      </w:divBdr>
      <w:divsChild>
        <w:div w:id="348876000">
          <w:marLeft w:val="0"/>
          <w:marRight w:val="0"/>
          <w:marTop w:val="0"/>
          <w:marBottom w:val="0"/>
          <w:divBdr>
            <w:top w:val="none" w:sz="0" w:space="0" w:color="auto"/>
            <w:left w:val="none" w:sz="0" w:space="0" w:color="auto"/>
            <w:bottom w:val="none" w:sz="0" w:space="0" w:color="auto"/>
            <w:right w:val="none" w:sz="0" w:space="0" w:color="auto"/>
          </w:divBdr>
          <w:divsChild>
            <w:div w:id="1052654743">
              <w:marLeft w:val="0"/>
              <w:marRight w:val="0"/>
              <w:marTop w:val="0"/>
              <w:marBottom w:val="0"/>
              <w:divBdr>
                <w:top w:val="none" w:sz="0" w:space="0" w:color="auto"/>
                <w:left w:val="none" w:sz="0" w:space="0" w:color="auto"/>
                <w:bottom w:val="none" w:sz="0" w:space="0" w:color="auto"/>
                <w:right w:val="none" w:sz="0" w:space="0" w:color="auto"/>
              </w:divBdr>
              <w:divsChild>
                <w:div w:id="507907478">
                  <w:marLeft w:val="-225"/>
                  <w:marRight w:val="-225"/>
                  <w:marTop w:val="0"/>
                  <w:marBottom w:val="0"/>
                  <w:divBdr>
                    <w:top w:val="none" w:sz="0" w:space="0" w:color="auto"/>
                    <w:left w:val="none" w:sz="0" w:space="0" w:color="auto"/>
                    <w:bottom w:val="none" w:sz="0" w:space="0" w:color="auto"/>
                    <w:right w:val="none" w:sz="0" w:space="0" w:color="auto"/>
                  </w:divBdr>
                  <w:divsChild>
                    <w:div w:id="1081178568">
                      <w:marLeft w:val="0"/>
                      <w:marRight w:val="0"/>
                      <w:marTop w:val="0"/>
                      <w:marBottom w:val="0"/>
                      <w:divBdr>
                        <w:top w:val="none" w:sz="0" w:space="0" w:color="auto"/>
                        <w:left w:val="none" w:sz="0" w:space="0" w:color="auto"/>
                        <w:bottom w:val="none" w:sz="0" w:space="0" w:color="auto"/>
                        <w:right w:val="none" w:sz="0" w:space="0" w:color="auto"/>
                      </w:divBdr>
                      <w:divsChild>
                        <w:div w:id="56975051">
                          <w:marLeft w:val="0"/>
                          <w:marRight w:val="0"/>
                          <w:marTop w:val="0"/>
                          <w:marBottom w:val="0"/>
                          <w:divBdr>
                            <w:top w:val="none" w:sz="0" w:space="0" w:color="auto"/>
                            <w:left w:val="none" w:sz="0" w:space="0" w:color="auto"/>
                            <w:bottom w:val="none" w:sz="0" w:space="0" w:color="auto"/>
                            <w:right w:val="none" w:sz="0" w:space="0" w:color="auto"/>
                          </w:divBdr>
                          <w:divsChild>
                            <w:div w:id="531964390">
                              <w:marLeft w:val="0"/>
                              <w:marRight w:val="0"/>
                              <w:marTop w:val="0"/>
                              <w:marBottom w:val="240"/>
                              <w:divBdr>
                                <w:top w:val="none" w:sz="0" w:space="0" w:color="auto"/>
                                <w:left w:val="none" w:sz="0" w:space="0" w:color="auto"/>
                                <w:bottom w:val="none" w:sz="0" w:space="0" w:color="auto"/>
                                <w:right w:val="none" w:sz="0" w:space="0" w:color="auto"/>
                              </w:divBdr>
                            </w:div>
                            <w:div w:id="381902616">
                              <w:marLeft w:val="0"/>
                              <w:marRight w:val="0"/>
                              <w:marTop w:val="0"/>
                              <w:marBottom w:val="240"/>
                              <w:divBdr>
                                <w:top w:val="none" w:sz="0" w:space="0" w:color="auto"/>
                                <w:left w:val="none" w:sz="0" w:space="0" w:color="auto"/>
                                <w:bottom w:val="none" w:sz="0" w:space="0" w:color="auto"/>
                                <w:right w:val="none" w:sz="0" w:space="0" w:color="auto"/>
                              </w:divBdr>
                            </w:div>
                            <w:div w:id="83546098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2490418">
      <w:bodyDiv w:val="1"/>
      <w:marLeft w:val="0"/>
      <w:marRight w:val="0"/>
      <w:marTop w:val="0"/>
      <w:marBottom w:val="0"/>
      <w:divBdr>
        <w:top w:val="none" w:sz="0" w:space="0" w:color="auto"/>
        <w:left w:val="none" w:sz="0" w:space="0" w:color="auto"/>
        <w:bottom w:val="none" w:sz="0" w:space="0" w:color="auto"/>
        <w:right w:val="none" w:sz="0" w:space="0" w:color="auto"/>
      </w:divBdr>
    </w:div>
    <w:div w:id="2014406425">
      <w:bodyDiv w:val="1"/>
      <w:marLeft w:val="0"/>
      <w:marRight w:val="0"/>
      <w:marTop w:val="0"/>
      <w:marBottom w:val="0"/>
      <w:divBdr>
        <w:top w:val="none" w:sz="0" w:space="0" w:color="auto"/>
        <w:left w:val="none" w:sz="0" w:space="0" w:color="auto"/>
        <w:bottom w:val="none" w:sz="0" w:space="0" w:color="auto"/>
        <w:right w:val="none" w:sz="0" w:space="0" w:color="auto"/>
      </w:divBdr>
    </w:div>
    <w:div w:id="2018344132">
      <w:bodyDiv w:val="1"/>
      <w:marLeft w:val="0"/>
      <w:marRight w:val="0"/>
      <w:marTop w:val="0"/>
      <w:marBottom w:val="0"/>
      <w:divBdr>
        <w:top w:val="none" w:sz="0" w:space="0" w:color="auto"/>
        <w:left w:val="none" w:sz="0" w:space="0" w:color="auto"/>
        <w:bottom w:val="none" w:sz="0" w:space="0" w:color="auto"/>
        <w:right w:val="none" w:sz="0" w:space="0" w:color="auto"/>
      </w:divBdr>
    </w:div>
    <w:div w:id="2026786271">
      <w:bodyDiv w:val="1"/>
      <w:marLeft w:val="0"/>
      <w:marRight w:val="0"/>
      <w:marTop w:val="0"/>
      <w:marBottom w:val="0"/>
      <w:divBdr>
        <w:top w:val="none" w:sz="0" w:space="0" w:color="auto"/>
        <w:left w:val="none" w:sz="0" w:space="0" w:color="auto"/>
        <w:bottom w:val="none" w:sz="0" w:space="0" w:color="auto"/>
        <w:right w:val="none" w:sz="0" w:space="0" w:color="auto"/>
      </w:divBdr>
    </w:div>
    <w:div w:id="2032948368">
      <w:bodyDiv w:val="1"/>
      <w:marLeft w:val="0"/>
      <w:marRight w:val="0"/>
      <w:marTop w:val="0"/>
      <w:marBottom w:val="0"/>
      <w:divBdr>
        <w:top w:val="none" w:sz="0" w:space="0" w:color="auto"/>
        <w:left w:val="none" w:sz="0" w:space="0" w:color="auto"/>
        <w:bottom w:val="none" w:sz="0" w:space="0" w:color="auto"/>
        <w:right w:val="none" w:sz="0" w:space="0" w:color="auto"/>
      </w:divBdr>
    </w:div>
    <w:div w:id="2036149043">
      <w:bodyDiv w:val="1"/>
      <w:marLeft w:val="0"/>
      <w:marRight w:val="0"/>
      <w:marTop w:val="0"/>
      <w:marBottom w:val="0"/>
      <w:divBdr>
        <w:top w:val="none" w:sz="0" w:space="0" w:color="auto"/>
        <w:left w:val="none" w:sz="0" w:space="0" w:color="auto"/>
        <w:bottom w:val="none" w:sz="0" w:space="0" w:color="auto"/>
        <w:right w:val="none" w:sz="0" w:space="0" w:color="auto"/>
      </w:divBdr>
    </w:div>
    <w:div w:id="2040741439">
      <w:bodyDiv w:val="1"/>
      <w:marLeft w:val="0"/>
      <w:marRight w:val="0"/>
      <w:marTop w:val="0"/>
      <w:marBottom w:val="0"/>
      <w:divBdr>
        <w:top w:val="none" w:sz="0" w:space="0" w:color="auto"/>
        <w:left w:val="none" w:sz="0" w:space="0" w:color="auto"/>
        <w:bottom w:val="none" w:sz="0" w:space="0" w:color="auto"/>
        <w:right w:val="none" w:sz="0" w:space="0" w:color="auto"/>
      </w:divBdr>
    </w:div>
    <w:div w:id="2048212818">
      <w:bodyDiv w:val="1"/>
      <w:marLeft w:val="0"/>
      <w:marRight w:val="0"/>
      <w:marTop w:val="0"/>
      <w:marBottom w:val="0"/>
      <w:divBdr>
        <w:top w:val="none" w:sz="0" w:space="0" w:color="auto"/>
        <w:left w:val="none" w:sz="0" w:space="0" w:color="auto"/>
        <w:bottom w:val="none" w:sz="0" w:space="0" w:color="auto"/>
        <w:right w:val="none" w:sz="0" w:space="0" w:color="auto"/>
      </w:divBdr>
    </w:div>
    <w:div w:id="2055960428">
      <w:bodyDiv w:val="1"/>
      <w:marLeft w:val="0"/>
      <w:marRight w:val="0"/>
      <w:marTop w:val="0"/>
      <w:marBottom w:val="0"/>
      <w:divBdr>
        <w:top w:val="none" w:sz="0" w:space="0" w:color="auto"/>
        <w:left w:val="none" w:sz="0" w:space="0" w:color="auto"/>
        <w:bottom w:val="none" w:sz="0" w:space="0" w:color="auto"/>
        <w:right w:val="none" w:sz="0" w:space="0" w:color="auto"/>
      </w:divBdr>
    </w:div>
    <w:div w:id="2056731794">
      <w:bodyDiv w:val="1"/>
      <w:marLeft w:val="0"/>
      <w:marRight w:val="0"/>
      <w:marTop w:val="0"/>
      <w:marBottom w:val="0"/>
      <w:divBdr>
        <w:top w:val="none" w:sz="0" w:space="0" w:color="auto"/>
        <w:left w:val="none" w:sz="0" w:space="0" w:color="auto"/>
        <w:bottom w:val="none" w:sz="0" w:space="0" w:color="auto"/>
        <w:right w:val="none" w:sz="0" w:space="0" w:color="auto"/>
      </w:divBdr>
    </w:div>
    <w:div w:id="2071153118">
      <w:bodyDiv w:val="1"/>
      <w:marLeft w:val="0"/>
      <w:marRight w:val="0"/>
      <w:marTop w:val="0"/>
      <w:marBottom w:val="0"/>
      <w:divBdr>
        <w:top w:val="none" w:sz="0" w:space="0" w:color="auto"/>
        <w:left w:val="none" w:sz="0" w:space="0" w:color="auto"/>
        <w:bottom w:val="none" w:sz="0" w:space="0" w:color="auto"/>
        <w:right w:val="none" w:sz="0" w:space="0" w:color="auto"/>
      </w:divBdr>
    </w:div>
    <w:div w:id="2075276937">
      <w:bodyDiv w:val="1"/>
      <w:marLeft w:val="0"/>
      <w:marRight w:val="0"/>
      <w:marTop w:val="0"/>
      <w:marBottom w:val="0"/>
      <w:divBdr>
        <w:top w:val="none" w:sz="0" w:space="0" w:color="auto"/>
        <w:left w:val="none" w:sz="0" w:space="0" w:color="auto"/>
        <w:bottom w:val="none" w:sz="0" w:space="0" w:color="auto"/>
        <w:right w:val="none" w:sz="0" w:space="0" w:color="auto"/>
      </w:divBdr>
    </w:div>
    <w:div w:id="2084637326">
      <w:bodyDiv w:val="1"/>
      <w:marLeft w:val="0"/>
      <w:marRight w:val="0"/>
      <w:marTop w:val="0"/>
      <w:marBottom w:val="0"/>
      <w:divBdr>
        <w:top w:val="none" w:sz="0" w:space="0" w:color="auto"/>
        <w:left w:val="none" w:sz="0" w:space="0" w:color="auto"/>
        <w:bottom w:val="none" w:sz="0" w:space="0" w:color="auto"/>
        <w:right w:val="none" w:sz="0" w:space="0" w:color="auto"/>
      </w:divBdr>
    </w:div>
    <w:div w:id="2084720123">
      <w:bodyDiv w:val="1"/>
      <w:marLeft w:val="0"/>
      <w:marRight w:val="0"/>
      <w:marTop w:val="0"/>
      <w:marBottom w:val="0"/>
      <w:divBdr>
        <w:top w:val="none" w:sz="0" w:space="0" w:color="auto"/>
        <w:left w:val="none" w:sz="0" w:space="0" w:color="auto"/>
        <w:bottom w:val="none" w:sz="0" w:space="0" w:color="auto"/>
        <w:right w:val="none" w:sz="0" w:space="0" w:color="auto"/>
      </w:divBdr>
    </w:div>
    <w:div w:id="2094468014">
      <w:bodyDiv w:val="1"/>
      <w:marLeft w:val="0"/>
      <w:marRight w:val="0"/>
      <w:marTop w:val="0"/>
      <w:marBottom w:val="0"/>
      <w:divBdr>
        <w:top w:val="none" w:sz="0" w:space="0" w:color="auto"/>
        <w:left w:val="none" w:sz="0" w:space="0" w:color="auto"/>
        <w:bottom w:val="none" w:sz="0" w:space="0" w:color="auto"/>
        <w:right w:val="none" w:sz="0" w:space="0" w:color="auto"/>
      </w:divBdr>
    </w:div>
    <w:div w:id="2102680317">
      <w:bodyDiv w:val="1"/>
      <w:marLeft w:val="0"/>
      <w:marRight w:val="0"/>
      <w:marTop w:val="0"/>
      <w:marBottom w:val="0"/>
      <w:divBdr>
        <w:top w:val="none" w:sz="0" w:space="0" w:color="auto"/>
        <w:left w:val="none" w:sz="0" w:space="0" w:color="auto"/>
        <w:bottom w:val="none" w:sz="0" w:space="0" w:color="auto"/>
        <w:right w:val="none" w:sz="0" w:space="0" w:color="auto"/>
      </w:divBdr>
    </w:div>
    <w:div w:id="2106730151">
      <w:bodyDiv w:val="1"/>
      <w:marLeft w:val="0"/>
      <w:marRight w:val="0"/>
      <w:marTop w:val="0"/>
      <w:marBottom w:val="0"/>
      <w:divBdr>
        <w:top w:val="none" w:sz="0" w:space="0" w:color="auto"/>
        <w:left w:val="none" w:sz="0" w:space="0" w:color="auto"/>
        <w:bottom w:val="none" w:sz="0" w:space="0" w:color="auto"/>
        <w:right w:val="none" w:sz="0" w:space="0" w:color="auto"/>
      </w:divBdr>
    </w:div>
    <w:div w:id="2107726544">
      <w:bodyDiv w:val="1"/>
      <w:marLeft w:val="0"/>
      <w:marRight w:val="0"/>
      <w:marTop w:val="0"/>
      <w:marBottom w:val="0"/>
      <w:divBdr>
        <w:top w:val="none" w:sz="0" w:space="0" w:color="auto"/>
        <w:left w:val="none" w:sz="0" w:space="0" w:color="auto"/>
        <w:bottom w:val="none" w:sz="0" w:space="0" w:color="auto"/>
        <w:right w:val="none" w:sz="0" w:space="0" w:color="auto"/>
      </w:divBdr>
    </w:div>
    <w:div w:id="2111076153">
      <w:bodyDiv w:val="1"/>
      <w:marLeft w:val="0"/>
      <w:marRight w:val="0"/>
      <w:marTop w:val="0"/>
      <w:marBottom w:val="0"/>
      <w:divBdr>
        <w:top w:val="none" w:sz="0" w:space="0" w:color="auto"/>
        <w:left w:val="none" w:sz="0" w:space="0" w:color="auto"/>
        <w:bottom w:val="none" w:sz="0" w:space="0" w:color="auto"/>
        <w:right w:val="none" w:sz="0" w:space="0" w:color="auto"/>
      </w:divBdr>
    </w:div>
    <w:div w:id="2120948984">
      <w:bodyDiv w:val="1"/>
      <w:marLeft w:val="0"/>
      <w:marRight w:val="0"/>
      <w:marTop w:val="0"/>
      <w:marBottom w:val="0"/>
      <w:divBdr>
        <w:top w:val="none" w:sz="0" w:space="0" w:color="auto"/>
        <w:left w:val="none" w:sz="0" w:space="0" w:color="auto"/>
        <w:bottom w:val="none" w:sz="0" w:space="0" w:color="auto"/>
        <w:right w:val="none" w:sz="0" w:space="0" w:color="auto"/>
      </w:divBdr>
    </w:div>
    <w:div w:id="2131627258">
      <w:bodyDiv w:val="1"/>
      <w:marLeft w:val="0"/>
      <w:marRight w:val="0"/>
      <w:marTop w:val="0"/>
      <w:marBottom w:val="0"/>
      <w:divBdr>
        <w:top w:val="none" w:sz="0" w:space="0" w:color="auto"/>
        <w:left w:val="none" w:sz="0" w:space="0" w:color="auto"/>
        <w:bottom w:val="none" w:sz="0" w:space="0" w:color="auto"/>
        <w:right w:val="none" w:sz="0" w:space="0" w:color="auto"/>
      </w:divBdr>
    </w:div>
    <w:div w:id="2138721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21" Type="http://schemas.openxmlformats.org/officeDocument/2006/relationships/customXml" Target="../customXml/item21.xml"/><Relationship Id="rId34" Type="http://schemas.openxmlformats.org/officeDocument/2006/relationships/image" Target="media/image1.png"/><Relationship Id="rId42" Type="http://schemas.openxmlformats.org/officeDocument/2006/relationships/header" Target="header4.xml"/><Relationship Id="rId47" Type="http://schemas.openxmlformats.org/officeDocument/2006/relationships/chart" Target="charts/chart3.xml"/><Relationship Id="rId50" Type="http://schemas.openxmlformats.org/officeDocument/2006/relationships/chart" Target="charts/chart6.xml"/><Relationship Id="rId55" Type="http://schemas.openxmlformats.org/officeDocument/2006/relationships/chart" Target="charts/chart11.xml"/><Relationship Id="rId63" Type="http://schemas.openxmlformats.org/officeDocument/2006/relationships/header" Target="header7.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customXml" Target="../customXml/item16.xml"/><Relationship Id="rId29" Type="http://schemas.openxmlformats.org/officeDocument/2006/relationships/styles" Target="styles.xml"/><Relationship Id="rId11" Type="http://schemas.openxmlformats.org/officeDocument/2006/relationships/customXml" Target="../customXml/item11.xml"/><Relationship Id="rId24" Type="http://schemas.openxmlformats.org/officeDocument/2006/relationships/customXml" Target="../customXml/item24.xml"/><Relationship Id="rId32" Type="http://schemas.openxmlformats.org/officeDocument/2006/relationships/footnotes" Target="footnotes.xml"/><Relationship Id="rId37" Type="http://schemas.openxmlformats.org/officeDocument/2006/relationships/header" Target="header1.xml"/><Relationship Id="rId40" Type="http://schemas.openxmlformats.org/officeDocument/2006/relationships/footer" Target="footer4.xml"/><Relationship Id="rId45" Type="http://schemas.openxmlformats.org/officeDocument/2006/relationships/chart" Target="charts/chart1.xml"/><Relationship Id="rId53" Type="http://schemas.openxmlformats.org/officeDocument/2006/relationships/chart" Target="charts/chart9.xml"/><Relationship Id="rId58" Type="http://schemas.openxmlformats.org/officeDocument/2006/relationships/chart" Target="charts/chart13.xml"/><Relationship Id="rId66"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chart" Target="charts/chart16.xml"/><Relationship Id="rId19" Type="http://schemas.openxmlformats.org/officeDocument/2006/relationships/customXml" Target="../customXml/item19.xml"/><Relationship Id="rId14" Type="http://schemas.openxmlformats.org/officeDocument/2006/relationships/customXml" Target="../customXml/item14.xml"/><Relationship Id="rId22" Type="http://schemas.openxmlformats.org/officeDocument/2006/relationships/customXml" Target="../customXml/item22.xml"/><Relationship Id="rId27" Type="http://schemas.openxmlformats.org/officeDocument/2006/relationships/customXml" Target="../customXml/item27.xml"/><Relationship Id="rId30" Type="http://schemas.openxmlformats.org/officeDocument/2006/relationships/settings" Target="settings.xml"/><Relationship Id="rId35" Type="http://schemas.openxmlformats.org/officeDocument/2006/relationships/footer" Target="footer1.xml"/><Relationship Id="rId43" Type="http://schemas.openxmlformats.org/officeDocument/2006/relationships/footer" Target="footer5.xml"/><Relationship Id="rId48" Type="http://schemas.openxmlformats.org/officeDocument/2006/relationships/chart" Target="charts/chart4.xml"/><Relationship Id="rId56" Type="http://schemas.openxmlformats.org/officeDocument/2006/relationships/header" Target="header5.xml"/><Relationship Id="rId64" Type="http://schemas.openxmlformats.org/officeDocument/2006/relationships/header" Target="header8.xml"/><Relationship Id="rId8" Type="http://schemas.openxmlformats.org/officeDocument/2006/relationships/customXml" Target="../customXml/item8.xml"/><Relationship Id="rId51" Type="http://schemas.openxmlformats.org/officeDocument/2006/relationships/chart" Target="charts/chart7.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customXml" Target="../customXml/item17.xml"/><Relationship Id="rId25" Type="http://schemas.openxmlformats.org/officeDocument/2006/relationships/customXml" Target="../customXml/item25.xml"/><Relationship Id="rId33" Type="http://schemas.openxmlformats.org/officeDocument/2006/relationships/endnotes" Target="endnotes.xml"/><Relationship Id="rId38" Type="http://schemas.openxmlformats.org/officeDocument/2006/relationships/header" Target="header2.xml"/><Relationship Id="rId46" Type="http://schemas.openxmlformats.org/officeDocument/2006/relationships/chart" Target="charts/chart2.xml"/><Relationship Id="rId59" Type="http://schemas.openxmlformats.org/officeDocument/2006/relationships/chart" Target="charts/chart14.xml"/><Relationship Id="rId20" Type="http://schemas.openxmlformats.org/officeDocument/2006/relationships/customXml" Target="../customXml/item20.xml"/><Relationship Id="rId41" Type="http://schemas.openxmlformats.org/officeDocument/2006/relationships/header" Target="header3.xml"/><Relationship Id="rId54" Type="http://schemas.openxmlformats.org/officeDocument/2006/relationships/chart" Target="charts/chart10.xml"/><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customXml" Target="../customXml/item15.xml"/><Relationship Id="rId23" Type="http://schemas.openxmlformats.org/officeDocument/2006/relationships/customXml" Target="../customXml/item23.xml"/><Relationship Id="rId28" Type="http://schemas.openxmlformats.org/officeDocument/2006/relationships/numbering" Target="numbering.xml"/><Relationship Id="rId36" Type="http://schemas.openxmlformats.org/officeDocument/2006/relationships/footer" Target="footer2.xml"/><Relationship Id="rId49" Type="http://schemas.openxmlformats.org/officeDocument/2006/relationships/chart" Target="charts/chart5.xml"/><Relationship Id="rId57" Type="http://schemas.openxmlformats.org/officeDocument/2006/relationships/chart" Target="charts/chart12.xml"/><Relationship Id="rId10" Type="http://schemas.openxmlformats.org/officeDocument/2006/relationships/customXml" Target="../customXml/item10.xml"/><Relationship Id="rId31" Type="http://schemas.openxmlformats.org/officeDocument/2006/relationships/webSettings" Target="webSettings.xml"/><Relationship Id="rId44" Type="http://schemas.openxmlformats.org/officeDocument/2006/relationships/footer" Target="footer6.xml"/><Relationship Id="rId52" Type="http://schemas.openxmlformats.org/officeDocument/2006/relationships/chart" Target="charts/chart8.xml"/><Relationship Id="rId60" Type="http://schemas.openxmlformats.org/officeDocument/2006/relationships/chart" Target="charts/chart15.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footer" Target="footer3.xml"/></Relationships>
</file>

<file path=word/_rels/footnotes.xml.rels><?xml version="1.0" encoding="UTF-8" standalone="yes"?>
<Relationships xmlns="http://schemas.openxmlformats.org/package/2006/relationships"><Relationship Id="rId3" Type="http://schemas.openxmlformats.org/officeDocument/2006/relationships/hyperlink" Target="http://www.bnb.bg/BankSupervision/BSCapitalBuffers/index.htm" TargetMode="External"/><Relationship Id="rId2" Type="http://schemas.openxmlformats.org/officeDocument/2006/relationships/hyperlink" Target="https://eur-lex.europa.eu/legal-content/BG/TXT/HTML/?uri=CELEX:32022H0901(02)&amp;qid=1681213087562&amp;from=EN" TargetMode="External"/><Relationship Id="rId1" Type="http://schemas.openxmlformats.org/officeDocument/2006/relationships/hyperlink" Target="http://data.consilium.europa.eu/doc/document/ST-9344-2017-INIT/en/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oleObject" Target="file:///C:\Users\myarliyska\Desktop\CAB_2023.04.20.xlsx" TargetMode="External"/><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1" Type="http://schemas.openxmlformats.org/officeDocument/2006/relationships/oleObject" Target="file:///\\mfshare\MF\&#1045;&#1042;&#1056;&#1054;&#1055;&#1045;&#1049;&#1057;&#1050;&#1048;%20&#1042;&#1066;&#1055;&#1056;&#1054;&#1057;&#1048;%20&#1048;%20&#1048;&#1050;&#1054;&#1053;&#1054;&#1052;&#1048;&#1063;&#1045;&#1057;&#1050;&#1048;%20&#1040;&#1053;&#1040;&#1051;&#1048;&#1047;&#1048;\&#1060;&#1080;&#1089;&#1082;&#1072;&#1083;&#1085;&#1080;%20&#1087;&#1086;&#1083;&#1080;&#1090;&#1080;&#1082;&#1080;%20&#1074;%20&#1045;&#1057;%20&#1080;%20&#1077;&#1074;&#1088;&#1086;&#1079;&#1086;&#1085;&#1072;\public\Convergence_Programme\2023\&#1060;&#1086;&#1088;&#1084;&#1072;&#1090;\&#1043;&#1088;&#1072;&#1092;&#1080;&#1082;&#1080;\&#1044;&#1044;%20&#1043;&#1088;&#1072;&#1092;&#1080;&#1082;&#1072;%20-%20&#1050;&#1044;&#1044;%202023-2026%2024-4-2023.xlsx" TargetMode="Externa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3" Type="http://schemas.openxmlformats.org/officeDocument/2006/relationships/oleObject" Target="file:///\\mfshare\MF\&#1045;&#1042;&#1056;&#1054;&#1055;&#1045;&#1049;&#1057;&#1050;&#1048;%20&#1042;&#1066;&#1055;&#1056;&#1054;&#1057;&#1048;%20&#1048;%20&#1048;&#1050;&#1054;&#1053;&#1054;&#1052;&#1048;&#1063;&#1045;&#1057;&#1050;&#1048;%20&#1040;&#1053;&#1040;&#1051;&#1048;&#1047;&#1048;\&#1060;&#1080;&#1089;&#1082;&#1072;&#1083;&#1085;&#1080;%20&#1087;&#1086;&#1083;&#1080;&#1090;&#1080;&#1082;&#1080;%20&#1074;%20&#1045;&#1057;%20&#1080;%20&#1077;&#1074;&#1088;&#1086;&#1079;&#1086;&#1085;&#1072;\public\Convergence_Programme\2023\&#1060;&#1086;&#1088;&#1084;&#1072;&#1090;\&#1043;&#1088;&#1072;&#1092;&#1080;&#1082;&#1080;\&#1053;&#1054;&#1048;%20NOI%20Results_BG_Convergence_prog_2023_MF.xlsx" TargetMode="External"/><Relationship Id="rId2" Type="http://schemas.microsoft.com/office/2011/relationships/chartColorStyle" Target="colors4.xml"/><Relationship Id="rId1" Type="http://schemas.microsoft.com/office/2011/relationships/chartStyle" Target="style4.xml"/></Relationships>
</file>

<file path=word/charts/_rels/chart16.xml.rels><?xml version="1.0" encoding="UTF-8" standalone="yes"?>
<Relationships xmlns="http://schemas.openxmlformats.org/package/2006/relationships"><Relationship Id="rId3" Type="http://schemas.openxmlformats.org/officeDocument/2006/relationships/oleObject" Target="file:///\\mfshare\MF\&#1045;&#1042;&#1056;&#1054;&#1055;&#1045;&#1049;&#1057;&#1050;&#1048;%20&#1042;&#1066;&#1055;&#1056;&#1054;&#1057;&#1048;%20&#1048;%20&#1048;&#1050;&#1054;&#1053;&#1054;&#1052;&#1048;&#1063;&#1045;&#1057;&#1050;&#1048;%20&#1040;&#1053;&#1040;&#1051;&#1048;&#1047;&#1048;\&#1060;&#1080;&#1089;&#1082;&#1072;&#1083;&#1085;&#1080;%20&#1087;&#1086;&#1083;&#1080;&#1090;&#1080;&#1082;&#1080;%20&#1074;%20&#1045;&#1057;%20&#1080;%20&#1077;&#1074;&#1088;&#1086;&#1079;&#1086;&#1085;&#1072;\public\Convergence_Programme\2023\&#1060;&#1086;&#1088;&#1084;&#1072;&#1090;\&#1043;&#1088;&#1072;&#1092;&#1080;&#1082;&#1080;\&#1053;&#1054;&#1048;%20NOI%20Results_BG_Convergence_prog_2023_MF.xlsx" TargetMode="External"/><Relationship Id="rId2" Type="http://schemas.microsoft.com/office/2011/relationships/chartColorStyle" Target="colors5.xml"/><Relationship Id="rId1" Type="http://schemas.microsoft.com/office/2011/relationships/chartStyle" Target="style5.xml"/></Relationships>
</file>

<file path=word/charts/_rels/chart2.xml.rels><?xml version="1.0" encoding="UTF-8" standalone="yes"?>
<Relationships xmlns="http://schemas.openxmlformats.org/package/2006/relationships"><Relationship Id="rId1" Type="http://schemas.openxmlformats.org/officeDocument/2006/relationships/oleObject" Target="file:///D:\Rabota\Commision\Konvergentna\&#1050;&#1055;%202023-2026\LabourULC_2023-26_0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Rabota\Commision\Konvergentna\&#1050;&#1055;%202023-2026\LabourULC_2023-26_04.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D:\ReadOnly\CP\2023\Charts_inflation_CP2023.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1" Type="http://schemas.openxmlformats.org/officeDocument/2006/relationships/oleObject" Target="file:///\\mfshare\MF\&#1045;&#1042;&#1056;&#1054;&#1055;&#1045;&#1049;&#1057;&#1050;&#1048;%20&#1042;&#1066;&#1055;&#1056;&#1054;&#1057;&#1048;%20&#1048;%20&#1048;&#1050;&#1054;&#1053;&#1054;&#1052;&#1048;&#1063;&#1045;&#1057;&#1050;&#1048;%20&#1040;&#1053;&#1040;&#1051;&#1048;&#1047;&#1048;\&#1052;&#1072;&#1082;&#1088;&#1086;&#1080;&#1082;&#1086;&#1085;&#1086;&#1084;&#1080;&#1095;&#1077;&#1089;&#1082;&#1080;%20&#1072;&#1085;&#1072;&#1083;&#1080;&#1079;&#1080;%20&#1080;%20&#1087;&#1088;&#1086;&#1075;&#1085;&#1086;&#1079;&#1080;\private\Work\Convergence%20programmes\CP%202023\&#1087;&#1088;&#1080;&#1085;&#1086;&#1089;&#1080;\&#1075;&#1088;&#1072;&#1092;&#1080;&#1082;&#1080;%20&#1050;&#1055;_&#1074;&#1098;&#1085;&#1096;&#1077;&#1085;%20&#1089;&#1077;&#1082;&#1090;&#1086;&#1088;.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D:\ReadOnly\CP\2023\Charts_inflation_CP2023.xlsx" TargetMode="External"/><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9.xml.rels><?xml version="1.0" encoding="UTF-8" standalone="yes"?>
<Relationships xmlns="http://schemas.openxmlformats.org/package/2006/relationships"><Relationship Id="rId2" Type="http://schemas.openxmlformats.org/officeDocument/2006/relationships/oleObject" Target="file:///C:\Users\myarliyska\Desktop\CAB_2023.04.20.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2952712498589278E-2"/>
          <c:y val="2.7684070993141987E-2"/>
          <c:w val="0.93761368150749946"/>
          <c:h val="0.71578097218694436"/>
        </c:manualLayout>
      </c:layout>
      <c:barChart>
        <c:barDir val="col"/>
        <c:grouping val="stacked"/>
        <c:varyColors val="0"/>
        <c:ser>
          <c:idx val="0"/>
          <c:order val="0"/>
          <c:tx>
            <c:strRef>
              <c:f>'2.3.Приноси'!$A$5</c:f>
              <c:strCache>
                <c:ptCount val="1"/>
                <c:pt idx="0">
                  <c:v>Крайно потребление</c:v>
                </c:pt>
              </c:strCache>
            </c:strRef>
          </c:tx>
          <c:spPr>
            <a:solidFill>
              <a:srgbClr val="5ECCF3">
                <a:lumMod val="50000"/>
              </a:srgbClr>
            </a:solidFill>
            <a:ln w="3175">
              <a:solidFill>
                <a:sysClr val="window" lastClr="FFFFFF"/>
              </a:solidFill>
            </a:ln>
            <a:effectLst/>
          </c:spPr>
          <c:invertIfNegative val="0"/>
          <c:cat>
            <c:strRef>
              <c:f>'2.3.Приноси'!$G$3:$O$3</c:f>
              <c:strCache>
                <c:ptCount val="9"/>
                <c:pt idx="0">
                  <c:v>2018</c:v>
                </c:pt>
                <c:pt idx="1">
                  <c:v>2019</c:v>
                </c:pt>
                <c:pt idx="2">
                  <c:v>2020</c:v>
                </c:pt>
                <c:pt idx="3">
                  <c:v>2021</c:v>
                </c:pt>
                <c:pt idx="4">
                  <c:v>2022</c:v>
                </c:pt>
                <c:pt idx="5">
                  <c:v>2023*</c:v>
                </c:pt>
                <c:pt idx="6">
                  <c:v>2024*</c:v>
                </c:pt>
                <c:pt idx="7">
                  <c:v>2026*</c:v>
                </c:pt>
                <c:pt idx="8">
                  <c:v>2026*</c:v>
                </c:pt>
              </c:strCache>
            </c:strRef>
          </c:cat>
          <c:val>
            <c:numRef>
              <c:f>'2.3.Приноси'!$G$5:$O$5</c:f>
              <c:numCache>
                <c:formatCode>0.0</c:formatCode>
                <c:ptCount val="9"/>
                <c:pt idx="0">
                  <c:v>3.0671465248109686</c:v>
                </c:pt>
                <c:pt idx="1">
                  <c:v>3.8919838961308733</c:v>
                </c:pt>
                <c:pt idx="2">
                  <c:v>1.0650857485886991</c:v>
                </c:pt>
                <c:pt idx="3">
                  <c:v>5.1872455110841251</c:v>
                </c:pt>
                <c:pt idx="4">
                  <c:v>3.9996826180814375</c:v>
                </c:pt>
                <c:pt idx="5">
                  <c:v>2.3274002494104971</c:v>
                </c:pt>
                <c:pt idx="6">
                  <c:v>2.545260707398473</c:v>
                </c:pt>
                <c:pt idx="7">
                  <c:v>2.5439808013668674</c:v>
                </c:pt>
                <c:pt idx="8">
                  <c:v>2.5727641118196791</c:v>
                </c:pt>
              </c:numCache>
            </c:numRef>
          </c:val>
          <c:extLst>
            <c:ext xmlns:c16="http://schemas.microsoft.com/office/drawing/2014/chart" uri="{C3380CC4-5D6E-409C-BE32-E72D297353CC}">
              <c16:uniqueId val="{00000000-8511-4B2B-A838-ECAF3A4DFA05}"/>
            </c:ext>
          </c:extLst>
        </c:ser>
        <c:ser>
          <c:idx val="1"/>
          <c:order val="1"/>
          <c:tx>
            <c:strRef>
              <c:f>'2.3.Приноси'!$A$6</c:f>
              <c:strCache>
                <c:ptCount val="1"/>
                <c:pt idx="0">
                  <c:v>Инвестиции</c:v>
                </c:pt>
              </c:strCache>
            </c:strRef>
          </c:tx>
          <c:spPr>
            <a:solidFill>
              <a:srgbClr val="5ECCF3"/>
            </a:solidFill>
            <a:ln w="3175">
              <a:solidFill>
                <a:sysClr val="window" lastClr="FFFFFF"/>
              </a:solidFill>
            </a:ln>
            <a:effectLst/>
          </c:spPr>
          <c:invertIfNegative val="0"/>
          <c:cat>
            <c:strRef>
              <c:f>'2.3.Приноси'!$G$3:$O$3</c:f>
              <c:strCache>
                <c:ptCount val="9"/>
                <c:pt idx="0">
                  <c:v>2018</c:v>
                </c:pt>
                <c:pt idx="1">
                  <c:v>2019</c:v>
                </c:pt>
                <c:pt idx="2">
                  <c:v>2020</c:v>
                </c:pt>
                <c:pt idx="3">
                  <c:v>2021</c:v>
                </c:pt>
                <c:pt idx="4">
                  <c:v>2022</c:v>
                </c:pt>
                <c:pt idx="5">
                  <c:v>2023*</c:v>
                </c:pt>
                <c:pt idx="6">
                  <c:v>2024*</c:v>
                </c:pt>
                <c:pt idx="7">
                  <c:v>2026*</c:v>
                </c:pt>
                <c:pt idx="8">
                  <c:v>2026*</c:v>
                </c:pt>
              </c:strCache>
            </c:strRef>
          </c:cat>
          <c:val>
            <c:numRef>
              <c:f>'2.3.Приноси'!$G$6:$O$6</c:f>
              <c:numCache>
                <c:formatCode>0.0</c:formatCode>
                <c:ptCount val="9"/>
                <c:pt idx="0">
                  <c:v>2.0664149837258625</c:v>
                </c:pt>
                <c:pt idx="1">
                  <c:v>0.83183026329225662</c:v>
                </c:pt>
                <c:pt idx="2">
                  <c:v>-1.0109336325812845</c:v>
                </c:pt>
                <c:pt idx="3">
                  <c:v>2.1997897628489671</c:v>
                </c:pt>
                <c:pt idx="4">
                  <c:v>0.56670656480615655</c:v>
                </c:pt>
                <c:pt idx="5">
                  <c:v>0.98836940895299563</c:v>
                </c:pt>
                <c:pt idx="6">
                  <c:v>2.0214660546456145</c:v>
                </c:pt>
                <c:pt idx="7">
                  <c:v>1.0906086710626133</c:v>
                </c:pt>
                <c:pt idx="8">
                  <c:v>0.91939807794712536</c:v>
                </c:pt>
              </c:numCache>
            </c:numRef>
          </c:val>
          <c:extLst>
            <c:ext xmlns:c16="http://schemas.microsoft.com/office/drawing/2014/chart" uri="{C3380CC4-5D6E-409C-BE32-E72D297353CC}">
              <c16:uniqueId val="{00000001-8511-4B2B-A838-ECAF3A4DFA05}"/>
            </c:ext>
          </c:extLst>
        </c:ser>
        <c:ser>
          <c:idx val="2"/>
          <c:order val="2"/>
          <c:tx>
            <c:strRef>
              <c:f>'2.3.Приноси'!$A$7</c:f>
              <c:strCache>
                <c:ptCount val="1"/>
                <c:pt idx="0">
                  <c:v>Търговско салдо (износ-внос)</c:v>
                </c:pt>
              </c:strCache>
            </c:strRef>
          </c:tx>
          <c:spPr>
            <a:solidFill>
              <a:srgbClr val="5ECCF3">
                <a:lumMod val="40000"/>
                <a:lumOff val="60000"/>
              </a:srgbClr>
            </a:solidFill>
            <a:ln w="3175">
              <a:solidFill>
                <a:sysClr val="window" lastClr="FFFFFF"/>
              </a:solidFill>
            </a:ln>
            <a:effectLst/>
          </c:spPr>
          <c:invertIfNegative val="0"/>
          <c:cat>
            <c:strRef>
              <c:f>'2.3.Приноси'!$G$3:$O$3</c:f>
              <c:strCache>
                <c:ptCount val="9"/>
                <c:pt idx="0">
                  <c:v>2018</c:v>
                </c:pt>
                <c:pt idx="1">
                  <c:v>2019</c:v>
                </c:pt>
                <c:pt idx="2">
                  <c:v>2020</c:v>
                </c:pt>
                <c:pt idx="3">
                  <c:v>2021</c:v>
                </c:pt>
                <c:pt idx="4">
                  <c:v>2022</c:v>
                </c:pt>
                <c:pt idx="5">
                  <c:v>2023*</c:v>
                </c:pt>
                <c:pt idx="6">
                  <c:v>2024*</c:v>
                </c:pt>
                <c:pt idx="7">
                  <c:v>2026*</c:v>
                </c:pt>
                <c:pt idx="8">
                  <c:v>2026*</c:v>
                </c:pt>
              </c:strCache>
            </c:strRef>
          </c:cat>
          <c:val>
            <c:numRef>
              <c:f>'2.3.Приноси'!$G$7:$O$7</c:f>
              <c:numCache>
                <c:formatCode>0.0</c:formatCode>
                <c:ptCount val="9"/>
                <c:pt idx="0">
                  <c:v>-2.4488001783052971</c:v>
                </c:pt>
                <c:pt idx="1">
                  <c:v>-0.68567202683567752</c:v>
                </c:pt>
                <c:pt idx="2">
                  <c:v>-4.0127667328310892</c:v>
                </c:pt>
                <c:pt idx="3">
                  <c:v>0.24757413694834529</c:v>
                </c:pt>
                <c:pt idx="4">
                  <c:v>-1.2051362638119878</c:v>
                </c:pt>
                <c:pt idx="5">
                  <c:v>-1.488797640052639</c:v>
                </c:pt>
                <c:pt idx="6">
                  <c:v>-1.315695792274485</c:v>
                </c:pt>
                <c:pt idx="7">
                  <c:v>-0.4557586031715295</c:v>
                </c:pt>
                <c:pt idx="8">
                  <c:v>-0.46097853839224756</c:v>
                </c:pt>
              </c:numCache>
            </c:numRef>
          </c:val>
          <c:extLst>
            <c:ext xmlns:c16="http://schemas.microsoft.com/office/drawing/2014/chart" uri="{C3380CC4-5D6E-409C-BE32-E72D297353CC}">
              <c16:uniqueId val="{00000002-8511-4B2B-A838-ECAF3A4DFA05}"/>
            </c:ext>
          </c:extLst>
        </c:ser>
        <c:dLbls>
          <c:showLegendKey val="0"/>
          <c:showVal val="0"/>
          <c:showCatName val="0"/>
          <c:showSerName val="0"/>
          <c:showPercent val="0"/>
          <c:showBubbleSize val="0"/>
        </c:dLbls>
        <c:gapWidth val="80"/>
        <c:overlap val="100"/>
        <c:axId val="130214144"/>
        <c:axId val="130220416"/>
      </c:barChart>
      <c:lineChart>
        <c:grouping val="standard"/>
        <c:varyColors val="0"/>
        <c:ser>
          <c:idx val="3"/>
          <c:order val="3"/>
          <c:tx>
            <c:strRef>
              <c:f>'2.3.Приноси'!$A$8</c:f>
              <c:strCache>
                <c:ptCount val="1"/>
                <c:pt idx="0">
                  <c:v>БВП, %</c:v>
                </c:pt>
              </c:strCache>
            </c:strRef>
          </c:tx>
          <c:spPr>
            <a:ln w="25400" cap="rnd">
              <a:noFill/>
              <a:round/>
            </a:ln>
            <a:effectLst/>
          </c:spPr>
          <c:marker>
            <c:symbol val="circle"/>
            <c:size val="7"/>
            <c:spPr>
              <a:solidFill>
                <a:srgbClr val="FF8021"/>
              </a:solidFill>
              <a:ln w="3175">
                <a:solidFill>
                  <a:sysClr val="window" lastClr="FFFFFF"/>
                </a:solidFill>
              </a:ln>
              <a:effectLst/>
            </c:spPr>
          </c:marker>
          <c:cat>
            <c:strRef>
              <c:f>'2.3.Приноси'!$G$3:$O$3</c:f>
              <c:strCache>
                <c:ptCount val="9"/>
                <c:pt idx="0">
                  <c:v>2018</c:v>
                </c:pt>
                <c:pt idx="1">
                  <c:v>2019</c:v>
                </c:pt>
                <c:pt idx="2">
                  <c:v>2020</c:v>
                </c:pt>
                <c:pt idx="3">
                  <c:v>2021</c:v>
                </c:pt>
                <c:pt idx="4">
                  <c:v>2022</c:v>
                </c:pt>
                <c:pt idx="5">
                  <c:v>2023*</c:v>
                </c:pt>
                <c:pt idx="6">
                  <c:v>2024*</c:v>
                </c:pt>
                <c:pt idx="7">
                  <c:v>2026*</c:v>
                </c:pt>
                <c:pt idx="8">
                  <c:v>2026*</c:v>
                </c:pt>
              </c:strCache>
            </c:strRef>
          </c:cat>
          <c:val>
            <c:numRef>
              <c:f>'2.3.Приноси'!$G$8:$O$8</c:f>
              <c:numCache>
                <c:formatCode>0.0</c:formatCode>
                <c:ptCount val="9"/>
                <c:pt idx="0">
                  <c:v>2.6847613302315216</c:v>
                </c:pt>
                <c:pt idx="1">
                  <c:v>4.0381421325874634</c:v>
                </c:pt>
                <c:pt idx="2">
                  <c:v>-3.9586146168236858</c:v>
                </c:pt>
                <c:pt idx="3">
                  <c:v>7.634609410881386</c:v>
                </c:pt>
                <c:pt idx="4">
                  <c:v>3.3612529190756089</c:v>
                </c:pt>
                <c:pt idx="5">
                  <c:v>1.8269720183108531</c:v>
                </c:pt>
                <c:pt idx="6">
                  <c:v>3.2510309697696025</c:v>
                </c:pt>
                <c:pt idx="7">
                  <c:v>3.178830869257951</c:v>
                </c:pt>
                <c:pt idx="8">
                  <c:v>3.0311836513745569</c:v>
                </c:pt>
              </c:numCache>
            </c:numRef>
          </c:val>
          <c:smooth val="0"/>
          <c:extLst>
            <c:ext xmlns:c16="http://schemas.microsoft.com/office/drawing/2014/chart" uri="{C3380CC4-5D6E-409C-BE32-E72D297353CC}">
              <c16:uniqueId val="{00000003-8511-4B2B-A838-ECAF3A4DFA05}"/>
            </c:ext>
          </c:extLst>
        </c:ser>
        <c:dLbls>
          <c:showLegendKey val="0"/>
          <c:showVal val="0"/>
          <c:showCatName val="0"/>
          <c:showSerName val="0"/>
          <c:showPercent val="0"/>
          <c:showBubbleSize val="0"/>
        </c:dLbls>
        <c:marker val="1"/>
        <c:smooth val="0"/>
        <c:axId val="130214144"/>
        <c:axId val="130220416"/>
      </c:lineChart>
      <c:catAx>
        <c:axId val="130214144"/>
        <c:scaling>
          <c:orientation val="minMax"/>
        </c:scaling>
        <c:delete val="0"/>
        <c:axPos val="b"/>
        <c:majorGridlines>
          <c:spPr>
            <a:ln w="3175" cap="flat" cmpd="sng" algn="ctr">
              <a:solidFill>
                <a:sysClr val="window" lastClr="FFFFFF">
                  <a:lumMod val="85000"/>
                </a:sysClr>
              </a:solidFill>
              <a:round/>
            </a:ln>
            <a:effectLst/>
          </c:spPr>
        </c:majorGridlines>
        <c:numFmt formatCode="General" sourceLinked="1"/>
        <c:majorTickMark val="cross"/>
        <c:minorTickMark val="none"/>
        <c:tickLblPos val="low"/>
        <c:spPr>
          <a:noFill/>
          <a:ln w="6350" cap="flat" cmpd="sng" algn="ctr">
            <a:solidFill>
              <a:sysClr val="window" lastClr="FFFFFF">
                <a:lumMod val="50000"/>
              </a:sysClr>
            </a:solidFill>
            <a:round/>
          </a:ln>
          <a:effectLst/>
        </c:spPr>
        <c:txPr>
          <a:bodyPr rot="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bg-BG"/>
          </a:p>
        </c:txPr>
        <c:crossAx val="130220416"/>
        <c:crosses val="autoZero"/>
        <c:auto val="1"/>
        <c:lblAlgn val="ctr"/>
        <c:lblOffset val="100"/>
        <c:noMultiLvlLbl val="0"/>
      </c:catAx>
      <c:valAx>
        <c:axId val="130220416"/>
        <c:scaling>
          <c:orientation val="minMax"/>
        </c:scaling>
        <c:delete val="0"/>
        <c:axPos val="l"/>
        <c:majorGridlines>
          <c:spPr>
            <a:ln w="3175" cap="flat" cmpd="sng" algn="ctr">
              <a:solidFill>
                <a:sysClr val="window" lastClr="FFFFFF">
                  <a:lumMod val="85000"/>
                </a:sysClr>
              </a:solidFill>
              <a:round/>
            </a:ln>
            <a:effectLst/>
          </c:spPr>
        </c:majorGridlines>
        <c:numFmt formatCode="0" sourceLinked="0"/>
        <c:majorTickMark val="in"/>
        <c:minorTickMark val="none"/>
        <c:tickLblPos val="nextTo"/>
        <c:spPr>
          <a:noFill/>
          <a:ln w="6350">
            <a:solidFill>
              <a:sysClr val="window" lastClr="FFFFFF">
                <a:lumMod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bg-BG"/>
          </a:p>
        </c:txPr>
        <c:crossAx val="130214144"/>
        <c:crosses val="autoZero"/>
        <c:crossBetween val="between"/>
        <c:majorUnit val="2"/>
        <c:minorUnit val="0.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bg-BG"/>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bg-BG"/>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975770255840404E-2"/>
          <c:y val="4.0828552673148513E-2"/>
          <c:w val="0.96028631206104753"/>
          <c:h val="0.70243324549149111"/>
        </c:manualLayout>
      </c:layout>
      <c:barChart>
        <c:barDir val="col"/>
        <c:grouping val="stacked"/>
        <c:varyColors val="0"/>
        <c:ser>
          <c:idx val="2"/>
          <c:order val="0"/>
          <c:tx>
            <c:strRef>
              <c:f>Graphs!$B$3</c:f>
              <c:strCache>
                <c:ptCount val="1"/>
                <c:pt idx="0">
                  <c:v>Отклонение от потенциала (% от потенциалния БВП)</c:v>
                </c:pt>
              </c:strCache>
            </c:strRef>
          </c:tx>
          <c:spPr>
            <a:solidFill>
              <a:srgbClr val="B4DCFA"/>
            </a:solidFill>
            <a:ln>
              <a:solidFill>
                <a:sysClr val="window" lastClr="FFFFFF"/>
              </a:solidFill>
            </a:ln>
          </c:spPr>
          <c:invertIfNegative val="0"/>
          <c:cat>
            <c:strRef>
              <c:f>Graphs!$R$2:$V$2</c:f>
              <c:strCache>
                <c:ptCount val="5"/>
                <c:pt idx="0">
                  <c:v>2022</c:v>
                </c:pt>
                <c:pt idx="1">
                  <c:v>2023П</c:v>
                </c:pt>
                <c:pt idx="2">
                  <c:v>2024П</c:v>
                </c:pt>
                <c:pt idx="3">
                  <c:v>2025П</c:v>
                </c:pt>
                <c:pt idx="4">
                  <c:v>2026П</c:v>
                </c:pt>
              </c:strCache>
            </c:strRef>
          </c:cat>
          <c:val>
            <c:numRef>
              <c:f>Graphs!$R$3:$V$3</c:f>
              <c:numCache>
                <c:formatCode>0.0</c:formatCode>
                <c:ptCount val="5"/>
                <c:pt idx="0">
                  <c:v>0.92170667384357319</c:v>
                </c:pt>
                <c:pt idx="1">
                  <c:v>0.18506282535304308</c:v>
                </c:pt>
                <c:pt idx="2">
                  <c:v>0.54875870033403373</c:v>
                </c:pt>
                <c:pt idx="3">
                  <c:v>0.76314095852177388</c:v>
                </c:pt>
                <c:pt idx="4">
                  <c:v>0.92648894428806727</c:v>
                </c:pt>
              </c:numCache>
            </c:numRef>
          </c:val>
          <c:extLst>
            <c:ext xmlns:c16="http://schemas.microsoft.com/office/drawing/2014/chart" uri="{C3380CC4-5D6E-409C-BE32-E72D297353CC}">
              <c16:uniqueId val="{00000000-723D-4C92-BB6D-A4770DFF49E8}"/>
            </c:ext>
          </c:extLst>
        </c:ser>
        <c:dLbls>
          <c:showLegendKey val="0"/>
          <c:showVal val="0"/>
          <c:showCatName val="0"/>
          <c:showSerName val="0"/>
          <c:showPercent val="0"/>
          <c:showBubbleSize val="0"/>
        </c:dLbls>
        <c:gapWidth val="69"/>
        <c:overlap val="100"/>
        <c:axId val="201713152"/>
        <c:axId val="201714688"/>
      </c:barChart>
      <c:lineChart>
        <c:grouping val="standard"/>
        <c:varyColors val="0"/>
        <c:ser>
          <c:idx val="1"/>
          <c:order val="1"/>
          <c:tx>
            <c:strRef>
              <c:f>Graphs!$B$9</c:f>
              <c:strCache>
                <c:ptCount val="1"/>
                <c:pt idx="0">
                  <c:v>Изменение в структурния баланс (пр.п.)</c:v>
                </c:pt>
              </c:strCache>
            </c:strRef>
          </c:tx>
          <c:spPr>
            <a:ln w="25400">
              <a:solidFill>
                <a:srgbClr val="FF8021"/>
              </a:solidFill>
            </a:ln>
          </c:spPr>
          <c:marker>
            <c:symbol val="circle"/>
            <c:size val="5"/>
            <c:spPr>
              <a:solidFill>
                <a:srgbClr val="FF8021"/>
              </a:solidFill>
              <a:ln w="3175">
                <a:solidFill>
                  <a:sysClr val="window" lastClr="FFFFFF"/>
                </a:solidFill>
              </a:ln>
            </c:spPr>
          </c:marker>
          <c:dLbls>
            <c:numFmt formatCode="#,##0.0" sourceLinked="0"/>
            <c:spPr>
              <a:noFill/>
              <a:ln>
                <a:noFill/>
              </a:ln>
              <a:effectLst/>
            </c:sp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Graphs!$R$2:$V$2</c:f>
              <c:strCache>
                <c:ptCount val="5"/>
                <c:pt idx="0">
                  <c:v>2022</c:v>
                </c:pt>
                <c:pt idx="1">
                  <c:v>2023П</c:v>
                </c:pt>
                <c:pt idx="2">
                  <c:v>2024П</c:v>
                </c:pt>
                <c:pt idx="3">
                  <c:v>2025П</c:v>
                </c:pt>
                <c:pt idx="4">
                  <c:v>2026П</c:v>
                </c:pt>
              </c:strCache>
            </c:strRef>
          </c:cat>
          <c:val>
            <c:numRef>
              <c:f>Graphs!$R$9:$V$9</c:f>
              <c:numCache>
                <c:formatCode>0.00</c:formatCode>
                <c:ptCount val="5"/>
                <c:pt idx="0" formatCode="0.0">
                  <c:v>-1.7646334914924422</c:v>
                </c:pt>
                <c:pt idx="1">
                  <c:v>-4.4956115101814538</c:v>
                </c:pt>
                <c:pt idx="2" formatCode="0.0">
                  <c:v>0.97539269072988066</c:v>
                </c:pt>
                <c:pt idx="3" formatCode="0.0">
                  <c:v>-0.33316930525729305</c:v>
                </c:pt>
                <c:pt idx="4" formatCode="0.0">
                  <c:v>-0.12956919507056508</c:v>
                </c:pt>
              </c:numCache>
            </c:numRef>
          </c:val>
          <c:smooth val="0"/>
          <c:extLst>
            <c:ext xmlns:c16="http://schemas.microsoft.com/office/drawing/2014/chart" uri="{C3380CC4-5D6E-409C-BE32-E72D297353CC}">
              <c16:uniqueId val="{00000006-723D-4C92-BB6D-A4770DFF49E8}"/>
            </c:ext>
          </c:extLst>
        </c:ser>
        <c:dLbls>
          <c:showLegendKey val="0"/>
          <c:showVal val="0"/>
          <c:showCatName val="0"/>
          <c:showSerName val="0"/>
          <c:showPercent val="0"/>
          <c:showBubbleSize val="0"/>
        </c:dLbls>
        <c:marker val="1"/>
        <c:smooth val="0"/>
        <c:axId val="201713152"/>
        <c:axId val="201714688"/>
      </c:lineChart>
      <c:catAx>
        <c:axId val="201713152"/>
        <c:scaling>
          <c:orientation val="minMax"/>
        </c:scaling>
        <c:delete val="0"/>
        <c:axPos val="b"/>
        <c:majorGridlines>
          <c:spPr>
            <a:ln w="3175">
              <a:solidFill>
                <a:sysClr val="window" lastClr="FFFFFF">
                  <a:lumMod val="85000"/>
                </a:sysClr>
              </a:solidFill>
            </a:ln>
          </c:spPr>
        </c:majorGridlines>
        <c:numFmt formatCode="General" sourceLinked="1"/>
        <c:majorTickMark val="cross"/>
        <c:minorTickMark val="none"/>
        <c:tickLblPos val="low"/>
        <c:spPr>
          <a:ln/>
        </c:spPr>
        <c:txPr>
          <a:bodyPr rot="0" vert="horz"/>
          <a:lstStyle/>
          <a:p>
            <a:pPr>
              <a:defRPr/>
            </a:pPr>
            <a:endParaRPr lang="bg-BG"/>
          </a:p>
        </c:txPr>
        <c:crossAx val="201714688"/>
        <c:crosses val="autoZero"/>
        <c:auto val="1"/>
        <c:lblAlgn val="ctr"/>
        <c:lblOffset val="0"/>
        <c:tickLblSkip val="1"/>
        <c:noMultiLvlLbl val="0"/>
      </c:catAx>
      <c:valAx>
        <c:axId val="201714688"/>
        <c:scaling>
          <c:orientation val="minMax"/>
          <c:max val="4"/>
        </c:scaling>
        <c:delete val="0"/>
        <c:axPos val="l"/>
        <c:majorGridlines>
          <c:spPr>
            <a:ln w="3175">
              <a:solidFill>
                <a:sysClr val="window" lastClr="FFFFFF">
                  <a:lumMod val="85000"/>
                </a:sysClr>
              </a:solidFill>
            </a:ln>
          </c:spPr>
        </c:majorGridlines>
        <c:numFmt formatCode="General" sourceLinked="0"/>
        <c:majorTickMark val="in"/>
        <c:minorTickMark val="none"/>
        <c:tickLblPos val="nextTo"/>
        <c:spPr>
          <a:ln>
            <a:solidFill>
              <a:sysClr val="window" lastClr="FFFFFF">
                <a:lumMod val="50000"/>
              </a:sysClr>
            </a:solidFill>
          </a:ln>
        </c:spPr>
        <c:txPr>
          <a:bodyPr rot="0" vert="horz"/>
          <a:lstStyle/>
          <a:p>
            <a:pPr>
              <a:defRPr/>
            </a:pPr>
            <a:endParaRPr lang="bg-BG"/>
          </a:p>
        </c:txPr>
        <c:crossAx val="201713152"/>
        <c:crosses val="autoZero"/>
        <c:crossBetween val="between"/>
        <c:majorUnit val="2"/>
        <c:minorUnit val="2"/>
      </c:valAx>
      <c:spPr>
        <a:noFill/>
        <a:ln w="6350">
          <a:noFill/>
        </a:ln>
      </c:spPr>
    </c:plotArea>
    <c:legend>
      <c:legendPos val="r"/>
      <c:layout>
        <c:manualLayout>
          <c:xMode val="edge"/>
          <c:yMode val="edge"/>
          <c:x val="6.2832388509319465E-3"/>
          <c:y val="0.86501420815341634"/>
          <c:w val="0.98926789884450772"/>
          <c:h val="0.13053959232918463"/>
        </c:manualLayout>
      </c:layout>
      <c:overlay val="0"/>
    </c:legend>
    <c:plotVisOnly val="1"/>
    <c:dispBlanksAs val="gap"/>
    <c:showDLblsOverMax val="0"/>
  </c:chart>
  <c:spPr>
    <a:noFill/>
    <a:ln>
      <a:noFill/>
    </a:ln>
  </c:spPr>
  <c:txPr>
    <a:bodyPr/>
    <a:lstStyle/>
    <a:p>
      <a:pPr>
        <a:defRPr sz="900">
          <a:latin typeface="Times New Roman" panose="02020603050405020304" pitchFamily="18" charset="0"/>
          <a:cs typeface="Times New Roman" panose="02020603050405020304" pitchFamily="18" charset="0"/>
        </a:defRPr>
      </a:pPr>
      <a:endParaRPr lang="bg-BG"/>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98566703417861E-2"/>
          <c:y val="4.4302637132211824E-2"/>
          <c:w val="0.91148495081995695"/>
          <c:h val="0.68850647701295398"/>
        </c:manualLayout>
      </c:layout>
      <c:lineChart>
        <c:grouping val="standard"/>
        <c:varyColors val="0"/>
        <c:ser>
          <c:idx val="1"/>
          <c:order val="0"/>
          <c:tx>
            <c:strRef>
              <c:f>'24-4-2023'!$B$3</c:f>
              <c:strCache>
                <c:ptCount val="1"/>
                <c:pt idx="0">
                  <c:v>Консолидиран дълг на сектор "Държавно управление"/БВП (%)</c:v>
                </c:pt>
              </c:strCache>
            </c:strRef>
          </c:tx>
          <c:spPr>
            <a:ln w="25400">
              <a:solidFill>
                <a:schemeClr val="bg2">
                  <a:lumMod val="75000"/>
                </a:schemeClr>
              </a:solidFill>
            </a:ln>
          </c:spPr>
          <c:marker>
            <c:symbol val="diamond"/>
            <c:size val="5"/>
          </c:marker>
          <c:dLbls>
            <c:spPr>
              <a:solidFill>
                <a:schemeClr val="bg2">
                  <a:lumMod val="75000"/>
                </a:schemeClr>
              </a:solidFill>
              <a:ln>
                <a:noFill/>
              </a:ln>
              <a:effectLst/>
            </c:spPr>
            <c:txPr>
              <a:bodyPr/>
              <a:lstStyle/>
              <a:p>
                <a:pPr>
                  <a:defRPr>
                    <a:solidFill>
                      <a:schemeClr val="bg1"/>
                    </a:solidFill>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'24-4-2023'!$C$2:$H$2</c:f>
              <c:numCache>
                <c:formatCode>General</c:formatCode>
                <c:ptCount val="6"/>
                <c:pt idx="0">
                  <c:v>2021</c:v>
                </c:pt>
                <c:pt idx="1">
                  <c:v>2022</c:v>
                </c:pt>
                <c:pt idx="2">
                  <c:v>2023</c:v>
                </c:pt>
                <c:pt idx="3">
                  <c:v>2024</c:v>
                </c:pt>
                <c:pt idx="4">
                  <c:v>2025</c:v>
                </c:pt>
                <c:pt idx="5">
                  <c:v>2026</c:v>
                </c:pt>
              </c:numCache>
            </c:numRef>
          </c:cat>
          <c:val>
            <c:numRef>
              <c:f>'24-4-2023'!$C$3:$H$3</c:f>
              <c:numCache>
                <c:formatCode>0.0%</c:formatCode>
                <c:ptCount val="6"/>
                <c:pt idx="0">
                  <c:v>0.23936370224180831</c:v>
                </c:pt>
                <c:pt idx="1">
                  <c:v>0.22884796969882801</c:v>
                </c:pt>
                <c:pt idx="2">
                  <c:v>0.2659748515886855</c:v>
                </c:pt>
                <c:pt idx="3">
                  <c:v>0.30650779725255084</c:v>
                </c:pt>
                <c:pt idx="4">
                  <c:v>0.33812106329572034</c:v>
                </c:pt>
                <c:pt idx="5">
                  <c:v>0.37103207799273363</c:v>
                </c:pt>
              </c:numCache>
            </c:numRef>
          </c:val>
          <c:smooth val="0"/>
          <c:extLst>
            <c:ext xmlns:c16="http://schemas.microsoft.com/office/drawing/2014/chart" uri="{C3380CC4-5D6E-409C-BE32-E72D297353CC}">
              <c16:uniqueId val="{00000006-F41C-4B48-AD89-08B668C2EB8F}"/>
            </c:ext>
          </c:extLst>
        </c:ser>
        <c:dLbls>
          <c:showLegendKey val="0"/>
          <c:showVal val="0"/>
          <c:showCatName val="0"/>
          <c:showSerName val="0"/>
          <c:showPercent val="0"/>
          <c:showBubbleSize val="0"/>
        </c:dLbls>
        <c:marker val="1"/>
        <c:smooth val="0"/>
        <c:axId val="75481088"/>
        <c:axId val="75848320"/>
      </c:lineChart>
      <c:catAx>
        <c:axId val="75481088"/>
        <c:scaling>
          <c:orientation val="minMax"/>
        </c:scaling>
        <c:delete val="0"/>
        <c:axPos val="b"/>
        <c:majorGridlines>
          <c:spPr>
            <a:ln w="3175">
              <a:solidFill>
                <a:schemeClr val="bg1">
                  <a:lumMod val="85000"/>
                </a:schemeClr>
              </a:solidFill>
            </a:ln>
          </c:spPr>
        </c:majorGridlines>
        <c:numFmt formatCode="General" sourceLinked="1"/>
        <c:majorTickMark val="in"/>
        <c:minorTickMark val="none"/>
        <c:tickLblPos val="nextTo"/>
        <c:spPr>
          <a:ln w="6350">
            <a:solidFill>
              <a:schemeClr val="bg1">
                <a:lumMod val="50000"/>
              </a:schemeClr>
            </a:solidFill>
          </a:ln>
        </c:spPr>
        <c:txPr>
          <a:bodyPr rot="0" vert="horz"/>
          <a:lstStyle/>
          <a:p>
            <a:pPr>
              <a:defRPr/>
            </a:pPr>
            <a:endParaRPr lang="bg-BG"/>
          </a:p>
        </c:txPr>
        <c:crossAx val="75848320"/>
        <c:crossesAt val="0"/>
        <c:auto val="1"/>
        <c:lblAlgn val="ctr"/>
        <c:lblOffset val="100"/>
        <c:noMultiLvlLbl val="0"/>
      </c:catAx>
      <c:valAx>
        <c:axId val="75848320"/>
        <c:scaling>
          <c:orientation val="minMax"/>
          <c:max val="0.60000000000000009"/>
          <c:min val="0"/>
        </c:scaling>
        <c:delete val="0"/>
        <c:axPos val="l"/>
        <c:majorGridlines>
          <c:spPr>
            <a:ln w="3175">
              <a:solidFill>
                <a:schemeClr val="bg1">
                  <a:lumMod val="85000"/>
                </a:schemeClr>
              </a:solidFill>
            </a:ln>
          </c:spPr>
        </c:majorGridlines>
        <c:numFmt formatCode="0%" sourceLinked="0"/>
        <c:majorTickMark val="in"/>
        <c:minorTickMark val="none"/>
        <c:tickLblPos val="nextTo"/>
        <c:spPr>
          <a:ln w="6350">
            <a:solidFill>
              <a:schemeClr val="bg1">
                <a:lumMod val="50000"/>
              </a:schemeClr>
            </a:solidFill>
          </a:ln>
        </c:spPr>
        <c:txPr>
          <a:bodyPr rot="0" vert="horz"/>
          <a:lstStyle/>
          <a:p>
            <a:pPr>
              <a:defRPr/>
            </a:pPr>
            <a:endParaRPr lang="bg-BG"/>
          </a:p>
        </c:txPr>
        <c:crossAx val="75481088"/>
        <c:crosses val="autoZero"/>
        <c:crossBetween val="between"/>
      </c:valAx>
      <c:spPr>
        <a:noFill/>
        <a:ln w="6350">
          <a:solidFill>
            <a:schemeClr val="tx1">
              <a:lumMod val="15000"/>
              <a:lumOff val="85000"/>
              <a:alpha val="92000"/>
            </a:schemeClr>
          </a:solidFill>
        </a:ln>
      </c:spPr>
    </c:plotArea>
    <c:legend>
      <c:legendPos val="r"/>
      <c:layout>
        <c:manualLayout>
          <c:xMode val="edge"/>
          <c:yMode val="edge"/>
          <c:x val="0.11883736842665041"/>
          <c:y val="0.89520674627652363"/>
          <c:w val="0.7922270355676323"/>
          <c:h val="6.2958902289112592E-2"/>
        </c:manualLayout>
      </c:layout>
      <c:overlay val="0"/>
    </c:legend>
    <c:plotVisOnly val="1"/>
    <c:dispBlanksAs val="gap"/>
    <c:showDLblsOverMax val="0"/>
  </c:chart>
  <c:spPr>
    <a:noFill/>
    <a:ln>
      <a:noFill/>
    </a:ln>
  </c:spPr>
  <c:txPr>
    <a:bodyPr/>
    <a:lstStyle/>
    <a:p>
      <a:pPr>
        <a:defRPr sz="900" b="0" i="0" u="none" strike="noStrike" baseline="0">
          <a:solidFill>
            <a:srgbClr val="000000"/>
          </a:solidFill>
          <a:latin typeface="+mn-lt"/>
          <a:ea typeface="Calibri"/>
          <a:cs typeface="Calibri"/>
        </a:defRPr>
      </a:pPr>
      <a:endParaRPr lang="bg-BG"/>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4996310411584438E-2"/>
          <c:y val="2.2358176733405295E-2"/>
          <c:w val="0.92192761461597894"/>
          <c:h val="0.61444423440787654"/>
        </c:manualLayout>
      </c:layout>
      <c:lineChart>
        <c:grouping val="standard"/>
        <c:varyColors val="0"/>
        <c:ser>
          <c:idx val="0"/>
          <c:order val="0"/>
          <c:tx>
            <c:strRef>
              <c:f>'Risk classification'!$B$76</c:f>
              <c:strCache>
                <c:ptCount val="1"/>
                <c:pt idx="0">
                  <c:v>Базов сценарий</c:v>
                </c:pt>
              </c:strCache>
            </c:strRef>
          </c:tx>
          <c:spPr>
            <a:ln w="25400">
              <a:solidFill>
                <a:srgbClr val="B4DCFA">
                  <a:lumMod val="90000"/>
                </a:srgbClr>
              </a:solidFill>
              <a:prstDash val="solid"/>
            </a:ln>
            <a:effectLst/>
          </c:spPr>
          <c:marker>
            <c:symbol val="none"/>
          </c:marker>
          <c:cat>
            <c:numRef>
              <c:f>'Risk classification'!$J$50:$W$50</c:f>
              <c:numCache>
                <c:formatCode>General</c:formatCode>
                <c:ptCount val="14"/>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numCache>
            </c:numRef>
          </c:cat>
          <c:val>
            <c:numRef>
              <c:f>'Risk classification'!$J$76:$W$76</c:f>
              <c:numCache>
                <c:formatCode>0.0</c:formatCode>
                <c:ptCount val="14"/>
                <c:pt idx="0">
                  <c:v>24.548918893221693</c:v>
                </c:pt>
                <c:pt idx="1">
                  <c:v>23.931708563571306</c:v>
                </c:pt>
                <c:pt idx="2">
                  <c:v>22.8847969698828</c:v>
                </c:pt>
                <c:pt idx="3">
                  <c:v>26.597485158868551</c:v>
                </c:pt>
                <c:pt idx="4">
                  <c:v>30.650779725255084</c:v>
                </c:pt>
                <c:pt idx="5">
                  <c:v>33.812106329572018</c:v>
                </c:pt>
                <c:pt idx="6">
                  <c:v>37.103207799273356</c:v>
                </c:pt>
                <c:pt idx="7">
                  <c:v>39.659014112003909</c:v>
                </c:pt>
                <c:pt idx="8">
                  <c:v>42.078310851223826</c:v>
                </c:pt>
                <c:pt idx="9">
                  <c:v>44.477141093221441</c:v>
                </c:pt>
                <c:pt idx="10">
                  <c:v>46.868010603163498</c:v>
                </c:pt>
                <c:pt idx="11">
                  <c:v>49.194014100573725</c:v>
                </c:pt>
                <c:pt idx="12">
                  <c:v>51.479085791039978</c:v>
                </c:pt>
                <c:pt idx="13">
                  <c:v>53.599991806476083</c:v>
                </c:pt>
              </c:numCache>
            </c:numRef>
          </c:val>
          <c:smooth val="0"/>
          <c:extLst>
            <c:ext xmlns:c16="http://schemas.microsoft.com/office/drawing/2014/chart" uri="{C3380CC4-5D6E-409C-BE32-E72D297353CC}">
              <c16:uniqueId val="{00000000-B67C-42B0-AB87-935C012BA2B1}"/>
            </c:ext>
          </c:extLst>
        </c:ser>
        <c:ser>
          <c:idx val="1"/>
          <c:order val="1"/>
          <c:tx>
            <c:strRef>
              <c:f>'Risk classification'!$B$77</c:f>
              <c:strCache>
                <c:ptCount val="1"/>
                <c:pt idx="0">
                  <c:v>Исторически структурен първичен баланс</c:v>
                </c:pt>
              </c:strCache>
            </c:strRef>
          </c:tx>
          <c:spPr>
            <a:ln w="25400" cmpd="dbl">
              <a:solidFill>
                <a:sysClr val="window" lastClr="FFFFFF">
                  <a:lumMod val="50000"/>
                </a:sysClr>
              </a:solidFill>
              <a:prstDash val="sysDash"/>
            </a:ln>
            <a:effectLst/>
          </c:spPr>
          <c:marker>
            <c:symbol val="none"/>
          </c:marker>
          <c:cat>
            <c:numRef>
              <c:f>'Risk classification'!$J$50:$W$50</c:f>
              <c:numCache>
                <c:formatCode>General</c:formatCode>
                <c:ptCount val="14"/>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numCache>
            </c:numRef>
          </c:cat>
          <c:val>
            <c:numRef>
              <c:f>'Risk classification'!$J$77:$W$77</c:f>
              <c:numCache>
                <c:formatCode>0.0</c:formatCode>
                <c:ptCount val="14"/>
                <c:pt idx="0">
                  <c:v>24.548918893221693</c:v>
                </c:pt>
                <c:pt idx="1">
                  <c:v>23.931708563571306</c:v>
                </c:pt>
                <c:pt idx="2">
                  <c:v>22.8847969698828</c:v>
                </c:pt>
                <c:pt idx="3">
                  <c:v>26.597485158868547</c:v>
                </c:pt>
                <c:pt idx="4">
                  <c:v>30.650779725255077</c:v>
                </c:pt>
                <c:pt idx="5">
                  <c:v>33.812106329572018</c:v>
                </c:pt>
                <c:pt idx="6">
                  <c:v>37.103207799273363</c:v>
                </c:pt>
                <c:pt idx="7">
                  <c:v>38.545635297263395</c:v>
                </c:pt>
                <c:pt idx="8">
                  <c:v>38.762877276159145</c:v>
                </c:pt>
                <c:pt idx="9">
                  <c:v>37.882996258342722</c:v>
                </c:pt>
                <c:pt idx="10">
                  <c:v>35.925292216222999</c:v>
                </c:pt>
                <c:pt idx="11">
                  <c:v>33.948778345239603</c:v>
                </c:pt>
                <c:pt idx="12">
                  <c:v>31.962859634408254</c:v>
                </c:pt>
                <c:pt idx="13">
                  <c:v>29.877466753197066</c:v>
                </c:pt>
              </c:numCache>
            </c:numRef>
          </c:val>
          <c:smooth val="0"/>
          <c:extLst>
            <c:ext xmlns:c16="http://schemas.microsoft.com/office/drawing/2014/chart" uri="{C3380CC4-5D6E-409C-BE32-E72D297353CC}">
              <c16:uniqueId val="{00000001-B67C-42B0-AB87-935C012BA2B1}"/>
            </c:ext>
          </c:extLst>
        </c:ser>
        <c:ser>
          <c:idx val="3"/>
          <c:order val="2"/>
          <c:tx>
            <c:strRef>
              <c:f>'Risk classification'!$B$78</c:f>
              <c:strCache>
                <c:ptCount val="1"/>
                <c:pt idx="0">
                  <c:v>Шок върху лихвения % и растежа на БВП</c:v>
                </c:pt>
              </c:strCache>
            </c:strRef>
          </c:tx>
          <c:spPr>
            <a:ln w="25400">
              <a:solidFill>
                <a:srgbClr val="5DCEAF"/>
              </a:solidFill>
              <a:prstDash val="solid"/>
            </a:ln>
            <a:effectLst/>
          </c:spPr>
          <c:marker>
            <c:symbol val="none"/>
          </c:marker>
          <c:cat>
            <c:numRef>
              <c:f>'Risk classification'!$J$50:$W$50</c:f>
              <c:numCache>
                <c:formatCode>General</c:formatCode>
                <c:ptCount val="14"/>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numCache>
            </c:numRef>
          </c:cat>
          <c:val>
            <c:numRef>
              <c:f>'Risk classification'!$J$78:$W$78</c:f>
              <c:numCache>
                <c:formatCode>0.0</c:formatCode>
                <c:ptCount val="14"/>
                <c:pt idx="0">
                  <c:v>24.548918893221693</c:v>
                </c:pt>
                <c:pt idx="1">
                  <c:v>23.931708563571306</c:v>
                </c:pt>
                <c:pt idx="2">
                  <c:v>22.8847969698828</c:v>
                </c:pt>
                <c:pt idx="3">
                  <c:v>26.820463284932924</c:v>
                </c:pt>
                <c:pt idx="4">
                  <c:v>31.149413936687957</c:v>
                </c:pt>
                <c:pt idx="5">
                  <c:v>34.644368591173603</c:v>
                </c:pt>
                <c:pt idx="6">
                  <c:v>38.320149030279595</c:v>
                </c:pt>
                <c:pt idx="7">
                  <c:v>41.291147469403299</c:v>
                </c:pt>
                <c:pt idx="8">
                  <c:v>44.161556529243335</c:v>
                </c:pt>
                <c:pt idx="9">
                  <c:v>47.051001966276012</c:v>
                </c:pt>
                <c:pt idx="10">
                  <c:v>49.972200975386201</c:v>
                </c:pt>
                <c:pt idx="11">
                  <c:v>52.866117776436035</c:v>
                </c:pt>
                <c:pt idx="12">
                  <c:v>55.757113939985572</c:v>
                </c:pt>
                <c:pt idx="13">
                  <c:v>58.509829388030475</c:v>
                </c:pt>
              </c:numCache>
            </c:numRef>
          </c:val>
          <c:smooth val="0"/>
          <c:extLst>
            <c:ext xmlns:c16="http://schemas.microsoft.com/office/drawing/2014/chart" uri="{C3380CC4-5D6E-409C-BE32-E72D297353CC}">
              <c16:uniqueId val="{00000002-B67C-42B0-AB87-935C012BA2B1}"/>
            </c:ext>
          </c:extLst>
        </c:ser>
        <c:ser>
          <c:idx val="4"/>
          <c:order val="3"/>
          <c:tx>
            <c:strRef>
              <c:f>'Risk classification'!$B$79</c:f>
              <c:strCache>
                <c:ptCount val="1"/>
                <c:pt idx="0">
                  <c:v>Финансов стрес</c:v>
                </c:pt>
              </c:strCache>
            </c:strRef>
          </c:tx>
          <c:spPr>
            <a:ln w="34925">
              <a:solidFill>
                <a:srgbClr val="B4DCFA">
                  <a:lumMod val="50000"/>
                </a:srgbClr>
              </a:solidFill>
              <a:prstDash val="sysDot"/>
            </a:ln>
          </c:spPr>
          <c:marker>
            <c:symbol val="none"/>
          </c:marker>
          <c:cat>
            <c:numRef>
              <c:f>'Risk classification'!$J$50:$W$50</c:f>
              <c:numCache>
                <c:formatCode>General</c:formatCode>
                <c:ptCount val="14"/>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numCache>
            </c:numRef>
          </c:cat>
          <c:val>
            <c:numRef>
              <c:f>'Risk classification'!$J$79:$W$79</c:f>
              <c:numCache>
                <c:formatCode>0.0</c:formatCode>
                <c:ptCount val="14"/>
                <c:pt idx="0">
                  <c:v>24.548918893221693</c:v>
                </c:pt>
                <c:pt idx="1">
                  <c:v>23.931708563571306</c:v>
                </c:pt>
                <c:pt idx="2">
                  <c:v>22.8847969698828</c:v>
                </c:pt>
                <c:pt idx="3">
                  <c:v>26.80263749063533</c:v>
                </c:pt>
                <c:pt idx="4">
                  <c:v>30.850313557129169</c:v>
                </c:pt>
                <c:pt idx="5">
                  <c:v>34.008005111491535</c:v>
                </c:pt>
                <c:pt idx="6">
                  <c:v>37.297667747794137</c:v>
                </c:pt>
                <c:pt idx="7">
                  <c:v>39.848608347502065</c:v>
                </c:pt>
                <c:pt idx="8">
                  <c:v>42.263698502646186</c:v>
                </c:pt>
                <c:pt idx="9">
                  <c:v>44.659094059430636</c:v>
                </c:pt>
                <c:pt idx="10">
                  <c:v>47.047067901272015</c:v>
                </c:pt>
                <c:pt idx="11">
                  <c:v>49.370600598159996</c:v>
                </c:pt>
                <c:pt idx="12">
                  <c:v>51.653558092043475</c:v>
                </c:pt>
                <c:pt idx="13">
                  <c:v>53.772254028172618</c:v>
                </c:pt>
              </c:numCache>
            </c:numRef>
          </c:val>
          <c:smooth val="0"/>
          <c:extLst>
            <c:ext xmlns:c16="http://schemas.microsoft.com/office/drawing/2014/chart" uri="{C3380CC4-5D6E-409C-BE32-E72D297353CC}">
              <c16:uniqueId val="{00000003-B67C-42B0-AB87-935C012BA2B1}"/>
            </c:ext>
          </c:extLst>
        </c:ser>
        <c:ser>
          <c:idx val="2"/>
          <c:order val="4"/>
          <c:tx>
            <c:strRef>
              <c:f>'Risk classification'!$B$80</c:f>
              <c:strCache>
                <c:ptCount val="1"/>
                <c:pt idx="0">
                  <c:v>Влошаване на първичния баланс</c:v>
                </c:pt>
              </c:strCache>
            </c:strRef>
          </c:tx>
          <c:spPr>
            <a:ln w="19050">
              <a:solidFill>
                <a:srgbClr val="6768AB"/>
              </a:solidFill>
              <a:prstDash val="sysDash"/>
            </a:ln>
            <a:effectLst/>
          </c:spPr>
          <c:marker>
            <c:symbol val="none"/>
          </c:marker>
          <c:cat>
            <c:numRef>
              <c:f>'Risk classification'!$J$50:$W$50</c:f>
              <c:numCache>
                <c:formatCode>General</c:formatCode>
                <c:ptCount val="14"/>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numCache>
            </c:numRef>
          </c:cat>
          <c:val>
            <c:numRef>
              <c:f>'Risk classification'!$J$80:$W$80</c:f>
              <c:numCache>
                <c:formatCode>0.0</c:formatCode>
                <c:ptCount val="14"/>
                <c:pt idx="0">
                  <c:v>24.548918893221693</c:v>
                </c:pt>
                <c:pt idx="1">
                  <c:v>23.931708563571306</c:v>
                </c:pt>
                <c:pt idx="2">
                  <c:v>22.8847969698828</c:v>
                </c:pt>
                <c:pt idx="3">
                  <c:v>27.097485158868547</c:v>
                </c:pt>
                <c:pt idx="4">
                  <c:v>31.637086242358002</c:v>
                </c:pt>
                <c:pt idx="5">
                  <c:v>35.28044459825054</c:v>
                </c:pt>
                <c:pt idx="6">
                  <c:v>39.060761446828025</c:v>
                </c:pt>
                <c:pt idx="7">
                  <c:v>42.067586494532833</c:v>
                </c:pt>
                <c:pt idx="8">
                  <c:v>44.933443517069833</c:v>
                </c:pt>
                <c:pt idx="9">
                  <c:v>47.77937658995311</c:v>
                </c:pt>
                <c:pt idx="10">
                  <c:v>50.617693079254664</c:v>
                </c:pt>
                <c:pt idx="11">
                  <c:v>53.391954941344459</c:v>
                </c:pt>
                <c:pt idx="12">
                  <c:v>56.126766434674856</c:v>
                </c:pt>
                <c:pt idx="13">
                  <c:v>58.688799249283157</c:v>
                </c:pt>
              </c:numCache>
            </c:numRef>
          </c:val>
          <c:smooth val="0"/>
          <c:extLst>
            <c:ext xmlns:c16="http://schemas.microsoft.com/office/drawing/2014/chart" uri="{C3380CC4-5D6E-409C-BE32-E72D297353CC}">
              <c16:uniqueId val="{00000004-B67C-42B0-AB87-935C012BA2B1}"/>
            </c:ext>
          </c:extLst>
        </c:ser>
        <c:dLbls>
          <c:showLegendKey val="0"/>
          <c:showVal val="0"/>
          <c:showCatName val="0"/>
          <c:showSerName val="0"/>
          <c:showPercent val="0"/>
          <c:showBubbleSize val="0"/>
        </c:dLbls>
        <c:smooth val="0"/>
        <c:axId val="305239168"/>
        <c:axId val="305367296"/>
      </c:lineChart>
      <c:catAx>
        <c:axId val="305239168"/>
        <c:scaling>
          <c:orientation val="minMax"/>
        </c:scaling>
        <c:delete val="0"/>
        <c:axPos val="b"/>
        <c:majorGridlines>
          <c:spPr>
            <a:ln w="3175">
              <a:solidFill>
                <a:schemeClr val="bg1">
                  <a:lumMod val="85000"/>
                </a:schemeClr>
              </a:solidFill>
            </a:ln>
          </c:spPr>
        </c:majorGridlines>
        <c:numFmt formatCode="General" sourceLinked="1"/>
        <c:majorTickMark val="in"/>
        <c:minorTickMark val="none"/>
        <c:tickLblPos val="nextTo"/>
        <c:spPr>
          <a:ln w="6350">
            <a:solidFill>
              <a:schemeClr val="bg1">
                <a:lumMod val="50000"/>
              </a:schemeClr>
            </a:solidFill>
            <a:prstDash val="solid"/>
          </a:ln>
        </c:spPr>
        <c:crossAx val="305367296"/>
        <c:crosses val="autoZero"/>
        <c:auto val="1"/>
        <c:lblAlgn val="ctr"/>
        <c:lblOffset val="100"/>
        <c:noMultiLvlLbl val="0"/>
      </c:catAx>
      <c:valAx>
        <c:axId val="305367296"/>
        <c:scaling>
          <c:orientation val="minMax"/>
          <c:min val="15"/>
        </c:scaling>
        <c:delete val="0"/>
        <c:axPos val="l"/>
        <c:majorGridlines>
          <c:spPr>
            <a:ln w="3175">
              <a:solidFill>
                <a:schemeClr val="bg1">
                  <a:lumMod val="85000"/>
                </a:schemeClr>
              </a:solidFill>
            </a:ln>
          </c:spPr>
        </c:majorGridlines>
        <c:numFmt formatCode="#\ ##0" sourceLinked="0"/>
        <c:majorTickMark val="in"/>
        <c:minorTickMark val="none"/>
        <c:tickLblPos val="nextTo"/>
        <c:spPr>
          <a:ln w="6350">
            <a:solidFill>
              <a:schemeClr val="bg1">
                <a:lumMod val="50000"/>
              </a:schemeClr>
            </a:solidFill>
            <a:prstDash val="solid"/>
          </a:ln>
        </c:spPr>
        <c:crossAx val="305239168"/>
        <c:crosses val="autoZero"/>
        <c:crossBetween val="midCat"/>
        <c:majorUnit val="10"/>
      </c:valAx>
      <c:spPr>
        <a:noFill/>
        <a:ln w="25400">
          <a:noFill/>
        </a:ln>
      </c:spPr>
    </c:plotArea>
    <c:legend>
      <c:legendPos val="b"/>
      <c:layout>
        <c:manualLayout>
          <c:xMode val="edge"/>
          <c:yMode val="edge"/>
          <c:x val="1.460243599649272E-2"/>
          <c:y val="0.81925916847942637"/>
          <c:w val="0.95544559468137547"/>
          <c:h val="0.17893440362756211"/>
        </c:manualLayout>
      </c:layout>
      <c:overlay val="0"/>
    </c:legend>
    <c:plotVisOnly val="1"/>
    <c:dispBlanksAs val="gap"/>
    <c:showDLblsOverMax val="0"/>
  </c:chart>
  <c:spPr>
    <a:noFill/>
    <a:ln w="9525">
      <a:noFill/>
    </a:ln>
  </c:spPr>
  <c:txPr>
    <a:bodyPr/>
    <a:lstStyle/>
    <a:p>
      <a:pPr>
        <a:defRPr sz="900">
          <a:solidFill>
            <a:sysClr val="windowText" lastClr="000000"/>
          </a:solidFill>
        </a:defRPr>
      </a:pPr>
      <a:endParaRPr lang="bg-BG"/>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743937888844869E-2"/>
          <c:y val="3.0687392524210329E-2"/>
          <c:w val="0.86836085614617275"/>
          <c:h val="0.60021223640148424"/>
        </c:manualLayout>
      </c:layout>
      <c:areaChart>
        <c:grouping val="stacked"/>
        <c:varyColors val="0"/>
        <c:ser>
          <c:idx val="0"/>
          <c:order val="0"/>
          <c:spPr>
            <a:no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chart'!$AE$42:$AK$42</c:f>
              <c:numCache>
                <c:formatCode>0.0</c:formatCode>
                <c:ptCount val="7"/>
                <c:pt idx="0">
                  <c:v>23.931708563571306</c:v>
                </c:pt>
                <c:pt idx="1">
                  <c:v>22.8847969698828</c:v>
                </c:pt>
                <c:pt idx="2">
                  <c:v>22.344050941530647</c:v>
                </c:pt>
                <c:pt idx="3">
                  <c:v>24.750173826016706</c:v>
                </c:pt>
                <c:pt idx="4">
                  <c:v>25.762282575919471</c:v>
                </c:pt>
                <c:pt idx="5">
                  <c:v>27.64409787408157</c:v>
                </c:pt>
                <c:pt idx="6">
                  <c:v>29.430801015587793</c:v>
                </c:pt>
              </c:numCache>
            </c:numRef>
          </c:val>
          <c:extLst>
            <c:ext xmlns:c16="http://schemas.microsoft.com/office/drawing/2014/chart" uri="{C3380CC4-5D6E-409C-BE32-E72D297353CC}">
              <c16:uniqueId val="{00000000-27F4-4F50-A0B2-8C59A2873F65}"/>
            </c:ext>
          </c:extLst>
        </c:ser>
        <c:ser>
          <c:idx val="2"/>
          <c:order val="1"/>
          <c:tx>
            <c:strRef>
              <c:f>'fan chart'!$AQ$43</c:f>
              <c:strCache>
                <c:ptCount val="1"/>
                <c:pt idx="0">
                  <c:v>10ти-20ти</c:v>
                </c:pt>
              </c:strCache>
            </c:strRef>
          </c:tx>
          <c:spPr>
            <a:solidFill>
              <a:schemeClr val="accent4">
                <a:lumMod val="60000"/>
                <a:lumOff val="40000"/>
                <a:alpha val="50000"/>
              </a:schemeClr>
            </a:solid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chart'!$AE$43:$AK$43</c:f>
              <c:numCache>
                <c:formatCode>0.0</c:formatCode>
                <c:ptCount val="7"/>
                <c:pt idx="0">
                  <c:v>0</c:v>
                </c:pt>
                <c:pt idx="1">
                  <c:v>0</c:v>
                </c:pt>
                <c:pt idx="2">
                  <c:v>1.4670412760283136</c:v>
                </c:pt>
                <c:pt idx="3">
                  <c:v>2.0073198817227995</c:v>
                </c:pt>
                <c:pt idx="4">
                  <c:v>2.5543350463689665</c:v>
                </c:pt>
                <c:pt idx="5">
                  <c:v>3.2242569540569646</c:v>
                </c:pt>
                <c:pt idx="6">
                  <c:v>3.4609754139741602</c:v>
                </c:pt>
              </c:numCache>
            </c:numRef>
          </c:val>
          <c:extLst>
            <c:ext xmlns:c16="http://schemas.microsoft.com/office/drawing/2014/chart" uri="{C3380CC4-5D6E-409C-BE32-E72D297353CC}">
              <c16:uniqueId val="{00000001-27F4-4F50-A0B2-8C59A2873F65}"/>
            </c:ext>
          </c:extLst>
        </c:ser>
        <c:ser>
          <c:idx val="3"/>
          <c:order val="2"/>
          <c:tx>
            <c:strRef>
              <c:f>'fan chart'!$AQ$44</c:f>
              <c:strCache>
                <c:ptCount val="1"/>
                <c:pt idx="0">
                  <c:v>20ти-40ти</c:v>
                </c:pt>
              </c:strCache>
            </c:strRef>
          </c:tx>
          <c:spPr>
            <a:solidFill>
              <a:schemeClr val="accent5">
                <a:lumMod val="60000"/>
                <a:lumOff val="40000"/>
                <a:alpha val="50000"/>
              </a:schemeClr>
            </a:solid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chart'!$AE$44:$AK$44</c:f>
              <c:numCache>
                <c:formatCode>0.0</c:formatCode>
                <c:ptCount val="7"/>
                <c:pt idx="0">
                  <c:v>0</c:v>
                </c:pt>
                <c:pt idx="1">
                  <c:v>0</c:v>
                </c:pt>
                <c:pt idx="2">
                  <c:v>1.9848725933890199</c:v>
                </c:pt>
                <c:pt idx="3">
                  <c:v>2.6438489688272169</c:v>
                </c:pt>
                <c:pt idx="4">
                  <c:v>3.9384778075598312</c:v>
                </c:pt>
                <c:pt idx="5">
                  <c:v>4.547371121787636</c:v>
                </c:pt>
                <c:pt idx="6">
                  <c:v>4.8370832889719768</c:v>
                </c:pt>
              </c:numCache>
            </c:numRef>
          </c:val>
          <c:extLst>
            <c:ext xmlns:c16="http://schemas.microsoft.com/office/drawing/2014/chart" uri="{C3380CC4-5D6E-409C-BE32-E72D297353CC}">
              <c16:uniqueId val="{00000002-27F4-4F50-A0B2-8C59A2873F65}"/>
            </c:ext>
          </c:extLst>
        </c:ser>
        <c:ser>
          <c:idx val="4"/>
          <c:order val="3"/>
          <c:tx>
            <c:strRef>
              <c:f>'fan chart'!$AQ$45</c:f>
              <c:strCache>
                <c:ptCount val="1"/>
                <c:pt idx="0">
                  <c:v>40ти-60ти</c:v>
                </c:pt>
              </c:strCache>
            </c:strRef>
          </c:tx>
          <c:spPr>
            <a:solidFill>
              <a:schemeClr val="tx2">
                <a:lumMod val="40000"/>
                <a:lumOff val="60000"/>
                <a:alpha val="50000"/>
              </a:schemeClr>
            </a:solid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chart'!$AE$45:$AK$45</c:f>
              <c:numCache>
                <c:formatCode>0.0</c:formatCode>
                <c:ptCount val="7"/>
                <c:pt idx="0">
                  <c:v>0</c:v>
                </c:pt>
                <c:pt idx="1">
                  <c:v>0</c:v>
                </c:pt>
                <c:pt idx="2">
                  <c:v>1.7523069162864724</c:v>
                </c:pt>
                <c:pt idx="3">
                  <c:v>2.6111413812465125</c:v>
                </c:pt>
                <c:pt idx="4">
                  <c:v>3.6819685823280546</c:v>
                </c:pt>
                <c:pt idx="5">
                  <c:v>3.7706782568926398</c:v>
                </c:pt>
                <c:pt idx="6">
                  <c:v>4.5262549517135486</c:v>
                </c:pt>
              </c:numCache>
            </c:numRef>
          </c:val>
          <c:extLst>
            <c:ext xmlns:c16="http://schemas.microsoft.com/office/drawing/2014/chart" uri="{C3380CC4-5D6E-409C-BE32-E72D297353CC}">
              <c16:uniqueId val="{00000003-27F4-4F50-A0B2-8C59A2873F65}"/>
            </c:ext>
          </c:extLst>
        </c:ser>
        <c:ser>
          <c:idx val="5"/>
          <c:order val="4"/>
          <c:tx>
            <c:strRef>
              <c:f>'fan chart'!$AQ$46</c:f>
              <c:strCache>
                <c:ptCount val="1"/>
                <c:pt idx="0">
                  <c:v>60ти-80ти</c:v>
                </c:pt>
              </c:strCache>
            </c:strRef>
          </c:tx>
          <c:spPr>
            <a:solidFill>
              <a:schemeClr val="accent5">
                <a:lumMod val="60000"/>
                <a:lumOff val="40000"/>
                <a:alpha val="50000"/>
              </a:schemeClr>
            </a:solid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chart'!$AE$46:$AK$46</c:f>
              <c:numCache>
                <c:formatCode>0.0</c:formatCode>
                <c:ptCount val="7"/>
                <c:pt idx="0">
                  <c:v>0</c:v>
                </c:pt>
                <c:pt idx="1">
                  <c:v>0</c:v>
                </c:pt>
                <c:pt idx="2">
                  <c:v>2.1213925404605929</c:v>
                </c:pt>
                <c:pt idx="3">
                  <c:v>3.2328083872913749</c:v>
                </c:pt>
                <c:pt idx="4">
                  <c:v>3.5176311971070295</c:v>
                </c:pt>
                <c:pt idx="5">
                  <c:v>4.6820531123629276</c:v>
                </c:pt>
                <c:pt idx="6">
                  <c:v>5.010805567649518</c:v>
                </c:pt>
              </c:numCache>
            </c:numRef>
          </c:val>
          <c:extLst>
            <c:ext xmlns:c16="http://schemas.microsoft.com/office/drawing/2014/chart" uri="{C3380CC4-5D6E-409C-BE32-E72D297353CC}">
              <c16:uniqueId val="{00000004-27F4-4F50-A0B2-8C59A2873F65}"/>
            </c:ext>
          </c:extLst>
        </c:ser>
        <c:ser>
          <c:idx val="6"/>
          <c:order val="5"/>
          <c:tx>
            <c:strRef>
              <c:f>'fan chart'!$AQ$47</c:f>
              <c:strCache>
                <c:ptCount val="1"/>
                <c:pt idx="0">
                  <c:v>80ти-90ти</c:v>
                </c:pt>
              </c:strCache>
            </c:strRef>
          </c:tx>
          <c:spPr>
            <a:solidFill>
              <a:schemeClr val="accent4">
                <a:lumMod val="60000"/>
                <a:lumOff val="40000"/>
                <a:alpha val="50000"/>
              </a:schemeClr>
            </a:solidFill>
          </c:spPr>
          <c:val>
            <c:numRef>
              <c:f>'fan chart'!$AE$47:$AK$47</c:f>
              <c:numCache>
                <c:formatCode>0.0</c:formatCode>
                <c:ptCount val="7"/>
                <c:pt idx="0">
                  <c:v>0</c:v>
                </c:pt>
                <c:pt idx="1">
                  <c:v>0</c:v>
                </c:pt>
                <c:pt idx="2">
                  <c:v>1.4469546372215036</c:v>
                </c:pt>
                <c:pt idx="3">
                  <c:v>2.1139280428327965</c:v>
                </c:pt>
                <c:pt idx="4">
                  <c:v>3.0336641505883835</c:v>
                </c:pt>
                <c:pt idx="5">
                  <c:v>3.6302682245666187</c:v>
                </c:pt>
                <c:pt idx="6">
                  <c:v>3.6527712145693947</c:v>
                </c:pt>
              </c:numCache>
            </c:numRef>
          </c:val>
          <c:extLst>
            <c:ext xmlns:c16="http://schemas.microsoft.com/office/drawing/2014/chart" uri="{C3380CC4-5D6E-409C-BE32-E72D297353CC}">
              <c16:uniqueId val="{00000005-27F4-4F50-A0B2-8C59A2873F65}"/>
            </c:ext>
          </c:extLst>
        </c:ser>
        <c:dLbls>
          <c:showLegendKey val="0"/>
          <c:showVal val="0"/>
          <c:showCatName val="0"/>
          <c:showSerName val="0"/>
          <c:showPercent val="0"/>
          <c:showBubbleSize val="0"/>
        </c:dLbls>
        <c:axId val="313851264"/>
        <c:axId val="314913920"/>
      </c:areaChart>
      <c:lineChart>
        <c:grouping val="standard"/>
        <c:varyColors val="0"/>
        <c:ser>
          <c:idx val="1"/>
          <c:order val="6"/>
          <c:tx>
            <c:v>Базов сценарий</c:v>
          </c:tx>
          <c:spPr>
            <a:ln w="25400">
              <a:solidFill>
                <a:schemeClr val="accent1"/>
              </a:solidFill>
            </a:ln>
          </c:spPr>
          <c:marker>
            <c:symbol val="none"/>
          </c:marke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chart'!$R$53:$X$53</c:f>
              <c:numCache>
                <c:formatCode>0.0</c:formatCode>
                <c:ptCount val="7"/>
                <c:pt idx="0">
                  <c:v>23.931708563571306</c:v>
                </c:pt>
                <c:pt idx="1">
                  <c:v>22.8847969698828</c:v>
                </c:pt>
                <c:pt idx="2">
                  <c:v>26.597485158868551</c:v>
                </c:pt>
                <c:pt idx="3">
                  <c:v>30.650779725255084</c:v>
                </c:pt>
                <c:pt idx="4">
                  <c:v>33.812106329572018</c:v>
                </c:pt>
                <c:pt idx="5">
                  <c:v>37.103207799273356</c:v>
                </c:pt>
                <c:pt idx="6">
                  <c:v>39.659014112003909</c:v>
                </c:pt>
              </c:numCache>
            </c:numRef>
          </c:val>
          <c:smooth val="0"/>
          <c:extLst>
            <c:ext xmlns:c16="http://schemas.microsoft.com/office/drawing/2014/chart" uri="{C3380CC4-5D6E-409C-BE32-E72D297353CC}">
              <c16:uniqueId val="{00000006-27F4-4F50-A0B2-8C59A2873F65}"/>
            </c:ext>
          </c:extLst>
        </c:ser>
        <c:dLbls>
          <c:showLegendKey val="0"/>
          <c:showVal val="0"/>
          <c:showCatName val="0"/>
          <c:showSerName val="0"/>
          <c:showPercent val="0"/>
          <c:showBubbleSize val="0"/>
        </c:dLbls>
        <c:marker val="1"/>
        <c:smooth val="0"/>
        <c:axId val="313851264"/>
        <c:axId val="314913920"/>
      </c:lineChart>
      <c:catAx>
        <c:axId val="313851264"/>
        <c:scaling>
          <c:orientation val="minMax"/>
        </c:scaling>
        <c:delete val="0"/>
        <c:axPos val="b"/>
        <c:numFmt formatCode="General" sourceLinked="1"/>
        <c:majorTickMark val="in"/>
        <c:minorTickMark val="none"/>
        <c:tickLblPos val="low"/>
        <c:spPr>
          <a:ln w="6350">
            <a:solidFill>
              <a:schemeClr val="bg1">
                <a:lumMod val="50000"/>
              </a:schemeClr>
            </a:solidFill>
            <a:prstDash val="solid"/>
          </a:ln>
        </c:spPr>
        <c:txPr>
          <a:bodyPr rot="0" vert="horz"/>
          <a:lstStyle/>
          <a:p>
            <a:pPr>
              <a:defRPr/>
            </a:pPr>
            <a:endParaRPr lang="bg-BG"/>
          </a:p>
        </c:txPr>
        <c:crossAx val="314913920"/>
        <c:crosses val="autoZero"/>
        <c:auto val="1"/>
        <c:lblAlgn val="ctr"/>
        <c:lblOffset val="100"/>
        <c:tickLblSkip val="1"/>
        <c:tickMarkSkip val="1"/>
        <c:noMultiLvlLbl val="0"/>
      </c:catAx>
      <c:valAx>
        <c:axId val="314913920"/>
        <c:scaling>
          <c:orientation val="minMax"/>
          <c:min val="15"/>
        </c:scaling>
        <c:delete val="0"/>
        <c:axPos val="l"/>
        <c:numFmt formatCode="#,##0" sourceLinked="0"/>
        <c:majorTickMark val="in"/>
        <c:minorTickMark val="none"/>
        <c:tickLblPos val="nextTo"/>
        <c:spPr>
          <a:ln w="6350">
            <a:solidFill>
              <a:schemeClr val="bg1">
                <a:lumMod val="50000"/>
              </a:schemeClr>
            </a:solidFill>
            <a:prstDash val="solid"/>
          </a:ln>
        </c:spPr>
        <c:txPr>
          <a:bodyPr rot="0" vert="horz"/>
          <a:lstStyle/>
          <a:p>
            <a:pPr>
              <a:defRPr/>
            </a:pPr>
            <a:endParaRPr lang="bg-BG"/>
          </a:p>
        </c:txPr>
        <c:crossAx val="313851264"/>
        <c:crosses val="autoZero"/>
        <c:crossBetween val="between"/>
      </c:valAx>
      <c:spPr>
        <a:noFill/>
        <a:ln w="3175">
          <a:solidFill>
            <a:sysClr val="window" lastClr="FFFFFF">
              <a:lumMod val="85000"/>
            </a:sysClr>
          </a:solidFill>
          <a:prstDash val="solid"/>
        </a:ln>
      </c:spPr>
    </c:plotArea>
    <c:legend>
      <c:legendPos val="b"/>
      <c:legendEntry>
        <c:idx val="0"/>
        <c:delete val="1"/>
      </c:legendEntry>
      <c:layout>
        <c:manualLayout>
          <c:xMode val="edge"/>
          <c:yMode val="edge"/>
          <c:x val="2.1346375254681558E-2"/>
          <c:y val="0.8197563109489362"/>
          <c:w val="0.94391740516021905"/>
          <c:h val="0.16015662676311804"/>
        </c:manualLayout>
      </c:layout>
      <c:overlay val="0"/>
    </c:legend>
    <c:plotVisOnly val="1"/>
    <c:dispBlanksAs val="zero"/>
    <c:showDLblsOverMax val="0"/>
  </c:chart>
  <c:spPr>
    <a:noFill/>
    <a:ln w="25400">
      <a:noFill/>
    </a:ln>
  </c:spPr>
  <c:txPr>
    <a:bodyPr/>
    <a:lstStyle/>
    <a:p>
      <a:pPr>
        <a:defRPr sz="900" b="0" i="0" u="none" strike="noStrike" baseline="0">
          <a:solidFill>
            <a:srgbClr val="000000"/>
          </a:solidFill>
          <a:latin typeface="Times New Roman" panose="02020603050405020304" pitchFamily="18" charset="0"/>
          <a:ea typeface="Times New Roman"/>
          <a:cs typeface="Times New Roman" panose="02020603050405020304" pitchFamily="18" charset="0"/>
        </a:defRPr>
      </a:pPr>
      <a:endParaRPr lang="bg-BG"/>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743937888844869E-2"/>
          <c:y val="2.8635170603674542E-2"/>
          <c:w val="0.90016845621570041"/>
          <c:h val="0.61170648927504756"/>
        </c:manualLayout>
      </c:layout>
      <c:areaChart>
        <c:grouping val="stacked"/>
        <c:varyColors val="0"/>
        <c:ser>
          <c:idx val="0"/>
          <c:order val="0"/>
          <c:spPr>
            <a:no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chart'!$BL$42:$BR$42</c:f>
              <c:numCache>
                <c:formatCode>0.0</c:formatCode>
                <c:ptCount val="7"/>
                <c:pt idx="0">
                  <c:v>23.931708563571306</c:v>
                </c:pt>
                <c:pt idx="1">
                  <c:v>22.8847969698828</c:v>
                </c:pt>
                <c:pt idx="2">
                  <c:v>25.685139767156141</c:v>
                </c:pt>
                <c:pt idx="3">
                  <c:v>29.502405266433239</c:v>
                </c:pt>
                <c:pt idx="4">
                  <c:v>32.469255381651543</c:v>
                </c:pt>
                <c:pt idx="5">
                  <c:v>36.161628191653683</c:v>
                </c:pt>
                <c:pt idx="6">
                  <c:v>39.199640872202785</c:v>
                </c:pt>
              </c:numCache>
            </c:numRef>
          </c:val>
          <c:extLst>
            <c:ext xmlns:c16="http://schemas.microsoft.com/office/drawing/2014/chart" uri="{C3380CC4-5D6E-409C-BE32-E72D297353CC}">
              <c16:uniqueId val="{00000000-AFFA-4252-938A-1C4AC3AC9456}"/>
            </c:ext>
          </c:extLst>
        </c:ser>
        <c:ser>
          <c:idx val="2"/>
          <c:order val="1"/>
          <c:tx>
            <c:strRef>
              <c:f>'fan chart'!$AQ$43</c:f>
              <c:strCache>
                <c:ptCount val="1"/>
                <c:pt idx="0">
                  <c:v>10ти-20ти</c:v>
                </c:pt>
              </c:strCache>
            </c:strRef>
          </c:tx>
          <c:spPr>
            <a:solidFill>
              <a:schemeClr val="accent4">
                <a:lumMod val="60000"/>
                <a:lumOff val="40000"/>
                <a:alpha val="50000"/>
              </a:schemeClr>
            </a:solid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chart'!$BL$43:$BR$43</c:f>
              <c:numCache>
                <c:formatCode>0.0</c:formatCode>
                <c:ptCount val="7"/>
                <c:pt idx="0">
                  <c:v>0</c:v>
                </c:pt>
                <c:pt idx="1">
                  <c:v>0</c:v>
                </c:pt>
                <c:pt idx="2">
                  <c:v>0.24981147489863686</c:v>
                </c:pt>
                <c:pt idx="3">
                  <c:v>0.71057585134346457</c:v>
                </c:pt>
                <c:pt idx="4">
                  <c:v>1.2353886644154211</c:v>
                </c:pt>
                <c:pt idx="5">
                  <c:v>1.4168789413098515</c:v>
                </c:pt>
                <c:pt idx="6">
                  <c:v>1.7841871352301752</c:v>
                </c:pt>
              </c:numCache>
            </c:numRef>
          </c:val>
          <c:extLst>
            <c:ext xmlns:c16="http://schemas.microsoft.com/office/drawing/2014/chart" uri="{C3380CC4-5D6E-409C-BE32-E72D297353CC}">
              <c16:uniqueId val="{00000001-AFFA-4252-938A-1C4AC3AC9456}"/>
            </c:ext>
          </c:extLst>
        </c:ser>
        <c:ser>
          <c:idx val="3"/>
          <c:order val="2"/>
          <c:tx>
            <c:strRef>
              <c:f>'fan chart'!$AQ$44</c:f>
              <c:strCache>
                <c:ptCount val="1"/>
                <c:pt idx="0">
                  <c:v>20ти-40ти</c:v>
                </c:pt>
              </c:strCache>
            </c:strRef>
          </c:tx>
          <c:spPr>
            <a:solidFill>
              <a:schemeClr val="accent5">
                <a:lumMod val="60000"/>
                <a:lumOff val="40000"/>
                <a:alpha val="50000"/>
              </a:schemeClr>
            </a:solid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chart'!$BL$44:$BR$44</c:f>
              <c:numCache>
                <c:formatCode>0.0</c:formatCode>
                <c:ptCount val="7"/>
                <c:pt idx="0">
                  <c:v>0</c:v>
                </c:pt>
                <c:pt idx="1">
                  <c:v>0</c:v>
                </c:pt>
                <c:pt idx="2">
                  <c:v>0.64194424508808856</c:v>
                </c:pt>
                <c:pt idx="3">
                  <c:v>1.4447018275102086</c:v>
                </c:pt>
                <c:pt idx="4">
                  <c:v>2.1868126178753942</c:v>
                </c:pt>
                <c:pt idx="5">
                  <c:v>2.7259824442799618</c:v>
                </c:pt>
                <c:pt idx="6">
                  <c:v>2.821501379444741</c:v>
                </c:pt>
              </c:numCache>
            </c:numRef>
          </c:val>
          <c:extLst>
            <c:ext xmlns:c16="http://schemas.microsoft.com/office/drawing/2014/chart" uri="{C3380CC4-5D6E-409C-BE32-E72D297353CC}">
              <c16:uniqueId val="{00000002-AFFA-4252-938A-1C4AC3AC9456}"/>
            </c:ext>
          </c:extLst>
        </c:ser>
        <c:ser>
          <c:idx val="4"/>
          <c:order val="3"/>
          <c:tx>
            <c:strRef>
              <c:f>'fan chart'!$AQ$45</c:f>
              <c:strCache>
                <c:ptCount val="1"/>
                <c:pt idx="0">
                  <c:v>40ти-60ти</c:v>
                </c:pt>
              </c:strCache>
            </c:strRef>
          </c:tx>
          <c:spPr>
            <a:solidFill>
              <a:schemeClr val="tx2">
                <a:lumMod val="40000"/>
                <a:lumOff val="60000"/>
                <a:alpha val="50000"/>
              </a:schemeClr>
            </a:solid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chart'!$BL$45:$BR$45</c:f>
              <c:numCache>
                <c:formatCode>0.0</c:formatCode>
                <c:ptCount val="7"/>
                <c:pt idx="0">
                  <c:v>0</c:v>
                </c:pt>
                <c:pt idx="1">
                  <c:v>0</c:v>
                </c:pt>
                <c:pt idx="2">
                  <c:v>1.1492218026174228</c:v>
                </c:pt>
                <c:pt idx="3">
                  <c:v>1.805686105855786</c:v>
                </c:pt>
                <c:pt idx="4">
                  <c:v>2.323356210284838</c:v>
                </c:pt>
                <c:pt idx="5">
                  <c:v>2.8367807600157837</c:v>
                </c:pt>
                <c:pt idx="6">
                  <c:v>3.2626856841010019</c:v>
                </c:pt>
              </c:numCache>
            </c:numRef>
          </c:val>
          <c:extLst>
            <c:ext xmlns:c16="http://schemas.microsoft.com/office/drawing/2014/chart" uri="{C3380CC4-5D6E-409C-BE32-E72D297353CC}">
              <c16:uniqueId val="{00000003-AFFA-4252-938A-1C4AC3AC9456}"/>
            </c:ext>
          </c:extLst>
        </c:ser>
        <c:ser>
          <c:idx val="5"/>
          <c:order val="4"/>
          <c:tx>
            <c:strRef>
              <c:f>'fan chart'!$AQ$46</c:f>
              <c:strCache>
                <c:ptCount val="1"/>
                <c:pt idx="0">
                  <c:v>60ти-80ти</c:v>
                </c:pt>
              </c:strCache>
            </c:strRef>
          </c:tx>
          <c:spPr>
            <a:solidFill>
              <a:schemeClr val="accent5">
                <a:lumMod val="60000"/>
                <a:lumOff val="40000"/>
                <a:alpha val="50000"/>
              </a:schemeClr>
            </a:solidFill>
            <a:ln w="25400">
              <a:noFill/>
              <a:prstDash val="solid"/>
            </a:ln>
            <a:effectLst/>
          </c:spP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chart'!$BL$46:$BR$46</c:f>
              <c:numCache>
                <c:formatCode>0.0</c:formatCode>
                <c:ptCount val="7"/>
                <c:pt idx="0">
                  <c:v>0</c:v>
                </c:pt>
                <c:pt idx="1">
                  <c:v>0</c:v>
                </c:pt>
                <c:pt idx="2">
                  <c:v>1.9504540456310004</c:v>
                </c:pt>
                <c:pt idx="3">
                  <c:v>2.5671052283427032</c:v>
                </c:pt>
                <c:pt idx="4">
                  <c:v>2.9798029355931122</c:v>
                </c:pt>
                <c:pt idx="5">
                  <c:v>3.3213338716693852</c:v>
                </c:pt>
                <c:pt idx="6">
                  <c:v>4.3039434667402512</c:v>
                </c:pt>
              </c:numCache>
            </c:numRef>
          </c:val>
          <c:extLst>
            <c:ext xmlns:c16="http://schemas.microsoft.com/office/drawing/2014/chart" uri="{C3380CC4-5D6E-409C-BE32-E72D297353CC}">
              <c16:uniqueId val="{00000004-AFFA-4252-938A-1C4AC3AC9456}"/>
            </c:ext>
          </c:extLst>
        </c:ser>
        <c:ser>
          <c:idx val="6"/>
          <c:order val="5"/>
          <c:tx>
            <c:strRef>
              <c:f>'fan chart'!$AQ$47</c:f>
              <c:strCache>
                <c:ptCount val="1"/>
                <c:pt idx="0">
                  <c:v>80ти-90ти</c:v>
                </c:pt>
              </c:strCache>
            </c:strRef>
          </c:tx>
          <c:spPr>
            <a:solidFill>
              <a:schemeClr val="accent4">
                <a:lumMod val="60000"/>
                <a:lumOff val="40000"/>
                <a:alpha val="50000"/>
              </a:schemeClr>
            </a:solidFill>
          </c:spPr>
          <c:val>
            <c:numRef>
              <c:f>'fan chart'!$BL$47:$BR$47</c:f>
              <c:numCache>
                <c:formatCode>0.0</c:formatCode>
                <c:ptCount val="7"/>
                <c:pt idx="0">
                  <c:v>0</c:v>
                </c:pt>
                <c:pt idx="1">
                  <c:v>0</c:v>
                </c:pt>
                <c:pt idx="2">
                  <c:v>1.4400475695252601</c:v>
                </c:pt>
                <c:pt idx="3">
                  <c:v>2.0265058689379947</c:v>
                </c:pt>
                <c:pt idx="4">
                  <c:v>2.4212741287957806</c:v>
                </c:pt>
                <c:pt idx="5">
                  <c:v>2.7841794198317338</c:v>
                </c:pt>
                <c:pt idx="6">
                  <c:v>2.8700358621380873</c:v>
                </c:pt>
              </c:numCache>
            </c:numRef>
          </c:val>
          <c:extLst>
            <c:ext xmlns:c16="http://schemas.microsoft.com/office/drawing/2014/chart" uri="{C3380CC4-5D6E-409C-BE32-E72D297353CC}">
              <c16:uniqueId val="{00000005-AFFA-4252-938A-1C4AC3AC9456}"/>
            </c:ext>
          </c:extLst>
        </c:ser>
        <c:dLbls>
          <c:showLegendKey val="0"/>
          <c:showVal val="0"/>
          <c:showCatName val="0"/>
          <c:showSerName val="0"/>
          <c:showPercent val="0"/>
          <c:showBubbleSize val="0"/>
        </c:dLbls>
        <c:axId val="313851264"/>
        <c:axId val="314913920"/>
      </c:areaChart>
      <c:lineChart>
        <c:grouping val="standard"/>
        <c:varyColors val="0"/>
        <c:ser>
          <c:idx val="1"/>
          <c:order val="6"/>
          <c:tx>
            <c:v>Базов сценарий</c:v>
          </c:tx>
          <c:spPr>
            <a:ln w="25400">
              <a:solidFill>
                <a:schemeClr val="accent1"/>
              </a:solidFill>
            </a:ln>
          </c:spPr>
          <c:marker>
            <c:symbol val="none"/>
          </c:marker>
          <c:cat>
            <c:numRef>
              <c:f>'fan chart'!$R$52:$X$52</c:f>
              <c:numCache>
                <c:formatCode>General</c:formatCode>
                <c:ptCount val="7"/>
                <c:pt idx="0">
                  <c:v>2021</c:v>
                </c:pt>
                <c:pt idx="1">
                  <c:v>2022</c:v>
                </c:pt>
                <c:pt idx="2">
                  <c:v>2023</c:v>
                </c:pt>
                <c:pt idx="3">
                  <c:v>2024</c:v>
                </c:pt>
                <c:pt idx="4">
                  <c:v>2025</c:v>
                </c:pt>
                <c:pt idx="5">
                  <c:v>2026</c:v>
                </c:pt>
                <c:pt idx="6">
                  <c:v>2027</c:v>
                </c:pt>
              </c:numCache>
            </c:numRef>
          </c:cat>
          <c:val>
            <c:numRef>
              <c:f>'fan chart'!$R$53:$X$53</c:f>
              <c:numCache>
                <c:formatCode>0.0</c:formatCode>
                <c:ptCount val="7"/>
                <c:pt idx="0">
                  <c:v>23.931708563571306</c:v>
                </c:pt>
                <c:pt idx="1">
                  <c:v>22.8847969698828</c:v>
                </c:pt>
                <c:pt idx="2">
                  <c:v>26.597485158868551</c:v>
                </c:pt>
                <c:pt idx="3">
                  <c:v>30.650779725255084</c:v>
                </c:pt>
                <c:pt idx="4">
                  <c:v>33.812106329572018</c:v>
                </c:pt>
                <c:pt idx="5">
                  <c:v>37.103207799273356</c:v>
                </c:pt>
                <c:pt idx="6">
                  <c:v>39.659014112003909</c:v>
                </c:pt>
              </c:numCache>
            </c:numRef>
          </c:val>
          <c:smooth val="0"/>
          <c:extLst>
            <c:ext xmlns:c16="http://schemas.microsoft.com/office/drawing/2014/chart" uri="{C3380CC4-5D6E-409C-BE32-E72D297353CC}">
              <c16:uniqueId val="{00000006-AFFA-4252-938A-1C4AC3AC9456}"/>
            </c:ext>
          </c:extLst>
        </c:ser>
        <c:dLbls>
          <c:showLegendKey val="0"/>
          <c:showVal val="0"/>
          <c:showCatName val="0"/>
          <c:showSerName val="0"/>
          <c:showPercent val="0"/>
          <c:showBubbleSize val="0"/>
        </c:dLbls>
        <c:marker val="1"/>
        <c:smooth val="0"/>
        <c:axId val="313851264"/>
        <c:axId val="314913920"/>
      </c:lineChart>
      <c:catAx>
        <c:axId val="313851264"/>
        <c:scaling>
          <c:orientation val="minMax"/>
        </c:scaling>
        <c:delete val="0"/>
        <c:axPos val="b"/>
        <c:numFmt formatCode="General" sourceLinked="1"/>
        <c:majorTickMark val="in"/>
        <c:minorTickMark val="none"/>
        <c:tickLblPos val="low"/>
        <c:spPr>
          <a:ln w="6350">
            <a:solidFill>
              <a:schemeClr val="bg1">
                <a:lumMod val="50000"/>
              </a:schemeClr>
            </a:solidFill>
            <a:prstDash val="solid"/>
          </a:ln>
        </c:spPr>
        <c:txPr>
          <a:bodyPr rot="0" vert="horz"/>
          <a:lstStyle/>
          <a:p>
            <a:pPr>
              <a:defRPr/>
            </a:pPr>
            <a:endParaRPr lang="bg-BG"/>
          </a:p>
        </c:txPr>
        <c:crossAx val="314913920"/>
        <c:crosses val="autoZero"/>
        <c:auto val="1"/>
        <c:lblAlgn val="ctr"/>
        <c:lblOffset val="100"/>
        <c:tickLblSkip val="1"/>
        <c:tickMarkSkip val="1"/>
        <c:noMultiLvlLbl val="0"/>
      </c:catAx>
      <c:valAx>
        <c:axId val="314913920"/>
        <c:scaling>
          <c:orientation val="minMax"/>
          <c:max val="55"/>
          <c:min val="15"/>
        </c:scaling>
        <c:delete val="0"/>
        <c:axPos val="l"/>
        <c:numFmt formatCode="#,##0" sourceLinked="0"/>
        <c:majorTickMark val="in"/>
        <c:minorTickMark val="none"/>
        <c:tickLblPos val="nextTo"/>
        <c:spPr>
          <a:ln w="6350">
            <a:solidFill>
              <a:schemeClr val="bg1">
                <a:lumMod val="50000"/>
              </a:schemeClr>
            </a:solidFill>
            <a:prstDash val="solid"/>
          </a:ln>
        </c:spPr>
        <c:txPr>
          <a:bodyPr rot="0" vert="horz"/>
          <a:lstStyle/>
          <a:p>
            <a:pPr>
              <a:defRPr/>
            </a:pPr>
            <a:endParaRPr lang="bg-BG"/>
          </a:p>
        </c:txPr>
        <c:crossAx val="313851264"/>
        <c:crosses val="autoZero"/>
        <c:crossBetween val="between"/>
        <c:majorUnit val="10"/>
      </c:valAx>
      <c:spPr>
        <a:noFill/>
        <a:ln w="3175">
          <a:solidFill>
            <a:sysClr val="window" lastClr="FFFFFF">
              <a:lumMod val="85000"/>
            </a:sysClr>
          </a:solidFill>
          <a:prstDash val="solid"/>
        </a:ln>
      </c:spPr>
    </c:plotArea>
    <c:plotVisOnly val="1"/>
    <c:dispBlanksAs val="zero"/>
    <c:showDLblsOverMax val="0"/>
  </c:chart>
  <c:spPr>
    <a:noFill/>
    <a:ln w="25400">
      <a:noFill/>
    </a:ln>
  </c:spPr>
  <c:txPr>
    <a:bodyPr/>
    <a:lstStyle/>
    <a:p>
      <a:pPr>
        <a:defRPr sz="900" b="0" i="0" u="none" strike="noStrike" baseline="0">
          <a:solidFill>
            <a:srgbClr val="000000"/>
          </a:solidFill>
          <a:latin typeface="Times New Roman" panose="02020603050405020304" pitchFamily="18" charset="0"/>
          <a:ea typeface="Times New Roman"/>
          <a:cs typeface="Times New Roman" panose="02020603050405020304" pitchFamily="18" charset="0"/>
        </a:defRPr>
      </a:pPr>
      <a:endParaRPr lang="bg-BG"/>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837849579147437E-2"/>
          <c:y val="7.5090178908329933E-2"/>
          <c:w val="0.90808705692383818"/>
          <c:h val="0.72084669481838959"/>
        </c:manualLayout>
      </c:layout>
      <c:lineChart>
        <c:grouping val="standard"/>
        <c:varyColors val="0"/>
        <c:ser>
          <c:idx val="0"/>
          <c:order val="0"/>
          <c:spPr>
            <a:ln w="22225" cap="rnd">
              <a:solidFill>
                <a:schemeClr val="bg2">
                  <a:lumMod val="75000"/>
                </a:schemeClr>
              </a:solidFill>
              <a:round/>
            </a:ln>
            <a:effectLst/>
          </c:spPr>
          <c:marker>
            <c:symbol val="none"/>
          </c:marker>
          <c:dPt>
            <c:idx val="0"/>
            <c:marker>
              <c:symbol val="none"/>
            </c:marker>
            <c:bubble3D val="0"/>
            <c:spPr>
              <a:ln w="22225" cap="rnd">
                <a:solidFill>
                  <a:schemeClr val="bg2">
                    <a:lumMod val="75000"/>
                  </a:schemeClr>
                </a:solidFill>
                <a:round/>
              </a:ln>
              <a:effectLst/>
            </c:spPr>
            <c:extLst>
              <c:ext xmlns:c16="http://schemas.microsoft.com/office/drawing/2014/chart" uri="{C3380CC4-5D6E-409C-BE32-E72D297353CC}">
                <c16:uniqueId val="{00000001-5EB2-418A-B5FA-3B1BBAD3DA3C}"/>
              </c:ext>
            </c:extLst>
          </c:dPt>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EB2-418A-B5FA-3B1BBAD3DA3C}"/>
                </c:ext>
              </c:extLst>
            </c:dLbl>
            <c:dLbl>
              <c:idx val="6"/>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EB2-418A-B5FA-3B1BBAD3DA3C}"/>
                </c:ext>
              </c:extLst>
            </c:dLbl>
            <c:dLbl>
              <c:idx val="48"/>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EB2-418A-B5FA-3B1BBAD3DA3C}"/>
                </c:ext>
              </c:extLst>
            </c:dLbl>
            <c:spPr>
              <a:solidFill>
                <a:schemeClr val="bg2">
                  <a:lumMod val="75000"/>
                </a:schemeClr>
              </a:solid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bg-BG"/>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6="http://schemas.microsoft.com/office/drawing/2014/chart" uri="{F5D05F6E-A05E-4728-AFD3-386EB277150F}">
                  <c16:filteredLitCache>
                    <c:numCache>
                      <c:formatCode>General</c:formatCode>
                      <c:ptCount val="1"/>
                      <c:pt idx="0">
                        <c:v>2021</c:v>
                      </c:pt>
                    </c:numCache>
                  </c16:filteredLitCache>
                </c:ext>
              </c:extLst>
              <c:f/>
              <c:numCache>
                <c:formatCode>General</c:formatCode>
                <c:ptCount val="49"/>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pt idx="14">
                  <c:v>2036</c:v>
                </c:pt>
                <c:pt idx="15">
                  <c:v>2037</c:v>
                </c:pt>
                <c:pt idx="16">
                  <c:v>2038</c:v>
                </c:pt>
                <c:pt idx="17">
                  <c:v>2039</c:v>
                </c:pt>
                <c:pt idx="18">
                  <c:v>2040</c:v>
                </c:pt>
                <c:pt idx="19">
                  <c:v>2041</c:v>
                </c:pt>
                <c:pt idx="20">
                  <c:v>2042</c:v>
                </c:pt>
                <c:pt idx="21">
                  <c:v>2043</c:v>
                </c:pt>
                <c:pt idx="22">
                  <c:v>2044</c:v>
                </c:pt>
                <c:pt idx="23">
                  <c:v>2045</c:v>
                </c:pt>
                <c:pt idx="24">
                  <c:v>2046</c:v>
                </c:pt>
                <c:pt idx="25">
                  <c:v>2047</c:v>
                </c:pt>
                <c:pt idx="26">
                  <c:v>2048</c:v>
                </c:pt>
                <c:pt idx="27">
                  <c:v>2049</c:v>
                </c:pt>
                <c:pt idx="28">
                  <c:v>2050</c:v>
                </c:pt>
                <c:pt idx="29">
                  <c:v>2051</c:v>
                </c:pt>
                <c:pt idx="30">
                  <c:v>2052</c:v>
                </c:pt>
                <c:pt idx="31">
                  <c:v>2053</c:v>
                </c:pt>
                <c:pt idx="32">
                  <c:v>2054</c:v>
                </c:pt>
                <c:pt idx="33">
                  <c:v>2055</c:v>
                </c:pt>
                <c:pt idx="34">
                  <c:v>2056</c:v>
                </c:pt>
                <c:pt idx="35">
                  <c:v>2057</c:v>
                </c:pt>
                <c:pt idx="36">
                  <c:v>2058</c:v>
                </c:pt>
                <c:pt idx="37">
                  <c:v>2059</c:v>
                </c:pt>
                <c:pt idx="38">
                  <c:v>2060</c:v>
                </c:pt>
                <c:pt idx="39">
                  <c:v>2061</c:v>
                </c:pt>
                <c:pt idx="40">
                  <c:v>2062</c:v>
                </c:pt>
                <c:pt idx="41">
                  <c:v>2063</c:v>
                </c:pt>
                <c:pt idx="42">
                  <c:v>2064</c:v>
                </c:pt>
                <c:pt idx="43">
                  <c:v>2065</c:v>
                </c:pt>
                <c:pt idx="44">
                  <c:v>2066</c:v>
                </c:pt>
                <c:pt idx="45">
                  <c:v>2067</c:v>
                </c:pt>
                <c:pt idx="46">
                  <c:v>2068</c:v>
                </c:pt>
                <c:pt idx="47">
                  <c:v>2069</c:v>
                </c:pt>
                <c:pt idx="48">
                  <c:v>2070</c:v>
                </c:pt>
              </c:numCache>
            </c:numRef>
          </c:cat>
          <c:val>
            <c:numRef>
              <c:extLst>
                <c:ext xmlns:c16="http://schemas.microsoft.com/office/drawing/2014/chart" uri="{F5D05F6E-A05E-4728-AFD3-386EB277150F}">
                  <c16:filteredLitCache>
                    <c:numCache>
                      <c:formatCode>0.0%</c:formatCode>
                      <c:ptCount val="1"/>
                      <c:pt idx="0">
                        <c:v>0.72995449785128752</c:v>
                      </c:pt>
                    </c:numCache>
                  </c16:filteredLitCache>
                </c:ext>
              </c:extLst>
              <c:f/>
              <c:numCache>
                <c:formatCode>0.0%</c:formatCode>
                <c:ptCount val="49"/>
                <c:pt idx="0">
                  <c:v>0.7104683041800709</c:v>
                </c:pt>
                <c:pt idx="1">
                  <c:v>0.70366520848918979</c:v>
                </c:pt>
                <c:pt idx="2">
                  <c:v>0.69175176186738507</c:v>
                </c:pt>
                <c:pt idx="3">
                  <c:v>0.68203329313946259</c:v>
                </c:pt>
                <c:pt idx="4">
                  <c:v>0.67330550299714986</c:v>
                </c:pt>
                <c:pt idx="5">
                  <c:v>0.66657645104052865</c:v>
                </c:pt>
                <c:pt idx="6">
                  <c:v>0.6627544759764018</c:v>
                </c:pt>
                <c:pt idx="7">
                  <c:v>0.66230884166460346</c:v>
                </c:pt>
                <c:pt idx="8">
                  <c:v>0.66380052302732928</c:v>
                </c:pt>
                <c:pt idx="9">
                  <c:v>0.66398465013728158</c:v>
                </c:pt>
                <c:pt idx="10">
                  <c:v>0.66654486049415429</c:v>
                </c:pt>
                <c:pt idx="11">
                  <c:v>0.66726833482228176</c:v>
                </c:pt>
                <c:pt idx="12">
                  <c:v>0.66745497784551433</c:v>
                </c:pt>
                <c:pt idx="13">
                  <c:v>0.66670713658585823</c:v>
                </c:pt>
                <c:pt idx="14">
                  <c:v>0.66706271883473334</c:v>
                </c:pt>
                <c:pt idx="15">
                  <c:v>0.66696611716135779</c:v>
                </c:pt>
                <c:pt idx="16">
                  <c:v>0.66690601213032086</c:v>
                </c:pt>
                <c:pt idx="17">
                  <c:v>0.66580072530461998</c:v>
                </c:pt>
                <c:pt idx="18">
                  <c:v>0.66630081345115089</c:v>
                </c:pt>
                <c:pt idx="19">
                  <c:v>0.66739120235924965</c:v>
                </c:pt>
                <c:pt idx="20">
                  <c:v>0.66912965053119955</c:v>
                </c:pt>
                <c:pt idx="21">
                  <c:v>0.67199932321625488</c:v>
                </c:pt>
                <c:pt idx="22">
                  <c:v>0.6746595620328586</c:v>
                </c:pt>
                <c:pt idx="23">
                  <c:v>0.67810474284681488</c:v>
                </c:pt>
                <c:pt idx="24">
                  <c:v>0.68170651379146263</c:v>
                </c:pt>
                <c:pt idx="25">
                  <c:v>0.68547012679032171</c:v>
                </c:pt>
                <c:pt idx="26">
                  <c:v>0.69013501442841174</c:v>
                </c:pt>
                <c:pt idx="27">
                  <c:v>0.69499340857651815</c:v>
                </c:pt>
                <c:pt idx="28">
                  <c:v>0.7024499592849055</c:v>
                </c:pt>
                <c:pt idx="29">
                  <c:v>0.71042069541203368</c:v>
                </c:pt>
                <c:pt idx="30">
                  <c:v>0.71810423748123409</c:v>
                </c:pt>
                <c:pt idx="31">
                  <c:v>0.72560566308496355</c:v>
                </c:pt>
                <c:pt idx="32">
                  <c:v>0.73233534984801041</c:v>
                </c:pt>
                <c:pt idx="33">
                  <c:v>0.73916368159950541</c:v>
                </c:pt>
                <c:pt idx="34">
                  <c:v>0.74480754592369636</c:v>
                </c:pt>
                <c:pt idx="35">
                  <c:v>0.74994736778712123</c:v>
                </c:pt>
                <c:pt idx="36">
                  <c:v>0.75376743484532471</c:v>
                </c:pt>
                <c:pt idx="37">
                  <c:v>0.75786153200235162</c:v>
                </c:pt>
                <c:pt idx="38">
                  <c:v>0.76083614998099469</c:v>
                </c:pt>
                <c:pt idx="39">
                  <c:v>0.76334260168276125</c:v>
                </c:pt>
                <c:pt idx="40">
                  <c:v>0.76585632779313007</c:v>
                </c:pt>
                <c:pt idx="41">
                  <c:v>0.76766857666637145</c:v>
                </c:pt>
                <c:pt idx="42">
                  <c:v>0.7702206247110126</c:v>
                </c:pt>
                <c:pt idx="43">
                  <c:v>0.77286955761370435</c:v>
                </c:pt>
                <c:pt idx="44">
                  <c:v>0.77563137110829294</c:v>
                </c:pt>
                <c:pt idx="45">
                  <c:v>0.77644641357674793</c:v>
                </c:pt>
                <c:pt idx="46">
                  <c:v>0.77794495071602277</c:v>
                </c:pt>
                <c:pt idx="47">
                  <c:v>0.7783667801477745</c:v>
                </c:pt>
                <c:pt idx="48">
                  <c:v>0.78067496778528922</c:v>
                </c:pt>
              </c:numCache>
            </c:numRef>
          </c:val>
          <c:smooth val="0"/>
          <c:extLst>
            <c:ext xmlns:c16="http://schemas.microsoft.com/office/drawing/2014/chart" uri="{F5D05F6E-A05E-4728-AFD3-386EB277150F}">
              <c16:categoryFilterExceptions>
                <c16:categoryFilterException>
                  <c16:uniqueId val="{00000005-DF1F-4642-89EE-317D870BAA06}"/>
                  <c16:dLbl>
                    <c:idx val="-1"/>
                    <c:tx>
                      <c:rich>
                        <a:bodyPr/>
                        <a:lstStyle/>
                        <a:p>
                          <a:fld id="{DA46229A-11FB-48CB-A073-A1108BA0A77F}" type="VALUE">
                            <a:rPr lang="en-US">
                              <a:solidFill>
                                <a:schemeClr val="bg1"/>
                              </a:solidFill>
                            </a:rPr>
                            <a:pPr/>
                            <a:t>[VALUE]</a:t>
                          </a:fld>
                          <a:endParaRPr lang="bg-BG"/>
                        </a:p>
                      </c:rich>
                    </c:tx>
                    <c:dLblPos val="ctr"/>
                    <c:showLegendKey val="0"/>
                    <c:showVal val="1"/>
                    <c:showCatName val="0"/>
                    <c:showSerName val="0"/>
                    <c:showPercent val="0"/>
                    <c:showBubbleSize val="0"/>
                    <c:extLst xmlns:c15="http://schemas.microsoft.com/office/drawing/2012/chart">
                      <c:ext xmlns:c15="http://schemas.microsoft.com/office/drawing/2012/chart" uri="{CE6537A1-D6FC-4f65-9D91-7224C49458BB}">
                        <c15:dlblFieldTable/>
                        <c15:showDataLabelsRange val="0"/>
                      </c:ext>
                      <c:ext uri="{C3380CC4-5D6E-409C-BE32-E72D297353CC}">
                        <c16:uniqueId val="{00000005-DF1F-4642-89EE-317D870BAA06}"/>
                      </c:ext>
                    </c:extLst>
                  </c16:dLbl>
                </c16:categoryFilterException>
              </c16:categoryFilterExceptions>
            </c:ext>
            <c:ext xmlns:c16="http://schemas.microsoft.com/office/drawing/2014/chart" uri="{C5897E43-82E2-4C41-B96C-FBF1F857EA46}">
              <c16:datapointuniqueidmap xmlns:c16="http://schemas.microsoft.com/office/drawing/2014/chart">
                <c16:ptentry>
                  <c16:ptidx>0</c16:ptidx>
                  <c16:uniqueID val="{00000005-DF1F-4642-89EE-317D870BAA06}"/>
                </c16:ptentry>
              </c16:datapointuniqueidmap>
            </c:ext>
            <c:ext xmlns:c16="http://schemas.microsoft.com/office/drawing/2014/chart" uri="{C3380CC4-5D6E-409C-BE32-E72D297353CC}">
              <c16:uniqueId val="{00000004-5EB2-418A-B5FA-3B1BBAD3DA3C}"/>
            </c:ext>
          </c:extLst>
        </c:ser>
        <c:dLbls>
          <c:showLegendKey val="0"/>
          <c:showVal val="0"/>
          <c:showCatName val="0"/>
          <c:showSerName val="0"/>
          <c:showPercent val="0"/>
          <c:showBubbleSize val="0"/>
        </c:dLbls>
        <c:smooth val="0"/>
        <c:axId val="392759008"/>
        <c:axId val="1"/>
      </c:lineChart>
      <c:catAx>
        <c:axId val="392759008"/>
        <c:scaling>
          <c:orientation val="minMax"/>
        </c:scaling>
        <c:delete val="0"/>
        <c:axPos val="b"/>
        <c:majorGridlines>
          <c:spPr>
            <a:ln w="3175" cap="flat" cmpd="sng" algn="ctr">
              <a:solidFill>
                <a:schemeClr val="bg1">
                  <a:lumMod val="85000"/>
                </a:schemeClr>
              </a:solidFill>
              <a:round/>
            </a:ln>
            <a:effectLst/>
          </c:spPr>
        </c:majorGridlines>
        <c:numFmt formatCode="General" sourceLinked="1"/>
        <c:majorTickMark val="in"/>
        <c:minorTickMark val="none"/>
        <c:tickLblPos val="nextTo"/>
        <c:spPr>
          <a:noFill/>
          <a:ln w="6350" cap="flat" cmpd="sng" algn="ctr">
            <a:solidFill>
              <a:schemeClr val="bg1">
                <a:lumMod val="50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tickLblSkip val="4"/>
        <c:tickMarkSkip val="1"/>
        <c:noMultiLvlLbl val="0"/>
      </c:catAx>
      <c:valAx>
        <c:axId val="1"/>
        <c:scaling>
          <c:orientation val="minMax"/>
          <c:max val="1"/>
          <c:min val="0.4"/>
        </c:scaling>
        <c:delete val="0"/>
        <c:axPos val="l"/>
        <c:majorGridlines>
          <c:spPr>
            <a:ln w="3175" cap="flat" cmpd="sng" algn="ctr">
              <a:solidFill>
                <a:schemeClr val="bg1">
                  <a:lumMod val="85000"/>
                </a:schemeClr>
              </a:solidFill>
              <a:round/>
            </a:ln>
            <a:effectLst/>
          </c:spPr>
        </c:majorGridlines>
        <c:numFmt formatCode="0%" sourceLinked="0"/>
        <c:majorTickMark val="in"/>
        <c:minorTickMark val="none"/>
        <c:tickLblPos val="nextTo"/>
        <c:spPr>
          <a:noFill/>
          <a:ln w="6350">
            <a:solidFill>
              <a:schemeClr val="bg1">
                <a:lumMod val="50000"/>
              </a:schemeClr>
            </a:solid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3927590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pPr>
      <a:endParaRPr lang="bg-BG"/>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61976297331438E-2"/>
          <c:y val="3.6947152019304041E-2"/>
          <c:w val="0.92254763376420956"/>
          <c:h val="0.81261668148336308"/>
        </c:manualLayout>
      </c:layout>
      <c:lineChart>
        <c:grouping val="standard"/>
        <c:varyColors val="0"/>
        <c:ser>
          <c:idx val="0"/>
          <c:order val="1"/>
          <c:tx>
            <c:v>С вкл. еднократни суми</c:v>
          </c:tx>
          <c:spPr>
            <a:ln w="28575" cap="rnd">
              <a:solidFill>
                <a:schemeClr val="bg2">
                  <a:lumMod val="75000"/>
                </a:schemeClr>
              </a:solidFill>
              <a:round/>
            </a:ln>
            <a:effectLst>
              <a:softEdge rad="0"/>
            </a:effectLst>
          </c:spPr>
          <c:marker>
            <c:symbol val="none"/>
          </c:marker>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33-452B-9DB9-8311F922F849}"/>
                </c:ext>
              </c:extLst>
            </c:dLbl>
            <c:dLbl>
              <c:idx val="3"/>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333-452B-9DB9-8311F922F849}"/>
                </c:ext>
              </c:extLst>
            </c:dLbl>
            <c:dLbl>
              <c:idx val="23"/>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33-452B-9DB9-8311F922F849}"/>
                </c:ext>
              </c:extLst>
            </c:dLbl>
            <c:dLbl>
              <c:idx val="47"/>
              <c:tx>
                <c:rich>
                  <a:bodyPr/>
                  <a:lstStyle/>
                  <a:p>
                    <a:r>
                      <a:rPr lang="en-US"/>
                      <a:t>9.5%</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33-452B-9DB9-8311F922F849}"/>
                </c:ext>
              </c:extLst>
            </c:dLbl>
            <c:spPr>
              <a:solidFill>
                <a:schemeClr val="bg2">
                  <a:lumMod val="75000"/>
                </a:schemeClr>
              </a:solid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bg-BG"/>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6="http://schemas.microsoft.com/office/drawing/2014/chart" uri="{F5D05F6E-A05E-4728-AFD3-386EB277150F}">
                  <c16:filteredLitCache>
                    <c:numCache>
                      <c:formatCode>General</c:formatCode>
                      <c:ptCount val="1"/>
                      <c:pt idx="0">
                        <c:v>2021</c:v>
                      </c:pt>
                    </c:numCache>
                  </c16:filteredLitCache>
                </c:ext>
              </c:extLst>
              <c:f/>
              <c:numCache>
                <c:formatCode>General</c:formatCode>
                <c:ptCount val="49"/>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pt idx="14">
                  <c:v>2036</c:v>
                </c:pt>
                <c:pt idx="15">
                  <c:v>2037</c:v>
                </c:pt>
                <c:pt idx="16">
                  <c:v>2038</c:v>
                </c:pt>
                <c:pt idx="17">
                  <c:v>2039</c:v>
                </c:pt>
                <c:pt idx="18">
                  <c:v>2040</c:v>
                </c:pt>
                <c:pt idx="19">
                  <c:v>2041</c:v>
                </c:pt>
                <c:pt idx="20">
                  <c:v>2042</c:v>
                </c:pt>
                <c:pt idx="21">
                  <c:v>2043</c:v>
                </c:pt>
                <c:pt idx="22">
                  <c:v>2044</c:v>
                </c:pt>
                <c:pt idx="23">
                  <c:v>2045</c:v>
                </c:pt>
                <c:pt idx="24">
                  <c:v>2046</c:v>
                </c:pt>
                <c:pt idx="25">
                  <c:v>2047</c:v>
                </c:pt>
                <c:pt idx="26">
                  <c:v>2048</c:v>
                </c:pt>
                <c:pt idx="27">
                  <c:v>2049</c:v>
                </c:pt>
                <c:pt idx="28">
                  <c:v>2050</c:v>
                </c:pt>
                <c:pt idx="29">
                  <c:v>2051</c:v>
                </c:pt>
                <c:pt idx="30">
                  <c:v>2052</c:v>
                </c:pt>
                <c:pt idx="31">
                  <c:v>2053</c:v>
                </c:pt>
                <c:pt idx="32">
                  <c:v>2054</c:v>
                </c:pt>
                <c:pt idx="33">
                  <c:v>2055</c:v>
                </c:pt>
                <c:pt idx="34">
                  <c:v>2056</c:v>
                </c:pt>
                <c:pt idx="35">
                  <c:v>2057</c:v>
                </c:pt>
                <c:pt idx="36">
                  <c:v>2058</c:v>
                </c:pt>
                <c:pt idx="37">
                  <c:v>2059</c:v>
                </c:pt>
                <c:pt idx="38">
                  <c:v>2060</c:v>
                </c:pt>
                <c:pt idx="39">
                  <c:v>2061</c:v>
                </c:pt>
                <c:pt idx="40">
                  <c:v>2062</c:v>
                </c:pt>
                <c:pt idx="41">
                  <c:v>2063</c:v>
                </c:pt>
                <c:pt idx="42">
                  <c:v>2064</c:v>
                </c:pt>
                <c:pt idx="43">
                  <c:v>2065</c:v>
                </c:pt>
                <c:pt idx="44">
                  <c:v>2066</c:v>
                </c:pt>
                <c:pt idx="45">
                  <c:v>2067</c:v>
                </c:pt>
                <c:pt idx="46">
                  <c:v>2068</c:v>
                </c:pt>
                <c:pt idx="47">
                  <c:v>2069</c:v>
                </c:pt>
                <c:pt idx="48">
                  <c:v>2070</c:v>
                </c:pt>
              </c:numCache>
            </c:numRef>
          </c:cat>
          <c:val>
            <c:numRef>
              <c:extLst>
                <c:ext xmlns:c16="http://schemas.microsoft.com/office/drawing/2014/chart" uri="{F5D05F6E-A05E-4728-AFD3-386EB277150F}">
                  <c16:filteredLitCache>
                    <c:numCache>
                      <c:formatCode>0.0%</c:formatCode>
                      <c:ptCount val="1"/>
                      <c:pt idx="0">
                        <c:v>0.10249976119752567</c:v>
                      </c:pt>
                    </c:numCache>
                  </c16:filteredLitCache>
                </c:ext>
              </c:extLst>
              <c:f/>
              <c:numCache>
                <c:formatCode>0.0%</c:formatCode>
                <c:ptCount val="49"/>
                <c:pt idx="0">
                  <c:v>9.9672321814443923E-2</c:v>
                </c:pt>
                <c:pt idx="1">
                  <c:v>0.10386991853316761</c:v>
                </c:pt>
                <c:pt idx="2">
                  <c:v>0.107854328403595</c:v>
                </c:pt>
                <c:pt idx="3">
                  <c:v>0.10999857274461533</c:v>
                </c:pt>
                <c:pt idx="4">
                  <c:v>0.1104762368687961</c:v>
                </c:pt>
                <c:pt idx="5">
                  <c:v>0.10887019494225275</c:v>
                </c:pt>
                <c:pt idx="6">
                  <c:v>0.10710663248022083</c:v>
                </c:pt>
                <c:pt idx="7">
                  <c:v>0.10496521280424372</c:v>
                </c:pt>
                <c:pt idx="8">
                  <c:v>0.10332251353862078</c:v>
                </c:pt>
                <c:pt idx="9">
                  <c:v>0.1016636600850596</c:v>
                </c:pt>
                <c:pt idx="10">
                  <c:v>0.10036146620412952</c:v>
                </c:pt>
                <c:pt idx="11">
                  <c:v>9.9062090727773111E-2</c:v>
                </c:pt>
                <c:pt idx="12">
                  <c:v>9.7762064099277526E-2</c:v>
                </c:pt>
                <c:pt idx="13">
                  <c:v>9.6573242027960679E-2</c:v>
                </c:pt>
                <c:pt idx="14">
                  <c:v>9.5485283303450436E-2</c:v>
                </c:pt>
                <c:pt idx="15">
                  <c:v>9.4472335281702527E-2</c:v>
                </c:pt>
                <c:pt idx="16">
                  <c:v>9.3613064902717188E-2</c:v>
                </c:pt>
                <c:pt idx="17">
                  <c:v>9.2695868199214312E-2</c:v>
                </c:pt>
                <c:pt idx="18">
                  <c:v>9.2114777207056853E-2</c:v>
                </c:pt>
                <c:pt idx="19">
                  <c:v>9.1602926946733179E-2</c:v>
                </c:pt>
                <c:pt idx="20">
                  <c:v>9.1168669037023059E-2</c:v>
                </c:pt>
                <c:pt idx="21">
                  <c:v>9.0916433996568555E-2</c:v>
                </c:pt>
                <c:pt idx="22">
                  <c:v>9.0684792860010355E-2</c:v>
                </c:pt>
                <c:pt idx="23">
                  <c:v>9.0577239292792405E-2</c:v>
                </c:pt>
                <c:pt idx="24">
                  <c:v>9.056181336119741E-2</c:v>
                </c:pt>
                <c:pt idx="25">
                  <c:v>9.0638636543920487E-2</c:v>
                </c:pt>
                <c:pt idx="26">
                  <c:v>9.0878275029492431E-2</c:v>
                </c:pt>
                <c:pt idx="27">
                  <c:v>9.1130233398749191E-2</c:v>
                </c:pt>
                <c:pt idx="28">
                  <c:v>9.142482371972567E-2</c:v>
                </c:pt>
                <c:pt idx="29">
                  <c:v>9.1811448663690023E-2</c:v>
                </c:pt>
                <c:pt idx="30">
                  <c:v>9.2189060267804074E-2</c:v>
                </c:pt>
                <c:pt idx="31">
                  <c:v>9.2569252596463827E-2</c:v>
                </c:pt>
                <c:pt idx="32">
                  <c:v>9.2873675186755045E-2</c:v>
                </c:pt>
                <c:pt idx="33">
                  <c:v>9.3189388889658678E-2</c:v>
                </c:pt>
                <c:pt idx="34">
                  <c:v>9.3364977634141699E-2</c:v>
                </c:pt>
                <c:pt idx="35">
                  <c:v>9.3490356366250443E-2</c:v>
                </c:pt>
                <c:pt idx="36">
                  <c:v>9.3497351734640119E-2</c:v>
                </c:pt>
                <c:pt idx="37">
                  <c:v>9.3567760022434915E-2</c:v>
                </c:pt>
                <c:pt idx="38">
                  <c:v>9.3563850584014008E-2</c:v>
                </c:pt>
                <c:pt idx="39">
                  <c:v>9.3551654204741874E-2</c:v>
                </c:pt>
                <c:pt idx="40">
                  <c:v>9.3577925592391337E-2</c:v>
                </c:pt>
                <c:pt idx="41">
                  <c:v>9.3566491642979394E-2</c:v>
                </c:pt>
                <c:pt idx="42">
                  <c:v>9.3690343132134715E-2</c:v>
                </c:pt>
                <c:pt idx="43">
                  <c:v>9.3874824170603832E-2</c:v>
                </c:pt>
                <c:pt idx="44">
                  <c:v>9.4127207684195871E-2</c:v>
                </c:pt>
                <c:pt idx="45">
                  <c:v>9.4188341009752388E-2</c:v>
                </c:pt>
                <c:pt idx="46">
                  <c:v>9.4371141148443485E-2</c:v>
                </c:pt>
                <c:pt idx="47">
                  <c:v>9.4478991814861676E-2</c:v>
                </c:pt>
                <c:pt idx="48">
                  <c:v>9.4745651790091492E-2</c:v>
                </c:pt>
              </c:numCache>
            </c:numRef>
          </c:val>
          <c:smooth val="1"/>
          <c:extLst>
            <c:ext xmlns:c16="http://schemas.microsoft.com/office/drawing/2014/chart" uri="{F5D05F6E-A05E-4728-AFD3-386EB277150F}">
              <c16:categoryFilterExceptions>
                <c16:categoryFilterException>
                  <c16:uniqueId val="{00000006-E353-42D1-99D7-E169778FF244}"/>
                  <c16:dLbl>
                    <c:idx val="-1"/>
                    <c:dLblPos val="ctr"/>
                    <c:showLegendKey val="0"/>
                    <c:showVal val="1"/>
                    <c:showCatName val="0"/>
                    <c:showSerName val="0"/>
                    <c:showPercent val="0"/>
                    <c:showBubbleSize val="0"/>
                    <c:extLst xmlns:c15="http://schemas.microsoft.com/office/drawing/2012/chart">
                      <c:ext xmlns:c15="http://schemas.microsoft.com/office/drawing/2012/chart" uri="{CE6537A1-D6FC-4f65-9D91-7224C49458BB}"/>
                      <c:ext uri="{C3380CC4-5D6E-409C-BE32-E72D297353CC}">
                        <c16:uniqueId val="{00000006-E353-42D1-99D7-E169778FF244}"/>
                      </c:ext>
                    </c:extLst>
                  </c16:dLbl>
                </c16:categoryFilterException>
              </c16:categoryFilterExceptions>
            </c:ext>
            <c:ext xmlns:c16="http://schemas.microsoft.com/office/drawing/2014/chart" uri="{C5897E43-82E2-4C41-B96C-FBF1F857EA46}">
              <c16:datapointuniqueidmap xmlns:c16="http://schemas.microsoft.com/office/drawing/2014/chart">
                <c16:ptentry>
                  <c16:ptidx>0</c16:ptidx>
                  <c16:uniqueID val="{00000006-E353-42D1-99D7-E169778FF244}"/>
                </c16:ptentry>
              </c16:datapointuniqueidmap>
            </c:ext>
            <c:ext xmlns:c16="http://schemas.microsoft.com/office/drawing/2014/chart" uri="{C3380CC4-5D6E-409C-BE32-E72D297353CC}">
              <c16:uniqueId val="{00000004-6333-452B-9DB9-8311F922F849}"/>
            </c:ext>
          </c:extLst>
        </c:ser>
        <c:dLbls>
          <c:showLegendKey val="0"/>
          <c:showVal val="0"/>
          <c:showCatName val="0"/>
          <c:showSerName val="0"/>
          <c:showPercent val="0"/>
          <c:showBubbleSize val="0"/>
        </c:dLbls>
        <c:smooth val="0"/>
        <c:axId val="282683152"/>
        <c:axId val="1"/>
        <c:extLst>
          <c:ext xmlns:c15="http://schemas.microsoft.com/office/drawing/2012/chart" uri="{02D57815-91ED-43cb-92C2-25804820EDAC}">
            <c15:filteredLineSeries>
              <c15:ser>
                <c:idx val="1"/>
                <c:order val="0"/>
                <c:tx>
                  <c:v>Без еднократните суми</c:v>
                </c:tx>
                <c:spPr>
                  <a:ln w="28575" cap="rnd">
                    <a:solidFill>
                      <a:schemeClr val="accent2"/>
                    </a:solidFill>
                    <a:round/>
                  </a:ln>
                  <a:effectLst/>
                </c:spPr>
                <c:marker>
                  <c:symbol val="none"/>
                </c:marker>
                <c:cat>
                  <c:numRef>
                    <c:extLst>
                      <c:ext xmlns:c16="http://schemas.microsoft.com/office/drawing/2014/chart" uri="{F5D05F6E-A05E-4728-AFD3-386EB277150F}">
                        <c16:filteredLitCache>
                          <c:numCache>
                            <c:formatCode>General</c:formatCode>
                            <c:ptCount val="1"/>
                            <c:pt idx="0">
                              <c:v>2021</c:v>
                            </c:pt>
                          </c:numCache>
                        </c16:filteredLitCache>
                      </c:ext>
                    </c:extLst>
                    <c:f/>
                    <c:numCache>
                      <c:formatCode>General</c:formatCode>
                      <c:ptCount val="49"/>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pt idx="14">
                        <c:v>2036</c:v>
                      </c:pt>
                      <c:pt idx="15">
                        <c:v>2037</c:v>
                      </c:pt>
                      <c:pt idx="16">
                        <c:v>2038</c:v>
                      </c:pt>
                      <c:pt idx="17">
                        <c:v>2039</c:v>
                      </c:pt>
                      <c:pt idx="18">
                        <c:v>2040</c:v>
                      </c:pt>
                      <c:pt idx="19">
                        <c:v>2041</c:v>
                      </c:pt>
                      <c:pt idx="20">
                        <c:v>2042</c:v>
                      </c:pt>
                      <c:pt idx="21">
                        <c:v>2043</c:v>
                      </c:pt>
                      <c:pt idx="22">
                        <c:v>2044</c:v>
                      </c:pt>
                      <c:pt idx="23">
                        <c:v>2045</c:v>
                      </c:pt>
                      <c:pt idx="24">
                        <c:v>2046</c:v>
                      </c:pt>
                      <c:pt idx="25">
                        <c:v>2047</c:v>
                      </c:pt>
                      <c:pt idx="26">
                        <c:v>2048</c:v>
                      </c:pt>
                      <c:pt idx="27">
                        <c:v>2049</c:v>
                      </c:pt>
                      <c:pt idx="28">
                        <c:v>2050</c:v>
                      </c:pt>
                      <c:pt idx="29">
                        <c:v>2051</c:v>
                      </c:pt>
                      <c:pt idx="30">
                        <c:v>2052</c:v>
                      </c:pt>
                      <c:pt idx="31">
                        <c:v>2053</c:v>
                      </c:pt>
                      <c:pt idx="32">
                        <c:v>2054</c:v>
                      </c:pt>
                      <c:pt idx="33">
                        <c:v>2055</c:v>
                      </c:pt>
                      <c:pt idx="34">
                        <c:v>2056</c:v>
                      </c:pt>
                      <c:pt idx="35">
                        <c:v>2057</c:v>
                      </c:pt>
                      <c:pt idx="36">
                        <c:v>2058</c:v>
                      </c:pt>
                      <c:pt idx="37">
                        <c:v>2059</c:v>
                      </c:pt>
                      <c:pt idx="38">
                        <c:v>2060</c:v>
                      </c:pt>
                      <c:pt idx="39">
                        <c:v>2061</c:v>
                      </c:pt>
                      <c:pt idx="40">
                        <c:v>2062</c:v>
                      </c:pt>
                      <c:pt idx="41">
                        <c:v>2063</c:v>
                      </c:pt>
                      <c:pt idx="42">
                        <c:v>2064</c:v>
                      </c:pt>
                      <c:pt idx="43">
                        <c:v>2065</c:v>
                      </c:pt>
                      <c:pt idx="44">
                        <c:v>2066</c:v>
                      </c:pt>
                      <c:pt idx="45">
                        <c:v>2067</c:v>
                      </c:pt>
                      <c:pt idx="46">
                        <c:v>2068</c:v>
                      </c:pt>
                      <c:pt idx="47">
                        <c:v>2069</c:v>
                      </c:pt>
                      <c:pt idx="48">
                        <c:v>2070</c:v>
                      </c:pt>
                    </c:numCache>
                  </c:numRef>
                </c:cat>
                <c:val>
                  <c:numRef>
                    <c:extLst>
                      <c:ext xmlns:c16="http://schemas.microsoft.com/office/drawing/2014/chart" uri="{F5D05F6E-A05E-4728-AFD3-386EB277150F}">
                        <c16:filteredLitCache>
                          <c:numCache>
                            <c:formatCode>0.0%</c:formatCode>
                            <c:ptCount val="1"/>
                            <c:pt idx="0">
                              <c:v>8.419263572748506E-2</c:v>
                            </c:pt>
                          </c:numCache>
                        </c16:filteredLitCache>
                      </c:ext>
                    </c:extLst>
                    <c:f/>
                    <c:numCache>
                      <c:formatCode>0.0%</c:formatCode>
                      <c:ptCount val="49"/>
                      <c:pt idx="0">
                        <c:v>9.4532925793240449E-2</c:v>
                      </c:pt>
                      <c:pt idx="1">
                        <c:v>0.1038699185331676</c:v>
                      </c:pt>
                      <c:pt idx="2">
                        <c:v>0.107854328403595</c:v>
                      </c:pt>
                      <c:pt idx="3">
                        <c:v>0.10999857274461533</c:v>
                      </c:pt>
                      <c:pt idx="4">
                        <c:v>0.1104762368687961</c:v>
                      </c:pt>
                      <c:pt idx="5">
                        <c:v>0.10887019494225275</c:v>
                      </c:pt>
                      <c:pt idx="6">
                        <c:v>0.10710663248022083</c:v>
                      </c:pt>
                      <c:pt idx="7">
                        <c:v>0.1049652128042437</c:v>
                      </c:pt>
                      <c:pt idx="8">
                        <c:v>0.10332251353862079</c:v>
                      </c:pt>
                      <c:pt idx="9">
                        <c:v>0.1016636600850596</c:v>
                      </c:pt>
                      <c:pt idx="10">
                        <c:v>0.10036146620412952</c:v>
                      </c:pt>
                      <c:pt idx="11">
                        <c:v>9.9062090727773125E-2</c:v>
                      </c:pt>
                      <c:pt idx="12">
                        <c:v>9.7762064099277526E-2</c:v>
                      </c:pt>
                      <c:pt idx="13">
                        <c:v>9.6573242027960693E-2</c:v>
                      </c:pt>
                      <c:pt idx="14">
                        <c:v>9.5485283303450436E-2</c:v>
                      </c:pt>
                      <c:pt idx="15">
                        <c:v>9.4472335281702541E-2</c:v>
                      </c:pt>
                      <c:pt idx="16">
                        <c:v>9.3613064902717188E-2</c:v>
                      </c:pt>
                      <c:pt idx="17">
                        <c:v>9.2695868199214312E-2</c:v>
                      </c:pt>
                      <c:pt idx="18">
                        <c:v>9.2114777207056867E-2</c:v>
                      </c:pt>
                      <c:pt idx="19">
                        <c:v>9.1602926946733179E-2</c:v>
                      </c:pt>
                      <c:pt idx="20">
                        <c:v>9.1168669037023059E-2</c:v>
                      </c:pt>
                      <c:pt idx="21">
                        <c:v>9.0916433996568555E-2</c:v>
                      </c:pt>
                      <c:pt idx="22">
                        <c:v>9.0684792860010355E-2</c:v>
                      </c:pt>
                      <c:pt idx="23">
                        <c:v>9.0577239292792405E-2</c:v>
                      </c:pt>
                      <c:pt idx="24">
                        <c:v>9.056181336119741E-2</c:v>
                      </c:pt>
                      <c:pt idx="25">
                        <c:v>9.0638636543920487E-2</c:v>
                      </c:pt>
                      <c:pt idx="26">
                        <c:v>9.0878275029492417E-2</c:v>
                      </c:pt>
                      <c:pt idx="27">
                        <c:v>9.1130233398749191E-2</c:v>
                      </c:pt>
                      <c:pt idx="28">
                        <c:v>9.142482371972567E-2</c:v>
                      </c:pt>
                      <c:pt idx="29">
                        <c:v>9.1811448663690023E-2</c:v>
                      </c:pt>
                      <c:pt idx="30">
                        <c:v>9.2189060267804074E-2</c:v>
                      </c:pt>
                      <c:pt idx="31">
                        <c:v>9.2569252596463827E-2</c:v>
                      </c:pt>
                      <c:pt idx="32">
                        <c:v>9.2873675186755059E-2</c:v>
                      </c:pt>
                      <c:pt idx="33">
                        <c:v>9.3189388889658678E-2</c:v>
                      </c:pt>
                      <c:pt idx="34">
                        <c:v>9.3364977634141713E-2</c:v>
                      </c:pt>
                      <c:pt idx="35">
                        <c:v>9.3490356366250443E-2</c:v>
                      </c:pt>
                      <c:pt idx="36">
                        <c:v>9.3497351734640119E-2</c:v>
                      </c:pt>
                      <c:pt idx="37">
                        <c:v>9.3567760022434915E-2</c:v>
                      </c:pt>
                      <c:pt idx="38">
                        <c:v>9.3563850584014008E-2</c:v>
                      </c:pt>
                      <c:pt idx="39">
                        <c:v>9.3551654204741874E-2</c:v>
                      </c:pt>
                      <c:pt idx="40">
                        <c:v>9.3577925592391337E-2</c:v>
                      </c:pt>
                      <c:pt idx="41">
                        <c:v>9.3566491642979394E-2</c:v>
                      </c:pt>
                      <c:pt idx="42">
                        <c:v>9.3690343132134701E-2</c:v>
                      </c:pt>
                      <c:pt idx="43">
                        <c:v>9.3874824170603832E-2</c:v>
                      </c:pt>
                      <c:pt idx="44">
                        <c:v>9.4127207684195871E-2</c:v>
                      </c:pt>
                      <c:pt idx="45">
                        <c:v>9.4188341009752388E-2</c:v>
                      </c:pt>
                      <c:pt idx="46">
                        <c:v>9.4371141148443499E-2</c:v>
                      </c:pt>
                      <c:pt idx="47">
                        <c:v>9.447899181486169E-2</c:v>
                      </c:pt>
                      <c:pt idx="48">
                        <c:v>9.4745651790091479E-2</c:v>
                      </c:pt>
                    </c:numCache>
                  </c:numRef>
                </c:val>
                <c:smooth val="1"/>
                <c:extLst>
                  <c:ext xmlns:c16="http://schemas.microsoft.com/office/drawing/2014/chart" uri="{C3380CC4-5D6E-409C-BE32-E72D297353CC}">
                    <c16:uniqueId val="{00000005-6333-452B-9DB9-8311F922F849}"/>
                  </c:ext>
                </c:extLst>
              </c15:ser>
            </c15:filteredLineSeries>
          </c:ext>
        </c:extLst>
      </c:lineChart>
      <c:catAx>
        <c:axId val="282683152"/>
        <c:scaling>
          <c:orientation val="minMax"/>
        </c:scaling>
        <c:delete val="0"/>
        <c:axPos val="b"/>
        <c:majorGridlines>
          <c:spPr>
            <a:ln w="3175" cap="flat" cmpd="sng" algn="ctr">
              <a:solidFill>
                <a:schemeClr val="bg1">
                  <a:lumMod val="85000"/>
                </a:schemeClr>
              </a:solidFill>
              <a:round/>
            </a:ln>
            <a:effectLst/>
          </c:spPr>
        </c:majorGridlines>
        <c:numFmt formatCode="General" sourceLinked="1"/>
        <c:majorTickMark val="in"/>
        <c:minorTickMark val="none"/>
        <c:tickLblPos val="nextTo"/>
        <c:spPr>
          <a:noFill/>
          <a:ln w="6350" cap="flat" cmpd="sng" algn="ctr">
            <a:solidFill>
              <a:schemeClr val="bg1">
                <a:lumMod val="50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
        <c:crosses val="autoZero"/>
        <c:auto val="1"/>
        <c:lblAlgn val="ctr"/>
        <c:lblOffset val="100"/>
        <c:tickLblSkip val="4"/>
        <c:tickMarkSkip val="1"/>
        <c:noMultiLvlLbl val="0"/>
      </c:catAx>
      <c:valAx>
        <c:axId val="1"/>
        <c:scaling>
          <c:orientation val="minMax"/>
          <c:max val="0.15000000000000002"/>
          <c:min val="3.0000000000000006E-2"/>
        </c:scaling>
        <c:delete val="0"/>
        <c:axPos val="l"/>
        <c:majorGridlines>
          <c:spPr>
            <a:ln w="3175" cap="flat" cmpd="sng" algn="ctr">
              <a:solidFill>
                <a:schemeClr val="bg1">
                  <a:lumMod val="85000"/>
                </a:schemeClr>
              </a:solidFill>
              <a:round/>
            </a:ln>
            <a:effectLst/>
          </c:spPr>
        </c:majorGridlines>
        <c:numFmt formatCode="0%" sourceLinked="0"/>
        <c:majorTickMark val="in"/>
        <c:minorTickMark val="none"/>
        <c:tickLblPos val="nextTo"/>
        <c:spPr>
          <a:noFill/>
          <a:ln w="6350">
            <a:solidFill>
              <a:schemeClr val="bg1">
                <a:lumMod val="50000"/>
              </a:schemeClr>
            </a:solid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82683152"/>
        <c:crosses val="autoZero"/>
        <c:crossBetween val="between"/>
        <c:majorUnit val="3.0000000000000006E-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pPr>
      <a:endParaRPr lang="bg-BG"/>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7741711448141752E-2"/>
          <c:y val="5.5443548387096774E-2"/>
          <c:w val="0.90119803106199381"/>
          <c:h val="0.71432959740919477"/>
        </c:manualLayout>
      </c:layout>
      <c:barChart>
        <c:barDir val="col"/>
        <c:grouping val="clustered"/>
        <c:varyColors val="0"/>
        <c:ser>
          <c:idx val="0"/>
          <c:order val="0"/>
          <c:tx>
            <c:strRef>
              <c:f>UR!$A$2</c:f>
              <c:strCache>
                <c:ptCount val="1"/>
                <c:pt idx="0">
                  <c:v>Заетост, %, на год. база</c:v>
                </c:pt>
              </c:strCache>
            </c:strRef>
          </c:tx>
          <c:spPr>
            <a:solidFill>
              <a:schemeClr val="bg2"/>
            </a:solidFill>
            <a:ln w="3175">
              <a:solidFill>
                <a:schemeClr val="bg1"/>
              </a:solidFill>
            </a:ln>
          </c:spPr>
          <c:invertIfNegative val="0"/>
          <c:cat>
            <c:numRef>
              <c:f>UR!$G$1:$R$1</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UR!$G$2:$R$2</c:f>
              <c:numCache>
                <c:formatCode>0.0</c:formatCode>
                <c:ptCount val="12"/>
                <c:pt idx="0">
                  <c:v>0.35000502305508974</c:v>
                </c:pt>
                <c:pt idx="1">
                  <c:v>0.49800725280326219</c:v>
                </c:pt>
                <c:pt idx="2">
                  <c:v>1.7903201729425433</c:v>
                </c:pt>
                <c:pt idx="3">
                  <c:v>-0.10529445002939042</c:v>
                </c:pt>
                <c:pt idx="4">
                  <c:v>0.33898978884836595</c:v>
                </c:pt>
                <c:pt idx="5">
                  <c:v>-2.3158962388830702</c:v>
                </c:pt>
                <c:pt idx="6">
                  <c:v>0.19309079700002485</c:v>
                </c:pt>
                <c:pt idx="7">
                  <c:v>1.3</c:v>
                </c:pt>
                <c:pt idx="8">
                  <c:v>0.4</c:v>
                </c:pt>
                <c:pt idx="9">
                  <c:v>0.7</c:v>
                </c:pt>
                <c:pt idx="10">
                  <c:v>0.5</c:v>
                </c:pt>
                <c:pt idx="11" formatCode="General">
                  <c:v>0.3</c:v>
                </c:pt>
              </c:numCache>
            </c:numRef>
          </c:val>
          <c:extLst>
            <c:ext xmlns:c16="http://schemas.microsoft.com/office/drawing/2014/chart" uri="{C3380CC4-5D6E-409C-BE32-E72D297353CC}">
              <c16:uniqueId val="{00000000-1998-4208-AA12-E2F55E8A27A0}"/>
            </c:ext>
          </c:extLst>
        </c:ser>
        <c:dLbls>
          <c:showLegendKey val="0"/>
          <c:showVal val="0"/>
          <c:showCatName val="0"/>
          <c:showSerName val="0"/>
          <c:showPercent val="0"/>
          <c:showBubbleSize val="0"/>
        </c:dLbls>
        <c:gapWidth val="80"/>
        <c:axId val="84554880"/>
        <c:axId val="84556416"/>
      </c:barChart>
      <c:lineChart>
        <c:grouping val="standard"/>
        <c:varyColors val="0"/>
        <c:ser>
          <c:idx val="1"/>
          <c:order val="1"/>
          <c:tx>
            <c:strRef>
              <c:f>UR!$A$3</c:f>
              <c:strCache>
                <c:ptCount val="1"/>
                <c:pt idx="0">
                  <c:v>Безработица, %, д.с.</c:v>
                </c:pt>
              </c:strCache>
            </c:strRef>
          </c:tx>
          <c:spPr>
            <a:ln w="22225" cmpd="sng">
              <a:solidFill>
                <a:schemeClr val="bg2">
                  <a:lumMod val="50000"/>
                </a:schemeClr>
              </a:solidFill>
              <a:prstDash val="solid"/>
            </a:ln>
          </c:spPr>
          <c:marker>
            <c:symbol val="circle"/>
            <c:size val="5"/>
            <c:spPr>
              <a:solidFill>
                <a:schemeClr val="bg2">
                  <a:lumMod val="50000"/>
                </a:schemeClr>
              </a:solidFill>
              <a:ln w="3175">
                <a:solidFill>
                  <a:schemeClr val="bg1"/>
                </a:solidFill>
              </a:ln>
            </c:spPr>
          </c:marker>
          <c:cat>
            <c:numRef>
              <c:f>UR!$G$1:$R$1</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UR!$G$3:$R$3</c:f>
              <c:numCache>
                <c:formatCode>0.0</c:formatCode>
                <c:ptCount val="12"/>
                <c:pt idx="0">
                  <c:v>9.1429427629607449</c:v>
                </c:pt>
                <c:pt idx="1">
                  <c:v>7.6</c:v>
                </c:pt>
                <c:pt idx="2">
                  <c:v>6.2</c:v>
                </c:pt>
                <c:pt idx="3">
                  <c:v>5.2</c:v>
                </c:pt>
                <c:pt idx="4">
                  <c:v>4.2</c:v>
                </c:pt>
                <c:pt idx="5">
                  <c:v>5.0999999999999996</c:v>
                </c:pt>
                <c:pt idx="6">
                  <c:v>5.3</c:v>
                </c:pt>
                <c:pt idx="7">
                  <c:v>4.3</c:v>
                </c:pt>
                <c:pt idx="8">
                  <c:v>4.0999999999999996</c:v>
                </c:pt>
                <c:pt idx="9">
                  <c:v>3.9</c:v>
                </c:pt>
                <c:pt idx="10">
                  <c:v>3.8</c:v>
                </c:pt>
                <c:pt idx="11" formatCode="General">
                  <c:v>3.8</c:v>
                </c:pt>
              </c:numCache>
            </c:numRef>
          </c:val>
          <c:smooth val="0"/>
          <c:extLst>
            <c:ext xmlns:c16="http://schemas.microsoft.com/office/drawing/2014/chart" uri="{C3380CC4-5D6E-409C-BE32-E72D297353CC}">
              <c16:uniqueId val="{00000001-1998-4208-AA12-E2F55E8A27A0}"/>
            </c:ext>
          </c:extLst>
        </c:ser>
        <c:dLbls>
          <c:showLegendKey val="0"/>
          <c:showVal val="0"/>
          <c:showCatName val="0"/>
          <c:showSerName val="0"/>
          <c:showPercent val="0"/>
          <c:showBubbleSize val="0"/>
        </c:dLbls>
        <c:marker val="1"/>
        <c:smooth val="0"/>
        <c:axId val="84566400"/>
        <c:axId val="84567936"/>
      </c:lineChart>
      <c:catAx>
        <c:axId val="84554880"/>
        <c:scaling>
          <c:orientation val="minMax"/>
        </c:scaling>
        <c:delete val="0"/>
        <c:axPos val="b"/>
        <c:majorGridlines>
          <c:spPr>
            <a:ln w="3175">
              <a:solidFill>
                <a:schemeClr val="bg1">
                  <a:lumMod val="85000"/>
                </a:schemeClr>
              </a:solidFill>
            </a:ln>
          </c:spPr>
        </c:majorGridlines>
        <c:numFmt formatCode="General" sourceLinked="1"/>
        <c:majorTickMark val="cross"/>
        <c:minorTickMark val="none"/>
        <c:tickLblPos val="low"/>
        <c:spPr>
          <a:ln w="6350">
            <a:solidFill>
              <a:schemeClr val="bg1">
                <a:lumMod val="50000"/>
              </a:schemeClr>
            </a:solidFill>
          </a:ln>
        </c:spPr>
        <c:crossAx val="84556416"/>
        <c:crosses val="autoZero"/>
        <c:auto val="1"/>
        <c:lblAlgn val="ctr"/>
        <c:lblOffset val="100"/>
        <c:noMultiLvlLbl val="0"/>
      </c:catAx>
      <c:valAx>
        <c:axId val="84556416"/>
        <c:scaling>
          <c:orientation val="minMax"/>
          <c:max val="2"/>
          <c:min val="-4"/>
        </c:scaling>
        <c:delete val="0"/>
        <c:axPos val="l"/>
        <c:majorGridlines>
          <c:spPr>
            <a:ln w="3175">
              <a:solidFill>
                <a:schemeClr val="bg1">
                  <a:lumMod val="85000"/>
                </a:schemeClr>
              </a:solidFill>
            </a:ln>
          </c:spPr>
        </c:majorGridlines>
        <c:numFmt formatCode="0" sourceLinked="0"/>
        <c:majorTickMark val="in"/>
        <c:minorTickMark val="none"/>
        <c:tickLblPos val="nextTo"/>
        <c:spPr>
          <a:ln w="6350">
            <a:solidFill>
              <a:schemeClr val="bg1">
                <a:lumMod val="50000"/>
              </a:schemeClr>
            </a:solidFill>
          </a:ln>
        </c:spPr>
        <c:crossAx val="84554880"/>
        <c:crosses val="autoZero"/>
        <c:crossBetween val="between"/>
        <c:majorUnit val="1"/>
      </c:valAx>
      <c:catAx>
        <c:axId val="84566400"/>
        <c:scaling>
          <c:orientation val="minMax"/>
        </c:scaling>
        <c:delete val="1"/>
        <c:axPos val="b"/>
        <c:numFmt formatCode="General" sourceLinked="1"/>
        <c:majorTickMark val="out"/>
        <c:minorTickMark val="none"/>
        <c:tickLblPos val="nextTo"/>
        <c:crossAx val="84567936"/>
        <c:crosses val="autoZero"/>
        <c:auto val="1"/>
        <c:lblAlgn val="ctr"/>
        <c:lblOffset val="100"/>
        <c:noMultiLvlLbl val="0"/>
      </c:catAx>
      <c:valAx>
        <c:axId val="84567936"/>
        <c:scaling>
          <c:orientation val="minMax"/>
          <c:max val="14"/>
          <c:min val="2"/>
        </c:scaling>
        <c:delete val="0"/>
        <c:axPos val="r"/>
        <c:numFmt formatCode="0" sourceLinked="0"/>
        <c:majorTickMark val="in"/>
        <c:minorTickMark val="none"/>
        <c:tickLblPos val="nextTo"/>
        <c:spPr>
          <a:ln w="6350">
            <a:solidFill>
              <a:schemeClr val="bg1">
                <a:lumMod val="50000"/>
              </a:schemeClr>
            </a:solidFill>
          </a:ln>
        </c:spPr>
        <c:crossAx val="84566400"/>
        <c:crosses val="max"/>
        <c:crossBetween val="between"/>
        <c:majorUnit val="2"/>
      </c:valAx>
      <c:spPr>
        <a:noFill/>
        <a:ln w="3175">
          <a:solidFill>
            <a:schemeClr val="bg1">
              <a:lumMod val="85000"/>
            </a:schemeClr>
          </a:solidFill>
        </a:ln>
      </c:spPr>
    </c:plotArea>
    <c:legend>
      <c:legendPos val="b"/>
      <c:layout>
        <c:manualLayout>
          <c:xMode val="edge"/>
          <c:yMode val="edge"/>
          <c:x val="4.9927405415786441E-2"/>
          <c:y val="0.87632176837270348"/>
          <c:w val="0.9"/>
          <c:h val="9.3998113517060333E-2"/>
        </c:manualLayout>
      </c:layout>
      <c:overlay val="0"/>
    </c:legend>
    <c:plotVisOnly val="1"/>
    <c:dispBlanksAs val="gap"/>
    <c:showDLblsOverMax val="0"/>
  </c:chart>
  <c:spPr>
    <a:noFill/>
    <a:ln>
      <a:noFill/>
    </a:ln>
  </c:spPr>
  <c:txPr>
    <a:bodyPr/>
    <a:lstStyle/>
    <a:p>
      <a:pPr>
        <a:defRPr sz="900">
          <a:latin typeface="Times New Roman" panose="02020603050405020304" pitchFamily="18" charset="0"/>
          <a:cs typeface="Times New Roman" panose="02020603050405020304" pitchFamily="18" charset="0"/>
        </a:defRPr>
      </a:pPr>
      <a:endParaRPr lang="bg-BG"/>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0031076388888892E-2"/>
          <c:y val="5.040322580645161E-2"/>
          <c:w val="0.95325855767477796"/>
          <c:h val="0.71432959740919477"/>
        </c:manualLayout>
      </c:layout>
      <c:barChart>
        <c:barDir val="col"/>
        <c:grouping val="clustered"/>
        <c:varyColors val="0"/>
        <c:ser>
          <c:idx val="0"/>
          <c:order val="0"/>
          <c:tx>
            <c:strRef>
              <c:f>ULC!$A$3</c:f>
              <c:strCache>
                <c:ptCount val="1"/>
                <c:pt idx="0">
                  <c:v>Компенсация на един нает, %</c:v>
                </c:pt>
              </c:strCache>
            </c:strRef>
          </c:tx>
          <c:spPr>
            <a:solidFill>
              <a:schemeClr val="bg2">
                <a:lumMod val="50000"/>
              </a:schemeClr>
            </a:solidFill>
            <a:ln w="3175">
              <a:solidFill>
                <a:schemeClr val="bg1"/>
              </a:solidFill>
            </a:ln>
          </c:spPr>
          <c:invertIfNegative val="0"/>
          <c:cat>
            <c:numRef>
              <c:f>ULC!$F$2:$R$2</c:f>
              <c:numCache>
                <c:formatCode>General</c:formatCode>
                <c:ptCount val="13"/>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numCache>
            </c:numRef>
          </c:cat>
          <c:val>
            <c:numRef>
              <c:f>ULC!$F$3:$R$3</c:f>
              <c:numCache>
                <c:formatCode>0.0</c:formatCode>
                <c:ptCount val="13"/>
                <c:pt idx="0">
                  <c:v>5.5902115959832965</c:v>
                </c:pt>
                <c:pt idx="1">
                  <c:v>5.6416946383351707</c:v>
                </c:pt>
                <c:pt idx="2">
                  <c:v>5.7990644602217145</c:v>
                </c:pt>
                <c:pt idx="3">
                  <c:v>10.501698033529472</c:v>
                </c:pt>
                <c:pt idx="4">
                  <c:v>9.6717893336006675</c:v>
                </c:pt>
                <c:pt idx="5">
                  <c:v>6.9167644380697224</c:v>
                </c:pt>
                <c:pt idx="6">
                  <c:v>7.1609189967185349</c:v>
                </c:pt>
                <c:pt idx="7">
                  <c:v>11.297673758316563</c:v>
                </c:pt>
                <c:pt idx="8">
                  <c:v>18.368260263924817</c:v>
                </c:pt>
                <c:pt idx="9">
                  <c:v>11.498021532308522</c:v>
                </c:pt>
                <c:pt idx="10">
                  <c:v>10.64894041582447</c:v>
                </c:pt>
                <c:pt idx="11">
                  <c:v>7.6918364706395126</c:v>
                </c:pt>
                <c:pt idx="12">
                  <c:v>7.068379176115136</c:v>
                </c:pt>
              </c:numCache>
            </c:numRef>
          </c:val>
          <c:extLst>
            <c:ext xmlns:c16="http://schemas.microsoft.com/office/drawing/2014/chart" uri="{C3380CC4-5D6E-409C-BE32-E72D297353CC}">
              <c16:uniqueId val="{00000000-D1FF-4851-AF71-C1D6A84569D5}"/>
            </c:ext>
          </c:extLst>
        </c:ser>
        <c:ser>
          <c:idx val="1"/>
          <c:order val="1"/>
          <c:tx>
            <c:strRef>
              <c:f>ULC!$A$4</c:f>
              <c:strCache>
                <c:ptCount val="1"/>
                <c:pt idx="0">
                  <c:v>Производителност на труда, %</c:v>
                </c:pt>
              </c:strCache>
            </c:strRef>
          </c:tx>
          <c:spPr>
            <a:solidFill>
              <a:schemeClr val="bg2"/>
            </a:solidFill>
            <a:ln w="3175">
              <a:solidFill>
                <a:schemeClr val="bg1"/>
              </a:solidFill>
            </a:ln>
          </c:spPr>
          <c:invertIfNegative val="0"/>
          <c:cat>
            <c:numRef>
              <c:f>ULC!$F$2:$R$2</c:f>
              <c:numCache>
                <c:formatCode>General</c:formatCode>
                <c:ptCount val="13"/>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numCache>
            </c:numRef>
          </c:cat>
          <c:val>
            <c:numRef>
              <c:f>ULC!$F$4:$R$4</c:f>
              <c:numCache>
                <c:formatCode>0.0</c:formatCode>
                <c:ptCount val="13"/>
                <c:pt idx="0">
                  <c:v>0.59677213403424023</c:v>
                </c:pt>
                <c:pt idx="1">
                  <c:v>3.0664399040837065</c:v>
                </c:pt>
                <c:pt idx="2">
                  <c:v>2.5300925448031641</c:v>
                </c:pt>
                <c:pt idx="3">
                  <c:v>0.95475711550219167</c:v>
                </c:pt>
                <c:pt idx="4">
                  <c:v>2.7929966507236337</c:v>
                </c:pt>
                <c:pt idx="5">
                  <c:v>3.6866549598750797</c:v>
                </c:pt>
                <c:pt idx="6">
                  <c:v>-1.681663970586067</c:v>
                </c:pt>
                <c:pt idx="7">
                  <c:v>7.4271774178107153</c:v>
                </c:pt>
                <c:pt idx="8">
                  <c:v>2.0723071072906274</c:v>
                </c:pt>
                <c:pt idx="9">
                  <c:v>1.4212868708275428</c:v>
                </c:pt>
                <c:pt idx="10">
                  <c:v>2.5332978845775678</c:v>
                </c:pt>
                <c:pt idx="11">
                  <c:v>2.6655033524954241</c:v>
                </c:pt>
                <c:pt idx="12">
                  <c:v>2.7230146075519324</c:v>
                </c:pt>
              </c:numCache>
            </c:numRef>
          </c:val>
          <c:extLst>
            <c:ext xmlns:c16="http://schemas.microsoft.com/office/drawing/2014/chart" uri="{C3380CC4-5D6E-409C-BE32-E72D297353CC}">
              <c16:uniqueId val="{00000001-D1FF-4851-AF71-C1D6A84569D5}"/>
            </c:ext>
          </c:extLst>
        </c:ser>
        <c:dLbls>
          <c:showLegendKey val="0"/>
          <c:showVal val="0"/>
          <c:showCatName val="0"/>
          <c:showSerName val="0"/>
          <c:showPercent val="0"/>
          <c:showBubbleSize val="0"/>
        </c:dLbls>
        <c:gapWidth val="80"/>
        <c:axId val="90381696"/>
        <c:axId val="90424832"/>
      </c:barChart>
      <c:lineChart>
        <c:grouping val="standard"/>
        <c:varyColors val="0"/>
        <c:ser>
          <c:idx val="2"/>
          <c:order val="2"/>
          <c:tx>
            <c:strRef>
              <c:f>ULC!$A$5</c:f>
              <c:strCache>
                <c:ptCount val="1"/>
                <c:pt idx="0">
                  <c:v>Номинални РТЕП, %</c:v>
                </c:pt>
              </c:strCache>
            </c:strRef>
          </c:tx>
          <c:spPr>
            <a:ln w="22225">
              <a:solidFill>
                <a:schemeClr val="accent5"/>
              </a:solidFill>
            </a:ln>
          </c:spPr>
          <c:marker>
            <c:symbol val="circle"/>
            <c:size val="5"/>
            <c:spPr>
              <a:solidFill>
                <a:schemeClr val="accent5"/>
              </a:solidFill>
              <a:ln w="3175">
                <a:solidFill>
                  <a:schemeClr val="bg1"/>
                </a:solidFill>
              </a:ln>
            </c:spPr>
          </c:marker>
          <c:cat>
            <c:numRef>
              <c:f>ULC!$F$2:$R$2</c:f>
              <c:numCache>
                <c:formatCode>General</c:formatCode>
                <c:ptCount val="13"/>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numCache>
            </c:numRef>
          </c:cat>
          <c:val>
            <c:numRef>
              <c:f>ULC!$F$5:$R$5</c:f>
              <c:numCache>
                <c:formatCode>0.0</c:formatCode>
                <c:ptCount val="13"/>
                <c:pt idx="0">
                  <c:v>4.9638167865822425</c:v>
                </c:pt>
                <c:pt idx="1">
                  <c:v>2.4986355758946033</c:v>
                </c:pt>
                <c:pt idx="2">
                  <c:v>3.1883048520511936</c:v>
                </c:pt>
                <c:pt idx="3">
                  <c:v>9.4566528520341642</c:v>
                </c:pt>
                <c:pt idx="4">
                  <c:v>6.6918884622560793</c:v>
                </c:pt>
                <c:pt idx="5">
                  <c:v>3.1152605698820501</c:v>
                </c:pt>
                <c:pt idx="6">
                  <c:v>8.9938289483043619</c:v>
                </c:pt>
                <c:pt idx="7">
                  <c:v>3.6029023879614375</c:v>
                </c:pt>
                <c:pt idx="8">
                  <c:v>15.965107107361787</c:v>
                </c:pt>
                <c:pt idx="9">
                  <c:v>9.9355223862569666</c:v>
                </c:pt>
                <c:pt idx="10">
                  <c:v>7.9151287422576821</c:v>
                </c:pt>
                <c:pt idx="11">
                  <c:v>4.8958344857926495</c:v>
                </c:pt>
                <c:pt idx="12">
                  <c:v>4.230176251314699</c:v>
                </c:pt>
              </c:numCache>
            </c:numRef>
          </c:val>
          <c:smooth val="0"/>
          <c:extLst>
            <c:ext xmlns:c16="http://schemas.microsoft.com/office/drawing/2014/chart" uri="{C3380CC4-5D6E-409C-BE32-E72D297353CC}">
              <c16:uniqueId val="{00000002-D1FF-4851-AF71-C1D6A84569D5}"/>
            </c:ext>
          </c:extLst>
        </c:ser>
        <c:dLbls>
          <c:showLegendKey val="0"/>
          <c:showVal val="0"/>
          <c:showCatName val="0"/>
          <c:showSerName val="0"/>
          <c:showPercent val="0"/>
          <c:showBubbleSize val="0"/>
        </c:dLbls>
        <c:marker val="1"/>
        <c:smooth val="0"/>
        <c:axId val="90381696"/>
        <c:axId val="90424832"/>
      </c:lineChart>
      <c:catAx>
        <c:axId val="90381696"/>
        <c:scaling>
          <c:orientation val="minMax"/>
        </c:scaling>
        <c:delete val="0"/>
        <c:axPos val="b"/>
        <c:majorGridlines>
          <c:spPr>
            <a:ln w="3175">
              <a:solidFill>
                <a:schemeClr val="bg1">
                  <a:lumMod val="85000"/>
                </a:schemeClr>
              </a:solidFill>
            </a:ln>
          </c:spPr>
        </c:majorGridlines>
        <c:numFmt formatCode="General" sourceLinked="1"/>
        <c:majorTickMark val="in"/>
        <c:minorTickMark val="none"/>
        <c:tickLblPos val="nextTo"/>
        <c:spPr>
          <a:ln w="6350">
            <a:solidFill>
              <a:schemeClr val="bg1">
                <a:lumMod val="50000"/>
              </a:schemeClr>
            </a:solidFill>
          </a:ln>
        </c:spPr>
        <c:crossAx val="90424832"/>
        <c:crosses val="autoZero"/>
        <c:auto val="1"/>
        <c:lblAlgn val="ctr"/>
        <c:lblOffset val="100"/>
        <c:noMultiLvlLbl val="0"/>
      </c:catAx>
      <c:valAx>
        <c:axId val="90424832"/>
        <c:scaling>
          <c:orientation val="minMax"/>
          <c:max val="20"/>
          <c:min val="0"/>
        </c:scaling>
        <c:delete val="0"/>
        <c:axPos val="l"/>
        <c:majorGridlines>
          <c:spPr>
            <a:ln w="3175">
              <a:solidFill>
                <a:schemeClr val="bg1">
                  <a:lumMod val="85000"/>
                </a:schemeClr>
              </a:solidFill>
            </a:ln>
          </c:spPr>
        </c:majorGridlines>
        <c:numFmt formatCode="0" sourceLinked="0"/>
        <c:majorTickMark val="in"/>
        <c:minorTickMark val="none"/>
        <c:tickLblPos val="nextTo"/>
        <c:spPr>
          <a:ln w="6350">
            <a:solidFill>
              <a:schemeClr val="bg1">
                <a:lumMod val="50000"/>
              </a:schemeClr>
            </a:solidFill>
          </a:ln>
        </c:spPr>
        <c:crossAx val="90381696"/>
        <c:crosses val="autoZero"/>
        <c:crossBetween val="between"/>
        <c:majorUnit val="5"/>
      </c:valAx>
      <c:spPr>
        <a:noFill/>
      </c:spPr>
    </c:plotArea>
    <c:legend>
      <c:legendPos val="b"/>
      <c:overlay val="0"/>
    </c:legend>
    <c:plotVisOnly val="1"/>
    <c:dispBlanksAs val="gap"/>
    <c:showDLblsOverMax val="0"/>
  </c:chart>
  <c:spPr>
    <a:noFill/>
    <a:ln>
      <a:noFill/>
    </a:ln>
  </c:spPr>
  <c:txPr>
    <a:bodyPr/>
    <a:lstStyle/>
    <a:p>
      <a:pPr>
        <a:defRPr sz="900"/>
      </a:pPr>
      <a:endParaRPr lang="bg-BG"/>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8316939985588891E-2"/>
          <c:y val="4.0981317144101928E-2"/>
          <c:w val="0.91427775221592344"/>
          <c:h val="0.62352871180358649"/>
        </c:manualLayout>
      </c:layout>
      <c:barChart>
        <c:barDir val="col"/>
        <c:grouping val="stacked"/>
        <c:varyColors val="0"/>
        <c:ser>
          <c:idx val="5"/>
          <c:order val="1"/>
          <c:tx>
            <c:strRef>
              <c:f>contrib!$E$9</c:f>
              <c:strCache>
                <c:ptCount val="1"/>
                <c:pt idx="0">
                  <c:v>Енергийни стоки</c:v>
                </c:pt>
              </c:strCache>
            </c:strRef>
          </c:tx>
          <c:spPr>
            <a:solidFill>
              <a:schemeClr val="accent1">
                <a:lumMod val="40000"/>
                <a:lumOff val="60000"/>
              </a:schemeClr>
            </a:solidFill>
            <a:ln w="3175">
              <a:solidFill>
                <a:schemeClr val="bg1"/>
              </a:solidFill>
            </a:ln>
            <a:effectLst/>
          </c:spPr>
          <c:invertIfNegative val="0"/>
          <c:cat>
            <c:multiLvlStrRef>
              <c:f>contrib!$F$3:$BC$4</c:f>
              <c:multiLvlStrCache>
                <c:ptCount val="50"/>
                <c:lvl>
                  <c:pt idx="2">
                    <c:v>3</c:v>
                  </c:pt>
                  <c:pt idx="5">
                    <c:v>6</c:v>
                  </c:pt>
                  <c:pt idx="8">
                    <c:v>9</c:v>
                  </c:pt>
                  <c:pt idx="11">
                    <c:v>12</c:v>
                  </c:pt>
                  <c:pt idx="12">
                    <c:v> </c:v>
                  </c:pt>
                  <c:pt idx="13">
                    <c:v> </c:v>
                  </c:pt>
                  <c:pt idx="14">
                    <c:v>3</c:v>
                  </c:pt>
                  <c:pt idx="17">
                    <c:v>6</c:v>
                  </c:pt>
                  <c:pt idx="20">
                    <c:v>9</c:v>
                  </c:pt>
                  <c:pt idx="23">
                    <c:v>12</c:v>
                  </c:pt>
                  <c:pt idx="24">
                    <c:v> </c:v>
                  </c:pt>
                  <c:pt idx="25">
                    <c:v> </c:v>
                  </c:pt>
                  <c:pt idx="26">
                    <c:v>3</c:v>
                  </c:pt>
                  <c:pt idx="29">
                    <c:v>6</c:v>
                  </c:pt>
                  <c:pt idx="32">
                    <c:v>9</c:v>
                  </c:pt>
                  <c:pt idx="35">
                    <c:v>12</c:v>
                  </c:pt>
                  <c:pt idx="36">
                    <c:v> </c:v>
                  </c:pt>
                  <c:pt idx="37">
                    <c:v> </c:v>
                  </c:pt>
                  <c:pt idx="38">
                    <c:v>3</c:v>
                  </c:pt>
                  <c:pt idx="41">
                    <c:v>6</c:v>
                  </c:pt>
                  <c:pt idx="44">
                    <c:v>9</c:v>
                  </c:pt>
                  <c:pt idx="47">
                    <c:v>12</c:v>
                  </c:pt>
                  <c:pt idx="48">
                    <c:v> </c:v>
                  </c:pt>
                  <c:pt idx="49">
                    <c:v> </c:v>
                  </c:pt>
                </c:lvl>
                <c:lvl>
                  <c:pt idx="0">
                    <c:v>2019</c:v>
                  </c:pt>
                  <c:pt idx="12">
                    <c:v>2020</c:v>
                  </c:pt>
                  <c:pt idx="24">
                    <c:v>2021</c:v>
                  </c:pt>
                  <c:pt idx="36">
                    <c:v>2022</c:v>
                  </c:pt>
                  <c:pt idx="48">
                    <c:v>2023</c:v>
                  </c:pt>
                </c:lvl>
              </c:multiLvlStrCache>
            </c:multiLvlStrRef>
          </c:cat>
          <c:val>
            <c:numRef>
              <c:f>contrib!$F$9:$BC$9</c:f>
              <c:numCache>
                <c:formatCode>0.0</c:formatCode>
                <c:ptCount val="50"/>
                <c:pt idx="0">
                  <c:v>5.2579521982886915E-2</c:v>
                </c:pt>
                <c:pt idx="1">
                  <c:v>0.21852251545178134</c:v>
                </c:pt>
                <c:pt idx="2">
                  <c:v>0.55645657764589518</c:v>
                </c:pt>
                <c:pt idx="3">
                  <c:v>0.61591151491210749</c:v>
                </c:pt>
                <c:pt idx="4">
                  <c:v>0.49588012374323309</c:v>
                </c:pt>
                <c:pt idx="5">
                  <c:v>0.147507931984422</c:v>
                </c:pt>
                <c:pt idx="6">
                  <c:v>8.0208427389013792E-2</c:v>
                </c:pt>
                <c:pt idx="7">
                  <c:v>9.5483870967740057E-3</c:v>
                </c:pt>
                <c:pt idx="8">
                  <c:v>-0.10644118193644335</c:v>
                </c:pt>
                <c:pt idx="9">
                  <c:v>-0.33199454694174241</c:v>
                </c:pt>
                <c:pt idx="10">
                  <c:v>-6.1271616367337876E-2</c:v>
                </c:pt>
                <c:pt idx="11">
                  <c:v>0.46936491430772143</c:v>
                </c:pt>
                <c:pt idx="12">
                  <c:v>0.70278930355568547</c:v>
                </c:pt>
                <c:pt idx="13">
                  <c:v>0.5048859953703686</c:v>
                </c:pt>
                <c:pt idx="14">
                  <c:v>-1.7345526914328602E-2</c:v>
                </c:pt>
                <c:pt idx="15">
                  <c:v>-1.0172164657121325</c:v>
                </c:pt>
                <c:pt idx="16">
                  <c:v>-1.4022024751093318</c:v>
                </c:pt>
                <c:pt idx="17">
                  <c:v>-1.3738565123485764</c:v>
                </c:pt>
                <c:pt idx="18">
                  <c:v>-1.1473233012431057</c:v>
                </c:pt>
                <c:pt idx="19">
                  <c:v>-1.015308845577211</c:v>
                </c:pt>
                <c:pt idx="20">
                  <c:v>-1.0015884557721138</c:v>
                </c:pt>
                <c:pt idx="21">
                  <c:v>-1.033913400522583</c:v>
                </c:pt>
                <c:pt idx="22">
                  <c:v>-1.0079419534883713</c:v>
                </c:pt>
                <c:pt idx="23">
                  <c:v>-1.0050305506546577</c:v>
                </c:pt>
                <c:pt idx="24">
                  <c:v>-0.8995087524312303</c:v>
                </c:pt>
                <c:pt idx="25">
                  <c:v>-0.68706196165601585</c:v>
                </c:pt>
                <c:pt idx="26">
                  <c:v>-0.14473996393660449</c:v>
                </c:pt>
                <c:pt idx="27">
                  <c:v>1.0444387010584733</c:v>
                </c:pt>
                <c:pt idx="28">
                  <c:v>1.3519611017661901</c:v>
                </c:pt>
                <c:pt idx="29">
                  <c:v>1.4925244444444457</c:v>
                </c:pt>
                <c:pt idx="30">
                  <c:v>1.6565063447848964</c:v>
                </c:pt>
                <c:pt idx="31">
                  <c:v>1.8331428863450554</c:v>
                </c:pt>
                <c:pt idx="32">
                  <c:v>1.9554481420988166</c:v>
                </c:pt>
                <c:pt idx="33">
                  <c:v>2.5464362765089716</c:v>
                </c:pt>
                <c:pt idx="34">
                  <c:v>2.9234397688095721</c:v>
                </c:pt>
                <c:pt idx="35">
                  <c:v>2.9446857923497274</c:v>
                </c:pt>
                <c:pt idx="36">
                  <c:v>3.3180809919008096</c:v>
                </c:pt>
                <c:pt idx="37">
                  <c:v>3.0934882716655214</c:v>
                </c:pt>
                <c:pt idx="38">
                  <c:v>3.7260238186707646</c:v>
                </c:pt>
                <c:pt idx="39">
                  <c:v>4.0256751230594459</c:v>
                </c:pt>
                <c:pt idx="40">
                  <c:v>4.5724944160514855</c:v>
                </c:pt>
                <c:pt idx="41">
                  <c:v>5.0349492739958528</c:v>
                </c:pt>
                <c:pt idx="42">
                  <c:v>4.5738417658279555</c:v>
                </c:pt>
                <c:pt idx="43">
                  <c:v>4.3001172916296397</c:v>
                </c:pt>
                <c:pt idx="44">
                  <c:v>4.3085300017596317</c:v>
                </c:pt>
                <c:pt idx="45">
                  <c:v>2.9622255588359372</c:v>
                </c:pt>
                <c:pt idx="46">
                  <c:v>2.044620695296524</c:v>
                </c:pt>
                <c:pt idx="47">
                  <c:v>1.6983816744110223</c:v>
                </c:pt>
                <c:pt idx="48">
                  <c:v>1.7616316844383861</c:v>
                </c:pt>
                <c:pt idx="49">
                  <c:v>1.5111825795644873</c:v>
                </c:pt>
              </c:numCache>
            </c:numRef>
          </c:val>
          <c:extLst>
            <c:ext xmlns:c16="http://schemas.microsoft.com/office/drawing/2014/chart" uri="{C3380CC4-5D6E-409C-BE32-E72D297353CC}">
              <c16:uniqueId val="{00000000-852B-4005-B801-1383E366BC9F}"/>
            </c:ext>
          </c:extLst>
        </c:ser>
        <c:ser>
          <c:idx val="6"/>
          <c:order val="2"/>
          <c:tx>
            <c:strRef>
              <c:f>contrib!$E$10</c:f>
              <c:strCache>
                <c:ptCount val="1"/>
                <c:pt idx="0">
                  <c:v>Услуги</c:v>
                </c:pt>
              </c:strCache>
            </c:strRef>
          </c:tx>
          <c:spPr>
            <a:solidFill>
              <a:schemeClr val="accent1"/>
            </a:solidFill>
            <a:ln w="3175">
              <a:solidFill>
                <a:schemeClr val="bg1"/>
              </a:solidFill>
            </a:ln>
            <a:effectLst/>
          </c:spPr>
          <c:invertIfNegative val="0"/>
          <c:cat>
            <c:multiLvlStrRef>
              <c:f>contrib!$F$3:$BC$4</c:f>
              <c:multiLvlStrCache>
                <c:ptCount val="50"/>
                <c:lvl>
                  <c:pt idx="2">
                    <c:v>3</c:v>
                  </c:pt>
                  <c:pt idx="5">
                    <c:v>6</c:v>
                  </c:pt>
                  <c:pt idx="8">
                    <c:v>9</c:v>
                  </c:pt>
                  <c:pt idx="11">
                    <c:v>12</c:v>
                  </c:pt>
                  <c:pt idx="12">
                    <c:v> </c:v>
                  </c:pt>
                  <c:pt idx="13">
                    <c:v> </c:v>
                  </c:pt>
                  <c:pt idx="14">
                    <c:v>3</c:v>
                  </c:pt>
                  <c:pt idx="17">
                    <c:v>6</c:v>
                  </c:pt>
                  <c:pt idx="20">
                    <c:v>9</c:v>
                  </c:pt>
                  <c:pt idx="23">
                    <c:v>12</c:v>
                  </c:pt>
                  <c:pt idx="24">
                    <c:v> </c:v>
                  </c:pt>
                  <c:pt idx="25">
                    <c:v> </c:v>
                  </c:pt>
                  <c:pt idx="26">
                    <c:v>3</c:v>
                  </c:pt>
                  <c:pt idx="29">
                    <c:v>6</c:v>
                  </c:pt>
                  <c:pt idx="32">
                    <c:v>9</c:v>
                  </c:pt>
                  <c:pt idx="35">
                    <c:v>12</c:v>
                  </c:pt>
                  <c:pt idx="36">
                    <c:v> </c:v>
                  </c:pt>
                  <c:pt idx="37">
                    <c:v> </c:v>
                  </c:pt>
                  <c:pt idx="38">
                    <c:v>3</c:v>
                  </c:pt>
                  <c:pt idx="41">
                    <c:v>6</c:v>
                  </c:pt>
                  <c:pt idx="44">
                    <c:v>9</c:v>
                  </c:pt>
                  <c:pt idx="47">
                    <c:v>12</c:v>
                  </c:pt>
                  <c:pt idx="48">
                    <c:v> </c:v>
                  </c:pt>
                  <c:pt idx="49">
                    <c:v> </c:v>
                  </c:pt>
                </c:lvl>
                <c:lvl>
                  <c:pt idx="0">
                    <c:v>2019</c:v>
                  </c:pt>
                  <c:pt idx="12">
                    <c:v>2020</c:v>
                  </c:pt>
                  <c:pt idx="24">
                    <c:v>2021</c:v>
                  </c:pt>
                  <c:pt idx="36">
                    <c:v>2022</c:v>
                  </c:pt>
                  <c:pt idx="48">
                    <c:v>2023</c:v>
                  </c:pt>
                </c:lvl>
              </c:multiLvlStrCache>
            </c:multiLvlStrRef>
          </c:cat>
          <c:val>
            <c:numRef>
              <c:f>contrib!$F$10:$BC$10</c:f>
              <c:numCache>
                <c:formatCode>0.0</c:formatCode>
                <c:ptCount val="50"/>
                <c:pt idx="0">
                  <c:v>1.3744408316090302</c:v>
                </c:pt>
                <c:pt idx="1">
                  <c:v>1.026763351298384</c:v>
                </c:pt>
                <c:pt idx="2">
                  <c:v>0.9915047021943556</c:v>
                </c:pt>
                <c:pt idx="3">
                  <c:v>1.1878001374300555</c:v>
                </c:pt>
                <c:pt idx="4">
                  <c:v>1.066058465764179</c:v>
                </c:pt>
                <c:pt idx="5">
                  <c:v>0.99482248234497461</c:v>
                </c:pt>
                <c:pt idx="6">
                  <c:v>1.3996954314720813</c:v>
                </c:pt>
                <c:pt idx="7">
                  <c:v>1.1736178107606738</c:v>
                </c:pt>
                <c:pt idx="8">
                  <c:v>0.64182631028250559</c:v>
                </c:pt>
                <c:pt idx="9">
                  <c:v>0.78557067052580565</c:v>
                </c:pt>
                <c:pt idx="10">
                  <c:v>0.80060156174684316</c:v>
                </c:pt>
                <c:pt idx="11">
                  <c:v>0.90025762455010305</c:v>
                </c:pt>
                <c:pt idx="12">
                  <c:v>0.88911447206730221</c:v>
                </c:pt>
                <c:pt idx="13">
                  <c:v>0.97850930851063922</c:v>
                </c:pt>
                <c:pt idx="14">
                  <c:v>0.85456587452471588</c:v>
                </c:pt>
                <c:pt idx="15">
                  <c:v>0.8785956439393996</c:v>
                </c:pt>
                <c:pt idx="16">
                  <c:v>0.91460661031436652</c:v>
                </c:pt>
                <c:pt idx="17">
                  <c:v>0.69066923221325294</c:v>
                </c:pt>
                <c:pt idx="18">
                  <c:v>0.30271830224385332</c:v>
                </c:pt>
                <c:pt idx="19">
                  <c:v>0.60434404655326646</c:v>
                </c:pt>
                <c:pt idx="20">
                  <c:v>0.6296542300158573</c:v>
                </c:pt>
                <c:pt idx="21">
                  <c:v>0.83779709871891739</c:v>
                </c:pt>
                <c:pt idx="22">
                  <c:v>0.72540342459309504</c:v>
                </c:pt>
                <c:pt idx="23">
                  <c:v>0.66633655884250231</c:v>
                </c:pt>
                <c:pt idx="24">
                  <c:v>0.54759863883012838</c:v>
                </c:pt>
                <c:pt idx="25">
                  <c:v>0.69865207373271854</c:v>
                </c:pt>
                <c:pt idx="26">
                  <c:v>0.76307147486343896</c:v>
                </c:pt>
                <c:pt idx="27">
                  <c:v>0.62751658986175285</c:v>
                </c:pt>
                <c:pt idx="28">
                  <c:v>0.62103970452446755</c:v>
                </c:pt>
                <c:pt idx="29">
                  <c:v>0.54957782065417127</c:v>
                </c:pt>
                <c:pt idx="30">
                  <c:v>8.6125245491876834E-2</c:v>
                </c:pt>
                <c:pt idx="31">
                  <c:v>-0.13078903435550801</c:v>
                </c:pt>
                <c:pt idx="32">
                  <c:v>0.66315358580314832</c:v>
                </c:pt>
                <c:pt idx="33">
                  <c:v>0.66546677069946614</c:v>
                </c:pt>
                <c:pt idx="34">
                  <c:v>0.8317681692732265</c:v>
                </c:pt>
                <c:pt idx="35">
                  <c:v>0.65696127110228375</c:v>
                </c:pt>
                <c:pt idx="36">
                  <c:v>0.94422653079628605</c:v>
                </c:pt>
                <c:pt idx="37">
                  <c:v>1.0759742022471919</c:v>
                </c:pt>
                <c:pt idx="38">
                  <c:v>1.5181086486486519</c:v>
                </c:pt>
                <c:pt idx="39">
                  <c:v>1.7642341173290097</c:v>
                </c:pt>
                <c:pt idx="40">
                  <c:v>2.0091992053458538</c:v>
                </c:pt>
                <c:pt idx="41">
                  <c:v>2.4022273669038801</c:v>
                </c:pt>
                <c:pt idx="42">
                  <c:v>2.6327930052505124</c:v>
                </c:pt>
                <c:pt idx="43">
                  <c:v>2.6335391542332505</c:v>
                </c:pt>
                <c:pt idx="44">
                  <c:v>2.7230465386333162</c:v>
                </c:pt>
                <c:pt idx="45">
                  <c:v>2.7787558483463326</c:v>
                </c:pt>
                <c:pt idx="46">
                  <c:v>3.0534754420432204</c:v>
                </c:pt>
                <c:pt idx="47">
                  <c:v>3.4429366017106142</c:v>
                </c:pt>
                <c:pt idx="48">
                  <c:v>3.5158707399982529</c:v>
                </c:pt>
                <c:pt idx="49">
                  <c:v>3.4346956070563843</c:v>
                </c:pt>
              </c:numCache>
            </c:numRef>
          </c:val>
          <c:extLst>
            <c:ext xmlns:c16="http://schemas.microsoft.com/office/drawing/2014/chart" uri="{C3380CC4-5D6E-409C-BE32-E72D297353CC}">
              <c16:uniqueId val="{00000001-852B-4005-B801-1383E366BC9F}"/>
            </c:ext>
          </c:extLst>
        </c:ser>
        <c:ser>
          <c:idx val="2"/>
          <c:order val="3"/>
          <c:tx>
            <c:strRef>
              <c:f>contrib!$E$7</c:f>
              <c:strCache>
                <c:ptCount val="1"/>
                <c:pt idx="0">
                  <c:v>Непреработени храни</c:v>
                </c:pt>
              </c:strCache>
            </c:strRef>
          </c:tx>
          <c:spPr>
            <a:solidFill>
              <a:schemeClr val="accent2">
                <a:lumMod val="60000"/>
                <a:lumOff val="40000"/>
              </a:schemeClr>
            </a:solidFill>
            <a:ln w="3175">
              <a:solidFill>
                <a:schemeClr val="bg1"/>
              </a:solidFill>
            </a:ln>
            <a:effectLst/>
          </c:spPr>
          <c:invertIfNegative val="0"/>
          <c:cat>
            <c:multiLvlStrRef>
              <c:f>contrib!$F$3:$BC$4</c:f>
              <c:multiLvlStrCache>
                <c:ptCount val="50"/>
                <c:lvl>
                  <c:pt idx="2">
                    <c:v>3</c:v>
                  </c:pt>
                  <c:pt idx="5">
                    <c:v>6</c:v>
                  </c:pt>
                  <c:pt idx="8">
                    <c:v>9</c:v>
                  </c:pt>
                  <c:pt idx="11">
                    <c:v>12</c:v>
                  </c:pt>
                  <c:pt idx="12">
                    <c:v> </c:v>
                  </c:pt>
                  <c:pt idx="13">
                    <c:v> </c:v>
                  </c:pt>
                  <c:pt idx="14">
                    <c:v>3</c:v>
                  </c:pt>
                  <c:pt idx="17">
                    <c:v>6</c:v>
                  </c:pt>
                  <c:pt idx="20">
                    <c:v>9</c:v>
                  </c:pt>
                  <c:pt idx="23">
                    <c:v>12</c:v>
                  </c:pt>
                  <c:pt idx="24">
                    <c:v> </c:v>
                  </c:pt>
                  <c:pt idx="25">
                    <c:v> </c:v>
                  </c:pt>
                  <c:pt idx="26">
                    <c:v>3</c:v>
                  </c:pt>
                  <c:pt idx="29">
                    <c:v>6</c:v>
                  </c:pt>
                  <c:pt idx="32">
                    <c:v>9</c:v>
                  </c:pt>
                  <c:pt idx="35">
                    <c:v>12</c:v>
                  </c:pt>
                  <c:pt idx="36">
                    <c:v> </c:v>
                  </c:pt>
                  <c:pt idx="37">
                    <c:v> </c:v>
                  </c:pt>
                  <c:pt idx="38">
                    <c:v>3</c:v>
                  </c:pt>
                  <c:pt idx="41">
                    <c:v>6</c:v>
                  </c:pt>
                  <c:pt idx="44">
                    <c:v>9</c:v>
                  </c:pt>
                  <c:pt idx="47">
                    <c:v>12</c:v>
                  </c:pt>
                  <c:pt idx="48">
                    <c:v> </c:v>
                  </c:pt>
                  <c:pt idx="49">
                    <c:v> </c:v>
                  </c:pt>
                </c:lvl>
                <c:lvl>
                  <c:pt idx="0">
                    <c:v>2019</c:v>
                  </c:pt>
                  <c:pt idx="12">
                    <c:v>2020</c:v>
                  </c:pt>
                  <c:pt idx="24">
                    <c:v>2021</c:v>
                  </c:pt>
                  <c:pt idx="36">
                    <c:v>2022</c:v>
                  </c:pt>
                  <c:pt idx="48">
                    <c:v>2023</c:v>
                  </c:pt>
                </c:lvl>
              </c:multiLvlStrCache>
            </c:multiLvlStrRef>
          </c:cat>
          <c:val>
            <c:numRef>
              <c:f>contrib!$F$7:$BC$7</c:f>
              <c:numCache>
                <c:formatCode>0.0</c:formatCode>
                <c:ptCount val="50"/>
                <c:pt idx="0">
                  <c:v>0.16180594900849804</c:v>
                </c:pt>
                <c:pt idx="1">
                  <c:v>0.31470739219712512</c:v>
                </c:pt>
                <c:pt idx="2">
                  <c:v>0.36986883080116989</c:v>
                </c:pt>
                <c:pt idx="3">
                  <c:v>0.3299500601128279</c:v>
                </c:pt>
                <c:pt idx="4">
                  <c:v>0.24984897769516709</c:v>
                </c:pt>
                <c:pt idx="5">
                  <c:v>0.11946009165552836</c:v>
                </c:pt>
                <c:pt idx="6">
                  <c:v>0.19728307254623023</c:v>
                </c:pt>
                <c:pt idx="7">
                  <c:v>0.24115033735626695</c:v>
                </c:pt>
                <c:pt idx="8">
                  <c:v>0.10937065851625459</c:v>
                </c:pt>
                <c:pt idx="9">
                  <c:v>0.21559405940594073</c:v>
                </c:pt>
                <c:pt idx="10">
                  <c:v>0.38111089884420735</c:v>
                </c:pt>
                <c:pt idx="11">
                  <c:v>0.53233185798133276</c:v>
                </c:pt>
                <c:pt idx="12">
                  <c:v>0.63144158814381013</c:v>
                </c:pt>
                <c:pt idx="13">
                  <c:v>0.43034167764602527</c:v>
                </c:pt>
                <c:pt idx="14">
                  <c:v>0.34688160323459594</c:v>
                </c:pt>
                <c:pt idx="15">
                  <c:v>0.37659498394515234</c:v>
                </c:pt>
                <c:pt idx="16">
                  <c:v>0.44425745905267811</c:v>
                </c:pt>
                <c:pt idx="17">
                  <c:v>0.62461027697472671</c:v>
                </c:pt>
                <c:pt idx="18">
                  <c:v>0.28396313532256584</c:v>
                </c:pt>
                <c:pt idx="19">
                  <c:v>0.18112658686978644</c:v>
                </c:pt>
                <c:pt idx="20">
                  <c:v>0.18350108774474264</c:v>
                </c:pt>
                <c:pt idx="21">
                  <c:v>0.15869656419529893</c:v>
                </c:pt>
                <c:pt idx="22">
                  <c:v>6.4533428038711774E-2</c:v>
                </c:pt>
                <c:pt idx="23">
                  <c:v>-0.129751870541152</c:v>
                </c:pt>
                <c:pt idx="24">
                  <c:v>-0.4022844509948415</c:v>
                </c:pt>
                <c:pt idx="25">
                  <c:v>-0.29392907686051262</c:v>
                </c:pt>
                <c:pt idx="26">
                  <c:v>-0.21817968620974354</c:v>
                </c:pt>
                <c:pt idx="27">
                  <c:v>-0.19172252413010035</c:v>
                </c:pt>
                <c:pt idx="28">
                  <c:v>-0.18841073035086284</c:v>
                </c:pt>
                <c:pt idx="29">
                  <c:v>-0.19934678699757646</c:v>
                </c:pt>
                <c:pt idx="30">
                  <c:v>-5.1575886278929256E-2</c:v>
                </c:pt>
                <c:pt idx="31">
                  <c:v>0.21215343451179888</c:v>
                </c:pt>
                <c:pt idx="32">
                  <c:v>0.25553173211781205</c:v>
                </c:pt>
                <c:pt idx="33">
                  <c:v>0.32266880379413354</c:v>
                </c:pt>
                <c:pt idx="34">
                  <c:v>0.27491366906474785</c:v>
                </c:pt>
                <c:pt idx="35">
                  <c:v>0.41951127752518508</c:v>
                </c:pt>
                <c:pt idx="36">
                  <c:v>0.57417334040484369</c:v>
                </c:pt>
                <c:pt idx="37">
                  <c:v>0.82032906387002535</c:v>
                </c:pt>
                <c:pt idx="38">
                  <c:v>1.0098990194391884</c:v>
                </c:pt>
                <c:pt idx="39">
                  <c:v>1.2431364324142573</c:v>
                </c:pt>
                <c:pt idx="40">
                  <c:v>1.1446121135112253</c:v>
                </c:pt>
                <c:pt idx="41">
                  <c:v>1.015145099739809</c:v>
                </c:pt>
                <c:pt idx="42">
                  <c:v>1.0743448547427368</c:v>
                </c:pt>
                <c:pt idx="43">
                  <c:v>0.93957304509373363</c:v>
                </c:pt>
                <c:pt idx="44">
                  <c:v>1.0625627198124261</c:v>
                </c:pt>
                <c:pt idx="45">
                  <c:v>1.0924256571855044</c:v>
                </c:pt>
                <c:pt idx="46">
                  <c:v>1.2217567657868369</c:v>
                </c:pt>
                <c:pt idx="47">
                  <c:v>1.2829518172034107</c:v>
                </c:pt>
                <c:pt idx="48">
                  <c:v>1.3029458598726114</c:v>
                </c:pt>
                <c:pt idx="49">
                  <c:v>1.1821529892313405</c:v>
                </c:pt>
              </c:numCache>
            </c:numRef>
          </c:val>
          <c:extLst>
            <c:ext xmlns:c16="http://schemas.microsoft.com/office/drawing/2014/chart" uri="{C3380CC4-5D6E-409C-BE32-E72D297353CC}">
              <c16:uniqueId val="{00000002-852B-4005-B801-1383E366BC9F}"/>
            </c:ext>
          </c:extLst>
        </c:ser>
        <c:ser>
          <c:idx val="3"/>
          <c:order val="4"/>
          <c:tx>
            <c:strRef>
              <c:f>contrib!$E$8</c:f>
              <c:strCache>
                <c:ptCount val="1"/>
                <c:pt idx="0">
                  <c:v>Нехранителни стоки</c:v>
                </c:pt>
              </c:strCache>
            </c:strRef>
          </c:tx>
          <c:spPr>
            <a:solidFill>
              <a:schemeClr val="accent5">
                <a:lumMod val="20000"/>
                <a:lumOff val="80000"/>
              </a:schemeClr>
            </a:solidFill>
            <a:ln w="3175">
              <a:solidFill>
                <a:schemeClr val="bg1"/>
              </a:solidFill>
            </a:ln>
            <a:effectLst/>
          </c:spPr>
          <c:invertIfNegative val="0"/>
          <c:cat>
            <c:multiLvlStrRef>
              <c:f>contrib!$F$3:$BC$4</c:f>
              <c:multiLvlStrCache>
                <c:ptCount val="50"/>
                <c:lvl>
                  <c:pt idx="2">
                    <c:v>3</c:v>
                  </c:pt>
                  <c:pt idx="5">
                    <c:v>6</c:v>
                  </c:pt>
                  <c:pt idx="8">
                    <c:v>9</c:v>
                  </c:pt>
                  <c:pt idx="11">
                    <c:v>12</c:v>
                  </c:pt>
                  <c:pt idx="12">
                    <c:v> </c:v>
                  </c:pt>
                  <c:pt idx="13">
                    <c:v> </c:v>
                  </c:pt>
                  <c:pt idx="14">
                    <c:v>3</c:v>
                  </c:pt>
                  <c:pt idx="17">
                    <c:v>6</c:v>
                  </c:pt>
                  <c:pt idx="20">
                    <c:v>9</c:v>
                  </c:pt>
                  <c:pt idx="23">
                    <c:v>12</c:v>
                  </c:pt>
                  <c:pt idx="24">
                    <c:v> </c:v>
                  </c:pt>
                  <c:pt idx="25">
                    <c:v> </c:v>
                  </c:pt>
                  <c:pt idx="26">
                    <c:v>3</c:v>
                  </c:pt>
                  <c:pt idx="29">
                    <c:v>6</c:v>
                  </c:pt>
                  <c:pt idx="32">
                    <c:v>9</c:v>
                  </c:pt>
                  <c:pt idx="35">
                    <c:v>12</c:v>
                  </c:pt>
                  <c:pt idx="36">
                    <c:v> </c:v>
                  </c:pt>
                  <c:pt idx="37">
                    <c:v> </c:v>
                  </c:pt>
                  <c:pt idx="38">
                    <c:v>3</c:v>
                  </c:pt>
                  <c:pt idx="41">
                    <c:v>6</c:v>
                  </c:pt>
                  <c:pt idx="44">
                    <c:v>9</c:v>
                  </c:pt>
                  <c:pt idx="47">
                    <c:v>12</c:v>
                  </c:pt>
                  <c:pt idx="48">
                    <c:v> </c:v>
                  </c:pt>
                  <c:pt idx="49">
                    <c:v> </c:v>
                  </c:pt>
                </c:lvl>
                <c:lvl>
                  <c:pt idx="0">
                    <c:v>2019</c:v>
                  </c:pt>
                  <c:pt idx="12">
                    <c:v>2020</c:v>
                  </c:pt>
                  <c:pt idx="24">
                    <c:v>2021</c:v>
                  </c:pt>
                  <c:pt idx="36">
                    <c:v>2022</c:v>
                  </c:pt>
                  <c:pt idx="48">
                    <c:v>2023</c:v>
                  </c:pt>
                </c:lvl>
              </c:multiLvlStrCache>
            </c:multiLvlStrRef>
          </c:cat>
          <c:val>
            <c:numRef>
              <c:f>contrib!$F$8:$BC$8</c:f>
              <c:numCache>
                <c:formatCode>0.0</c:formatCode>
                <c:ptCount val="50"/>
                <c:pt idx="0">
                  <c:v>1.0971841155232653E-2</c:v>
                </c:pt>
                <c:pt idx="1">
                  <c:v>3.3038202712493657E-2</c:v>
                </c:pt>
                <c:pt idx="2">
                  <c:v>3.3079299264022893E-2</c:v>
                </c:pt>
                <c:pt idx="3">
                  <c:v>7.1250824402301946E-2</c:v>
                </c:pt>
                <c:pt idx="4">
                  <c:v>5.475190446777984E-2</c:v>
                </c:pt>
                <c:pt idx="5">
                  <c:v>8.7838150289021241E-2</c:v>
                </c:pt>
                <c:pt idx="6">
                  <c:v>1.099565846599071E-2</c:v>
                </c:pt>
                <c:pt idx="7">
                  <c:v>5.2538941457832646E-2</c:v>
                </c:pt>
                <c:pt idx="8">
                  <c:v>4.6974334995844934E-2</c:v>
                </c:pt>
                <c:pt idx="9">
                  <c:v>8.2077160493828225E-2</c:v>
                </c:pt>
                <c:pt idx="10">
                  <c:v>0.11233391716463859</c:v>
                </c:pt>
                <c:pt idx="11">
                  <c:v>0.16484967455315677</c:v>
                </c:pt>
                <c:pt idx="12">
                  <c:v>-4.4184348901949201E-2</c:v>
                </c:pt>
                <c:pt idx="13">
                  <c:v>8.3085513390572206E-3</c:v>
                </c:pt>
                <c:pt idx="14">
                  <c:v>-5.2686199399523952E-2</c:v>
                </c:pt>
                <c:pt idx="15">
                  <c:v>-3.578540596094347E-2</c:v>
                </c:pt>
                <c:pt idx="16">
                  <c:v>-2.2012738853503452E-2</c:v>
                </c:pt>
                <c:pt idx="17">
                  <c:v>2.2044444444444224E-2</c:v>
                </c:pt>
                <c:pt idx="18">
                  <c:v>2.2140111593303445E-2</c:v>
                </c:pt>
                <c:pt idx="19">
                  <c:v>1.3897882938977972E-2</c:v>
                </c:pt>
                <c:pt idx="20">
                  <c:v>-1.1112540192925043E-2</c:v>
                </c:pt>
                <c:pt idx="21">
                  <c:v>-7.9665230769232376E-2</c:v>
                </c:pt>
                <c:pt idx="22">
                  <c:v>-9.3429362880887268E-2</c:v>
                </c:pt>
                <c:pt idx="23">
                  <c:v>-0.15676024232467659</c:v>
                </c:pt>
                <c:pt idx="24">
                  <c:v>-0.11760817928327896</c:v>
                </c:pt>
                <c:pt idx="25">
                  <c:v>-9.9607194542072244E-2</c:v>
                </c:pt>
                <c:pt idx="26">
                  <c:v>-5.7551867219920436E-2</c:v>
                </c:pt>
                <c:pt idx="27">
                  <c:v>-2.4040341669238727E-2</c:v>
                </c:pt>
                <c:pt idx="28">
                  <c:v>3.302488176023155E-2</c:v>
                </c:pt>
                <c:pt idx="29">
                  <c:v>6.3034539473679846E-2</c:v>
                </c:pt>
                <c:pt idx="30">
                  <c:v>0.12963039438364404</c:v>
                </c:pt>
                <c:pt idx="31">
                  <c:v>0.19686754486049465</c:v>
                </c:pt>
                <c:pt idx="32">
                  <c:v>0.28178893846632708</c:v>
                </c:pt>
                <c:pt idx="33">
                  <c:v>0.48060899084456937</c:v>
                </c:pt>
                <c:pt idx="34">
                  <c:v>0.68543189539791927</c:v>
                </c:pt>
                <c:pt idx="35">
                  <c:v>0.85651724850237554</c:v>
                </c:pt>
                <c:pt idx="36">
                  <c:v>1.1653582538365861</c:v>
                </c:pt>
                <c:pt idx="37">
                  <c:v>1.3158274037962865</c:v>
                </c:pt>
                <c:pt idx="38">
                  <c:v>1.5649931400062367</c:v>
                </c:pt>
                <c:pt idx="39">
                  <c:v>1.7537772170151431</c:v>
                </c:pt>
                <c:pt idx="40">
                  <c:v>1.8878737804251824</c:v>
                </c:pt>
                <c:pt idx="41">
                  <c:v>2.0687357677710541</c:v>
                </c:pt>
                <c:pt idx="42">
                  <c:v>2.1932534690101737</c:v>
                </c:pt>
                <c:pt idx="43">
                  <c:v>2.4903085720173066</c:v>
                </c:pt>
                <c:pt idx="44">
                  <c:v>2.7499875642343241</c:v>
                </c:pt>
                <c:pt idx="45">
                  <c:v>2.8762365145228248</c:v>
                </c:pt>
                <c:pt idx="46">
                  <c:v>2.9270189115783158</c:v>
                </c:pt>
                <c:pt idx="47">
                  <c:v>3.1359487256672742</c:v>
                </c:pt>
                <c:pt idx="48">
                  <c:v>3.0776840843241078</c:v>
                </c:pt>
                <c:pt idx="49">
                  <c:v>3.0330617726051914</c:v>
                </c:pt>
              </c:numCache>
            </c:numRef>
          </c:val>
          <c:extLst>
            <c:ext xmlns:c16="http://schemas.microsoft.com/office/drawing/2014/chart" uri="{C3380CC4-5D6E-409C-BE32-E72D297353CC}">
              <c16:uniqueId val="{00000003-852B-4005-B801-1383E366BC9F}"/>
            </c:ext>
          </c:extLst>
        </c:ser>
        <c:ser>
          <c:idx val="0"/>
          <c:order val="5"/>
          <c:tx>
            <c:strRef>
              <c:f>contrib!$E$6</c:f>
              <c:strCache>
                <c:ptCount val="1"/>
                <c:pt idx="0">
                  <c:v>Преработени храни*</c:v>
                </c:pt>
              </c:strCache>
            </c:strRef>
          </c:tx>
          <c:spPr>
            <a:solidFill>
              <a:schemeClr val="accent4">
                <a:lumMod val="60000"/>
                <a:lumOff val="40000"/>
              </a:schemeClr>
            </a:solidFill>
            <a:ln w="3175">
              <a:solidFill>
                <a:schemeClr val="bg1"/>
              </a:solidFill>
            </a:ln>
            <a:effectLst/>
          </c:spPr>
          <c:invertIfNegative val="0"/>
          <c:cat>
            <c:multiLvlStrRef>
              <c:f>contrib!$F$3:$BC$4</c:f>
              <c:multiLvlStrCache>
                <c:ptCount val="50"/>
                <c:lvl>
                  <c:pt idx="2">
                    <c:v>3</c:v>
                  </c:pt>
                  <c:pt idx="5">
                    <c:v>6</c:v>
                  </c:pt>
                  <c:pt idx="8">
                    <c:v>9</c:v>
                  </c:pt>
                  <c:pt idx="11">
                    <c:v>12</c:v>
                  </c:pt>
                  <c:pt idx="12">
                    <c:v> </c:v>
                  </c:pt>
                  <c:pt idx="13">
                    <c:v> </c:v>
                  </c:pt>
                  <c:pt idx="14">
                    <c:v>3</c:v>
                  </c:pt>
                  <c:pt idx="17">
                    <c:v>6</c:v>
                  </c:pt>
                  <c:pt idx="20">
                    <c:v>9</c:v>
                  </c:pt>
                  <c:pt idx="23">
                    <c:v>12</c:v>
                  </c:pt>
                  <c:pt idx="24">
                    <c:v> </c:v>
                  </c:pt>
                  <c:pt idx="25">
                    <c:v> </c:v>
                  </c:pt>
                  <c:pt idx="26">
                    <c:v>3</c:v>
                  </c:pt>
                  <c:pt idx="29">
                    <c:v>6</c:v>
                  </c:pt>
                  <c:pt idx="32">
                    <c:v>9</c:v>
                  </c:pt>
                  <c:pt idx="35">
                    <c:v>12</c:v>
                  </c:pt>
                  <c:pt idx="36">
                    <c:v> </c:v>
                  </c:pt>
                  <c:pt idx="37">
                    <c:v> </c:v>
                  </c:pt>
                  <c:pt idx="38">
                    <c:v>3</c:v>
                  </c:pt>
                  <c:pt idx="41">
                    <c:v>6</c:v>
                  </c:pt>
                  <c:pt idx="44">
                    <c:v>9</c:v>
                  </c:pt>
                  <c:pt idx="47">
                    <c:v>12</c:v>
                  </c:pt>
                  <c:pt idx="48">
                    <c:v> </c:v>
                  </c:pt>
                  <c:pt idx="49">
                    <c:v> </c:v>
                  </c:pt>
                </c:lvl>
                <c:lvl>
                  <c:pt idx="0">
                    <c:v>2019</c:v>
                  </c:pt>
                  <c:pt idx="12">
                    <c:v>2020</c:v>
                  </c:pt>
                  <c:pt idx="24">
                    <c:v>2021</c:v>
                  </c:pt>
                  <c:pt idx="36">
                    <c:v>2022</c:v>
                  </c:pt>
                  <c:pt idx="48">
                    <c:v>2023</c:v>
                  </c:pt>
                </c:lvl>
              </c:multiLvlStrCache>
            </c:multiLvlStrRef>
          </c:cat>
          <c:val>
            <c:numRef>
              <c:f>contrib!$F$6:$BC$6</c:f>
              <c:numCache>
                <c:formatCode>0.0</c:formatCode>
                <c:ptCount val="50"/>
                <c:pt idx="0">
                  <c:v>0.74227551215776444</c:v>
                </c:pt>
                <c:pt idx="1">
                  <c:v>0.79149603667271451</c:v>
                </c:pt>
                <c:pt idx="2">
                  <c:v>0.83100658648339176</c:v>
                </c:pt>
                <c:pt idx="3">
                  <c:v>0.90264616408403919</c:v>
                </c:pt>
                <c:pt idx="4">
                  <c:v>1.0164262699014421</c:v>
                </c:pt>
                <c:pt idx="5">
                  <c:v>1.0108765619083699</c:v>
                </c:pt>
                <c:pt idx="6">
                  <c:v>0.9470577378135342</c:v>
                </c:pt>
                <c:pt idx="7">
                  <c:v>0.99865982792852581</c:v>
                </c:pt>
                <c:pt idx="8">
                  <c:v>0.97391881745659126</c:v>
                </c:pt>
                <c:pt idx="9">
                  <c:v>0.96006768110530183</c:v>
                </c:pt>
                <c:pt idx="10">
                  <c:v>1.0531630181648828</c:v>
                </c:pt>
                <c:pt idx="11">
                  <c:v>1.0338401822238759</c:v>
                </c:pt>
                <c:pt idx="12">
                  <c:v>1.2278961038961047</c:v>
                </c:pt>
                <c:pt idx="13">
                  <c:v>1.1831597709641692</c:v>
                </c:pt>
                <c:pt idx="14">
                  <c:v>1.2873898258225014</c:v>
                </c:pt>
                <c:pt idx="15">
                  <c:v>1.1507031478770116</c:v>
                </c:pt>
                <c:pt idx="16">
                  <c:v>1.053728618122389</c:v>
                </c:pt>
                <c:pt idx="17">
                  <c:v>0.99059270682148259</c:v>
                </c:pt>
                <c:pt idx="18">
                  <c:v>0.98881593306657223</c:v>
                </c:pt>
                <c:pt idx="19">
                  <c:v>0.87845993473531525</c:v>
                </c:pt>
                <c:pt idx="20">
                  <c:v>0.80904882003242495</c:v>
                </c:pt>
                <c:pt idx="21">
                  <c:v>0.72468435679067755</c:v>
                </c:pt>
                <c:pt idx="22">
                  <c:v>0.61925485653180956</c:v>
                </c:pt>
                <c:pt idx="23">
                  <c:v>0.63957703604806393</c:v>
                </c:pt>
                <c:pt idx="24">
                  <c:v>0.4938894179894196</c:v>
                </c:pt>
                <c:pt idx="25">
                  <c:v>0.4970847845206664</c:v>
                </c:pt>
                <c:pt idx="26">
                  <c:v>0.34420520887956446</c:v>
                </c:pt>
                <c:pt idx="27">
                  <c:v>0.42400174520069733</c:v>
                </c:pt>
                <c:pt idx="28">
                  <c:v>0.48458339852238586</c:v>
                </c:pt>
                <c:pt idx="29">
                  <c:v>0.47425230715653666</c:v>
                </c:pt>
                <c:pt idx="30">
                  <c:v>0.5446976256983268</c:v>
                </c:pt>
                <c:pt idx="31">
                  <c:v>0.63029785002622107</c:v>
                </c:pt>
                <c:pt idx="32">
                  <c:v>0.78624124716948185</c:v>
                </c:pt>
                <c:pt idx="33">
                  <c:v>1.078837087935985</c:v>
                </c:pt>
                <c:pt idx="34">
                  <c:v>1.4501408475165012</c:v>
                </c:pt>
                <c:pt idx="35">
                  <c:v>1.7109912470751383</c:v>
                </c:pt>
                <c:pt idx="36">
                  <c:v>1.8552020070940372</c:v>
                </c:pt>
                <c:pt idx="37">
                  <c:v>2.1939538434992687</c:v>
                </c:pt>
                <c:pt idx="38">
                  <c:v>2.7960347533632297</c:v>
                </c:pt>
                <c:pt idx="39">
                  <c:v>3.4053148497854115</c:v>
                </c:pt>
                <c:pt idx="40">
                  <c:v>3.9666855753646675</c:v>
                </c:pt>
                <c:pt idx="41">
                  <c:v>4.4290885545773166</c:v>
                </c:pt>
                <c:pt idx="42">
                  <c:v>4.49843777777778</c:v>
                </c:pt>
                <c:pt idx="43">
                  <c:v>4.7119012282497419</c:v>
                </c:pt>
                <c:pt idx="44">
                  <c:v>4.8410242501056242</c:v>
                </c:pt>
                <c:pt idx="45">
                  <c:v>5.1084488399265604</c:v>
                </c:pt>
                <c:pt idx="46">
                  <c:v>5.0969881666529728</c:v>
                </c:pt>
                <c:pt idx="47">
                  <c:v>4.8999831045406586</c:v>
                </c:pt>
                <c:pt idx="48">
                  <c:v>4.8334129337286589</c:v>
                </c:pt>
                <c:pt idx="49">
                  <c:v>4.7597604478788851</c:v>
                </c:pt>
              </c:numCache>
            </c:numRef>
          </c:val>
          <c:extLst>
            <c:ext xmlns:c16="http://schemas.microsoft.com/office/drawing/2014/chart" uri="{C3380CC4-5D6E-409C-BE32-E72D297353CC}">
              <c16:uniqueId val="{00000004-852B-4005-B801-1383E366BC9F}"/>
            </c:ext>
          </c:extLst>
        </c:ser>
        <c:dLbls>
          <c:showLegendKey val="0"/>
          <c:showVal val="0"/>
          <c:showCatName val="0"/>
          <c:showSerName val="0"/>
          <c:showPercent val="0"/>
          <c:showBubbleSize val="0"/>
        </c:dLbls>
        <c:gapWidth val="81"/>
        <c:overlap val="100"/>
        <c:axId val="249485952"/>
        <c:axId val="249504128"/>
      </c:barChart>
      <c:lineChart>
        <c:grouping val="standard"/>
        <c:varyColors val="0"/>
        <c:ser>
          <c:idx val="4"/>
          <c:order val="0"/>
          <c:tx>
            <c:strRef>
              <c:f>contrib!$E$5</c:f>
              <c:strCache>
                <c:ptCount val="1"/>
                <c:pt idx="0">
                  <c:v>общ ХИПЦ (%)</c:v>
                </c:pt>
              </c:strCache>
            </c:strRef>
          </c:tx>
          <c:spPr>
            <a:ln w="19050" cap="rnd" cmpd="sng" algn="ctr">
              <a:solidFill>
                <a:schemeClr val="accent5">
                  <a:shade val="95000"/>
                  <a:satMod val="105000"/>
                </a:schemeClr>
              </a:solidFill>
              <a:prstDash val="solid"/>
              <a:round/>
            </a:ln>
            <a:effectLst/>
          </c:spPr>
          <c:marker>
            <c:symbol val="none"/>
          </c:marker>
          <c:cat>
            <c:multiLvlStrRef>
              <c:f>contrib!$F$3:$BC$4</c:f>
              <c:multiLvlStrCache>
                <c:ptCount val="50"/>
                <c:lvl>
                  <c:pt idx="2">
                    <c:v>3</c:v>
                  </c:pt>
                  <c:pt idx="5">
                    <c:v>6</c:v>
                  </c:pt>
                  <c:pt idx="8">
                    <c:v>9</c:v>
                  </c:pt>
                  <c:pt idx="11">
                    <c:v>12</c:v>
                  </c:pt>
                  <c:pt idx="12">
                    <c:v> </c:v>
                  </c:pt>
                  <c:pt idx="13">
                    <c:v> </c:v>
                  </c:pt>
                  <c:pt idx="14">
                    <c:v>3</c:v>
                  </c:pt>
                  <c:pt idx="17">
                    <c:v>6</c:v>
                  </c:pt>
                  <c:pt idx="20">
                    <c:v>9</c:v>
                  </c:pt>
                  <c:pt idx="23">
                    <c:v>12</c:v>
                  </c:pt>
                  <c:pt idx="24">
                    <c:v> </c:v>
                  </c:pt>
                  <c:pt idx="25">
                    <c:v> </c:v>
                  </c:pt>
                  <c:pt idx="26">
                    <c:v>3</c:v>
                  </c:pt>
                  <c:pt idx="29">
                    <c:v>6</c:v>
                  </c:pt>
                  <c:pt idx="32">
                    <c:v>9</c:v>
                  </c:pt>
                  <c:pt idx="35">
                    <c:v>12</c:v>
                  </c:pt>
                  <c:pt idx="36">
                    <c:v> </c:v>
                  </c:pt>
                  <c:pt idx="37">
                    <c:v> </c:v>
                  </c:pt>
                  <c:pt idx="38">
                    <c:v>3</c:v>
                  </c:pt>
                  <c:pt idx="41">
                    <c:v>6</c:v>
                  </c:pt>
                  <c:pt idx="44">
                    <c:v>9</c:v>
                  </c:pt>
                  <c:pt idx="47">
                    <c:v>12</c:v>
                  </c:pt>
                  <c:pt idx="48">
                    <c:v> </c:v>
                  </c:pt>
                  <c:pt idx="49">
                    <c:v> </c:v>
                  </c:pt>
                </c:lvl>
                <c:lvl>
                  <c:pt idx="0">
                    <c:v>2019</c:v>
                  </c:pt>
                  <c:pt idx="12">
                    <c:v>2020</c:v>
                  </c:pt>
                  <c:pt idx="24">
                    <c:v>2021</c:v>
                  </c:pt>
                  <c:pt idx="36">
                    <c:v>2022</c:v>
                  </c:pt>
                  <c:pt idx="48">
                    <c:v>2023</c:v>
                  </c:pt>
                </c:lvl>
              </c:multiLvlStrCache>
            </c:multiLvlStrRef>
          </c:cat>
          <c:val>
            <c:numRef>
              <c:f>contrib!$F$5:$BC$5</c:f>
              <c:numCache>
                <c:formatCode>0.0</c:formatCode>
                <c:ptCount val="50"/>
                <c:pt idx="0">
                  <c:v>2.324891175306703</c:v>
                </c:pt>
                <c:pt idx="1">
                  <c:v>2.3887079261672142</c:v>
                </c:pt>
                <c:pt idx="2">
                  <c:v>2.7884900622960633</c:v>
                </c:pt>
                <c:pt idx="3">
                  <c:v>3.104977821586985</c:v>
                </c:pt>
                <c:pt idx="4">
                  <c:v>2.8672427336999107</c:v>
                </c:pt>
                <c:pt idx="5">
                  <c:v>2.3353527457494465</c:v>
                </c:pt>
                <c:pt idx="6">
                  <c:v>2.6303065467556195</c:v>
                </c:pt>
                <c:pt idx="7">
                  <c:v>2.4867469879518187</c:v>
                </c:pt>
                <c:pt idx="8">
                  <c:v>1.6249153689911824</c:v>
                </c:pt>
                <c:pt idx="9">
                  <c:v>1.6224046354418249</c:v>
                </c:pt>
                <c:pt idx="10">
                  <c:v>2.2372881355932321</c:v>
                </c:pt>
                <c:pt idx="11">
                  <c:v>3.1004747601976561</c:v>
                </c:pt>
                <c:pt idx="12">
                  <c:v>3.3935995359179998</c:v>
                </c:pt>
                <c:pt idx="13">
                  <c:v>3.1042128603104122</c:v>
                </c:pt>
                <c:pt idx="14">
                  <c:v>2.4146224146224</c:v>
                </c:pt>
                <c:pt idx="15">
                  <c:v>1.3479923518164583</c:v>
                </c:pt>
                <c:pt idx="16">
                  <c:v>0.95456281023291467</c:v>
                </c:pt>
                <c:pt idx="17">
                  <c:v>0.91664279576050944</c:v>
                </c:pt>
                <c:pt idx="18">
                  <c:v>0.42400829171771193</c:v>
                </c:pt>
                <c:pt idx="19">
                  <c:v>0.63951848020313662</c:v>
                </c:pt>
                <c:pt idx="20">
                  <c:v>0.59960026648901987</c:v>
                </c:pt>
                <c:pt idx="21">
                  <c:v>0.60819158034782106</c:v>
                </c:pt>
                <c:pt idx="22">
                  <c:v>0.31261841606668384</c:v>
                </c:pt>
                <c:pt idx="23">
                  <c:v>1.8795226012599642E-2</c:v>
                </c:pt>
                <c:pt idx="24">
                  <c:v>-0.32728632878249186</c:v>
                </c:pt>
                <c:pt idx="25">
                  <c:v>0.19635343618513446</c:v>
                </c:pt>
                <c:pt idx="26">
                  <c:v>0.81720834116100605</c:v>
                </c:pt>
                <c:pt idx="27">
                  <c:v>1.9526459767946278</c:v>
                </c:pt>
                <c:pt idx="28">
                  <c:v>2.3354765506807809</c:v>
                </c:pt>
                <c:pt idx="29">
                  <c:v>2.3748699025451856</c:v>
                </c:pt>
                <c:pt idx="30">
                  <c:v>2.2424469881779032</c:v>
                </c:pt>
                <c:pt idx="31">
                  <c:v>2.5418185216334876</c:v>
                </c:pt>
                <c:pt idx="32">
                  <c:v>3.9924314096499529</c:v>
                </c:pt>
                <c:pt idx="33">
                  <c:v>5.1761594408236391</c:v>
                </c:pt>
                <c:pt idx="34">
                  <c:v>6.2801019926338739</c:v>
                </c:pt>
                <c:pt idx="35">
                  <c:v>6.5864887719627774</c:v>
                </c:pt>
                <c:pt idx="36">
                  <c:v>7.7024111079838633</c:v>
                </c:pt>
                <c:pt idx="37">
                  <c:v>8.3986562150056017</c:v>
                </c:pt>
                <c:pt idx="38">
                  <c:v>10.491009037547755</c:v>
                </c:pt>
                <c:pt idx="39">
                  <c:v>12.065136935603277</c:v>
                </c:pt>
                <c:pt idx="40">
                  <c:v>13.406634020142278</c:v>
                </c:pt>
                <c:pt idx="41">
                  <c:v>14.750462107208875</c:v>
                </c:pt>
                <c:pt idx="42">
                  <c:v>14.875653849683417</c:v>
                </c:pt>
                <c:pt idx="43">
                  <c:v>15.00956894194843</c:v>
                </c:pt>
                <c:pt idx="44">
                  <c:v>15.629548762736519</c:v>
                </c:pt>
                <c:pt idx="45">
                  <c:v>14.836102379883272</c:v>
                </c:pt>
                <c:pt idx="46">
                  <c:v>14.341567442687037</c:v>
                </c:pt>
                <c:pt idx="47">
                  <c:v>14.324753173483785</c:v>
                </c:pt>
                <c:pt idx="48">
                  <c:v>14.285714285714278</c:v>
                </c:pt>
                <c:pt idx="49">
                  <c:v>13.739669421487605</c:v>
                </c:pt>
              </c:numCache>
            </c:numRef>
          </c:val>
          <c:smooth val="0"/>
          <c:extLst>
            <c:ext xmlns:c16="http://schemas.microsoft.com/office/drawing/2014/chart" uri="{C3380CC4-5D6E-409C-BE32-E72D297353CC}">
              <c16:uniqueId val="{00000005-852B-4005-B801-1383E366BC9F}"/>
            </c:ext>
          </c:extLst>
        </c:ser>
        <c:dLbls>
          <c:showLegendKey val="0"/>
          <c:showVal val="0"/>
          <c:showCatName val="0"/>
          <c:showSerName val="0"/>
          <c:showPercent val="0"/>
          <c:showBubbleSize val="0"/>
        </c:dLbls>
        <c:marker val="1"/>
        <c:smooth val="0"/>
        <c:axId val="249485952"/>
        <c:axId val="249504128"/>
      </c:lineChart>
      <c:catAx>
        <c:axId val="249485952"/>
        <c:scaling>
          <c:orientation val="minMax"/>
        </c:scaling>
        <c:delete val="0"/>
        <c:axPos val="b"/>
        <c:majorGridlines>
          <c:spPr>
            <a:ln w="3175" cap="flat" cmpd="sng" algn="ctr">
              <a:solidFill>
                <a:schemeClr val="bg1">
                  <a:lumMod val="85000"/>
                </a:schemeClr>
              </a:solidFill>
              <a:prstDash val="solid"/>
              <a:round/>
            </a:ln>
            <a:effectLst/>
          </c:spPr>
        </c:majorGridlines>
        <c:numFmt formatCode="General" sourceLinked="0"/>
        <c:majorTickMark val="cross"/>
        <c:minorTickMark val="none"/>
        <c:tickLblPos val="low"/>
        <c:spPr>
          <a:noFill/>
          <a:ln w="6350" cap="flat" cmpd="sng" algn="ctr">
            <a:solidFill>
              <a:schemeClr val="bg1">
                <a:lumMod val="50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bg-BG"/>
          </a:p>
        </c:txPr>
        <c:crossAx val="249504128"/>
        <c:crosses val="autoZero"/>
        <c:auto val="1"/>
        <c:lblAlgn val="ctr"/>
        <c:lblOffset val="30"/>
        <c:tickLblSkip val="1"/>
        <c:tickMarkSkip val="1"/>
        <c:noMultiLvlLbl val="0"/>
      </c:catAx>
      <c:valAx>
        <c:axId val="249504128"/>
        <c:scaling>
          <c:orientation val="minMax"/>
          <c:max val="16"/>
          <c:min val="-2"/>
        </c:scaling>
        <c:delete val="0"/>
        <c:axPos val="l"/>
        <c:majorGridlines>
          <c:spPr>
            <a:ln w="3175" cap="flat" cmpd="sng" algn="ctr">
              <a:solidFill>
                <a:schemeClr val="bg1">
                  <a:lumMod val="85000"/>
                </a:schemeClr>
              </a:solidFill>
              <a:prstDash val="solid"/>
              <a:round/>
            </a:ln>
            <a:effectLst/>
          </c:spPr>
        </c:majorGridlines>
        <c:numFmt formatCode="0" sourceLinked="0"/>
        <c:majorTickMark val="in"/>
        <c:minorTickMark val="none"/>
        <c:tickLblPos val="nextTo"/>
        <c:spPr>
          <a:noFill/>
          <a:ln w="6350" cap="flat" cmpd="sng" algn="ctr">
            <a:solidFill>
              <a:schemeClr val="bg1">
                <a:lumMod val="50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bg-BG"/>
          </a:p>
        </c:txPr>
        <c:crossAx val="249485952"/>
        <c:crosses val="autoZero"/>
        <c:crossBetween val="between"/>
        <c:majorUnit val="2"/>
      </c:valAx>
      <c:spPr>
        <a:solidFill>
          <a:schemeClr val="bg1"/>
        </a:solidFill>
        <a:ln>
          <a:noFill/>
        </a:ln>
        <a:effectLst/>
      </c:spPr>
    </c:plotArea>
    <c:legend>
      <c:legendPos val="r"/>
      <c:layout>
        <c:manualLayout>
          <c:xMode val="edge"/>
          <c:yMode val="edge"/>
          <c:x val="3.6268608034342497E-3"/>
          <c:y val="0.86806142049784096"/>
          <c:w val="0.99147275099042387"/>
          <c:h val="0.13193818262636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bg-BG"/>
        </a:p>
      </c:txPr>
    </c:legend>
    <c:plotVisOnly val="1"/>
    <c:dispBlanksAs val="gap"/>
    <c:showDLblsOverMax val="0"/>
  </c:chart>
  <c:spPr>
    <a:solidFill>
      <a:schemeClr val="bg1"/>
    </a:solidFill>
    <a:ln w="9525" cap="flat" cmpd="sng" algn="ctr">
      <a:noFill/>
      <a:prstDash val="solid"/>
      <a:round/>
    </a:ln>
    <a:effectLst/>
  </c:spPr>
  <c:txPr>
    <a:bodyPr/>
    <a:lstStyle/>
    <a:p>
      <a:pPr>
        <a:defRPr sz="900"/>
      </a:pPr>
      <a:endParaRPr lang="bg-BG"/>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manualLayout>
          <c:layoutTarget val="inner"/>
          <c:xMode val="edge"/>
          <c:yMode val="edge"/>
          <c:x val="3.6750483558994199E-2"/>
          <c:y val="2.5650036988619666E-2"/>
          <c:w val="0.88296191271910951"/>
          <c:h val="0.73747411831322995"/>
        </c:manualLayout>
      </c:layout>
      <c:lineChart>
        <c:grouping val="standard"/>
        <c:varyColors val="0"/>
        <c:ser>
          <c:idx val="1"/>
          <c:order val="0"/>
          <c:tx>
            <c:strRef>
              <c:f>'пазарни дялове'!$A$3</c:f>
              <c:strCache>
                <c:ptCount val="1"/>
                <c:pt idx="0">
                  <c:v>Дял в световния внос</c:v>
                </c:pt>
              </c:strCache>
            </c:strRef>
          </c:tx>
          <c:spPr>
            <a:ln w="25400">
              <a:solidFill>
                <a:schemeClr val="accent5"/>
              </a:solidFill>
            </a:ln>
          </c:spPr>
          <c:marker>
            <c:symbol val="circle"/>
            <c:size val="7"/>
            <c:spPr>
              <a:solidFill>
                <a:schemeClr val="accent5"/>
              </a:solidFill>
              <a:ln w="3175">
                <a:solidFill>
                  <a:schemeClr val="bg1"/>
                </a:solidFill>
              </a:ln>
            </c:spPr>
          </c:marker>
          <c:cat>
            <c:numRef>
              <c:f>'пазарни дялове'!$C$2:$M$2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'пазарни дялове'!$C$3:$M$3</c:f>
              <c:numCache>
                <c:formatCode>0.0</c:formatCode>
                <c:ptCount val="11"/>
                <c:pt idx="0">
                  <c:v>0.14392075275513497</c:v>
                </c:pt>
                <c:pt idx="1">
                  <c:v>0.15701328575181264</c:v>
                </c:pt>
                <c:pt idx="2">
                  <c:v>0.15440905839724717</c:v>
                </c:pt>
                <c:pt idx="3">
                  <c:v>0.15288977401166712</c:v>
                </c:pt>
                <c:pt idx="4">
                  <c:v>0.16496631485068697</c:v>
                </c:pt>
                <c:pt idx="5">
                  <c:v>0.17577161744049399</c:v>
                </c:pt>
                <c:pt idx="6">
                  <c:v>0.17052099851107341</c:v>
                </c:pt>
                <c:pt idx="7">
                  <c:v>0.17384311810940029</c:v>
                </c:pt>
                <c:pt idx="8">
                  <c:v>0.17988483880139897</c:v>
                </c:pt>
                <c:pt idx="9">
                  <c:v>0.18345360617960249</c:v>
                </c:pt>
                <c:pt idx="10">
                  <c:v>0.1995797798507295</c:v>
                </c:pt>
              </c:numCache>
            </c:numRef>
          </c:val>
          <c:smooth val="0"/>
          <c:extLst>
            <c:ext xmlns:c16="http://schemas.microsoft.com/office/drawing/2014/chart" uri="{C3380CC4-5D6E-409C-BE32-E72D297353CC}">
              <c16:uniqueId val="{00000000-423E-4CA5-A55B-0ACC60B7B482}"/>
            </c:ext>
          </c:extLst>
        </c:ser>
        <c:dLbls>
          <c:showLegendKey val="0"/>
          <c:showVal val="0"/>
          <c:showCatName val="0"/>
          <c:showSerName val="0"/>
          <c:showPercent val="0"/>
          <c:showBubbleSize val="0"/>
        </c:dLbls>
        <c:marker val="1"/>
        <c:smooth val="0"/>
        <c:axId val="175129344"/>
        <c:axId val="175132032"/>
      </c:lineChart>
      <c:lineChart>
        <c:grouping val="standard"/>
        <c:varyColors val="0"/>
        <c:ser>
          <c:idx val="2"/>
          <c:order val="1"/>
          <c:tx>
            <c:strRef>
              <c:f>'пазарни дялове'!$A$4</c:f>
              <c:strCache>
                <c:ptCount val="1"/>
                <c:pt idx="0">
                  <c:v>Дял във вноса в  ЕС (дясна скала)</c:v>
                </c:pt>
              </c:strCache>
            </c:strRef>
          </c:tx>
          <c:spPr>
            <a:ln w="25400">
              <a:solidFill>
                <a:schemeClr val="bg2">
                  <a:lumMod val="75000"/>
                </a:schemeClr>
              </a:solidFill>
            </a:ln>
          </c:spPr>
          <c:marker>
            <c:symbol val="circle"/>
            <c:size val="7"/>
            <c:spPr>
              <a:solidFill>
                <a:schemeClr val="bg2">
                  <a:lumMod val="75000"/>
                </a:schemeClr>
              </a:solidFill>
              <a:ln w="3175">
                <a:solidFill>
                  <a:schemeClr val="bg1"/>
                </a:solidFill>
              </a:ln>
            </c:spPr>
          </c:marker>
          <c:cat>
            <c:numRef>
              <c:f>'пазарни дялове'!$C$2:$M$2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'пазарни дялове'!$C$4:$M$4</c:f>
              <c:numCache>
                <c:formatCode>0.0</c:formatCode>
                <c:ptCount val="11"/>
                <c:pt idx="0">
                  <c:v>0.52559625235385887</c:v>
                </c:pt>
                <c:pt idx="1">
                  <c:v>0.57291164185724508</c:v>
                </c:pt>
                <c:pt idx="2">
                  <c:v>0.57116449218285059</c:v>
                </c:pt>
                <c:pt idx="3">
                  <c:v>0.5894849528746694</c:v>
                </c:pt>
                <c:pt idx="4">
                  <c:v>0.61610210274075961</c:v>
                </c:pt>
                <c:pt idx="5">
                  <c:v>0.6297966556182526</c:v>
                </c:pt>
                <c:pt idx="6">
                  <c:v>0.64754310786502112</c:v>
                </c:pt>
                <c:pt idx="7">
                  <c:v>0.65568022842652018</c:v>
                </c:pt>
                <c:pt idx="8">
                  <c:v>0.67849640291433311</c:v>
                </c:pt>
                <c:pt idx="9">
                  <c:v>0.68076146024839024</c:v>
                </c:pt>
                <c:pt idx="10">
                  <c:v>0.77316001414344193</c:v>
                </c:pt>
              </c:numCache>
            </c:numRef>
          </c:val>
          <c:smooth val="0"/>
          <c:extLst>
            <c:ext xmlns:c16="http://schemas.microsoft.com/office/drawing/2014/chart" uri="{C3380CC4-5D6E-409C-BE32-E72D297353CC}">
              <c16:uniqueId val="{00000001-423E-4CA5-A55B-0ACC60B7B482}"/>
            </c:ext>
          </c:extLst>
        </c:ser>
        <c:dLbls>
          <c:showLegendKey val="0"/>
          <c:showVal val="0"/>
          <c:showCatName val="0"/>
          <c:showSerName val="0"/>
          <c:showPercent val="0"/>
          <c:showBubbleSize val="0"/>
        </c:dLbls>
        <c:marker val="1"/>
        <c:smooth val="0"/>
        <c:axId val="175176704"/>
        <c:axId val="175661056"/>
      </c:lineChart>
      <c:catAx>
        <c:axId val="175129344"/>
        <c:scaling>
          <c:orientation val="minMax"/>
        </c:scaling>
        <c:delete val="0"/>
        <c:axPos val="b"/>
        <c:majorGridlines>
          <c:spPr>
            <a:ln w="3175">
              <a:solidFill>
                <a:schemeClr val="bg1">
                  <a:lumMod val="85000"/>
                </a:schemeClr>
              </a:solidFill>
            </a:ln>
          </c:spPr>
        </c:majorGridlines>
        <c:numFmt formatCode="General" sourceLinked="1"/>
        <c:majorTickMark val="in"/>
        <c:minorTickMark val="none"/>
        <c:tickLblPos val="nextTo"/>
        <c:spPr>
          <a:ln/>
        </c:spPr>
        <c:txPr>
          <a:bodyPr rot="0" vert="horz"/>
          <a:lstStyle/>
          <a:p>
            <a:pPr>
              <a:defRPr/>
            </a:pPr>
            <a:endParaRPr lang="bg-BG"/>
          </a:p>
        </c:txPr>
        <c:crossAx val="175132032"/>
        <c:crosses val="autoZero"/>
        <c:auto val="0"/>
        <c:lblAlgn val="ctr"/>
        <c:lblOffset val="100"/>
        <c:tickLblSkip val="1"/>
        <c:tickMarkSkip val="1"/>
        <c:noMultiLvlLbl val="0"/>
      </c:catAx>
      <c:valAx>
        <c:axId val="175132032"/>
        <c:scaling>
          <c:orientation val="minMax"/>
          <c:max val="0.2"/>
          <c:min val="0.14000000000000001"/>
        </c:scaling>
        <c:delete val="0"/>
        <c:axPos val="l"/>
        <c:majorGridlines>
          <c:spPr>
            <a:ln w="3175">
              <a:solidFill>
                <a:schemeClr val="bg1">
                  <a:lumMod val="85000"/>
                </a:schemeClr>
              </a:solidFill>
            </a:ln>
          </c:spPr>
        </c:majorGridlines>
        <c:numFmt formatCode="0.00" sourceLinked="0"/>
        <c:majorTickMark val="in"/>
        <c:minorTickMark val="none"/>
        <c:tickLblPos val="nextTo"/>
        <c:spPr>
          <a:ln w="6350">
            <a:solidFill>
              <a:schemeClr val="bg1">
                <a:lumMod val="50000"/>
              </a:schemeClr>
            </a:solidFill>
          </a:ln>
        </c:spPr>
        <c:txPr>
          <a:bodyPr rot="0" vert="horz"/>
          <a:lstStyle/>
          <a:p>
            <a:pPr>
              <a:defRPr>
                <a:solidFill>
                  <a:sysClr val="windowText" lastClr="000000"/>
                </a:solidFill>
              </a:defRPr>
            </a:pPr>
            <a:endParaRPr lang="bg-BG"/>
          </a:p>
        </c:txPr>
        <c:crossAx val="175129344"/>
        <c:crosses val="autoZero"/>
        <c:crossBetween val="between"/>
      </c:valAx>
      <c:catAx>
        <c:axId val="175176704"/>
        <c:scaling>
          <c:orientation val="minMax"/>
        </c:scaling>
        <c:delete val="1"/>
        <c:axPos val="b"/>
        <c:numFmt formatCode="General" sourceLinked="1"/>
        <c:majorTickMark val="out"/>
        <c:minorTickMark val="none"/>
        <c:tickLblPos val="none"/>
        <c:crossAx val="175661056"/>
        <c:crosses val="autoZero"/>
        <c:auto val="0"/>
        <c:lblAlgn val="ctr"/>
        <c:lblOffset val="100"/>
        <c:noMultiLvlLbl val="0"/>
      </c:catAx>
      <c:valAx>
        <c:axId val="175661056"/>
        <c:scaling>
          <c:orientation val="minMax"/>
          <c:max val="0.82000000000000006"/>
          <c:min val="0.52"/>
        </c:scaling>
        <c:delete val="0"/>
        <c:axPos val="r"/>
        <c:numFmt formatCode="0.00" sourceLinked="0"/>
        <c:majorTickMark val="in"/>
        <c:minorTickMark val="none"/>
        <c:tickLblPos val="nextTo"/>
        <c:spPr>
          <a:ln w="6350">
            <a:solidFill>
              <a:schemeClr val="bg1">
                <a:lumMod val="50000"/>
              </a:schemeClr>
            </a:solidFill>
          </a:ln>
        </c:spPr>
        <c:txPr>
          <a:bodyPr rot="0" vert="horz"/>
          <a:lstStyle/>
          <a:p>
            <a:pPr>
              <a:defRPr/>
            </a:pPr>
            <a:endParaRPr lang="bg-BG"/>
          </a:p>
        </c:txPr>
        <c:crossAx val="175176704"/>
        <c:crosses val="max"/>
        <c:crossBetween val="between"/>
        <c:majorUnit val="5.000000000000001E-2"/>
      </c:valAx>
    </c:plotArea>
    <c:legend>
      <c:legendPos val="r"/>
      <c:layout>
        <c:manualLayout>
          <c:xMode val="edge"/>
          <c:yMode val="edge"/>
          <c:x val="4.2028508494313782E-4"/>
          <c:y val="0.90109222833632285"/>
          <c:w val="0.9975464803234001"/>
          <c:h val="9.4387255647098156E-2"/>
        </c:manualLayout>
      </c:layout>
      <c:overlay val="0"/>
    </c:legend>
    <c:plotVisOnly val="1"/>
    <c:dispBlanksAs val="gap"/>
    <c:showDLblsOverMax val="0"/>
  </c:chart>
  <c:spPr>
    <a:ln>
      <a:noFill/>
    </a:ln>
  </c:spPr>
  <c:txPr>
    <a:bodyPr/>
    <a:lstStyle/>
    <a:p>
      <a:pPr>
        <a:defRPr sz="900" b="0" i="0" u="none" strike="noStrike" baseline="0">
          <a:solidFill>
            <a:sysClr val="windowText" lastClr="000000"/>
          </a:solidFill>
          <a:latin typeface="+mn-lt"/>
          <a:ea typeface="Calibri"/>
          <a:cs typeface="Calibri"/>
        </a:defRPr>
      </a:pPr>
      <a:endParaRPr lang="bg-BG"/>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9957721657449931E-2"/>
          <c:y val="2.7910687071374143E-2"/>
          <c:w val="0.93393570566633988"/>
          <c:h val="0.72044465963931925"/>
        </c:manualLayout>
      </c:layout>
      <c:lineChart>
        <c:grouping val="standard"/>
        <c:varyColors val="0"/>
        <c:ser>
          <c:idx val="0"/>
          <c:order val="0"/>
          <c:tx>
            <c:strRef>
              <c:f>reer!$D$2</c:f>
              <c:strCache>
                <c:ptCount val="1"/>
                <c:pt idx="0">
                  <c:v>ИПЦ</c:v>
                </c:pt>
              </c:strCache>
            </c:strRef>
          </c:tx>
          <c:spPr>
            <a:ln w="25400" cap="rnd" cmpd="sng" algn="ctr">
              <a:solidFill>
                <a:schemeClr val="bg2">
                  <a:lumMod val="75000"/>
                </a:schemeClr>
              </a:solidFill>
              <a:prstDash val="solid"/>
              <a:round/>
            </a:ln>
            <a:effectLst/>
          </c:spPr>
          <c:marker>
            <c:symbol val="none"/>
          </c:marker>
          <c:cat>
            <c:multiLvlStrRef>
              <c:f>reer!$A$71:$B$118</c:f>
              <c:multiLvlStrCache>
                <c:ptCount val="48"/>
                <c:lvl>
                  <c:pt idx="0">
                    <c:v> </c:v>
                  </c:pt>
                  <c:pt idx="1">
                    <c:v> </c:v>
                  </c:pt>
                  <c:pt idx="2">
                    <c:v> </c:v>
                  </c:pt>
                  <c:pt idx="3">
                    <c:v> </c:v>
                  </c:pt>
                  <c:pt idx="4">
                    <c:v> </c:v>
                  </c:pt>
                  <c:pt idx="5">
                    <c:v> </c:v>
                  </c:pt>
                  <c:pt idx="6">
                    <c:v> </c:v>
                  </c:pt>
                  <c:pt idx="7">
                    <c:v> </c:v>
                  </c:pt>
                  <c:pt idx="8">
                    <c:v> </c:v>
                  </c:pt>
                  <c:pt idx="9">
                    <c:v> </c:v>
                  </c:pt>
                  <c:pt idx="10">
                    <c:v> </c:v>
                  </c:pt>
                  <c:pt idx="11">
                    <c:v> </c:v>
                  </c:pt>
                  <c:pt idx="12">
                    <c:v> </c:v>
                  </c:pt>
                  <c:pt idx="13">
                    <c:v> </c:v>
                  </c:pt>
                  <c:pt idx="14">
                    <c:v> </c:v>
                  </c:pt>
                  <c:pt idx="15">
                    <c:v> </c:v>
                  </c:pt>
                  <c:pt idx="16">
                    <c:v> </c:v>
                  </c:pt>
                  <c:pt idx="17">
                    <c:v> </c:v>
                  </c:pt>
                  <c:pt idx="18">
                    <c:v> </c:v>
                  </c:pt>
                  <c:pt idx="20">
                    <c:v> </c:v>
                  </c:pt>
                  <c:pt idx="21">
                    <c:v> </c:v>
                  </c:pt>
                  <c:pt idx="22">
                    <c:v> </c:v>
                  </c:pt>
                  <c:pt idx="23">
                    <c:v> </c:v>
                  </c:pt>
                  <c:pt idx="24">
                    <c:v> </c:v>
                  </c:pt>
                  <c:pt idx="25">
                    <c:v> </c:v>
                  </c:pt>
                  <c:pt idx="26">
                    <c:v> </c:v>
                  </c:pt>
                  <c:pt idx="27">
                    <c:v> </c:v>
                  </c:pt>
                  <c:pt idx="40">
                    <c:v> </c:v>
                  </c:pt>
                  <c:pt idx="41">
                    <c:v> </c:v>
                  </c:pt>
                  <c:pt idx="42">
                    <c:v> </c:v>
                  </c:pt>
                  <c:pt idx="43">
                    <c:v> </c:v>
                  </c:pt>
                  <c:pt idx="44">
                    <c:v> </c:v>
                  </c:pt>
                  <c:pt idx="45">
                    <c:v> </c:v>
                  </c:pt>
                  <c:pt idx="46">
                    <c:v> </c:v>
                  </c:pt>
                  <c:pt idx="47">
                    <c:v> </c:v>
                  </c:pt>
                </c:lvl>
                <c:lvl>
                  <c:pt idx="0">
                    <c:v>11</c:v>
                  </c:pt>
                  <c:pt idx="4">
                    <c:v>12</c:v>
                  </c:pt>
                  <c:pt idx="8">
                    <c:v>13</c:v>
                  </c:pt>
                  <c:pt idx="12">
                    <c:v>14</c:v>
                  </c:pt>
                  <c:pt idx="16">
                    <c:v>15</c:v>
                  </c:pt>
                  <c:pt idx="20">
                    <c:v>16</c:v>
                  </c:pt>
                  <c:pt idx="24">
                    <c:v>17</c:v>
                  </c:pt>
                  <c:pt idx="28">
                    <c:v>18</c:v>
                  </c:pt>
                  <c:pt idx="32">
                    <c:v>19</c:v>
                  </c:pt>
                  <c:pt idx="36">
                    <c:v>20</c:v>
                  </c:pt>
                  <c:pt idx="40">
                    <c:v>21</c:v>
                  </c:pt>
                  <c:pt idx="44">
                    <c:v>22</c:v>
                  </c:pt>
                </c:lvl>
              </c:multiLvlStrCache>
            </c:multiLvlStrRef>
          </c:cat>
          <c:val>
            <c:numRef>
              <c:f>reer!$D$71:$D$118</c:f>
              <c:numCache>
                <c:formatCode>0.00</c:formatCode>
                <c:ptCount val="48"/>
                <c:pt idx="0">
                  <c:v>105.53901999999999</c:v>
                </c:pt>
                <c:pt idx="1">
                  <c:v>104.98399000000001</c:v>
                </c:pt>
                <c:pt idx="2">
                  <c:v>106.02276000000001</c:v>
                </c:pt>
                <c:pt idx="3">
                  <c:v>105.30597</c:v>
                </c:pt>
                <c:pt idx="4">
                  <c:v>104.67022</c:v>
                </c:pt>
                <c:pt idx="5">
                  <c:v>103.43504</c:v>
                </c:pt>
                <c:pt idx="6">
                  <c:v>104.04058000000001</c:v>
                </c:pt>
                <c:pt idx="7">
                  <c:v>104.16110999999999</c:v>
                </c:pt>
                <c:pt idx="8">
                  <c:v>105.15976999999999</c:v>
                </c:pt>
                <c:pt idx="9">
                  <c:v>103.90611</c:v>
                </c:pt>
                <c:pt idx="10">
                  <c:v>104.76626</c:v>
                </c:pt>
                <c:pt idx="11">
                  <c:v>105.21447000000001</c:v>
                </c:pt>
                <c:pt idx="12">
                  <c:v>105.72664</c:v>
                </c:pt>
                <c:pt idx="13">
                  <c:v>103.36911000000001</c:v>
                </c:pt>
                <c:pt idx="14">
                  <c:v>102.98569999999999</c:v>
                </c:pt>
                <c:pt idx="15">
                  <c:v>101.85927</c:v>
                </c:pt>
                <c:pt idx="16">
                  <c:v>100.27582</c:v>
                </c:pt>
                <c:pt idx="17">
                  <c:v>99.528229999999994</c:v>
                </c:pt>
                <c:pt idx="18">
                  <c:v>100.57528000000001</c:v>
                </c:pt>
                <c:pt idx="19">
                  <c:v>99.624520000000004</c:v>
                </c:pt>
                <c:pt idx="20">
                  <c:v>100.18714</c:v>
                </c:pt>
                <c:pt idx="21">
                  <c:v>98.530159999999995</c:v>
                </c:pt>
                <c:pt idx="22">
                  <c:v>99.369990000000001</c:v>
                </c:pt>
                <c:pt idx="23">
                  <c:v>99.040469999999999</c:v>
                </c:pt>
                <c:pt idx="24">
                  <c:v>100.26317</c:v>
                </c:pt>
                <c:pt idx="25">
                  <c:v>99.327640000000002</c:v>
                </c:pt>
                <c:pt idx="26">
                  <c:v>100.85639999999999</c:v>
                </c:pt>
                <c:pt idx="27">
                  <c:v>101.44379000000001</c:v>
                </c:pt>
                <c:pt idx="28">
                  <c:v>102.75847</c:v>
                </c:pt>
                <c:pt idx="29">
                  <c:v>102.61915</c:v>
                </c:pt>
                <c:pt idx="30">
                  <c:v>105.55906</c:v>
                </c:pt>
                <c:pt idx="31">
                  <c:v>103.95211999999999</c:v>
                </c:pt>
                <c:pt idx="32">
                  <c:v>104.19887</c:v>
                </c:pt>
                <c:pt idx="33">
                  <c:v>104.10746</c:v>
                </c:pt>
                <c:pt idx="34">
                  <c:v>104.66036</c:v>
                </c:pt>
                <c:pt idx="35">
                  <c:v>103.9982</c:v>
                </c:pt>
                <c:pt idx="36">
                  <c:v>105.55158</c:v>
                </c:pt>
                <c:pt idx="37">
                  <c:v>105.44607999999999</c:v>
                </c:pt>
                <c:pt idx="38">
                  <c:v>107.3366</c:v>
                </c:pt>
                <c:pt idx="39">
                  <c:v>107.69447</c:v>
                </c:pt>
                <c:pt idx="40">
                  <c:v>106.96796000000001</c:v>
                </c:pt>
                <c:pt idx="41">
                  <c:v>107.32052</c:v>
                </c:pt>
                <c:pt idx="42">
                  <c:v>107.27663</c:v>
                </c:pt>
                <c:pt idx="43">
                  <c:v>109.25451</c:v>
                </c:pt>
                <c:pt idx="44">
                  <c:v>110.09102</c:v>
                </c:pt>
                <c:pt idx="45">
                  <c:v>111.24203</c:v>
                </c:pt>
                <c:pt idx="46">
                  <c:v>111.84696</c:v>
                </c:pt>
                <c:pt idx="47">
                  <c:v>112.02337</c:v>
                </c:pt>
              </c:numCache>
            </c:numRef>
          </c:val>
          <c:smooth val="0"/>
          <c:extLst>
            <c:ext xmlns:c16="http://schemas.microsoft.com/office/drawing/2014/chart" uri="{C3380CC4-5D6E-409C-BE32-E72D297353CC}">
              <c16:uniqueId val="{00000000-B4B9-4FF3-A0FE-39696D277B5A}"/>
            </c:ext>
          </c:extLst>
        </c:ser>
        <c:ser>
          <c:idx val="1"/>
          <c:order val="1"/>
          <c:tx>
            <c:strRef>
              <c:f>reer!$E$2</c:f>
              <c:strCache>
                <c:ptCount val="1"/>
                <c:pt idx="0">
                  <c:v>НРТЕП*</c:v>
                </c:pt>
              </c:strCache>
            </c:strRef>
          </c:tx>
          <c:spPr>
            <a:ln w="25400" cap="rnd" cmpd="sng" algn="ctr">
              <a:solidFill>
                <a:schemeClr val="accent2"/>
              </a:solidFill>
              <a:prstDash val="solid"/>
              <a:round/>
            </a:ln>
            <a:effectLst/>
          </c:spPr>
          <c:marker>
            <c:symbol val="none"/>
          </c:marker>
          <c:cat>
            <c:multiLvlStrRef>
              <c:f>reer!$A$71:$B$118</c:f>
              <c:multiLvlStrCache>
                <c:ptCount val="48"/>
                <c:lvl>
                  <c:pt idx="0">
                    <c:v> </c:v>
                  </c:pt>
                  <c:pt idx="1">
                    <c:v> </c:v>
                  </c:pt>
                  <c:pt idx="2">
                    <c:v> </c:v>
                  </c:pt>
                  <c:pt idx="3">
                    <c:v> </c:v>
                  </c:pt>
                  <c:pt idx="4">
                    <c:v> </c:v>
                  </c:pt>
                  <c:pt idx="5">
                    <c:v> </c:v>
                  </c:pt>
                  <c:pt idx="6">
                    <c:v> </c:v>
                  </c:pt>
                  <c:pt idx="7">
                    <c:v> </c:v>
                  </c:pt>
                  <c:pt idx="8">
                    <c:v> </c:v>
                  </c:pt>
                  <c:pt idx="9">
                    <c:v> </c:v>
                  </c:pt>
                  <c:pt idx="10">
                    <c:v> </c:v>
                  </c:pt>
                  <c:pt idx="11">
                    <c:v> </c:v>
                  </c:pt>
                  <c:pt idx="12">
                    <c:v> </c:v>
                  </c:pt>
                  <c:pt idx="13">
                    <c:v> </c:v>
                  </c:pt>
                  <c:pt idx="14">
                    <c:v> </c:v>
                  </c:pt>
                  <c:pt idx="15">
                    <c:v> </c:v>
                  </c:pt>
                  <c:pt idx="16">
                    <c:v> </c:v>
                  </c:pt>
                  <c:pt idx="17">
                    <c:v> </c:v>
                  </c:pt>
                  <c:pt idx="18">
                    <c:v> </c:v>
                  </c:pt>
                  <c:pt idx="20">
                    <c:v> </c:v>
                  </c:pt>
                  <c:pt idx="21">
                    <c:v> </c:v>
                  </c:pt>
                  <c:pt idx="22">
                    <c:v> </c:v>
                  </c:pt>
                  <c:pt idx="23">
                    <c:v> </c:v>
                  </c:pt>
                  <c:pt idx="24">
                    <c:v> </c:v>
                  </c:pt>
                  <c:pt idx="25">
                    <c:v> </c:v>
                  </c:pt>
                  <c:pt idx="26">
                    <c:v> </c:v>
                  </c:pt>
                  <c:pt idx="27">
                    <c:v> </c:v>
                  </c:pt>
                  <c:pt idx="40">
                    <c:v> </c:v>
                  </c:pt>
                  <c:pt idx="41">
                    <c:v> </c:v>
                  </c:pt>
                  <c:pt idx="42">
                    <c:v> </c:v>
                  </c:pt>
                  <c:pt idx="43">
                    <c:v> </c:v>
                  </c:pt>
                  <c:pt idx="44">
                    <c:v> </c:v>
                  </c:pt>
                  <c:pt idx="45">
                    <c:v> </c:v>
                  </c:pt>
                  <c:pt idx="46">
                    <c:v> </c:v>
                  </c:pt>
                  <c:pt idx="47">
                    <c:v> </c:v>
                  </c:pt>
                </c:lvl>
                <c:lvl>
                  <c:pt idx="0">
                    <c:v>11</c:v>
                  </c:pt>
                  <c:pt idx="4">
                    <c:v>12</c:v>
                  </c:pt>
                  <c:pt idx="8">
                    <c:v>13</c:v>
                  </c:pt>
                  <c:pt idx="12">
                    <c:v>14</c:v>
                  </c:pt>
                  <c:pt idx="16">
                    <c:v>15</c:v>
                  </c:pt>
                  <c:pt idx="20">
                    <c:v>16</c:v>
                  </c:pt>
                  <c:pt idx="24">
                    <c:v>17</c:v>
                  </c:pt>
                  <c:pt idx="28">
                    <c:v>18</c:v>
                  </c:pt>
                  <c:pt idx="32">
                    <c:v>19</c:v>
                  </c:pt>
                  <c:pt idx="36">
                    <c:v>20</c:v>
                  </c:pt>
                  <c:pt idx="40">
                    <c:v>21</c:v>
                  </c:pt>
                  <c:pt idx="44">
                    <c:v>22</c:v>
                  </c:pt>
                </c:lvl>
              </c:multiLvlStrCache>
            </c:multiLvlStrRef>
          </c:cat>
          <c:val>
            <c:numRef>
              <c:f>reer!$E$71:$E$118</c:f>
              <c:numCache>
                <c:formatCode>0.00</c:formatCode>
                <c:ptCount val="48"/>
                <c:pt idx="0">
                  <c:v>84.245819999999995</c:v>
                </c:pt>
                <c:pt idx="1">
                  <c:v>85.058059999999998</c:v>
                </c:pt>
                <c:pt idx="2">
                  <c:v>85.715389999999999</c:v>
                </c:pt>
                <c:pt idx="3">
                  <c:v>85.831530000000001</c:v>
                </c:pt>
                <c:pt idx="4">
                  <c:v>84.931190000000001</c:v>
                </c:pt>
                <c:pt idx="5">
                  <c:v>85.218869999999995</c:v>
                </c:pt>
                <c:pt idx="6">
                  <c:v>85.754660000000001</c:v>
                </c:pt>
                <c:pt idx="7">
                  <c:v>88.244609999999994</c:v>
                </c:pt>
                <c:pt idx="8">
                  <c:v>91.349609999999998</c:v>
                </c:pt>
                <c:pt idx="9">
                  <c:v>93.70017</c:v>
                </c:pt>
                <c:pt idx="10">
                  <c:v>96.31456</c:v>
                </c:pt>
                <c:pt idx="11">
                  <c:v>98.093029999999999</c:v>
                </c:pt>
                <c:pt idx="12">
                  <c:v>99.797849999999997</c:v>
                </c:pt>
                <c:pt idx="13">
                  <c:v>99.607730000000004</c:v>
                </c:pt>
                <c:pt idx="14">
                  <c:v>99.702669999999998</c:v>
                </c:pt>
                <c:pt idx="15">
                  <c:v>100.03664000000001</c:v>
                </c:pt>
                <c:pt idx="16">
                  <c:v>99.244519999999994</c:v>
                </c:pt>
                <c:pt idx="17">
                  <c:v>99.723690000000005</c:v>
                </c:pt>
                <c:pt idx="18">
                  <c:v>100.76887000000001</c:v>
                </c:pt>
                <c:pt idx="19">
                  <c:v>100.26948</c:v>
                </c:pt>
                <c:pt idx="20">
                  <c:v>100.23484999999999</c:v>
                </c:pt>
                <c:pt idx="21">
                  <c:v>100.526</c:v>
                </c:pt>
                <c:pt idx="22">
                  <c:v>101.69283</c:v>
                </c:pt>
                <c:pt idx="23">
                  <c:v>104.32595999999999</c:v>
                </c:pt>
                <c:pt idx="24">
                  <c:v>107.71326999999999</c:v>
                </c:pt>
                <c:pt idx="25">
                  <c:v>110.41261</c:v>
                </c:pt>
                <c:pt idx="26">
                  <c:v>113.69445</c:v>
                </c:pt>
                <c:pt idx="27">
                  <c:v>116.11566000000001</c:v>
                </c:pt>
                <c:pt idx="28">
                  <c:v>117.85202</c:v>
                </c:pt>
                <c:pt idx="29">
                  <c:v>119.24831</c:v>
                </c:pt>
                <c:pt idx="30">
                  <c:v>121.69345</c:v>
                </c:pt>
                <c:pt idx="31">
                  <c:v>120.41753</c:v>
                </c:pt>
                <c:pt idx="32">
                  <c:v>119.218</c:v>
                </c:pt>
                <c:pt idx="33">
                  <c:v>119.69123999999999</c:v>
                </c:pt>
                <c:pt idx="34">
                  <c:v>119.72055</c:v>
                </c:pt>
                <c:pt idx="35">
                  <c:v>120.84396</c:v>
                </c:pt>
                <c:pt idx="36">
                  <c:v>123.11877</c:v>
                </c:pt>
                <c:pt idx="37">
                  <c:v>126.28308</c:v>
                </c:pt>
                <c:pt idx="38">
                  <c:v>128.90720999999999</c:v>
                </c:pt>
                <c:pt idx="39">
                  <c:v>130.77512999999999</c:v>
                </c:pt>
                <c:pt idx="40">
                  <c:v>130.29087000000001</c:v>
                </c:pt>
                <c:pt idx="41">
                  <c:v>132.05805000000001</c:v>
                </c:pt>
                <c:pt idx="42">
                  <c:v>132.79408000000001</c:v>
                </c:pt>
                <c:pt idx="43">
                  <c:v>136.70406</c:v>
                </c:pt>
                <c:pt idx="44">
                  <c:v>140.63385</c:v>
                </c:pt>
                <c:pt idx="45">
                  <c:v>142.76166000000001</c:v>
                </c:pt>
                <c:pt idx="46">
                  <c:v>143.81792999999999</c:v>
                </c:pt>
                <c:pt idx="47">
                  <c:v>144.9298</c:v>
                </c:pt>
              </c:numCache>
            </c:numRef>
          </c:val>
          <c:smooth val="0"/>
          <c:extLst>
            <c:ext xmlns:c16="http://schemas.microsoft.com/office/drawing/2014/chart" uri="{C3380CC4-5D6E-409C-BE32-E72D297353CC}">
              <c16:uniqueId val="{00000001-B4B9-4FF3-A0FE-39696D277B5A}"/>
            </c:ext>
          </c:extLst>
        </c:ser>
        <c:ser>
          <c:idx val="2"/>
          <c:order val="2"/>
          <c:tx>
            <c:strRef>
              <c:f>reer!$M$2</c:f>
              <c:strCache>
                <c:ptCount val="1"/>
                <c:pt idx="0">
                  <c:v>НЕВК</c:v>
                </c:pt>
              </c:strCache>
            </c:strRef>
          </c:tx>
          <c:spPr>
            <a:ln w="25400" cap="rnd" cmpd="sng" algn="ctr">
              <a:solidFill>
                <a:schemeClr val="accent5"/>
              </a:solidFill>
              <a:prstDash val="solid"/>
              <a:round/>
            </a:ln>
            <a:effectLst/>
          </c:spPr>
          <c:marker>
            <c:symbol val="none"/>
          </c:marker>
          <c:cat>
            <c:multiLvlStrRef>
              <c:f>reer!$A$71:$B$118</c:f>
              <c:multiLvlStrCache>
                <c:ptCount val="48"/>
                <c:lvl>
                  <c:pt idx="0">
                    <c:v> </c:v>
                  </c:pt>
                  <c:pt idx="1">
                    <c:v> </c:v>
                  </c:pt>
                  <c:pt idx="2">
                    <c:v> </c:v>
                  </c:pt>
                  <c:pt idx="3">
                    <c:v> </c:v>
                  </c:pt>
                  <c:pt idx="4">
                    <c:v> </c:v>
                  </c:pt>
                  <c:pt idx="5">
                    <c:v> </c:v>
                  </c:pt>
                  <c:pt idx="6">
                    <c:v> </c:v>
                  </c:pt>
                  <c:pt idx="7">
                    <c:v> </c:v>
                  </c:pt>
                  <c:pt idx="8">
                    <c:v> </c:v>
                  </c:pt>
                  <c:pt idx="9">
                    <c:v> </c:v>
                  </c:pt>
                  <c:pt idx="10">
                    <c:v> </c:v>
                  </c:pt>
                  <c:pt idx="11">
                    <c:v> </c:v>
                  </c:pt>
                  <c:pt idx="12">
                    <c:v> </c:v>
                  </c:pt>
                  <c:pt idx="13">
                    <c:v> </c:v>
                  </c:pt>
                  <c:pt idx="14">
                    <c:v> </c:v>
                  </c:pt>
                  <c:pt idx="15">
                    <c:v> </c:v>
                  </c:pt>
                  <c:pt idx="16">
                    <c:v> </c:v>
                  </c:pt>
                  <c:pt idx="17">
                    <c:v> </c:v>
                  </c:pt>
                  <c:pt idx="18">
                    <c:v> </c:v>
                  </c:pt>
                  <c:pt idx="20">
                    <c:v> </c:v>
                  </c:pt>
                  <c:pt idx="21">
                    <c:v> </c:v>
                  </c:pt>
                  <c:pt idx="22">
                    <c:v> </c:v>
                  </c:pt>
                  <c:pt idx="23">
                    <c:v> </c:v>
                  </c:pt>
                  <c:pt idx="24">
                    <c:v> </c:v>
                  </c:pt>
                  <c:pt idx="25">
                    <c:v> </c:v>
                  </c:pt>
                  <c:pt idx="26">
                    <c:v> </c:v>
                  </c:pt>
                  <c:pt idx="27">
                    <c:v> </c:v>
                  </c:pt>
                  <c:pt idx="40">
                    <c:v> </c:v>
                  </c:pt>
                  <c:pt idx="41">
                    <c:v> </c:v>
                  </c:pt>
                  <c:pt idx="42">
                    <c:v> </c:v>
                  </c:pt>
                  <c:pt idx="43">
                    <c:v> </c:v>
                  </c:pt>
                  <c:pt idx="44">
                    <c:v> </c:v>
                  </c:pt>
                  <c:pt idx="45">
                    <c:v> </c:v>
                  </c:pt>
                  <c:pt idx="46">
                    <c:v> </c:v>
                  </c:pt>
                  <c:pt idx="47">
                    <c:v> </c:v>
                  </c:pt>
                </c:lvl>
                <c:lvl>
                  <c:pt idx="0">
                    <c:v>11</c:v>
                  </c:pt>
                  <c:pt idx="4">
                    <c:v>12</c:v>
                  </c:pt>
                  <c:pt idx="8">
                    <c:v>13</c:v>
                  </c:pt>
                  <c:pt idx="12">
                    <c:v>14</c:v>
                  </c:pt>
                  <c:pt idx="16">
                    <c:v>15</c:v>
                  </c:pt>
                  <c:pt idx="20">
                    <c:v>16</c:v>
                  </c:pt>
                  <c:pt idx="24">
                    <c:v>17</c:v>
                  </c:pt>
                  <c:pt idx="28">
                    <c:v>18</c:v>
                  </c:pt>
                  <c:pt idx="32">
                    <c:v>19</c:v>
                  </c:pt>
                  <c:pt idx="36">
                    <c:v>20</c:v>
                  </c:pt>
                  <c:pt idx="40">
                    <c:v>21</c:v>
                  </c:pt>
                  <c:pt idx="44">
                    <c:v>22</c:v>
                  </c:pt>
                </c:lvl>
              </c:multiLvlStrCache>
            </c:multiLvlStrRef>
          </c:cat>
          <c:val>
            <c:numRef>
              <c:f>reer!$M$71:$M$118</c:f>
              <c:numCache>
                <c:formatCode>0.00</c:formatCode>
                <c:ptCount val="48"/>
                <c:pt idx="0">
                  <c:v>97.353359999999995</c:v>
                </c:pt>
                <c:pt idx="1">
                  <c:v>98.082059999999998</c:v>
                </c:pt>
                <c:pt idx="2">
                  <c:v>98.754149999999996</c:v>
                </c:pt>
                <c:pt idx="3">
                  <c:v>98.925709999999995</c:v>
                </c:pt>
                <c:pt idx="4">
                  <c:v>97.923209999999997</c:v>
                </c:pt>
                <c:pt idx="5">
                  <c:v>97.663830000000004</c:v>
                </c:pt>
                <c:pt idx="6">
                  <c:v>96.962109999999996</c:v>
                </c:pt>
                <c:pt idx="7">
                  <c:v>97.743319999999997</c:v>
                </c:pt>
                <c:pt idx="8">
                  <c:v>98.619630000000001</c:v>
                </c:pt>
                <c:pt idx="9">
                  <c:v>99.029240000000001</c:v>
                </c:pt>
                <c:pt idx="10">
                  <c:v>100.25698</c:v>
                </c:pt>
                <c:pt idx="11">
                  <c:v>101.15161000000001</c:v>
                </c:pt>
                <c:pt idx="12">
                  <c:v>102.40051</c:v>
                </c:pt>
                <c:pt idx="13">
                  <c:v>101.69795999999999</c:v>
                </c:pt>
                <c:pt idx="14">
                  <c:v>101.1962</c:v>
                </c:pt>
                <c:pt idx="15">
                  <c:v>100.84434</c:v>
                </c:pt>
                <c:pt idx="16">
                  <c:v>99.344309999999993</c:v>
                </c:pt>
                <c:pt idx="17">
                  <c:v>99.47587</c:v>
                </c:pt>
                <c:pt idx="18">
                  <c:v>100.59786</c:v>
                </c:pt>
                <c:pt idx="19">
                  <c:v>100.58901</c:v>
                </c:pt>
                <c:pt idx="20">
                  <c:v>101.20178</c:v>
                </c:pt>
                <c:pt idx="21">
                  <c:v>101.37742</c:v>
                </c:pt>
                <c:pt idx="22">
                  <c:v>101.5063</c:v>
                </c:pt>
                <c:pt idx="23">
                  <c:v>102.18555000000001</c:v>
                </c:pt>
                <c:pt idx="24">
                  <c:v>102.89982000000001</c:v>
                </c:pt>
                <c:pt idx="25">
                  <c:v>103.20532</c:v>
                </c:pt>
                <c:pt idx="26">
                  <c:v>104.49634</c:v>
                </c:pt>
                <c:pt idx="27">
                  <c:v>105.43051</c:v>
                </c:pt>
                <c:pt idx="28">
                  <c:v>106.21944999999999</c:v>
                </c:pt>
                <c:pt idx="29">
                  <c:v>107.13882</c:v>
                </c:pt>
                <c:pt idx="30">
                  <c:v>109.42903</c:v>
                </c:pt>
                <c:pt idx="31">
                  <c:v>108.79481</c:v>
                </c:pt>
                <c:pt idx="32">
                  <c:v>108.41656</c:v>
                </c:pt>
                <c:pt idx="33">
                  <c:v>109.04731</c:v>
                </c:pt>
                <c:pt idx="34">
                  <c:v>108.62718</c:v>
                </c:pt>
                <c:pt idx="35">
                  <c:v>108.5885</c:v>
                </c:pt>
                <c:pt idx="36">
                  <c:v>109.15158</c:v>
                </c:pt>
                <c:pt idx="37">
                  <c:v>110.75217000000001</c:v>
                </c:pt>
                <c:pt idx="38">
                  <c:v>112.24692</c:v>
                </c:pt>
                <c:pt idx="39">
                  <c:v>113.44631</c:v>
                </c:pt>
                <c:pt idx="40">
                  <c:v>112.86189</c:v>
                </c:pt>
                <c:pt idx="41">
                  <c:v>113.95361</c:v>
                </c:pt>
                <c:pt idx="42">
                  <c:v>113.70805</c:v>
                </c:pt>
                <c:pt idx="43">
                  <c:v>115.63608000000001</c:v>
                </c:pt>
                <c:pt idx="44">
                  <c:v>117.14622</c:v>
                </c:pt>
                <c:pt idx="45">
                  <c:v>117.63393000000001</c:v>
                </c:pt>
                <c:pt idx="46">
                  <c:v>117.9044</c:v>
                </c:pt>
                <c:pt idx="47">
                  <c:v>118.86189</c:v>
                </c:pt>
              </c:numCache>
            </c:numRef>
          </c:val>
          <c:smooth val="0"/>
          <c:extLst>
            <c:ext xmlns:c16="http://schemas.microsoft.com/office/drawing/2014/chart" uri="{C3380CC4-5D6E-409C-BE32-E72D297353CC}">
              <c16:uniqueId val="{00000002-B4B9-4FF3-A0FE-39696D277B5A}"/>
            </c:ext>
          </c:extLst>
        </c:ser>
        <c:dLbls>
          <c:showLegendKey val="0"/>
          <c:showVal val="0"/>
          <c:showCatName val="0"/>
          <c:showSerName val="0"/>
          <c:showPercent val="0"/>
          <c:showBubbleSize val="0"/>
        </c:dLbls>
        <c:smooth val="0"/>
        <c:axId val="249829632"/>
        <c:axId val="249839616"/>
      </c:lineChart>
      <c:catAx>
        <c:axId val="249829632"/>
        <c:scaling>
          <c:orientation val="minMax"/>
        </c:scaling>
        <c:delete val="0"/>
        <c:axPos val="b"/>
        <c:majorGridlines>
          <c:spPr>
            <a:ln w="3175" cap="flat" cmpd="sng" algn="ctr">
              <a:solidFill>
                <a:schemeClr val="bg1">
                  <a:lumMod val="85000"/>
                </a:schemeClr>
              </a:solidFill>
              <a:prstDash val="solid"/>
              <a:round/>
            </a:ln>
            <a:effectLst/>
          </c:spPr>
        </c:majorGridlines>
        <c:numFmt formatCode="General" sourceLinked="1"/>
        <c:majorTickMark val="cross"/>
        <c:minorTickMark val="none"/>
        <c:tickLblPos val="low"/>
        <c:spPr>
          <a:noFill/>
          <a:ln w="6350" cap="flat" cmpd="sng" algn="ctr">
            <a:solidFill>
              <a:schemeClr val="bg1">
                <a:lumMod val="50000"/>
              </a:schemeClr>
            </a:solidFill>
            <a:prstDash val="solid"/>
            <a:round/>
          </a:ln>
          <a:effectLst/>
        </c:spPr>
        <c:txPr>
          <a:bodyPr rot="-5400000" spcFirstLastPara="1" vertOverflow="ellipsis" wrap="square" anchor="ctr" anchorCtr="1"/>
          <a:lstStyle/>
          <a:p>
            <a:pPr>
              <a:defRPr sz="900" b="0" i="0" u="none" strike="noStrike" kern="1200" baseline="0">
                <a:solidFill>
                  <a:schemeClr val="tx1"/>
                </a:solidFill>
                <a:latin typeface="+mn-lt"/>
                <a:ea typeface="+mn-ea"/>
                <a:cs typeface="+mn-cs"/>
              </a:defRPr>
            </a:pPr>
            <a:endParaRPr lang="bg-BG"/>
          </a:p>
        </c:txPr>
        <c:crossAx val="249839616"/>
        <c:crossesAt val="100"/>
        <c:auto val="1"/>
        <c:lblAlgn val="ctr"/>
        <c:lblOffset val="0"/>
        <c:tickMarkSkip val="1"/>
        <c:noMultiLvlLbl val="0"/>
      </c:catAx>
      <c:valAx>
        <c:axId val="249839616"/>
        <c:scaling>
          <c:orientation val="minMax"/>
          <c:max val="160"/>
          <c:min val="60"/>
        </c:scaling>
        <c:delete val="0"/>
        <c:axPos val="l"/>
        <c:majorGridlines>
          <c:spPr>
            <a:ln w="3175" cap="flat" cmpd="sng" algn="ctr">
              <a:solidFill>
                <a:schemeClr val="bg1">
                  <a:lumMod val="85000"/>
                </a:schemeClr>
              </a:solidFill>
              <a:prstDash val="solid"/>
              <a:round/>
            </a:ln>
            <a:effectLst/>
          </c:spPr>
        </c:majorGridlines>
        <c:numFmt formatCode="0" sourceLinked="0"/>
        <c:majorTickMark val="in"/>
        <c:minorTickMark val="none"/>
        <c:tickLblPos val="nextTo"/>
        <c:spPr>
          <a:noFill/>
          <a:ln w="6350" cap="flat" cmpd="sng" algn="ctr">
            <a:solidFill>
              <a:schemeClr val="bg1">
                <a:lumMod val="50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bg-BG"/>
          </a:p>
        </c:txPr>
        <c:crossAx val="249829632"/>
        <c:crosses val="autoZero"/>
        <c:crossBetween val="between"/>
        <c:majorUnit val="20"/>
      </c:valAx>
      <c:spPr>
        <a:solidFill>
          <a:schemeClr val="bg1"/>
        </a:solidFill>
        <a:ln>
          <a:noFill/>
        </a:ln>
        <a:effectLst/>
      </c:spPr>
    </c:plotArea>
    <c:legend>
      <c:legendPos val="r"/>
      <c:layout>
        <c:manualLayout>
          <c:xMode val="edge"/>
          <c:yMode val="edge"/>
          <c:x val="6.3734731614997972E-2"/>
          <c:y val="0.89745245427990861"/>
          <c:w val="0.89730599275972533"/>
          <c:h val="9.3743649987299976E-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bg-BG"/>
        </a:p>
      </c:txPr>
    </c:legend>
    <c:plotVisOnly val="1"/>
    <c:dispBlanksAs val="gap"/>
    <c:showDLblsOverMax val="0"/>
  </c:chart>
  <c:spPr>
    <a:solidFill>
      <a:schemeClr val="bg1"/>
    </a:solidFill>
    <a:ln w="9525" cap="flat" cmpd="sng" algn="ctr">
      <a:noFill/>
      <a:prstDash val="solid"/>
      <a:round/>
    </a:ln>
    <a:effectLst/>
  </c:spPr>
  <c:txPr>
    <a:bodyPr/>
    <a:lstStyle/>
    <a:p>
      <a:pPr>
        <a:defRPr sz="900"/>
      </a:pPr>
      <a:endParaRPr lang="bg-BG"/>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439252011910862E-2"/>
          <c:y val="2.5113506477012954E-2"/>
          <c:w val="0.92102405611646943"/>
          <c:h val="0.74536568135636272"/>
        </c:manualLayout>
      </c:layout>
      <c:barChart>
        <c:barDir val="col"/>
        <c:grouping val="stacked"/>
        <c:varyColors val="0"/>
        <c:ser>
          <c:idx val="0"/>
          <c:order val="0"/>
          <c:tx>
            <c:strRef>
              <c:f>'Текуща сметка и ПЧИ'!$A$4</c:f>
              <c:strCache>
                <c:ptCount val="1"/>
                <c:pt idx="0">
                  <c:v>Търговски баланс</c:v>
                </c:pt>
              </c:strCache>
            </c:strRef>
          </c:tx>
          <c:spPr>
            <a:solidFill>
              <a:srgbClr val="B4DCFA">
                <a:lumMod val="75000"/>
                <a:alpha val="88000"/>
              </a:srgbClr>
            </a:solidFill>
            <a:ln w="3175">
              <a:solidFill>
                <a:sysClr val="window" lastClr="FFFFFF"/>
              </a:solidFill>
            </a:ln>
          </c:spPr>
          <c:invertIfNegative val="0"/>
          <c:cat>
            <c:numRef>
              <c:f>'Текуща сметка и ПЧИ'!$F$3:$N$3</c:f>
              <c:numCache>
                <c:formatCode>General</c:formatCode>
                <c:ptCount val="9"/>
                <c:pt idx="0">
                  <c:v>2018</c:v>
                </c:pt>
                <c:pt idx="1">
                  <c:v>2019</c:v>
                </c:pt>
                <c:pt idx="2">
                  <c:v>2020</c:v>
                </c:pt>
                <c:pt idx="3">
                  <c:v>2021</c:v>
                </c:pt>
                <c:pt idx="4">
                  <c:v>2022</c:v>
                </c:pt>
                <c:pt idx="5">
                  <c:v>2023</c:v>
                </c:pt>
                <c:pt idx="6">
                  <c:v>2024</c:v>
                </c:pt>
                <c:pt idx="7">
                  <c:v>2025</c:v>
                </c:pt>
                <c:pt idx="8">
                  <c:v>2026</c:v>
                </c:pt>
              </c:numCache>
            </c:numRef>
          </c:cat>
          <c:val>
            <c:numRef>
              <c:f>'Текуща сметка и ПЧИ'!$F$4:$N$4</c:f>
              <c:numCache>
                <c:formatCode>0.0</c:formatCode>
                <c:ptCount val="9"/>
                <c:pt idx="0">
                  <c:v>-4.8134052236466776</c:v>
                </c:pt>
                <c:pt idx="1">
                  <c:v>-4.7245952967807137</c:v>
                </c:pt>
                <c:pt idx="2">
                  <c:v>-3.1492079726783224</c:v>
                </c:pt>
                <c:pt idx="3">
                  <c:v>-4.0614221022656389</c:v>
                </c:pt>
                <c:pt idx="4">
                  <c:v>-5.7822067136418172</c:v>
                </c:pt>
                <c:pt idx="5">
                  <c:v>-5.6206051009163938</c:v>
                </c:pt>
                <c:pt idx="6">
                  <c:v>-6.905309287322245</c:v>
                </c:pt>
                <c:pt idx="7">
                  <c:v>-7.0207622403431413</c:v>
                </c:pt>
                <c:pt idx="8">
                  <c:v>-7.1316154974066333</c:v>
                </c:pt>
              </c:numCache>
            </c:numRef>
          </c:val>
          <c:extLst>
            <c:ext xmlns:c16="http://schemas.microsoft.com/office/drawing/2014/chart" uri="{C3380CC4-5D6E-409C-BE32-E72D297353CC}">
              <c16:uniqueId val="{00000000-B022-4425-BA56-844B6D319137}"/>
            </c:ext>
          </c:extLst>
        </c:ser>
        <c:ser>
          <c:idx val="1"/>
          <c:order val="1"/>
          <c:tx>
            <c:strRef>
              <c:f>'Текуща сметка и ПЧИ'!$A$5</c:f>
              <c:strCache>
                <c:ptCount val="1"/>
                <c:pt idx="0">
                  <c:v>Баланс на услугите</c:v>
                </c:pt>
              </c:strCache>
            </c:strRef>
          </c:tx>
          <c:spPr>
            <a:solidFill>
              <a:srgbClr val="B4DCFA"/>
            </a:solidFill>
            <a:ln w="3175">
              <a:solidFill>
                <a:sysClr val="window" lastClr="FFFFFF"/>
              </a:solidFill>
            </a:ln>
          </c:spPr>
          <c:invertIfNegative val="0"/>
          <c:cat>
            <c:numRef>
              <c:f>'Текуща сметка и ПЧИ'!$F$3:$N$3</c:f>
              <c:numCache>
                <c:formatCode>General</c:formatCode>
                <c:ptCount val="9"/>
                <c:pt idx="0">
                  <c:v>2018</c:v>
                </c:pt>
                <c:pt idx="1">
                  <c:v>2019</c:v>
                </c:pt>
                <c:pt idx="2">
                  <c:v>2020</c:v>
                </c:pt>
                <c:pt idx="3">
                  <c:v>2021</c:v>
                </c:pt>
                <c:pt idx="4">
                  <c:v>2022</c:v>
                </c:pt>
                <c:pt idx="5">
                  <c:v>2023</c:v>
                </c:pt>
                <c:pt idx="6">
                  <c:v>2024</c:v>
                </c:pt>
                <c:pt idx="7">
                  <c:v>2025</c:v>
                </c:pt>
                <c:pt idx="8">
                  <c:v>2026</c:v>
                </c:pt>
              </c:numCache>
            </c:numRef>
          </c:cat>
          <c:val>
            <c:numRef>
              <c:f>'Текуща сметка и ПЧИ'!$F$5:$N$5</c:f>
              <c:numCache>
                <c:formatCode>0.0</c:formatCode>
                <c:ptCount val="9"/>
                <c:pt idx="0">
                  <c:v>7.3487671450454348</c:v>
                </c:pt>
                <c:pt idx="1">
                  <c:v>7.9509806931601075</c:v>
                </c:pt>
                <c:pt idx="2">
                  <c:v>5.1091788807043574</c:v>
                </c:pt>
                <c:pt idx="3">
                  <c:v>5.7397083056195672</c:v>
                </c:pt>
                <c:pt idx="4">
                  <c:v>6.2985408310191087</c:v>
                </c:pt>
                <c:pt idx="5">
                  <c:v>6.145194141902997</c:v>
                </c:pt>
                <c:pt idx="6">
                  <c:v>6.298054390429324</c:v>
                </c:pt>
                <c:pt idx="7">
                  <c:v>6.3782196451989721</c:v>
                </c:pt>
                <c:pt idx="8">
                  <c:v>6.4972119338244401</c:v>
                </c:pt>
              </c:numCache>
            </c:numRef>
          </c:val>
          <c:extLst>
            <c:ext xmlns:c16="http://schemas.microsoft.com/office/drawing/2014/chart" uri="{C3380CC4-5D6E-409C-BE32-E72D297353CC}">
              <c16:uniqueId val="{00000001-B022-4425-BA56-844B6D319137}"/>
            </c:ext>
          </c:extLst>
        </c:ser>
        <c:ser>
          <c:idx val="2"/>
          <c:order val="2"/>
          <c:tx>
            <c:strRef>
              <c:f>'Текуща сметка и ПЧИ'!$A$6</c:f>
              <c:strCache>
                <c:ptCount val="1"/>
                <c:pt idx="0">
                  <c:v>Първичен доход</c:v>
                </c:pt>
              </c:strCache>
            </c:strRef>
          </c:tx>
          <c:spPr>
            <a:solidFill>
              <a:sysClr val="window" lastClr="FFFFFF">
                <a:lumMod val="85000"/>
              </a:sysClr>
            </a:solidFill>
            <a:ln w="3175">
              <a:solidFill>
                <a:sysClr val="window" lastClr="FFFFFF"/>
              </a:solidFill>
            </a:ln>
          </c:spPr>
          <c:invertIfNegative val="0"/>
          <c:cat>
            <c:numRef>
              <c:f>'Текуща сметка и ПЧИ'!$F$3:$N$3</c:f>
              <c:numCache>
                <c:formatCode>General</c:formatCode>
                <c:ptCount val="9"/>
                <c:pt idx="0">
                  <c:v>2018</c:v>
                </c:pt>
                <c:pt idx="1">
                  <c:v>2019</c:v>
                </c:pt>
                <c:pt idx="2">
                  <c:v>2020</c:v>
                </c:pt>
                <c:pt idx="3">
                  <c:v>2021</c:v>
                </c:pt>
                <c:pt idx="4">
                  <c:v>2022</c:v>
                </c:pt>
                <c:pt idx="5">
                  <c:v>2023</c:v>
                </c:pt>
                <c:pt idx="6">
                  <c:v>2024</c:v>
                </c:pt>
                <c:pt idx="7">
                  <c:v>2025</c:v>
                </c:pt>
                <c:pt idx="8">
                  <c:v>2026</c:v>
                </c:pt>
              </c:numCache>
            </c:numRef>
          </c:cat>
          <c:val>
            <c:numRef>
              <c:f>'Текуща сметка и ПЧИ'!$F$6:$N$6</c:f>
              <c:numCache>
                <c:formatCode>0.0</c:formatCode>
                <c:ptCount val="9"/>
                <c:pt idx="0">
                  <c:v>-4.7825551354286819</c:v>
                </c:pt>
                <c:pt idx="1">
                  <c:v>-4.2427588657804867</c:v>
                </c:pt>
                <c:pt idx="2">
                  <c:v>-3.524422805386227</c:v>
                </c:pt>
                <c:pt idx="3">
                  <c:v>-4.7054171262870979</c:v>
                </c:pt>
                <c:pt idx="4">
                  <c:v>-2.8571664805072996</c:v>
                </c:pt>
                <c:pt idx="5">
                  <c:v>-2.9871276670562077</c:v>
                </c:pt>
                <c:pt idx="6">
                  <c:v>-2.8872353662575891</c:v>
                </c:pt>
                <c:pt idx="7">
                  <c:v>-3.0075272942979208</c:v>
                </c:pt>
                <c:pt idx="8">
                  <c:v>-3.1579324941656877</c:v>
                </c:pt>
              </c:numCache>
            </c:numRef>
          </c:val>
          <c:extLst>
            <c:ext xmlns:c16="http://schemas.microsoft.com/office/drawing/2014/chart" uri="{C3380CC4-5D6E-409C-BE32-E72D297353CC}">
              <c16:uniqueId val="{00000002-B022-4425-BA56-844B6D319137}"/>
            </c:ext>
          </c:extLst>
        </c:ser>
        <c:ser>
          <c:idx val="3"/>
          <c:order val="3"/>
          <c:tx>
            <c:strRef>
              <c:f>'Текуща сметка и ПЧИ'!$A$7</c:f>
              <c:strCache>
                <c:ptCount val="1"/>
                <c:pt idx="0">
                  <c:v>Вторичен доход</c:v>
                </c:pt>
              </c:strCache>
            </c:strRef>
          </c:tx>
          <c:spPr>
            <a:solidFill>
              <a:srgbClr val="5DCEAF"/>
            </a:solidFill>
            <a:ln w="3175">
              <a:solidFill>
                <a:sysClr val="window" lastClr="FFFFFF"/>
              </a:solidFill>
            </a:ln>
          </c:spPr>
          <c:invertIfNegative val="0"/>
          <c:cat>
            <c:numRef>
              <c:f>'Текуща сметка и ПЧИ'!$F$3:$N$3</c:f>
              <c:numCache>
                <c:formatCode>General</c:formatCode>
                <c:ptCount val="9"/>
                <c:pt idx="0">
                  <c:v>2018</c:v>
                </c:pt>
                <c:pt idx="1">
                  <c:v>2019</c:v>
                </c:pt>
                <c:pt idx="2">
                  <c:v>2020</c:v>
                </c:pt>
                <c:pt idx="3">
                  <c:v>2021</c:v>
                </c:pt>
                <c:pt idx="4">
                  <c:v>2022</c:v>
                </c:pt>
                <c:pt idx="5">
                  <c:v>2023</c:v>
                </c:pt>
                <c:pt idx="6">
                  <c:v>2024</c:v>
                </c:pt>
                <c:pt idx="7">
                  <c:v>2025</c:v>
                </c:pt>
                <c:pt idx="8">
                  <c:v>2026</c:v>
                </c:pt>
              </c:numCache>
            </c:numRef>
          </c:cat>
          <c:val>
            <c:numRef>
              <c:f>'Текуща сметка и ПЧИ'!$F$7:$N$7</c:f>
              <c:numCache>
                <c:formatCode>0.0</c:formatCode>
                <c:ptCount val="9"/>
                <c:pt idx="0">
                  <c:v>3.192695886383015</c:v>
                </c:pt>
                <c:pt idx="1">
                  <c:v>2.8810102936573219</c:v>
                </c:pt>
                <c:pt idx="2">
                  <c:v>1.6039821743075655</c:v>
                </c:pt>
                <c:pt idx="3">
                  <c:v>1.1758628553765869</c:v>
                </c:pt>
                <c:pt idx="4">
                  <c:v>1.6576182103193</c:v>
                </c:pt>
                <c:pt idx="5">
                  <c:v>1.7593071295602853</c:v>
                </c:pt>
                <c:pt idx="6">
                  <c:v>1.8169330653574538</c:v>
                </c:pt>
                <c:pt idx="7">
                  <c:v>1.715400695053402</c:v>
                </c:pt>
                <c:pt idx="8">
                  <c:v>1.7864544200631591</c:v>
                </c:pt>
              </c:numCache>
            </c:numRef>
          </c:val>
          <c:extLst>
            <c:ext xmlns:c16="http://schemas.microsoft.com/office/drawing/2014/chart" uri="{C3380CC4-5D6E-409C-BE32-E72D297353CC}">
              <c16:uniqueId val="{00000003-B022-4425-BA56-844B6D319137}"/>
            </c:ext>
          </c:extLst>
        </c:ser>
        <c:dLbls>
          <c:showLegendKey val="0"/>
          <c:showVal val="0"/>
          <c:showCatName val="0"/>
          <c:showSerName val="0"/>
          <c:showPercent val="0"/>
          <c:showBubbleSize val="0"/>
        </c:dLbls>
        <c:gapWidth val="80"/>
        <c:overlap val="100"/>
        <c:axId val="79368192"/>
        <c:axId val="79369728"/>
      </c:barChart>
      <c:lineChart>
        <c:grouping val="standard"/>
        <c:varyColors val="0"/>
        <c:ser>
          <c:idx val="4"/>
          <c:order val="4"/>
          <c:tx>
            <c:strRef>
              <c:f>'Текуща сметка и ПЧИ'!$A$8</c:f>
              <c:strCache>
                <c:ptCount val="1"/>
                <c:pt idx="0">
                  <c:v>Текуща сметка</c:v>
                </c:pt>
              </c:strCache>
            </c:strRef>
          </c:tx>
          <c:spPr>
            <a:ln w="25400">
              <a:solidFill>
                <a:srgbClr val="FF8021"/>
              </a:solidFill>
            </a:ln>
          </c:spPr>
          <c:marker>
            <c:symbol val="none"/>
          </c:marker>
          <c:val>
            <c:numRef>
              <c:f>'Текуща сметка и ПЧИ'!$F$8:$N$8</c:f>
              <c:numCache>
                <c:formatCode>0.0</c:formatCode>
                <c:ptCount val="9"/>
                <c:pt idx="0">
                  <c:v>0.9455026723530886</c:v>
                </c:pt>
                <c:pt idx="1">
                  <c:v>1.8646368242562286</c:v>
                </c:pt>
                <c:pt idx="2">
                  <c:v>3.9530276947372829E-2</c:v>
                </c:pt>
                <c:pt idx="3">
                  <c:v>-1.8512680675565825</c:v>
                </c:pt>
                <c:pt idx="4">
                  <c:v>-0.68321415281070907</c:v>
                </c:pt>
                <c:pt idx="5">
                  <c:v>-0.70323149650931893</c:v>
                </c:pt>
                <c:pt idx="6">
                  <c:v>-1.6775571977930548</c:v>
                </c:pt>
                <c:pt idx="7">
                  <c:v>-1.9346691943886867</c:v>
                </c:pt>
                <c:pt idx="8">
                  <c:v>-2.0058816376847202</c:v>
                </c:pt>
              </c:numCache>
            </c:numRef>
          </c:val>
          <c:smooth val="1"/>
          <c:extLst>
            <c:ext xmlns:c16="http://schemas.microsoft.com/office/drawing/2014/chart" uri="{C3380CC4-5D6E-409C-BE32-E72D297353CC}">
              <c16:uniqueId val="{00000004-B022-4425-BA56-844B6D319137}"/>
            </c:ext>
          </c:extLst>
        </c:ser>
        <c:ser>
          <c:idx val="6"/>
          <c:order val="5"/>
          <c:tx>
            <c:strRef>
              <c:f>'Текуща сметка и ПЧИ'!$A$10</c:f>
              <c:strCache>
                <c:ptCount val="1"/>
                <c:pt idx="0">
                  <c:v>ПЧИ, пасиви</c:v>
                </c:pt>
              </c:strCache>
            </c:strRef>
          </c:tx>
          <c:spPr>
            <a:ln w="25400">
              <a:solidFill>
                <a:srgbClr val="FF8021"/>
              </a:solidFill>
              <a:prstDash val="sysDash"/>
            </a:ln>
          </c:spPr>
          <c:marker>
            <c:symbol val="none"/>
          </c:marker>
          <c:val>
            <c:numRef>
              <c:f>'Текуща сметка и ПЧИ'!$F$10:$N$10</c:f>
              <c:numCache>
                <c:formatCode>0.0</c:formatCode>
                <c:ptCount val="9"/>
                <c:pt idx="0">
                  <c:v>2.7423159694908716</c:v>
                </c:pt>
                <c:pt idx="1">
                  <c:v>3.2206649716417615</c:v>
                </c:pt>
                <c:pt idx="2">
                  <c:v>5.1167212718239021</c:v>
                </c:pt>
                <c:pt idx="3">
                  <c:v>2.9321397736836836</c:v>
                </c:pt>
                <c:pt idx="4">
                  <c:v>3.5645070018907243</c:v>
                </c:pt>
                <c:pt idx="5">
                  <c:v>3.6930222440658156</c:v>
                </c:pt>
                <c:pt idx="6">
                  <c:v>3.7588930692949671</c:v>
                </c:pt>
                <c:pt idx="7">
                  <c:v>3.7097876368594922</c:v>
                </c:pt>
                <c:pt idx="8">
                  <c:v>3.6065460923114889</c:v>
                </c:pt>
              </c:numCache>
            </c:numRef>
          </c:val>
          <c:smooth val="0"/>
          <c:extLst>
            <c:ext xmlns:c16="http://schemas.microsoft.com/office/drawing/2014/chart" uri="{C3380CC4-5D6E-409C-BE32-E72D297353CC}">
              <c16:uniqueId val="{00000005-B022-4425-BA56-844B6D319137}"/>
            </c:ext>
          </c:extLst>
        </c:ser>
        <c:dLbls>
          <c:showLegendKey val="0"/>
          <c:showVal val="0"/>
          <c:showCatName val="0"/>
          <c:showSerName val="0"/>
          <c:showPercent val="0"/>
          <c:showBubbleSize val="0"/>
        </c:dLbls>
        <c:marker val="1"/>
        <c:smooth val="0"/>
        <c:axId val="79368192"/>
        <c:axId val="79369728"/>
      </c:lineChart>
      <c:catAx>
        <c:axId val="79368192"/>
        <c:scaling>
          <c:orientation val="minMax"/>
        </c:scaling>
        <c:delete val="0"/>
        <c:axPos val="b"/>
        <c:majorGridlines>
          <c:spPr>
            <a:ln w="3175">
              <a:solidFill>
                <a:sysClr val="window" lastClr="FFFFFF">
                  <a:lumMod val="85000"/>
                </a:sysClr>
              </a:solidFill>
              <a:prstDash val="solid"/>
            </a:ln>
          </c:spPr>
        </c:majorGridlines>
        <c:numFmt formatCode="General" sourceLinked="1"/>
        <c:majorTickMark val="in"/>
        <c:minorTickMark val="none"/>
        <c:tickLblPos val="low"/>
        <c:spPr>
          <a:ln/>
        </c:spPr>
        <c:txPr>
          <a:bodyPr rot="0" vert="horz"/>
          <a:lstStyle/>
          <a:p>
            <a:pPr>
              <a:defRPr/>
            </a:pPr>
            <a:endParaRPr lang="bg-BG"/>
          </a:p>
        </c:txPr>
        <c:crossAx val="79369728"/>
        <c:crossesAt val="-15"/>
        <c:auto val="1"/>
        <c:lblAlgn val="ctr"/>
        <c:lblOffset val="0"/>
        <c:tickLblSkip val="1"/>
        <c:tickMarkSkip val="1"/>
        <c:noMultiLvlLbl val="0"/>
      </c:catAx>
      <c:valAx>
        <c:axId val="79369728"/>
        <c:scaling>
          <c:orientation val="minMax"/>
        </c:scaling>
        <c:delete val="0"/>
        <c:axPos val="l"/>
        <c:majorGridlines>
          <c:spPr>
            <a:ln w="3175" cmpd="sng">
              <a:solidFill>
                <a:sysClr val="window" lastClr="FFFFFF">
                  <a:lumMod val="85000"/>
                </a:sysClr>
              </a:solidFill>
              <a:prstDash val="solid"/>
            </a:ln>
          </c:spPr>
        </c:majorGridlines>
        <c:numFmt formatCode="#,##0" sourceLinked="0"/>
        <c:majorTickMark val="in"/>
        <c:minorTickMark val="none"/>
        <c:tickLblPos val="nextTo"/>
        <c:spPr>
          <a:ln/>
        </c:spPr>
        <c:txPr>
          <a:bodyPr rot="0" vert="horz"/>
          <a:lstStyle/>
          <a:p>
            <a:pPr>
              <a:defRPr/>
            </a:pPr>
            <a:endParaRPr lang="bg-BG"/>
          </a:p>
        </c:txPr>
        <c:crossAx val="79368192"/>
        <c:crosses val="autoZero"/>
        <c:crossBetween val="between"/>
      </c:valAx>
      <c:spPr>
        <a:noFill/>
      </c:spPr>
    </c:plotArea>
    <c:legend>
      <c:legendPos val="b"/>
      <c:layout>
        <c:manualLayout>
          <c:xMode val="edge"/>
          <c:yMode val="edge"/>
          <c:x val="3.1284693539306629E-2"/>
          <c:y val="0.87532583502667005"/>
          <c:w val="0.94878886004740037"/>
          <c:h val="0.1201346996443993"/>
        </c:manualLayout>
      </c:layout>
      <c:overlay val="0"/>
    </c:legend>
    <c:plotVisOnly val="1"/>
    <c:dispBlanksAs val="gap"/>
    <c:showDLblsOverMax val="0"/>
  </c:chart>
  <c:spPr>
    <a:noFill/>
    <a:ln>
      <a:noFill/>
    </a:ln>
  </c:spPr>
  <c:txPr>
    <a:bodyPr/>
    <a:lstStyle/>
    <a:p>
      <a:pPr>
        <a:defRPr sz="900">
          <a:latin typeface="Times New Roman" panose="02020603050405020304" pitchFamily="18" charset="0"/>
          <a:cs typeface="Times New Roman" panose="02020603050405020304" pitchFamily="18" charset="0"/>
        </a:defRPr>
      </a:pPr>
      <a:endParaRPr lang="bg-BG"/>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standard"/>
        <c:varyColors val="0"/>
        <c:ser>
          <c:idx val="1"/>
          <c:order val="0"/>
          <c:spPr>
            <a:solidFill>
              <a:schemeClr val="bg2">
                <a:alpha val="80000"/>
              </a:schemeClr>
            </a:solidFill>
          </c:spPr>
          <c:cat>
            <c:strRef>
              <c:f>Sheet1!$C$4:$I$4</c:f>
              <c:strCache>
                <c:ptCount val="7"/>
                <c:pt idx="0">
                  <c:v>2017</c:v>
                </c:pt>
                <c:pt idx="1">
                  <c:v>2018</c:v>
                </c:pt>
                <c:pt idx="2">
                  <c:v>2019</c:v>
                </c:pt>
                <c:pt idx="3">
                  <c:v>2020</c:v>
                </c:pt>
                <c:pt idx="4">
                  <c:v>2021</c:v>
                </c:pt>
                <c:pt idx="5">
                  <c:v>2022</c:v>
                </c:pt>
                <c:pt idx="6">
                  <c:v>2023*</c:v>
                </c:pt>
              </c:strCache>
            </c:strRef>
          </c:cat>
          <c:val>
            <c:numRef>
              <c:f>Sheet1!$C$5:$I$5</c:f>
              <c:numCache>
                <c:formatCode>0.0%</c:formatCode>
                <c:ptCount val="7"/>
                <c:pt idx="0">
                  <c:v>1.6E-2</c:v>
                </c:pt>
                <c:pt idx="1">
                  <c:v>1.7000000000000001E-2</c:v>
                </c:pt>
                <c:pt idx="2">
                  <c:v>2.1000000000000001E-2</c:v>
                </c:pt>
                <c:pt idx="3">
                  <c:v>-3.7999999999999999E-2</c:v>
                </c:pt>
                <c:pt idx="4">
                  <c:v>-3.9E-2</c:v>
                </c:pt>
                <c:pt idx="5">
                  <c:v>-2.8000000000000001E-2</c:v>
                </c:pt>
                <c:pt idx="6">
                  <c:v>-6.0999999999999999E-2</c:v>
                </c:pt>
              </c:numCache>
            </c:numRef>
          </c:val>
          <c:extLst>
            <c:ext xmlns:c16="http://schemas.microsoft.com/office/drawing/2014/chart" uri="{C3380CC4-5D6E-409C-BE32-E72D297353CC}">
              <c16:uniqueId val="{00000000-8EAB-412B-85BF-611E6382AE5C}"/>
            </c:ext>
          </c:extLst>
        </c:ser>
        <c:dLbls>
          <c:showLegendKey val="0"/>
          <c:showVal val="0"/>
          <c:showCatName val="0"/>
          <c:showSerName val="0"/>
          <c:showPercent val="0"/>
          <c:showBubbleSize val="0"/>
        </c:dLbls>
        <c:axId val="462468224"/>
        <c:axId val="462469760"/>
      </c:areaChart>
      <c:lineChart>
        <c:grouping val="standard"/>
        <c:varyColors val="0"/>
        <c:ser>
          <c:idx val="2"/>
          <c:order val="1"/>
          <c:spPr>
            <a:ln>
              <a:solidFill>
                <a:schemeClr val="accent5"/>
              </a:solidFill>
            </a:ln>
          </c:spPr>
          <c:marker>
            <c:symbol val="none"/>
          </c:marker>
          <c:cat>
            <c:strRef>
              <c:f>Sheet1!$C$4:$I$4</c:f>
              <c:strCache>
                <c:ptCount val="7"/>
                <c:pt idx="0">
                  <c:v>2017</c:v>
                </c:pt>
                <c:pt idx="1">
                  <c:v>2018</c:v>
                </c:pt>
                <c:pt idx="2">
                  <c:v>2019</c:v>
                </c:pt>
                <c:pt idx="3">
                  <c:v>2020</c:v>
                </c:pt>
                <c:pt idx="4">
                  <c:v>2021</c:v>
                </c:pt>
                <c:pt idx="5">
                  <c:v>2022</c:v>
                </c:pt>
                <c:pt idx="6">
                  <c:v>2023*</c:v>
                </c:pt>
              </c:strCache>
            </c:strRef>
          </c:cat>
          <c:val>
            <c:numRef>
              <c:f>Sheet1!$C$6:$I$6</c:f>
              <c:numCache>
                <c:formatCode>0%</c:formatCode>
                <c:ptCount val="7"/>
                <c:pt idx="0">
                  <c:v>-0.03</c:v>
                </c:pt>
                <c:pt idx="1">
                  <c:v>-0.03</c:v>
                </c:pt>
                <c:pt idx="2">
                  <c:v>-0.03</c:v>
                </c:pt>
                <c:pt idx="3">
                  <c:v>-0.03</c:v>
                </c:pt>
                <c:pt idx="4">
                  <c:v>-0.03</c:v>
                </c:pt>
                <c:pt idx="5">
                  <c:v>-0.03</c:v>
                </c:pt>
                <c:pt idx="6">
                  <c:v>-0.03</c:v>
                </c:pt>
              </c:numCache>
            </c:numRef>
          </c:val>
          <c:smooth val="0"/>
          <c:extLst>
            <c:ext xmlns:c16="http://schemas.microsoft.com/office/drawing/2014/chart" uri="{C3380CC4-5D6E-409C-BE32-E72D297353CC}">
              <c16:uniqueId val="{00000001-8EAB-412B-85BF-611E6382AE5C}"/>
            </c:ext>
          </c:extLst>
        </c:ser>
        <c:dLbls>
          <c:showLegendKey val="0"/>
          <c:showVal val="0"/>
          <c:showCatName val="0"/>
          <c:showSerName val="0"/>
          <c:showPercent val="0"/>
          <c:showBubbleSize val="0"/>
        </c:dLbls>
        <c:marker val="1"/>
        <c:smooth val="0"/>
        <c:axId val="462468224"/>
        <c:axId val="462469760"/>
      </c:lineChart>
      <c:catAx>
        <c:axId val="462468224"/>
        <c:scaling>
          <c:orientation val="minMax"/>
        </c:scaling>
        <c:delete val="0"/>
        <c:axPos val="b"/>
        <c:numFmt formatCode="General" sourceLinked="1"/>
        <c:majorTickMark val="cross"/>
        <c:minorTickMark val="none"/>
        <c:tickLblPos val="low"/>
        <c:spPr>
          <a:ln w="6350">
            <a:solidFill>
              <a:schemeClr val="bg1">
                <a:lumMod val="50000"/>
              </a:schemeClr>
            </a:solidFill>
          </a:ln>
        </c:spPr>
        <c:crossAx val="462469760"/>
        <c:crosses val="autoZero"/>
        <c:auto val="1"/>
        <c:lblAlgn val="ctr"/>
        <c:lblOffset val="100"/>
        <c:noMultiLvlLbl val="0"/>
      </c:catAx>
      <c:valAx>
        <c:axId val="462469760"/>
        <c:scaling>
          <c:orientation val="minMax"/>
        </c:scaling>
        <c:delete val="0"/>
        <c:axPos val="l"/>
        <c:majorGridlines>
          <c:spPr>
            <a:ln w="3175">
              <a:solidFill>
                <a:schemeClr val="bg1">
                  <a:lumMod val="85000"/>
                </a:schemeClr>
              </a:solidFill>
            </a:ln>
          </c:spPr>
        </c:majorGridlines>
        <c:numFmt formatCode="0%" sourceLinked="0"/>
        <c:majorTickMark val="in"/>
        <c:minorTickMark val="none"/>
        <c:tickLblPos val="nextTo"/>
        <c:spPr>
          <a:ln w="6350">
            <a:solidFill>
              <a:schemeClr val="bg1">
                <a:lumMod val="50000"/>
              </a:schemeClr>
            </a:solidFill>
          </a:ln>
          <a:effectLst/>
        </c:spPr>
        <c:crossAx val="462468224"/>
        <c:crossesAt val="1"/>
        <c:crossBetween val="midCat"/>
      </c:valAx>
      <c:spPr>
        <a:ln w="3175">
          <a:solidFill>
            <a:schemeClr val="bg1">
              <a:lumMod val="85000"/>
            </a:schemeClr>
          </a:solidFill>
        </a:ln>
      </c:spPr>
    </c:plotArea>
    <c:plotVisOnly val="1"/>
    <c:dispBlanksAs val="gap"/>
    <c:showDLblsOverMax val="0"/>
  </c:chart>
  <c:spPr>
    <a:ln>
      <a:noFill/>
    </a:ln>
  </c:spPr>
  <c:txPr>
    <a:bodyPr/>
    <a:lstStyle/>
    <a:p>
      <a:pPr>
        <a:defRPr sz="900"/>
      </a:pPr>
      <a:endParaRPr lang="bg-BG"/>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4565626926182189E-2"/>
          <c:y val="4.0828552673148513E-2"/>
          <c:w val="0.95808124039621834"/>
          <c:h val="0.60454621221742444"/>
        </c:manualLayout>
      </c:layout>
      <c:barChart>
        <c:barDir val="col"/>
        <c:grouping val="stacked"/>
        <c:varyColors val="0"/>
        <c:ser>
          <c:idx val="3"/>
          <c:order val="2"/>
          <c:tx>
            <c:strRef>
              <c:f>Graphs!$B$7</c:f>
              <c:strCache>
                <c:ptCount val="1"/>
                <c:pt idx="0">
                  <c:v>Еднократни мерки</c:v>
                </c:pt>
              </c:strCache>
            </c:strRef>
          </c:tx>
          <c:spPr>
            <a:solidFill>
              <a:srgbClr val="4E67C8">
                <a:lumMod val="40000"/>
                <a:lumOff val="60000"/>
              </a:srgbClr>
            </a:solidFill>
            <a:ln w="3175">
              <a:solidFill>
                <a:sysClr val="window" lastClr="FFFFFF"/>
              </a:solidFill>
            </a:ln>
          </c:spPr>
          <c:invertIfNegative val="0"/>
          <c:cat>
            <c:strRef>
              <c:f>Graphs!$R$2:$V$2</c:f>
              <c:strCache>
                <c:ptCount val="5"/>
                <c:pt idx="0">
                  <c:v>2022</c:v>
                </c:pt>
                <c:pt idx="1">
                  <c:v>2023П</c:v>
                </c:pt>
                <c:pt idx="2">
                  <c:v>2024П</c:v>
                </c:pt>
                <c:pt idx="3">
                  <c:v>2025П</c:v>
                </c:pt>
                <c:pt idx="4">
                  <c:v>2026П</c:v>
                </c:pt>
              </c:strCache>
            </c:strRef>
          </c:cat>
          <c:val>
            <c:numRef>
              <c:f>Graphs!$R$7:$V$7</c:f>
              <c:numCache>
                <c:formatCode>0.0</c:formatCode>
                <c:ptCount val="5"/>
                <c:pt idx="0">
                  <c:v>1.7642011450274324</c:v>
                </c:pt>
                <c:pt idx="1">
                  <c:v>0.3624559152204257</c:v>
                </c:pt>
                <c:pt idx="2">
                  <c:v>0</c:v>
                </c:pt>
                <c:pt idx="3">
                  <c:v>0</c:v>
                </c:pt>
                <c:pt idx="4">
                  <c:v>0</c:v>
                </c:pt>
              </c:numCache>
            </c:numRef>
          </c:val>
          <c:extLst>
            <c:ext xmlns:c16="http://schemas.microsoft.com/office/drawing/2014/chart" uri="{C3380CC4-5D6E-409C-BE32-E72D297353CC}">
              <c16:uniqueId val="{00000000-D312-4C06-8E10-4589973EF6D8}"/>
            </c:ext>
          </c:extLst>
        </c:ser>
        <c:ser>
          <c:idx val="2"/>
          <c:order val="3"/>
          <c:tx>
            <c:strRef>
              <c:f>Graphs!$B$6</c:f>
              <c:strCache>
                <c:ptCount val="1"/>
                <c:pt idx="0">
                  <c:v>Циклична компонента</c:v>
                </c:pt>
              </c:strCache>
            </c:strRef>
          </c:tx>
          <c:spPr>
            <a:solidFill>
              <a:srgbClr val="B4DCFA">
                <a:lumMod val="50000"/>
              </a:srgbClr>
            </a:solidFill>
            <a:ln w="3175">
              <a:solidFill>
                <a:sysClr val="window" lastClr="FFFFFF"/>
              </a:solidFill>
            </a:ln>
          </c:spPr>
          <c:invertIfNegative val="0"/>
          <c:cat>
            <c:strRef>
              <c:f>Graphs!$R$2:$V$2</c:f>
              <c:strCache>
                <c:ptCount val="5"/>
                <c:pt idx="0">
                  <c:v>2022</c:v>
                </c:pt>
                <c:pt idx="1">
                  <c:v>2023П</c:v>
                </c:pt>
                <c:pt idx="2">
                  <c:v>2024П</c:v>
                </c:pt>
                <c:pt idx="3">
                  <c:v>2025П</c:v>
                </c:pt>
                <c:pt idx="4">
                  <c:v>2026П</c:v>
                </c:pt>
              </c:strCache>
            </c:strRef>
          </c:cat>
          <c:val>
            <c:numRef>
              <c:f>Graphs!$R$6:$V$6</c:f>
              <c:numCache>
                <c:formatCode>0.0</c:formatCode>
                <c:ptCount val="5"/>
                <c:pt idx="0">
                  <c:v>-0.27461911392417754</c:v>
                </c:pt>
                <c:pt idx="1">
                  <c:v>-5.513878825117708E-2</c:v>
                </c:pt>
                <c:pt idx="2">
                  <c:v>-0.1635006367215385</c:v>
                </c:pt>
                <c:pt idx="3">
                  <c:v>-0.22737504216451473</c:v>
                </c:pt>
                <c:pt idx="4">
                  <c:v>-0.27604397381646434</c:v>
                </c:pt>
              </c:numCache>
            </c:numRef>
          </c:val>
          <c:extLst>
            <c:ext xmlns:c16="http://schemas.microsoft.com/office/drawing/2014/chart" uri="{C3380CC4-5D6E-409C-BE32-E72D297353CC}">
              <c16:uniqueId val="{00000001-D312-4C06-8E10-4589973EF6D8}"/>
            </c:ext>
          </c:extLst>
        </c:ser>
        <c:ser>
          <c:idx val="1"/>
          <c:order val="4"/>
          <c:tx>
            <c:strRef>
              <c:f>Graphs!$B$5</c:f>
              <c:strCache>
                <c:ptCount val="1"/>
                <c:pt idx="0">
                  <c:v>Бюджетен баланс</c:v>
                </c:pt>
              </c:strCache>
            </c:strRef>
          </c:tx>
          <c:spPr>
            <a:solidFill>
              <a:srgbClr val="B4DCFA"/>
            </a:solidFill>
            <a:ln w="3175">
              <a:solidFill>
                <a:sysClr val="window" lastClr="FFFFFF"/>
              </a:solidFill>
            </a:ln>
          </c:spPr>
          <c:invertIfNegative val="0"/>
          <c:cat>
            <c:strRef>
              <c:f>Graphs!$R$2:$V$2</c:f>
              <c:strCache>
                <c:ptCount val="5"/>
                <c:pt idx="0">
                  <c:v>2022</c:v>
                </c:pt>
                <c:pt idx="1">
                  <c:v>2023П</c:v>
                </c:pt>
                <c:pt idx="2">
                  <c:v>2024П</c:v>
                </c:pt>
                <c:pt idx="3">
                  <c:v>2025П</c:v>
                </c:pt>
                <c:pt idx="4">
                  <c:v>2026П</c:v>
                </c:pt>
              </c:strCache>
            </c:strRef>
          </c:cat>
          <c:val>
            <c:numRef>
              <c:f>Graphs!$R$5:$V$5</c:f>
              <c:numCache>
                <c:formatCode>0.0</c:formatCode>
                <c:ptCount val="5"/>
                <c:pt idx="0">
                  <c:v>-2.8101832158508486</c:v>
                </c:pt>
                <c:pt idx="1">
                  <c:v>-6.1235298218982965</c:v>
                </c:pt>
                <c:pt idx="2">
                  <c:v>-4.6773193674776286</c:v>
                </c:pt>
                <c:pt idx="3">
                  <c:v>-4.9466142672919453</c:v>
                </c:pt>
                <c:pt idx="4">
                  <c:v>-5.0275145307105609</c:v>
                </c:pt>
              </c:numCache>
            </c:numRef>
          </c:val>
          <c:extLst>
            <c:ext xmlns:c16="http://schemas.microsoft.com/office/drawing/2014/chart" uri="{C3380CC4-5D6E-409C-BE32-E72D297353CC}">
              <c16:uniqueId val="{00000002-D312-4C06-8E10-4589973EF6D8}"/>
            </c:ext>
          </c:extLst>
        </c:ser>
        <c:dLbls>
          <c:showLegendKey val="0"/>
          <c:showVal val="0"/>
          <c:showCatName val="0"/>
          <c:showSerName val="0"/>
          <c:showPercent val="0"/>
          <c:showBubbleSize val="0"/>
        </c:dLbls>
        <c:gapWidth val="69"/>
        <c:overlap val="100"/>
        <c:axId val="201713152"/>
        <c:axId val="201714688"/>
      </c:barChart>
      <c:lineChart>
        <c:grouping val="standard"/>
        <c:varyColors val="0"/>
        <c:ser>
          <c:idx val="4"/>
          <c:order val="0"/>
          <c:tx>
            <c:strRef>
              <c:f>Graphs!$B$4</c:f>
              <c:strCache>
                <c:ptCount val="1"/>
                <c:pt idx="0">
                  <c:v>Структурен бюджетен баланс</c:v>
                </c:pt>
              </c:strCache>
            </c:strRef>
          </c:tx>
          <c:spPr>
            <a:ln w="19050">
              <a:solidFill>
                <a:srgbClr val="FF8021"/>
              </a:solidFill>
            </a:ln>
          </c:spPr>
          <c:marker>
            <c:symbol val="none"/>
          </c:marker>
          <c:dLbls>
            <c:dLbl>
              <c:idx val="0"/>
              <c:layout>
                <c:manualLayout>
                  <c:x val="-4.326915333695925E-2"/>
                  <c:y val="-4.625123708402341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312-4C06-8E10-4589973EF6D8}"/>
                </c:ext>
              </c:extLst>
            </c:dLbl>
            <c:dLbl>
              <c:idx val="1"/>
              <c:layout>
                <c:manualLayout>
                  <c:x val="-5.5069693091934803E-2"/>
                  <c:y val="-5.084027499565358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312-4C06-8E10-4589973EF6D8}"/>
                </c:ext>
              </c:extLst>
            </c:dLbl>
            <c:dLbl>
              <c:idx val="2"/>
              <c:layout>
                <c:manualLayout>
                  <c:x val="-4.7202712731228252E-2"/>
                  <c:y val="4.62512370840233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312-4C06-8E10-4589973EF6D8}"/>
                </c:ext>
              </c:extLst>
            </c:dLbl>
            <c:dLbl>
              <c:idx val="3"/>
              <c:layout>
                <c:manualLayout>
                  <c:x val="-3.9335593942690206E-2"/>
                  <c:y val="5.781404635502918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D312-4C06-8E10-4589973EF6D8}"/>
                </c:ext>
              </c:extLst>
            </c:dLbl>
            <c:dLbl>
              <c:idx val="4"/>
              <c:layout>
                <c:manualLayout>
                  <c:x val="-5.1136272125497415E-2"/>
                  <c:y val="5.203264171952625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D312-4C06-8E10-4589973EF6D8}"/>
                </c:ext>
              </c:extLst>
            </c:dLbl>
            <c:spPr>
              <a:noFill/>
              <a:ln>
                <a:noFill/>
              </a:ln>
              <a:effectLst/>
            </c:spPr>
            <c:txPr>
              <a:bodyPr/>
              <a:lstStyle/>
              <a:p>
                <a:pPr>
                  <a:defRPr sz="900"/>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Graphs!$R$2:$V$2</c:f>
              <c:strCache>
                <c:ptCount val="5"/>
                <c:pt idx="0">
                  <c:v>2022</c:v>
                </c:pt>
                <c:pt idx="1">
                  <c:v>2023П</c:v>
                </c:pt>
                <c:pt idx="2">
                  <c:v>2024П</c:v>
                </c:pt>
                <c:pt idx="3">
                  <c:v>2025П</c:v>
                </c:pt>
                <c:pt idx="4">
                  <c:v>2026П</c:v>
                </c:pt>
              </c:strCache>
            </c:strRef>
          </c:cat>
          <c:val>
            <c:numRef>
              <c:f>Graphs!$R$4:$V$4</c:f>
              <c:numCache>
                <c:formatCode>0.0</c:formatCode>
                <c:ptCount val="5"/>
                <c:pt idx="0">
                  <c:v>-1.320601184747594</c:v>
                </c:pt>
                <c:pt idx="1">
                  <c:v>-5.8162126949290478</c:v>
                </c:pt>
                <c:pt idx="2">
                  <c:v>-4.8408200041991671</c:v>
                </c:pt>
                <c:pt idx="3">
                  <c:v>-5.1739893094564602</c:v>
                </c:pt>
                <c:pt idx="4">
                  <c:v>-5.3035585045270253</c:v>
                </c:pt>
              </c:numCache>
            </c:numRef>
          </c:val>
          <c:smooth val="0"/>
          <c:extLst>
            <c:ext xmlns:c16="http://schemas.microsoft.com/office/drawing/2014/chart" uri="{C3380CC4-5D6E-409C-BE32-E72D297353CC}">
              <c16:uniqueId val="{00000008-D312-4C06-8E10-4589973EF6D8}"/>
            </c:ext>
          </c:extLst>
        </c:ser>
        <c:ser>
          <c:idx val="0"/>
          <c:order val="1"/>
          <c:tx>
            <c:strRef>
              <c:f>Graphs!$B$8</c:f>
              <c:strCache>
                <c:ptCount val="1"/>
                <c:pt idx="0">
                  <c:v> Средносрочна цел за структурния бюджетен баланс</c:v>
                </c:pt>
              </c:strCache>
            </c:strRef>
          </c:tx>
          <c:spPr>
            <a:ln>
              <a:solidFill>
                <a:srgbClr val="FF8021">
                  <a:lumMod val="75000"/>
                </a:srgbClr>
              </a:solidFill>
              <a:prstDash val="dash"/>
            </a:ln>
          </c:spPr>
          <c:marker>
            <c:symbol val="none"/>
          </c:marker>
          <c:cat>
            <c:strRef>
              <c:f>Graphs!$R$2:$V$2</c:f>
              <c:strCache>
                <c:ptCount val="5"/>
                <c:pt idx="0">
                  <c:v>2022</c:v>
                </c:pt>
                <c:pt idx="1">
                  <c:v>2023П</c:v>
                </c:pt>
                <c:pt idx="2">
                  <c:v>2024П</c:v>
                </c:pt>
                <c:pt idx="3">
                  <c:v>2025П</c:v>
                </c:pt>
                <c:pt idx="4">
                  <c:v>2026П</c:v>
                </c:pt>
              </c:strCache>
            </c:strRef>
          </c:cat>
          <c:val>
            <c:numRef>
              <c:f>Graphs!$R$8:$V$8</c:f>
              <c:numCache>
                <c:formatCode>0.0</c:formatCode>
                <c:ptCount val="5"/>
                <c:pt idx="0">
                  <c:v>-1</c:v>
                </c:pt>
                <c:pt idx="1">
                  <c:v>-1</c:v>
                </c:pt>
                <c:pt idx="2">
                  <c:v>-1</c:v>
                </c:pt>
                <c:pt idx="3">
                  <c:v>-1</c:v>
                </c:pt>
                <c:pt idx="4">
                  <c:v>-1</c:v>
                </c:pt>
              </c:numCache>
            </c:numRef>
          </c:val>
          <c:smooth val="0"/>
          <c:extLst>
            <c:ext xmlns:c16="http://schemas.microsoft.com/office/drawing/2014/chart" uri="{C3380CC4-5D6E-409C-BE32-E72D297353CC}">
              <c16:uniqueId val="{00000009-D312-4C06-8E10-4589973EF6D8}"/>
            </c:ext>
          </c:extLst>
        </c:ser>
        <c:dLbls>
          <c:showLegendKey val="0"/>
          <c:showVal val="0"/>
          <c:showCatName val="0"/>
          <c:showSerName val="0"/>
          <c:showPercent val="0"/>
          <c:showBubbleSize val="0"/>
        </c:dLbls>
        <c:marker val="1"/>
        <c:smooth val="0"/>
        <c:axId val="201713152"/>
        <c:axId val="201714688"/>
      </c:lineChart>
      <c:catAx>
        <c:axId val="201713152"/>
        <c:scaling>
          <c:orientation val="minMax"/>
        </c:scaling>
        <c:delete val="0"/>
        <c:axPos val="b"/>
        <c:majorGridlines>
          <c:spPr>
            <a:ln w="3175">
              <a:solidFill>
                <a:sysClr val="window" lastClr="FFFFFF">
                  <a:lumMod val="85000"/>
                </a:sysClr>
              </a:solidFill>
            </a:ln>
          </c:spPr>
        </c:majorGridlines>
        <c:numFmt formatCode="General" sourceLinked="1"/>
        <c:majorTickMark val="cross"/>
        <c:minorTickMark val="none"/>
        <c:tickLblPos val="low"/>
        <c:spPr>
          <a:ln/>
        </c:spPr>
        <c:txPr>
          <a:bodyPr rot="0" vert="horz"/>
          <a:lstStyle/>
          <a:p>
            <a:pPr>
              <a:defRPr sz="900"/>
            </a:pPr>
            <a:endParaRPr lang="bg-BG"/>
          </a:p>
        </c:txPr>
        <c:crossAx val="201714688"/>
        <c:crosses val="autoZero"/>
        <c:auto val="1"/>
        <c:lblAlgn val="ctr"/>
        <c:lblOffset val="0"/>
        <c:tickLblSkip val="1"/>
        <c:noMultiLvlLbl val="0"/>
      </c:catAx>
      <c:valAx>
        <c:axId val="201714688"/>
        <c:scaling>
          <c:orientation val="minMax"/>
        </c:scaling>
        <c:delete val="0"/>
        <c:axPos val="l"/>
        <c:majorGridlines>
          <c:spPr>
            <a:ln w="3175">
              <a:solidFill>
                <a:sysClr val="window" lastClr="FFFFFF">
                  <a:lumMod val="85000"/>
                </a:sysClr>
              </a:solidFill>
            </a:ln>
          </c:spPr>
        </c:majorGridlines>
        <c:numFmt formatCode="General" sourceLinked="0"/>
        <c:majorTickMark val="in"/>
        <c:minorTickMark val="none"/>
        <c:tickLblPos val="nextTo"/>
        <c:spPr>
          <a:ln>
            <a:solidFill>
              <a:sysClr val="window" lastClr="FFFFFF">
                <a:lumMod val="50000"/>
              </a:sysClr>
            </a:solidFill>
          </a:ln>
        </c:spPr>
        <c:txPr>
          <a:bodyPr rot="0" vert="horz"/>
          <a:lstStyle/>
          <a:p>
            <a:pPr>
              <a:defRPr sz="900"/>
            </a:pPr>
            <a:endParaRPr lang="bg-BG"/>
          </a:p>
        </c:txPr>
        <c:crossAx val="201713152"/>
        <c:crosses val="autoZero"/>
        <c:crossBetween val="between"/>
        <c:majorUnit val="2"/>
      </c:valAx>
      <c:spPr>
        <a:noFill/>
        <a:ln w="6350">
          <a:noFill/>
        </a:ln>
      </c:spPr>
    </c:plotArea>
    <c:legend>
      <c:legendPos val="r"/>
      <c:layout>
        <c:manualLayout>
          <c:xMode val="edge"/>
          <c:yMode val="edge"/>
          <c:x val="4.0781526354854453E-3"/>
          <c:y val="0.7468722218694438"/>
          <c:w val="0.99592183281389712"/>
          <c:h val="0.25312777813055631"/>
        </c:manualLayout>
      </c:layout>
      <c:overlay val="0"/>
      <c:txPr>
        <a:bodyPr/>
        <a:lstStyle/>
        <a:p>
          <a:pPr>
            <a:defRPr sz="900"/>
          </a:pPr>
          <a:endParaRPr lang="bg-BG"/>
        </a:p>
      </c:txPr>
    </c:legend>
    <c:plotVisOnly val="1"/>
    <c:dispBlanksAs val="gap"/>
    <c:showDLblsOverMax val="0"/>
  </c:chart>
  <c:spPr>
    <a:noFill/>
    <a:ln>
      <a:noFill/>
    </a:ln>
  </c:spPr>
  <c:txPr>
    <a:bodyPr/>
    <a:lstStyle/>
    <a:p>
      <a:pPr>
        <a:defRPr sz="800">
          <a:latin typeface="Times New Roman" panose="02020603050405020304" pitchFamily="18" charset="0"/>
          <a:cs typeface="Times New Roman" panose="02020603050405020304" pitchFamily="18" charset="0"/>
        </a:defRPr>
      </a:pPr>
      <a:endParaRPr lang="bg-BG"/>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0.05268</cdr:x>
      <cdr:y>0.75391</cdr:y>
    </cdr:from>
    <cdr:to>
      <cdr:x>0.33945</cdr:x>
      <cdr:y>0.82114</cdr:y>
    </cdr:to>
    <cdr:sp macro="" textlink="">
      <cdr:nvSpPr>
        <cdr:cNvPr id="5" name="TextBox 4">
          <a:extLst xmlns:a="http://schemas.openxmlformats.org/drawingml/2006/main">
            <a:ext uri="{FF2B5EF4-FFF2-40B4-BE49-F238E27FC236}">
              <a16:creationId xmlns:a16="http://schemas.microsoft.com/office/drawing/2014/main" id="{E755F80C-21B4-4E25-AC34-E59810856DD8}"/>
            </a:ext>
          </a:extLst>
        </cdr:cNvPr>
        <cdr:cNvSpPr txBox="1"/>
      </cdr:nvSpPr>
      <cdr:spPr>
        <a:xfrm xmlns:a="http://schemas.openxmlformats.org/drawingml/2006/main">
          <a:off x="164081" y="1766524"/>
          <a:ext cx="893193" cy="157526"/>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r>
            <a:rPr lang="bg-BG" sz="900">
              <a:latin typeface="Times New Roman" panose="02020603050405020304" pitchFamily="18" charset="0"/>
              <a:cs typeface="Times New Roman" panose="02020603050405020304" pitchFamily="18" charset="0"/>
            </a:rPr>
            <a:t>Процентили</a:t>
          </a:r>
          <a:endParaRPr lang="en-US" sz="900" b="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0.1075</cdr:x>
      <cdr:y>0.01995</cdr:y>
    </cdr:from>
    <cdr:to>
      <cdr:x>0.69394</cdr:x>
      <cdr:y>0.0996</cdr:y>
    </cdr:to>
    <cdr:sp macro="" textlink="">
      <cdr:nvSpPr>
        <cdr:cNvPr id="6" name="TextBox 1">
          <a:extLst xmlns:a="http://schemas.openxmlformats.org/drawingml/2006/main">
            <a:ext uri="{FF2B5EF4-FFF2-40B4-BE49-F238E27FC236}">
              <a16:creationId xmlns:a16="http://schemas.microsoft.com/office/drawing/2014/main" id="{52209C8F-C139-4A94-8D3B-C0C4C0BA522A}"/>
            </a:ext>
          </a:extLst>
        </cdr:cNvPr>
        <cdr:cNvSpPr txBox="1"/>
      </cdr:nvSpPr>
      <cdr:spPr>
        <a:xfrm xmlns:a="http://schemas.openxmlformats.org/drawingml/2006/main">
          <a:off x="294154" y="50279"/>
          <a:ext cx="1604625" cy="20069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bg-BG" sz="800" b="1">
              <a:latin typeface="+mn-lt"/>
              <a:ea typeface="Segoe UI" pitchFamily="34" charset="0"/>
              <a:cs typeface="Segoe UI" pitchFamily="34" charset="0"/>
            </a:rPr>
            <a:t>Симертично</a:t>
          </a:r>
          <a:r>
            <a:rPr lang="bg-BG" sz="800" b="1" baseline="0">
              <a:latin typeface="+mn-lt"/>
              <a:ea typeface="Segoe UI" pitchFamily="34" charset="0"/>
              <a:cs typeface="Segoe UI" pitchFamily="34" charset="0"/>
            </a:rPr>
            <a:t> разпределение</a:t>
          </a:r>
          <a:endParaRPr lang="en-US" sz="800" b="1">
            <a:latin typeface="+mn-lt"/>
            <a:ea typeface="Segoe UI" pitchFamily="34" charset="0"/>
            <a:cs typeface="Segoe UI"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0.0901</cdr:x>
      <cdr:y>0.0205</cdr:y>
    </cdr:from>
    <cdr:to>
      <cdr:x>0.67654</cdr:x>
      <cdr:y>0.10015</cdr:y>
    </cdr:to>
    <cdr:sp macro="" textlink="">
      <cdr:nvSpPr>
        <cdr:cNvPr id="6" name="TextBox 1">
          <a:extLst xmlns:a="http://schemas.openxmlformats.org/drawingml/2006/main">
            <a:ext uri="{FF2B5EF4-FFF2-40B4-BE49-F238E27FC236}">
              <a16:creationId xmlns:a16="http://schemas.microsoft.com/office/drawing/2014/main" id="{52209C8F-C139-4A94-8D3B-C0C4C0BA522A}"/>
            </a:ext>
          </a:extLst>
        </cdr:cNvPr>
        <cdr:cNvSpPr txBox="1"/>
      </cdr:nvSpPr>
      <cdr:spPr>
        <a:xfrm xmlns:a="http://schemas.openxmlformats.org/drawingml/2006/main">
          <a:off x="260889" y="51653"/>
          <a:ext cx="1698096" cy="20069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bg-BG" sz="800" b="1">
              <a:latin typeface="+mj-lt"/>
              <a:ea typeface="Segoe UI" pitchFamily="34" charset="0"/>
              <a:cs typeface="Segoe UI" pitchFamily="34" charset="0"/>
            </a:rPr>
            <a:t>Асимертично</a:t>
          </a:r>
          <a:r>
            <a:rPr lang="bg-BG" sz="800" b="1" baseline="0">
              <a:latin typeface="+mj-lt"/>
              <a:ea typeface="Segoe UI" pitchFamily="34" charset="0"/>
              <a:cs typeface="Segoe UI" pitchFamily="34" charset="0"/>
            </a:rPr>
            <a:t> разпределение</a:t>
          </a:r>
          <a:endParaRPr lang="en-US" sz="800" b="1">
            <a:latin typeface="+mj-lt"/>
            <a:ea typeface="Segoe UI" pitchFamily="34" charset="0"/>
            <a:cs typeface="Segoe UI" pitchFamily="34" charset="0"/>
          </a:endParaRPr>
        </a:p>
      </cdr:txBody>
    </cdr:sp>
  </cdr:relSizeAnchor>
  <cdr:relSizeAnchor xmlns:cdr="http://schemas.openxmlformats.org/drawingml/2006/chartDrawing">
    <cdr:from>
      <cdr:x>0</cdr:x>
      <cdr:y>0.75</cdr:y>
    </cdr:from>
    <cdr:to>
      <cdr:x>1</cdr:x>
      <cdr:y>1</cdr:y>
    </cdr:to>
    <cdr:sp macro="" textlink="">
      <cdr:nvSpPr>
        <cdr:cNvPr id="4" name="TextBox 23">
          <a:extLst xmlns:a="http://schemas.openxmlformats.org/drawingml/2006/main">
            <a:ext uri="{FF2B5EF4-FFF2-40B4-BE49-F238E27FC236}">
              <a16:creationId xmlns:a16="http://schemas.microsoft.com/office/drawing/2014/main" id="{A9F35A33-B56F-4948-85F3-70649A993669}"/>
            </a:ext>
          </a:extLst>
        </cdr:cNvPr>
        <cdr:cNvSpPr txBox="1"/>
      </cdr:nvSpPr>
      <cdr:spPr>
        <a:xfrm xmlns:a="http://schemas.openxmlformats.org/drawingml/2006/main">
          <a:off x="0" y="1889760"/>
          <a:ext cx="2895600" cy="629920"/>
        </a:xfrm>
        <a:prstGeom xmlns:a="http://schemas.openxmlformats.org/drawingml/2006/main" prst="rect">
          <a:avLst/>
        </a:prstGeom>
        <a:noFill xmlns:a="http://schemas.openxmlformats.org/drawingml/2006/main"/>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fld id="{F8F71D92-B621-40E8-B69F-563CE3FA591F}" type="TxLink">
            <a:rPr lang="bg-BG" sz="900" b="1" i="0" u="none" strike="noStrike">
              <a:solidFill>
                <a:srgbClr val="000000"/>
              </a:solidFill>
              <a:latin typeface="Times New Roman" panose="02020603050405020304" pitchFamily="18" charset="0"/>
              <a:ea typeface="Segoe UI"/>
              <a:cs typeface="Times New Roman" panose="02020603050405020304" pitchFamily="18" charset="0"/>
            </a:rPr>
            <a:pPr/>
            <a:t>Рестрикции върху позитивните шокове:</a:t>
          </a:fld>
          <a:endParaRPr lang="bg-BG" sz="900" b="1" i="0" u="none" strike="noStrike">
            <a:solidFill>
              <a:srgbClr val="000000"/>
            </a:solidFill>
            <a:latin typeface="Times New Roman" panose="02020603050405020304" pitchFamily="18" charset="0"/>
            <a:ea typeface="Segoe UI"/>
            <a:cs typeface="Times New Roman" panose="02020603050405020304" pitchFamily="18" charset="0"/>
          </a:endParaRPr>
        </a:p>
        <a:p xmlns:a="http://schemas.openxmlformats.org/drawingml/2006/main">
          <a:fld id="{71E0750D-CDBC-4DB3-877D-F7D6F9D6A3AE}" type="TxLink">
            <a:rPr lang="en-US" sz="900" b="0" i="0" u="none" strike="noStrike">
              <a:solidFill>
                <a:srgbClr val="000000"/>
              </a:solidFill>
              <a:latin typeface="Times New Roman" panose="02020603050405020304" pitchFamily="18" charset="0"/>
              <a:ea typeface="Segoe UI"/>
              <a:cs typeface="Times New Roman" panose="02020603050405020304" pitchFamily="18" charset="0"/>
            </a:rPr>
            <a:pPr/>
            <a:t>4 e максималният позитивен шок върху растежа (%)</a:t>
          </a:fld>
          <a:endParaRPr lang="bg-BG" sz="900" b="0" i="0" u="none" strike="noStrike">
            <a:solidFill>
              <a:srgbClr val="000000"/>
            </a:solidFill>
            <a:latin typeface="Times New Roman" panose="02020603050405020304" pitchFamily="18" charset="0"/>
            <a:ea typeface="Segoe UI"/>
            <a:cs typeface="Times New Roman" panose="02020603050405020304" pitchFamily="18" charset="0"/>
          </a:endParaRP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fld id="{A56E0B44-CF31-4BF0-8B01-4C5013C7F344}" type="TxLink">
            <a:rPr lang="bg-BG" sz="900" b="0" i="0" u="none" strike="noStrike">
              <a:solidFill>
                <a:srgbClr val="000000"/>
              </a:solidFill>
              <a:latin typeface="Times New Roman" panose="02020603050405020304" pitchFamily="18" charset="0"/>
              <a:ea typeface="Segoe UI"/>
              <a:cs typeface="Times New Roman" panose="02020603050405020304" pitchFamily="18" charset="0"/>
            </a:rPr>
            <a:pPr marL="0" marR="0" indent="0" defTabSz="914400" eaLnBrk="1" fontAlgn="auto" latinLnBrk="0" hangingPunct="1">
              <a:lnSpc>
                <a:spcPct val="100000"/>
              </a:lnSpc>
              <a:spcBef>
                <a:spcPts val="0"/>
              </a:spcBef>
              <a:spcAft>
                <a:spcPts val="0"/>
              </a:spcAft>
              <a:buClrTx/>
              <a:buSzTx/>
              <a:buFontTx/>
              <a:buNone/>
              <a:tabLst/>
              <a:defRPr/>
            </a:pPr>
            <a:t>без рестрикции върху лихвения %</a:t>
          </a:fld>
          <a:endParaRPr lang="bg-BG" sz="900" b="0" i="0" u="none" strike="noStrike">
            <a:solidFill>
              <a:srgbClr val="000000"/>
            </a:solidFill>
            <a:latin typeface="Times New Roman" panose="02020603050405020304" pitchFamily="18" charset="0"/>
            <a:ea typeface="Segoe UI"/>
            <a:cs typeface="Times New Roman" panose="02020603050405020304" pitchFamily="18" charset="0"/>
          </a:endParaRP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fld id="{4A342DFF-1A9C-4273-9C16-2815650E95A8}" type="TxLink">
            <a:rPr lang="en-US" sz="900" b="0" i="0" u="none" strike="noStrike">
              <a:solidFill>
                <a:srgbClr val="000000"/>
              </a:solidFill>
              <a:latin typeface="Times New Roman" panose="02020603050405020304" pitchFamily="18" charset="0"/>
              <a:ea typeface="Segoe UI" pitchFamily="34" charset="0"/>
              <a:cs typeface="Times New Roman" panose="02020603050405020304" pitchFamily="18" charset="0"/>
            </a:rPr>
            <a:pPr marL="0" marR="0" indent="0" defTabSz="914400" eaLnBrk="1" fontAlgn="auto" latinLnBrk="0" hangingPunct="1">
              <a:lnSpc>
                <a:spcPct val="100000"/>
              </a:lnSpc>
              <a:spcBef>
                <a:spcPts val="0"/>
              </a:spcBef>
              <a:spcAft>
                <a:spcPts val="0"/>
              </a:spcAft>
              <a:buClrTx/>
              <a:buSzTx/>
              <a:buFontTx/>
              <a:buNone/>
              <a:tabLst/>
              <a:defRPr/>
            </a:pPr>
            <a:t>0.2 е максималният позитивен шок върху първичния баланс (% от БВП)</a:t>
          </a:fld>
          <a:endParaRPr lang="en-US" sz="900">
            <a:latin typeface="Times New Roman" panose="02020603050405020304" pitchFamily="18" charset="0"/>
            <a:ea typeface="Segoe UI" pitchFamily="34" charset="0"/>
            <a:cs typeface="Times New Roman" panose="02020603050405020304" pitchFamily="18" charset="0"/>
          </a:endParaRPr>
        </a:p>
      </cdr:txBody>
    </cdr:sp>
  </cdr:relSizeAnchor>
</c:userShapes>
</file>

<file path=word/theme/_rels/theme1.xml.rels><?xml version="1.0" encoding="UTF-8" standalone="yes"?>
<Relationships xmlns="http://schemas.openxmlformats.org/package/2006/relationships"><Relationship Id="rId1" Type="http://schemas.openxmlformats.org/officeDocument/2006/relationships/image" Target="../media/image3.jpeg"/></Relationships>
</file>

<file path=word/theme/_rels/themeOverride1.xml.rels><?xml version="1.0" encoding="UTF-8" standalone="yes"?>
<Relationships xmlns="http://schemas.openxmlformats.org/package/2006/relationships"><Relationship Id="rId1" Type="http://schemas.openxmlformats.org/officeDocument/2006/relationships/image" Target="../media/image2.jpeg"/></Relationships>
</file>

<file path=word/theme/_rels/themeOverride5.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Waveform">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Custom 6">
      <a:majorFont>
        <a:latin typeface="Times New Roman"/>
        <a:ea typeface=""/>
        <a:cs typeface=""/>
      </a:majorFont>
      <a:minorFont>
        <a:latin typeface="Times New Roman"/>
        <a:ea typeface=""/>
        <a:cs typeface=""/>
      </a:minorFont>
    </a:fontScheme>
    <a:fmtScheme name="Waveform">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word/theme/themeOverride1.xml><?xml version="1.0" encoding="utf-8"?>
<a:themeOverride xmlns:a="http://schemas.openxmlformats.org/drawingml/2006/main">
  <a:clrScheme name="Custom 6">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212745"/>
    </a:hlink>
    <a:folHlink>
      <a:srgbClr val="21274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aveform">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Marquee">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Marquee">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Custom 6">
    <a:majorFont>
      <a:latin typeface="Times New Roman"/>
      <a:ea typeface=""/>
      <a:cs typeface=""/>
    </a:majorFont>
    <a:minorFont>
      <a:latin typeface="Times New Roman"/>
      <a:ea typeface=""/>
      <a:cs typeface=""/>
    </a:minorFont>
  </a:fontScheme>
  <a:fmtScheme name="Waveform">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10.xml><?xml version="1.0" encoding="utf-8"?>
<b:Sources xmlns:b="http://schemas.openxmlformats.org/officeDocument/2006/bibliography" xmlns="http://schemas.openxmlformats.org/officeDocument/2006/bibliography" SelectedStyle="\HarvardAnglia2008OfficeOnline.xsl" StyleName="Harvard – Anglia 2008"/>
</file>

<file path=customXml/item11.xml><?xml version="1.0" encoding="utf-8"?>
<b:Sources xmlns:b="http://schemas.openxmlformats.org/officeDocument/2006/bibliography" xmlns="http://schemas.openxmlformats.org/officeDocument/2006/bibliography" SelectedStyle="\HarvardAnglia2008OfficeOnline.xsl" StyleName="Harvard – Anglia 2008"/>
</file>

<file path=customXml/item12.xml><?xml version="1.0" encoding="utf-8"?>
<b:Sources xmlns:b="http://schemas.openxmlformats.org/officeDocument/2006/bibliography" xmlns="http://schemas.openxmlformats.org/officeDocument/2006/bibliography" SelectedStyle="\HarvardAnglia2008OfficeOnline.xsl" StyleName="Harvard – Anglia 2008"/>
</file>

<file path=customXml/item13.xml><?xml version="1.0" encoding="utf-8"?>
<b:Sources xmlns:b="http://schemas.openxmlformats.org/officeDocument/2006/bibliography" xmlns="http://schemas.openxmlformats.org/officeDocument/2006/bibliography" SelectedStyle="\HarvardAnglia2008OfficeOnline.xsl" StyleName="Harvard – Anglia 2008"/>
</file>

<file path=customXml/item14.xml><?xml version="1.0" encoding="utf-8"?>
<b:Sources xmlns:b="http://schemas.openxmlformats.org/officeDocument/2006/bibliography" xmlns="http://schemas.openxmlformats.org/officeDocument/2006/bibliography" SelectedStyle="\HarvardAnglia2008OfficeOnline.xsl" StyleName="Harvard – Anglia 2008"/>
</file>

<file path=customXml/item15.xml><?xml version="1.0" encoding="utf-8"?>
<b:Sources xmlns:b="http://schemas.openxmlformats.org/officeDocument/2006/bibliography" xmlns="http://schemas.openxmlformats.org/officeDocument/2006/bibliography" SelectedStyle="\HarvardAnglia2008OfficeOnline.xsl" StyleName="Harvard – Anglia 2008"/>
</file>

<file path=customXml/item16.xml><?xml version="1.0" encoding="utf-8"?>
<b:Sources xmlns:b="http://schemas.openxmlformats.org/officeDocument/2006/bibliography" xmlns="http://schemas.openxmlformats.org/officeDocument/2006/bibliography" SelectedStyle="\HarvardAnglia2008OfficeOnline.xsl" StyleName="Harvard – Anglia 2008"/>
</file>

<file path=customXml/item17.xml><?xml version="1.0" encoding="utf-8"?>
<b:Sources xmlns:b="http://schemas.openxmlformats.org/officeDocument/2006/bibliography" xmlns="http://schemas.openxmlformats.org/officeDocument/2006/bibliography" SelectedStyle="\HarvardAnglia2008OfficeOnline.xsl" StyleName="Harvard – Anglia 2008"/>
</file>

<file path=customXml/item18.xml><?xml version="1.0" encoding="utf-8"?>
<b:Sources xmlns:b="http://schemas.openxmlformats.org/officeDocument/2006/bibliography" xmlns="http://schemas.openxmlformats.org/officeDocument/2006/bibliography" SelectedStyle="\HarvardAnglia2008OfficeOnline.xsl" StyleName="Harvard – Anglia 2008"/>
</file>

<file path=customXml/item19.xml><?xml version="1.0" encoding="utf-8"?>
<b:Sources xmlns:b="http://schemas.openxmlformats.org/officeDocument/2006/bibliography" xmlns="http://schemas.openxmlformats.org/officeDocument/2006/bibliography" SelectedStyle="\HarvardAnglia2008OfficeOnline.xsl" StyleName="Harvard – Anglia 2008"/>
</file>

<file path=customXml/item2.xml><?xml version="1.0" encoding="utf-8"?>
<b:Sources xmlns:b="http://schemas.openxmlformats.org/officeDocument/2006/bibliography" xmlns="http://schemas.openxmlformats.org/officeDocument/2006/bibliography" SelectedStyle="\HarvardAnglia2008OfficeOnline.xsl" StyleName="Harvard – Anglia 2008"/>
</file>

<file path=customXml/item20.xml><?xml version="1.0" encoding="utf-8"?>
<b:Sources xmlns:b="http://schemas.openxmlformats.org/officeDocument/2006/bibliography" xmlns="http://schemas.openxmlformats.org/officeDocument/2006/bibliography" SelectedStyle="\HarvardAnglia2008OfficeOnline.xsl" StyleName="Harvard – Anglia 2008"/>
</file>

<file path=customXml/item21.xml><?xml version="1.0" encoding="utf-8"?>
<b:Sources xmlns:b="http://schemas.openxmlformats.org/officeDocument/2006/bibliography" xmlns="http://schemas.openxmlformats.org/officeDocument/2006/bibliography" SelectedStyle="\HarvardAnglia2008OfficeOnline.xsl" StyleName="Harvard – Anglia 2008"/>
</file>

<file path=customXml/item22.xml><?xml version="1.0" encoding="utf-8"?>
<b:Sources xmlns:b="http://schemas.openxmlformats.org/officeDocument/2006/bibliography" xmlns="http://schemas.openxmlformats.org/officeDocument/2006/bibliography" SelectedStyle="\HarvardAnglia2008OfficeOnline.xsl" StyleName="Harvard – Anglia 2008"/>
</file>

<file path=customXml/item23.xml><?xml version="1.0" encoding="utf-8"?>
<b:Sources xmlns:b="http://schemas.openxmlformats.org/officeDocument/2006/bibliography" xmlns="http://schemas.openxmlformats.org/officeDocument/2006/bibliography" SelectedStyle="\HarvardAnglia2008OfficeOnline.xsl" StyleName="Harvard – Anglia 2008"/>
</file>

<file path=customXml/item24.xml><?xml version="1.0" encoding="utf-8"?>
<b:Sources xmlns:b="http://schemas.openxmlformats.org/officeDocument/2006/bibliography" xmlns="http://schemas.openxmlformats.org/officeDocument/2006/bibliography" SelectedStyle="\HarvardAnglia2008OfficeOnline.xsl" StyleName="Harvard – Anglia 2008"/>
</file>

<file path=customXml/item25.xml><?xml version="1.0" encoding="utf-8"?>
<b:Sources xmlns:b="http://schemas.openxmlformats.org/officeDocument/2006/bibliography" xmlns="http://schemas.openxmlformats.org/officeDocument/2006/bibliography" SelectedStyle="\HarvardAnglia2008OfficeOnline.xsl" StyleName="Harvard – Anglia 2008"/>
</file>

<file path=customXml/item26.xml><?xml version="1.0" encoding="utf-8"?>
<b:Sources xmlns:b="http://schemas.openxmlformats.org/officeDocument/2006/bibliography" xmlns="http://schemas.openxmlformats.org/officeDocument/2006/bibliography" SelectedStyle="\HarvardAnglia2008OfficeOnline.xsl" StyleName="Harvard – Anglia 2008"/>
</file>

<file path=customXml/item27.xml><?xml version="1.0" encoding="utf-8"?>
<b:Sources xmlns:b="http://schemas.openxmlformats.org/officeDocument/2006/bibliography" xmlns="http://schemas.openxmlformats.org/officeDocument/2006/bibliography" SelectedStyle="\HarvardAnglia2008OfficeOnline.xsl" StyleName="Harvard – Anglia 2008"/>
</file>

<file path=customXml/item3.xml><?xml version="1.0" encoding="utf-8"?>
<b:Sources xmlns:b="http://schemas.openxmlformats.org/officeDocument/2006/bibliography" xmlns="http://schemas.openxmlformats.org/officeDocument/2006/bibliography" SelectedStyle="\HarvardAnglia2008OfficeOnline.xsl" StyleName="Harvard – Anglia 2008"/>
</file>

<file path=customXml/item4.xml><?xml version="1.0" encoding="utf-8"?>
<b:Sources xmlns:b="http://schemas.openxmlformats.org/officeDocument/2006/bibliography" xmlns="http://schemas.openxmlformats.org/officeDocument/2006/bibliography" SelectedStyle="\HarvardAnglia2008OfficeOnline.xsl" StyleName="Harvard – Anglia 2008"/>
</file>

<file path=customXml/item5.xml><?xml version="1.0" encoding="utf-8"?>
<b:Sources xmlns:b="http://schemas.openxmlformats.org/officeDocument/2006/bibliography" xmlns="http://schemas.openxmlformats.org/officeDocument/2006/bibliography" SelectedStyle="\HarvardAnglia2008OfficeOnline.xsl" StyleName="Harvard – Anglia 2008"/>
</file>

<file path=customXml/item6.xml><?xml version="1.0" encoding="utf-8"?>
<b:Sources xmlns:b="http://schemas.openxmlformats.org/officeDocument/2006/bibliography" xmlns="http://schemas.openxmlformats.org/officeDocument/2006/bibliography" SelectedStyle="\HarvardAnglia2008OfficeOnline.xsl" StyleName="Harvard – Anglia 2008"/>
</file>

<file path=customXml/item7.xml><?xml version="1.0" encoding="utf-8"?>
<b:Sources xmlns:b="http://schemas.openxmlformats.org/officeDocument/2006/bibliography" xmlns="http://schemas.openxmlformats.org/officeDocument/2006/bibliography" SelectedStyle="\HarvardAnglia2008OfficeOnline.xsl" StyleName="Harvard – Anglia 2008"/>
</file>

<file path=customXml/item8.xml><?xml version="1.0" encoding="utf-8"?>
<b:Sources xmlns:b="http://schemas.openxmlformats.org/officeDocument/2006/bibliography" xmlns="http://schemas.openxmlformats.org/officeDocument/2006/bibliography" SelectedStyle="\HarvardAnglia2008OfficeOnline.xsl" StyleName="Harvard – Anglia 2008"/>
</file>

<file path=customXml/item9.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D2F60948-739C-43E6-8F5E-417636695833}">
  <ds:schemaRefs>
    <ds:schemaRef ds:uri="http://schemas.openxmlformats.org/officeDocument/2006/bibliography"/>
  </ds:schemaRefs>
</ds:datastoreItem>
</file>

<file path=customXml/itemProps10.xml><?xml version="1.0" encoding="utf-8"?>
<ds:datastoreItem xmlns:ds="http://schemas.openxmlformats.org/officeDocument/2006/customXml" ds:itemID="{404551B0-EF35-47F3-BF03-094BC66E5FFD}">
  <ds:schemaRefs>
    <ds:schemaRef ds:uri="http://schemas.openxmlformats.org/officeDocument/2006/bibliography"/>
  </ds:schemaRefs>
</ds:datastoreItem>
</file>

<file path=customXml/itemProps11.xml><?xml version="1.0" encoding="utf-8"?>
<ds:datastoreItem xmlns:ds="http://schemas.openxmlformats.org/officeDocument/2006/customXml" ds:itemID="{5BEC8681-BDF5-4223-92C5-71642C37D296}">
  <ds:schemaRefs>
    <ds:schemaRef ds:uri="http://schemas.openxmlformats.org/officeDocument/2006/bibliography"/>
  </ds:schemaRefs>
</ds:datastoreItem>
</file>

<file path=customXml/itemProps12.xml><?xml version="1.0" encoding="utf-8"?>
<ds:datastoreItem xmlns:ds="http://schemas.openxmlformats.org/officeDocument/2006/customXml" ds:itemID="{365ECE18-8B59-497D-BB7B-1A612708336C}">
  <ds:schemaRefs>
    <ds:schemaRef ds:uri="http://schemas.openxmlformats.org/officeDocument/2006/bibliography"/>
  </ds:schemaRefs>
</ds:datastoreItem>
</file>

<file path=customXml/itemProps13.xml><?xml version="1.0" encoding="utf-8"?>
<ds:datastoreItem xmlns:ds="http://schemas.openxmlformats.org/officeDocument/2006/customXml" ds:itemID="{A3A3A2F4-C996-4667-A564-792BC38A2923}">
  <ds:schemaRefs>
    <ds:schemaRef ds:uri="http://schemas.openxmlformats.org/officeDocument/2006/bibliography"/>
  </ds:schemaRefs>
</ds:datastoreItem>
</file>

<file path=customXml/itemProps14.xml><?xml version="1.0" encoding="utf-8"?>
<ds:datastoreItem xmlns:ds="http://schemas.openxmlformats.org/officeDocument/2006/customXml" ds:itemID="{96AED458-FB17-4C99-9834-944BF6FFB204}">
  <ds:schemaRefs>
    <ds:schemaRef ds:uri="http://schemas.openxmlformats.org/officeDocument/2006/bibliography"/>
  </ds:schemaRefs>
</ds:datastoreItem>
</file>

<file path=customXml/itemProps15.xml><?xml version="1.0" encoding="utf-8"?>
<ds:datastoreItem xmlns:ds="http://schemas.openxmlformats.org/officeDocument/2006/customXml" ds:itemID="{A416D84C-0C47-487D-9533-536D57BB38D4}">
  <ds:schemaRefs>
    <ds:schemaRef ds:uri="http://schemas.openxmlformats.org/officeDocument/2006/bibliography"/>
  </ds:schemaRefs>
</ds:datastoreItem>
</file>

<file path=customXml/itemProps16.xml><?xml version="1.0" encoding="utf-8"?>
<ds:datastoreItem xmlns:ds="http://schemas.openxmlformats.org/officeDocument/2006/customXml" ds:itemID="{227CC6E3-1E05-4420-9726-1F70CE5D78AF}">
  <ds:schemaRefs>
    <ds:schemaRef ds:uri="http://schemas.openxmlformats.org/officeDocument/2006/bibliography"/>
  </ds:schemaRefs>
</ds:datastoreItem>
</file>

<file path=customXml/itemProps17.xml><?xml version="1.0" encoding="utf-8"?>
<ds:datastoreItem xmlns:ds="http://schemas.openxmlformats.org/officeDocument/2006/customXml" ds:itemID="{E42F7DE3-2278-4034-864F-149CA3954909}">
  <ds:schemaRefs>
    <ds:schemaRef ds:uri="http://schemas.openxmlformats.org/officeDocument/2006/bibliography"/>
  </ds:schemaRefs>
</ds:datastoreItem>
</file>

<file path=customXml/itemProps18.xml><?xml version="1.0" encoding="utf-8"?>
<ds:datastoreItem xmlns:ds="http://schemas.openxmlformats.org/officeDocument/2006/customXml" ds:itemID="{BC1B0E85-EA68-433C-B8AB-B23B79A68CC8}">
  <ds:schemaRefs>
    <ds:schemaRef ds:uri="http://schemas.openxmlformats.org/officeDocument/2006/bibliography"/>
  </ds:schemaRefs>
</ds:datastoreItem>
</file>

<file path=customXml/itemProps19.xml><?xml version="1.0" encoding="utf-8"?>
<ds:datastoreItem xmlns:ds="http://schemas.openxmlformats.org/officeDocument/2006/customXml" ds:itemID="{3DB2F91B-9EE1-4972-9B1D-F812268275D0}">
  <ds:schemaRefs>
    <ds:schemaRef ds:uri="http://schemas.openxmlformats.org/officeDocument/2006/bibliography"/>
  </ds:schemaRefs>
</ds:datastoreItem>
</file>

<file path=customXml/itemProps2.xml><?xml version="1.0" encoding="utf-8"?>
<ds:datastoreItem xmlns:ds="http://schemas.openxmlformats.org/officeDocument/2006/customXml" ds:itemID="{9B5F653B-1237-49D6-B27E-BEF5D8EBB3EC}">
  <ds:schemaRefs>
    <ds:schemaRef ds:uri="http://schemas.openxmlformats.org/officeDocument/2006/bibliography"/>
  </ds:schemaRefs>
</ds:datastoreItem>
</file>

<file path=customXml/itemProps20.xml><?xml version="1.0" encoding="utf-8"?>
<ds:datastoreItem xmlns:ds="http://schemas.openxmlformats.org/officeDocument/2006/customXml" ds:itemID="{02748FB6-537E-44F2-98D5-E129C81C17B7}">
  <ds:schemaRefs>
    <ds:schemaRef ds:uri="http://schemas.openxmlformats.org/officeDocument/2006/bibliography"/>
  </ds:schemaRefs>
</ds:datastoreItem>
</file>

<file path=customXml/itemProps21.xml><?xml version="1.0" encoding="utf-8"?>
<ds:datastoreItem xmlns:ds="http://schemas.openxmlformats.org/officeDocument/2006/customXml" ds:itemID="{CE68C98A-F961-4A14-9BD7-5024FEBA7939}">
  <ds:schemaRefs>
    <ds:schemaRef ds:uri="http://schemas.openxmlformats.org/officeDocument/2006/bibliography"/>
  </ds:schemaRefs>
</ds:datastoreItem>
</file>

<file path=customXml/itemProps22.xml><?xml version="1.0" encoding="utf-8"?>
<ds:datastoreItem xmlns:ds="http://schemas.openxmlformats.org/officeDocument/2006/customXml" ds:itemID="{10F2EED8-17AA-41DB-BE77-16AC31373A64}">
  <ds:schemaRefs>
    <ds:schemaRef ds:uri="http://schemas.openxmlformats.org/officeDocument/2006/bibliography"/>
  </ds:schemaRefs>
</ds:datastoreItem>
</file>

<file path=customXml/itemProps23.xml><?xml version="1.0" encoding="utf-8"?>
<ds:datastoreItem xmlns:ds="http://schemas.openxmlformats.org/officeDocument/2006/customXml" ds:itemID="{886050F8-B470-4EA1-93C9-38DEF891D4C2}">
  <ds:schemaRefs>
    <ds:schemaRef ds:uri="http://schemas.openxmlformats.org/officeDocument/2006/bibliography"/>
  </ds:schemaRefs>
</ds:datastoreItem>
</file>

<file path=customXml/itemProps24.xml><?xml version="1.0" encoding="utf-8"?>
<ds:datastoreItem xmlns:ds="http://schemas.openxmlformats.org/officeDocument/2006/customXml" ds:itemID="{C68E7EA4-8C7F-44C2-85BE-B2F5EEBBDFAC}">
  <ds:schemaRefs>
    <ds:schemaRef ds:uri="http://schemas.openxmlformats.org/officeDocument/2006/bibliography"/>
  </ds:schemaRefs>
</ds:datastoreItem>
</file>

<file path=customXml/itemProps25.xml><?xml version="1.0" encoding="utf-8"?>
<ds:datastoreItem xmlns:ds="http://schemas.openxmlformats.org/officeDocument/2006/customXml" ds:itemID="{995F1BCE-A579-4631-BEBE-625635D48A99}">
  <ds:schemaRefs>
    <ds:schemaRef ds:uri="http://schemas.openxmlformats.org/officeDocument/2006/bibliography"/>
  </ds:schemaRefs>
</ds:datastoreItem>
</file>

<file path=customXml/itemProps26.xml><?xml version="1.0" encoding="utf-8"?>
<ds:datastoreItem xmlns:ds="http://schemas.openxmlformats.org/officeDocument/2006/customXml" ds:itemID="{C6529D12-827E-4A77-BEC3-94C5AE929C43}">
  <ds:schemaRefs>
    <ds:schemaRef ds:uri="http://schemas.openxmlformats.org/officeDocument/2006/bibliography"/>
  </ds:schemaRefs>
</ds:datastoreItem>
</file>

<file path=customXml/itemProps27.xml><?xml version="1.0" encoding="utf-8"?>
<ds:datastoreItem xmlns:ds="http://schemas.openxmlformats.org/officeDocument/2006/customXml" ds:itemID="{968F71D4-605E-4504-B67E-5529CD044D17}">
  <ds:schemaRefs>
    <ds:schemaRef ds:uri="http://schemas.openxmlformats.org/officeDocument/2006/bibliography"/>
  </ds:schemaRefs>
</ds:datastoreItem>
</file>

<file path=customXml/itemProps3.xml><?xml version="1.0" encoding="utf-8"?>
<ds:datastoreItem xmlns:ds="http://schemas.openxmlformats.org/officeDocument/2006/customXml" ds:itemID="{82D960AD-6468-4637-99D5-7B631BEADA4C}">
  <ds:schemaRefs>
    <ds:schemaRef ds:uri="http://schemas.openxmlformats.org/officeDocument/2006/bibliography"/>
  </ds:schemaRefs>
</ds:datastoreItem>
</file>

<file path=customXml/itemProps4.xml><?xml version="1.0" encoding="utf-8"?>
<ds:datastoreItem xmlns:ds="http://schemas.openxmlformats.org/officeDocument/2006/customXml" ds:itemID="{60F53991-6DD1-4C40-B4BF-F524CA377B0B}">
  <ds:schemaRefs>
    <ds:schemaRef ds:uri="http://schemas.openxmlformats.org/officeDocument/2006/bibliography"/>
  </ds:schemaRefs>
</ds:datastoreItem>
</file>

<file path=customXml/itemProps5.xml><?xml version="1.0" encoding="utf-8"?>
<ds:datastoreItem xmlns:ds="http://schemas.openxmlformats.org/officeDocument/2006/customXml" ds:itemID="{4F438E21-E03E-43B4-A056-AEABA40024C8}">
  <ds:schemaRefs>
    <ds:schemaRef ds:uri="http://schemas.openxmlformats.org/officeDocument/2006/bibliography"/>
  </ds:schemaRefs>
</ds:datastoreItem>
</file>

<file path=customXml/itemProps6.xml><?xml version="1.0" encoding="utf-8"?>
<ds:datastoreItem xmlns:ds="http://schemas.openxmlformats.org/officeDocument/2006/customXml" ds:itemID="{9D3DF5D2-39E7-406F-B6D5-60993253C2C1}">
  <ds:schemaRefs>
    <ds:schemaRef ds:uri="http://schemas.openxmlformats.org/officeDocument/2006/bibliography"/>
  </ds:schemaRefs>
</ds:datastoreItem>
</file>

<file path=customXml/itemProps7.xml><?xml version="1.0" encoding="utf-8"?>
<ds:datastoreItem xmlns:ds="http://schemas.openxmlformats.org/officeDocument/2006/customXml" ds:itemID="{A3041981-34FF-43FE-BF43-C22C422AABDD}">
  <ds:schemaRefs>
    <ds:schemaRef ds:uri="http://schemas.openxmlformats.org/officeDocument/2006/bibliography"/>
  </ds:schemaRefs>
</ds:datastoreItem>
</file>

<file path=customXml/itemProps8.xml><?xml version="1.0" encoding="utf-8"?>
<ds:datastoreItem xmlns:ds="http://schemas.openxmlformats.org/officeDocument/2006/customXml" ds:itemID="{45A59276-D842-4ECA-8A14-C4C6C9722376}">
  <ds:schemaRefs>
    <ds:schemaRef ds:uri="http://schemas.openxmlformats.org/officeDocument/2006/bibliography"/>
  </ds:schemaRefs>
</ds:datastoreItem>
</file>

<file path=customXml/itemProps9.xml><?xml version="1.0" encoding="utf-8"?>
<ds:datastoreItem xmlns:ds="http://schemas.openxmlformats.org/officeDocument/2006/customXml" ds:itemID="{2D64BEDC-4641-4193-918D-55440914AF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9026</TotalTime>
  <Pages>104</Pages>
  <Words>41622</Words>
  <Characters>237246</Characters>
  <Application>Microsoft Office Word</Application>
  <DocSecurity>0</DocSecurity>
  <Lines>1977</Lines>
  <Paragraphs>556</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КОНВЕРГЕНТНА ПРОГРАМА, 2022-2025</vt:lpstr>
      <vt:lpstr>КОНВЕРГЕНТНА ПРОГРАМА, 2013-2016</vt:lpstr>
    </vt:vector>
  </TitlesOfParts>
  <Company/>
  <LinksUpToDate>false</LinksUpToDate>
  <CharactersWithSpaces>278312</CharactersWithSpaces>
  <SharedDoc>false</SharedDoc>
  <HLinks>
    <vt:vector size="210" baseType="variant">
      <vt:variant>
        <vt:i4>7733328</vt:i4>
      </vt:variant>
      <vt:variant>
        <vt:i4>213</vt:i4>
      </vt:variant>
      <vt:variant>
        <vt:i4>0</vt:i4>
      </vt:variant>
      <vt:variant>
        <vt:i4>5</vt:i4>
      </vt:variant>
      <vt:variant>
        <vt:lpwstr>\\Kaloyan\Shared\convergence_2007\code of conduct tables-post EFC_labour.xls</vt:lpwstr>
      </vt:variant>
      <vt:variant>
        <vt:lpwstr>RANGE!_ftn5#RANGE!_ftn5</vt:lpwstr>
      </vt:variant>
      <vt:variant>
        <vt:i4>1114173</vt:i4>
      </vt:variant>
      <vt:variant>
        <vt:i4>200</vt:i4>
      </vt:variant>
      <vt:variant>
        <vt:i4>0</vt:i4>
      </vt:variant>
      <vt:variant>
        <vt:i4>5</vt:i4>
      </vt:variant>
      <vt:variant>
        <vt:lpwstr/>
      </vt:variant>
      <vt:variant>
        <vt:lpwstr>_Toc382388458</vt:lpwstr>
      </vt:variant>
      <vt:variant>
        <vt:i4>1114173</vt:i4>
      </vt:variant>
      <vt:variant>
        <vt:i4>194</vt:i4>
      </vt:variant>
      <vt:variant>
        <vt:i4>0</vt:i4>
      </vt:variant>
      <vt:variant>
        <vt:i4>5</vt:i4>
      </vt:variant>
      <vt:variant>
        <vt:lpwstr/>
      </vt:variant>
      <vt:variant>
        <vt:lpwstr>_Toc382388457</vt:lpwstr>
      </vt:variant>
      <vt:variant>
        <vt:i4>1114173</vt:i4>
      </vt:variant>
      <vt:variant>
        <vt:i4>188</vt:i4>
      </vt:variant>
      <vt:variant>
        <vt:i4>0</vt:i4>
      </vt:variant>
      <vt:variant>
        <vt:i4>5</vt:i4>
      </vt:variant>
      <vt:variant>
        <vt:lpwstr/>
      </vt:variant>
      <vt:variant>
        <vt:lpwstr>_Toc382388456</vt:lpwstr>
      </vt:variant>
      <vt:variant>
        <vt:i4>1114173</vt:i4>
      </vt:variant>
      <vt:variant>
        <vt:i4>182</vt:i4>
      </vt:variant>
      <vt:variant>
        <vt:i4>0</vt:i4>
      </vt:variant>
      <vt:variant>
        <vt:i4>5</vt:i4>
      </vt:variant>
      <vt:variant>
        <vt:lpwstr/>
      </vt:variant>
      <vt:variant>
        <vt:lpwstr>_Toc382388455</vt:lpwstr>
      </vt:variant>
      <vt:variant>
        <vt:i4>1114173</vt:i4>
      </vt:variant>
      <vt:variant>
        <vt:i4>176</vt:i4>
      </vt:variant>
      <vt:variant>
        <vt:i4>0</vt:i4>
      </vt:variant>
      <vt:variant>
        <vt:i4>5</vt:i4>
      </vt:variant>
      <vt:variant>
        <vt:lpwstr/>
      </vt:variant>
      <vt:variant>
        <vt:lpwstr>_Toc382388454</vt:lpwstr>
      </vt:variant>
      <vt:variant>
        <vt:i4>1114173</vt:i4>
      </vt:variant>
      <vt:variant>
        <vt:i4>170</vt:i4>
      </vt:variant>
      <vt:variant>
        <vt:i4>0</vt:i4>
      </vt:variant>
      <vt:variant>
        <vt:i4>5</vt:i4>
      </vt:variant>
      <vt:variant>
        <vt:lpwstr/>
      </vt:variant>
      <vt:variant>
        <vt:lpwstr>_Toc382388453</vt:lpwstr>
      </vt:variant>
      <vt:variant>
        <vt:i4>1114173</vt:i4>
      </vt:variant>
      <vt:variant>
        <vt:i4>164</vt:i4>
      </vt:variant>
      <vt:variant>
        <vt:i4>0</vt:i4>
      </vt:variant>
      <vt:variant>
        <vt:i4>5</vt:i4>
      </vt:variant>
      <vt:variant>
        <vt:lpwstr/>
      </vt:variant>
      <vt:variant>
        <vt:lpwstr>_Toc382388452</vt:lpwstr>
      </vt:variant>
      <vt:variant>
        <vt:i4>1114173</vt:i4>
      </vt:variant>
      <vt:variant>
        <vt:i4>158</vt:i4>
      </vt:variant>
      <vt:variant>
        <vt:i4>0</vt:i4>
      </vt:variant>
      <vt:variant>
        <vt:i4>5</vt:i4>
      </vt:variant>
      <vt:variant>
        <vt:lpwstr/>
      </vt:variant>
      <vt:variant>
        <vt:lpwstr>_Toc382388451</vt:lpwstr>
      </vt:variant>
      <vt:variant>
        <vt:i4>1114173</vt:i4>
      </vt:variant>
      <vt:variant>
        <vt:i4>152</vt:i4>
      </vt:variant>
      <vt:variant>
        <vt:i4>0</vt:i4>
      </vt:variant>
      <vt:variant>
        <vt:i4>5</vt:i4>
      </vt:variant>
      <vt:variant>
        <vt:lpwstr/>
      </vt:variant>
      <vt:variant>
        <vt:lpwstr>_Toc382388450</vt:lpwstr>
      </vt:variant>
      <vt:variant>
        <vt:i4>1048637</vt:i4>
      </vt:variant>
      <vt:variant>
        <vt:i4>146</vt:i4>
      </vt:variant>
      <vt:variant>
        <vt:i4>0</vt:i4>
      </vt:variant>
      <vt:variant>
        <vt:i4>5</vt:i4>
      </vt:variant>
      <vt:variant>
        <vt:lpwstr/>
      </vt:variant>
      <vt:variant>
        <vt:lpwstr>_Toc382388449</vt:lpwstr>
      </vt:variant>
      <vt:variant>
        <vt:i4>1048637</vt:i4>
      </vt:variant>
      <vt:variant>
        <vt:i4>140</vt:i4>
      </vt:variant>
      <vt:variant>
        <vt:i4>0</vt:i4>
      </vt:variant>
      <vt:variant>
        <vt:i4>5</vt:i4>
      </vt:variant>
      <vt:variant>
        <vt:lpwstr/>
      </vt:variant>
      <vt:variant>
        <vt:lpwstr>_Toc382388448</vt:lpwstr>
      </vt:variant>
      <vt:variant>
        <vt:i4>1048637</vt:i4>
      </vt:variant>
      <vt:variant>
        <vt:i4>134</vt:i4>
      </vt:variant>
      <vt:variant>
        <vt:i4>0</vt:i4>
      </vt:variant>
      <vt:variant>
        <vt:i4>5</vt:i4>
      </vt:variant>
      <vt:variant>
        <vt:lpwstr/>
      </vt:variant>
      <vt:variant>
        <vt:lpwstr>_Toc382388447</vt:lpwstr>
      </vt:variant>
      <vt:variant>
        <vt:i4>1048637</vt:i4>
      </vt:variant>
      <vt:variant>
        <vt:i4>128</vt:i4>
      </vt:variant>
      <vt:variant>
        <vt:i4>0</vt:i4>
      </vt:variant>
      <vt:variant>
        <vt:i4>5</vt:i4>
      </vt:variant>
      <vt:variant>
        <vt:lpwstr/>
      </vt:variant>
      <vt:variant>
        <vt:lpwstr>_Toc382388446</vt:lpwstr>
      </vt:variant>
      <vt:variant>
        <vt:i4>1048637</vt:i4>
      </vt:variant>
      <vt:variant>
        <vt:i4>122</vt:i4>
      </vt:variant>
      <vt:variant>
        <vt:i4>0</vt:i4>
      </vt:variant>
      <vt:variant>
        <vt:i4>5</vt:i4>
      </vt:variant>
      <vt:variant>
        <vt:lpwstr/>
      </vt:variant>
      <vt:variant>
        <vt:lpwstr>_Toc382388445</vt:lpwstr>
      </vt:variant>
      <vt:variant>
        <vt:i4>1048637</vt:i4>
      </vt:variant>
      <vt:variant>
        <vt:i4>116</vt:i4>
      </vt:variant>
      <vt:variant>
        <vt:i4>0</vt:i4>
      </vt:variant>
      <vt:variant>
        <vt:i4>5</vt:i4>
      </vt:variant>
      <vt:variant>
        <vt:lpwstr/>
      </vt:variant>
      <vt:variant>
        <vt:lpwstr>_Toc382388444</vt:lpwstr>
      </vt:variant>
      <vt:variant>
        <vt:i4>1048637</vt:i4>
      </vt:variant>
      <vt:variant>
        <vt:i4>110</vt:i4>
      </vt:variant>
      <vt:variant>
        <vt:i4>0</vt:i4>
      </vt:variant>
      <vt:variant>
        <vt:i4>5</vt:i4>
      </vt:variant>
      <vt:variant>
        <vt:lpwstr/>
      </vt:variant>
      <vt:variant>
        <vt:lpwstr>_Toc382388443</vt:lpwstr>
      </vt:variant>
      <vt:variant>
        <vt:i4>1048637</vt:i4>
      </vt:variant>
      <vt:variant>
        <vt:i4>104</vt:i4>
      </vt:variant>
      <vt:variant>
        <vt:i4>0</vt:i4>
      </vt:variant>
      <vt:variant>
        <vt:i4>5</vt:i4>
      </vt:variant>
      <vt:variant>
        <vt:lpwstr/>
      </vt:variant>
      <vt:variant>
        <vt:lpwstr>_Toc382388442</vt:lpwstr>
      </vt:variant>
      <vt:variant>
        <vt:i4>1048637</vt:i4>
      </vt:variant>
      <vt:variant>
        <vt:i4>98</vt:i4>
      </vt:variant>
      <vt:variant>
        <vt:i4>0</vt:i4>
      </vt:variant>
      <vt:variant>
        <vt:i4>5</vt:i4>
      </vt:variant>
      <vt:variant>
        <vt:lpwstr/>
      </vt:variant>
      <vt:variant>
        <vt:lpwstr>_Toc382388441</vt:lpwstr>
      </vt:variant>
      <vt:variant>
        <vt:i4>1048637</vt:i4>
      </vt:variant>
      <vt:variant>
        <vt:i4>92</vt:i4>
      </vt:variant>
      <vt:variant>
        <vt:i4>0</vt:i4>
      </vt:variant>
      <vt:variant>
        <vt:i4>5</vt:i4>
      </vt:variant>
      <vt:variant>
        <vt:lpwstr/>
      </vt:variant>
      <vt:variant>
        <vt:lpwstr>_Toc382388440</vt:lpwstr>
      </vt:variant>
      <vt:variant>
        <vt:i4>1507389</vt:i4>
      </vt:variant>
      <vt:variant>
        <vt:i4>86</vt:i4>
      </vt:variant>
      <vt:variant>
        <vt:i4>0</vt:i4>
      </vt:variant>
      <vt:variant>
        <vt:i4>5</vt:i4>
      </vt:variant>
      <vt:variant>
        <vt:lpwstr/>
      </vt:variant>
      <vt:variant>
        <vt:lpwstr>_Toc382388439</vt:lpwstr>
      </vt:variant>
      <vt:variant>
        <vt:i4>1507389</vt:i4>
      </vt:variant>
      <vt:variant>
        <vt:i4>80</vt:i4>
      </vt:variant>
      <vt:variant>
        <vt:i4>0</vt:i4>
      </vt:variant>
      <vt:variant>
        <vt:i4>5</vt:i4>
      </vt:variant>
      <vt:variant>
        <vt:lpwstr/>
      </vt:variant>
      <vt:variant>
        <vt:lpwstr>_Toc382388438</vt:lpwstr>
      </vt:variant>
      <vt:variant>
        <vt:i4>1507389</vt:i4>
      </vt:variant>
      <vt:variant>
        <vt:i4>74</vt:i4>
      </vt:variant>
      <vt:variant>
        <vt:i4>0</vt:i4>
      </vt:variant>
      <vt:variant>
        <vt:i4>5</vt:i4>
      </vt:variant>
      <vt:variant>
        <vt:lpwstr/>
      </vt:variant>
      <vt:variant>
        <vt:lpwstr>_Toc382388437</vt:lpwstr>
      </vt:variant>
      <vt:variant>
        <vt:i4>1507389</vt:i4>
      </vt:variant>
      <vt:variant>
        <vt:i4>68</vt:i4>
      </vt:variant>
      <vt:variant>
        <vt:i4>0</vt:i4>
      </vt:variant>
      <vt:variant>
        <vt:i4>5</vt:i4>
      </vt:variant>
      <vt:variant>
        <vt:lpwstr/>
      </vt:variant>
      <vt:variant>
        <vt:lpwstr>_Toc382388436</vt:lpwstr>
      </vt:variant>
      <vt:variant>
        <vt:i4>1507389</vt:i4>
      </vt:variant>
      <vt:variant>
        <vt:i4>62</vt:i4>
      </vt:variant>
      <vt:variant>
        <vt:i4>0</vt:i4>
      </vt:variant>
      <vt:variant>
        <vt:i4>5</vt:i4>
      </vt:variant>
      <vt:variant>
        <vt:lpwstr/>
      </vt:variant>
      <vt:variant>
        <vt:lpwstr>_Toc382388435</vt:lpwstr>
      </vt:variant>
      <vt:variant>
        <vt:i4>1507389</vt:i4>
      </vt:variant>
      <vt:variant>
        <vt:i4>56</vt:i4>
      </vt:variant>
      <vt:variant>
        <vt:i4>0</vt:i4>
      </vt:variant>
      <vt:variant>
        <vt:i4>5</vt:i4>
      </vt:variant>
      <vt:variant>
        <vt:lpwstr/>
      </vt:variant>
      <vt:variant>
        <vt:lpwstr>_Toc382388434</vt:lpwstr>
      </vt:variant>
      <vt:variant>
        <vt:i4>1507389</vt:i4>
      </vt:variant>
      <vt:variant>
        <vt:i4>50</vt:i4>
      </vt:variant>
      <vt:variant>
        <vt:i4>0</vt:i4>
      </vt:variant>
      <vt:variant>
        <vt:i4>5</vt:i4>
      </vt:variant>
      <vt:variant>
        <vt:lpwstr/>
      </vt:variant>
      <vt:variant>
        <vt:lpwstr>_Toc382388433</vt:lpwstr>
      </vt:variant>
      <vt:variant>
        <vt:i4>1507389</vt:i4>
      </vt:variant>
      <vt:variant>
        <vt:i4>44</vt:i4>
      </vt:variant>
      <vt:variant>
        <vt:i4>0</vt:i4>
      </vt:variant>
      <vt:variant>
        <vt:i4>5</vt:i4>
      </vt:variant>
      <vt:variant>
        <vt:lpwstr/>
      </vt:variant>
      <vt:variant>
        <vt:lpwstr>_Toc382388432</vt:lpwstr>
      </vt:variant>
      <vt:variant>
        <vt:i4>1507389</vt:i4>
      </vt:variant>
      <vt:variant>
        <vt:i4>38</vt:i4>
      </vt:variant>
      <vt:variant>
        <vt:i4>0</vt:i4>
      </vt:variant>
      <vt:variant>
        <vt:i4>5</vt:i4>
      </vt:variant>
      <vt:variant>
        <vt:lpwstr/>
      </vt:variant>
      <vt:variant>
        <vt:lpwstr>_Toc382388431</vt:lpwstr>
      </vt:variant>
      <vt:variant>
        <vt:i4>1507389</vt:i4>
      </vt:variant>
      <vt:variant>
        <vt:i4>32</vt:i4>
      </vt:variant>
      <vt:variant>
        <vt:i4>0</vt:i4>
      </vt:variant>
      <vt:variant>
        <vt:i4>5</vt:i4>
      </vt:variant>
      <vt:variant>
        <vt:lpwstr/>
      </vt:variant>
      <vt:variant>
        <vt:lpwstr>_Toc382388430</vt:lpwstr>
      </vt:variant>
      <vt:variant>
        <vt:i4>1441853</vt:i4>
      </vt:variant>
      <vt:variant>
        <vt:i4>26</vt:i4>
      </vt:variant>
      <vt:variant>
        <vt:i4>0</vt:i4>
      </vt:variant>
      <vt:variant>
        <vt:i4>5</vt:i4>
      </vt:variant>
      <vt:variant>
        <vt:lpwstr/>
      </vt:variant>
      <vt:variant>
        <vt:lpwstr>_Toc382388429</vt:lpwstr>
      </vt:variant>
      <vt:variant>
        <vt:i4>1441853</vt:i4>
      </vt:variant>
      <vt:variant>
        <vt:i4>20</vt:i4>
      </vt:variant>
      <vt:variant>
        <vt:i4>0</vt:i4>
      </vt:variant>
      <vt:variant>
        <vt:i4>5</vt:i4>
      </vt:variant>
      <vt:variant>
        <vt:lpwstr/>
      </vt:variant>
      <vt:variant>
        <vt:lpwstr>_Toc382388428</vt:lpwstr>
      </vt:variant>
      <vt:variant>
        <vt:i4>1441853</vt:i4>
      </vt:variant>
      <vt:variant>
        <vt:i4>14</vt:i4>
      </vt:variant>
      <vt:variant>
        <vt:i4>0</vt:i4>
      </vt:variant>
      <vt:variant>
        <vt:i4>5</vt:i4>
      </vt:variant>
      <vt:variant>
        <vt:lpwstr/>
      </vt:variant>
      <vt:variant>
        <vt:lpwstr>_Toc382388427</vt:lpwstr>
      </vt:variant>
      <vt:variant>
        <vt:i4>1441853</vt:i4>
      </vt:variant>
      <vt:variant>
        <vt:i4>8</vt:i4>
      </vt:variant>
      <vt:variant>
        <vt:i4>0</vt:i4>
      </vt:variant>
      <vt:variant>
        <vt:i4>5</vt:i4>
      </vt:variant>
      <vt:variant>
        <vt:lpwstr/>
      </vt:variant>
      <vt:variant>
        <vt:lpwstr>_Toc382388426</vt:lpwstr>
      </vt:variant>
      <vt:variant>
        <vt:i4>1441853</vt:i4>
      </vt:variant>
      <vt:variant>
        <vt:i4>2</vt:i4>
      </vt:variant>
      <vt:variant>
        <vt:i4>0</vt:i4>
      </vt:variant>
      <vt:variant>
        <vt:i4>5</vt:i4>
      </vt:variant>
      <vt:variant>
        <vt:lpwstr/>
      </vt:variant>
      <vt:variant>
        <vt:lpwstr>_Toc382388425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КОНВЕРГЕНТНА ПРОГРАМА, 2022-2025</dc:title>
  <dc:creator>МФ</dc:creator>
  <cp:lastModifiedBy>Красимир Гиздавков</cp:lastModifiedBy>
  <cp:revision>609</cp:revision>
  <cp:lastPrinted>2023-04-28T08:22:00Z</cp:lastPrinted>
  <dcterms:created xsi:type="dcterms:W3CDTF">2021-04-29T10:54:00Z</dcterms:created>
  <dcterms:modified xsi:type="dcterms:W3CDTF">2023-05-04T11:00:00Z</dcterms:modified>
</cp:coreProperties>
</file>