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0C1A4" w14:textId="77777777" w:rsidR="002239F4" w:rsidRDefault="002239F4"/>
    <w:p w14:paraId="0C8B83F7" w14:textId="35C73659" w:rsidR="0091774D" w:rsidRPr="0091774D" w:rsidRDefault="0091774D" w:rsidP="0091774D">
      <w:pPr>
        <w:pBdr>
          <w:bottom w:val="single" w:sz="6" w:space="1" w:color="auto"/>
        </w:pBdr>
        <w:spacing w:after="0" w:line="240" w:lineRule="auto"/>
        <w:ind w:firstLine="720"/>
        <w:jc w:val="right"/>
        <w:rPr>
          <w:rFonts w:ascii="Garamond" w:eastAsia="Times New Roman" w:hAnsi="Garamond" w:cs="Times New Roman"/>
          <w:b/>
          <w:color w:val="000000"/>
          <w:sz w:val="32"/>
          <w:szCs w:val="32"/>
        </w:rPr>
      </w:pPr>
      <w:r w:rsidRPr="0091774D">
        <w:rPr>
          <w:rFonts w:ascii="Garamond" w:eastAsia="Times New Roman" w:hAnsi="Garamond" w:cs="Times New Roman"/>
          <w:b/>
          <w:color w:val="000000"/>
          <w:sz w:val="32"/>
          <w:szCs w:val="32"/>
        </w:rPr>
        <w:t>ПРИЛОЖЕНИЕ 1.</w:t>
      </w:r>
      <w:r>
        <w:rPr>
          <w:rFonts w:ascii="Garamond" w:eastAsia="Times New Roman" w:hAnsi="Garamond" w:cs="Times New Roman"/>
          <w:b/>
          <w:color w:val="000000"/>
          <w:sz w:val="32"/>
          <w:szCs w:val="32"/>
        </w:rPr>
        <w:t>21.1.1</w:t>
      </w:r>
    </w:p>
    <w:p w14:paraId="5F525ED7" w14:textId="77777777" w:rsidR="0091774D" w:rsidRPr="0091774D" w:rsidRDefault="0091774D" w:rsidP="0091774D">
      <w:pPr>
        <w:spacing w:after="0" w:line="240" w:lineRule="auto"/>
        <w:ind w:firstLine="720"/>
        <w:jc w:val="right"/>
        <w:rPr>
          <w:rFonts w:ascii="Garamond" w:eastAsia="Times New Roman" w:hAnsi="Garamond" w:cs="Times New Roman"/>
          <w:b/>
          <w:color w:val="000000"/>
          <w:sz w:val="32"/>
          <w:szCs w:val="32"/>
        </w:rPr>
      </w:pPr>
    </w:p>
    <w:p w14:paraId="7FCF85B4" w14:textId="367CD644" w:rsidR="00550F00" w:rsidRPr="00C56EAE" w:rsidRDefault="00550F00" w:rsidP="0091774D">
      <w:pPr>
        <w:spacing w:after="120" w:line="276" w:lineRule="auto"/>
        <w:jc w:val="center"/>
        <w:outlineLvl w:val="3"/>
        <w:rPr>
          <w:rFonts w:ascii="Garamond" w:eastAsia="Calibri" w:hAnsi="Garamond" w:cs="Times New Roman"/>
          <w:b/>
          <w:sz w:val="24"/>
          <w:lang w:eastAsia="bg-BG"/>
        </w:rPr>
      </w:pPr>
      <w:r w:rsidRPr="00C56EAE">
        <w:rPr>
          <w:rFonts w:ascii="Garamond" w:eastAsia="Calibri" w:hAnsi="Garamond" w:cs="Times New Roman"/>
          <w:b/>
          <w:sz w:val="24"/>
          <w:lang w:eastAsia="bg-BG"/>
        </w:rPr>
        <w:t>Уязвимост по отношение на констатирани антропогенни въздействия и дейности, както и уязвимостта от естествени фактори.</w:t>
      </w:r>
    </w:p>
    <w:p w14:paraId="231EC711" w14:textId="77777777" w:rsidR="007B63B9" w:rsidRPr="007B63B9" w:rsidRDefault="007B63B9" w:rsidP="007B63B9">
      <w:pPr>
        <w:spacing w:after="0" w:line="240" w:lineRule="auto"/>
        <w:jc w:val="both"/>
        <w:rPr>
          <w:rFonts w:ascii="Arial" w:eastAsia="Times New Roman" w:hAnsi="Arial" w:cs="Arial"/>
          <w:sz w:val="20"/>
          <w:szCs w:val="20"/>
        </w:rPr>
      </w:pPr>
    </w:p>
    <w:p w14:paraId="6EC796B6" w14:textId="77777777" w:rsidR="007B63B9" w:rsidRPr="0091774D" w:rsidRDefault="007B63B9" w:rsidP="007B63B9">
      <w:pPr>
        <w:pBdr>
          <w:top w:val="single" w:sz="4" w:space="1" w:color="auto"/>
          <w:left w:val="single" w:sz="4" w:space="1" w:color="auto"/>
          <w:bottom w:val="single" w:sz="4" w:space="1" w:color="auto"/>
          <w:right w:val="single" w:sz="4" w:space="4" w:color="auto"/>
        </w:pBdr>
        <w:spacing w:after="0" w:line="240" w:lineRule="auto"/>
        <w:rPr>
          <w:rFonts w:ascii="Garamond" w:eastAsia="Times New Roman" w:hAnsi="Garamond" w:cs="Arial"/>
          <w:sz w:val="20"/>
          <w:szCs w:val="20"/>
        </w:rPr>
      </w:pPr>
      <w:r w:rsidRPr="0091774D">
        <w:rPr>
          <w:rFonts w:ascii="Garamond" w:eastAsia="Times New Roman" w:hAnsi="Garamond" w:cs="Arial"/>
          <w:sz w:val="20"/>
          <w:szCs w:val="20"/>
        </w:rPr>
        <w:t xml:space="preserve">СТЕПЕНИ:   </w:t>
      </w:r>
      <w:r w:rsidRPr="0091774D">
        <w:rPr>
          <w:rFonts w:ascii="Garamond" w:eastAsia="Times New Roman" w:hAnsi="Garamond" w:cs="Arial"/>
          <w:b/>
          <w:sz w:val="20"/>
          <w:szCs w:val="20"/>
        </w:rPr>
        <w:t>+</w:t>
      </w:r>
      <w:r w:rsidRPr="0091774D">
        <w:rPr>
          <w:rFonts w:ascii="Garamond" w:eastAsia="Times New Roman" w:hAnsi="Garamond" w:cs="Arial"/>
          <w:sz w:val="20"/>
          <w:szCs w:val="20"/>
        </w:rPr>
        <w:t xml:space="preserve"> -  ниска          </w:t>
      </w:r>
      <w:r w:rsidRPr="0091774D">
        <w:rPr>
          <w:rFonts w:ascii="Garamond" w:eastAsia="Times New Roman" w:hAnsi="Garamond" w:cs="Arial"/>
          <w:b/>
          <w:sz w:val="20"/>
          <w:szCs w:val="20"/>
        </w:rPr>
        <w:t>++</w:t>
      </w:r>
      <w:r w:rsidRPr="0091774D">
        <w:rPr>
          <w:rFonts w:ascii="Garamond" w:eastAsia="Times New Roman" w:hAnsi="Garamond" w:cs="Arial"/>
          <w:sz w:val="20"/>
          <w:szCs w:val="20"/>
        </w:rPr>
        <w:t xml:space="preserve">  -  средна            </w:t>
      </w:r>
      <w:r w:rsidRPr="0091774D">
        <w:rPr>
          <w:rFonts w:ascii="Garamond" w:eastAsia="Times New Roman" w:hAnsi="Garamond" w:cs="Arial"/>
          <w:b/>
          <w:sz w:val="20"/>
          <w:szCs w:val="20"/>
        </w:rPr>
        <w:t xml:space="preserve">+++ </w:t>
      </w:r>
      <w:r w:rsidRPr="0091774D">
        <w:rPr>
          <w:rFonts w:ascii="Garamond" w:eastAsia="Times New Roman" w:hAnsi="Garamond" w:cs="Arial"/>
          <w:sz w:val="20"/>
          <w:szCs w:val="20"/>
        </w:rPr>
        <w:t xml:space="preserve"> -  висока</w:t>
      </w:r>
    </w:p>
    <w:p w14:paraId="79EDC584" w14:textId="77777777" w:rsidR="007B63B9" w:rsidRPr="007B63B9" w:rsidRDefault="007B63B9" w:rsidP="007B63B9">
      <w:pPr>
        <w:spacing w:after="0" w:line="240" w:lineRule="auto"/>
        <w:rPr>
          <w:rFonts w:ascii="Arial" w:eastAsia="Times New Roman" w:hAnsi="Arial" w:cs="Arial"/>
          <w:color w:val="000000"/>
          <w:sz w:val="20"/>
          <w:szCs w:val="20"/>
        </w:rPr>
      </w:pPr>
    </w:p>
    <w:p w14:paraId="31BF4D78" w14:textId="77777777" w:rsidR="007B63B9" w:rsidRPr="007B63B9" w:rsidRDefault="007B63B9" w:rsidP="007B63B9">
      <w:pPr>
        <w:spacing w:after="0" w:line="240" w:lineRule="auto"/>
        <w:rPr>
          <w:rFonts w:ascii="Arial" w:eastAsia="Times New Roman" w:hAnsi="Arial" w:cs="Arial"/>
          <w:color w:val="000000"/>
          <w:sz w:val="20"/>
          <w:szCs w:val="20"/>
        </w:rPr>
      </w:pPr>
    </w:p>
    <w:tbl>
      <w:tblPr>
        <w:tblW w:w="8789" w:type="dxa"/>
        <w:tblInd w:w="30" w:type="dxa"/>
        <w:tblLayout w:type="fixed"/>
        <w:tblCellMar>
          <w:left w:w="30" w:type="dxa"/>
          <w:right w:w="30" w:type="dxa"/>
        </w:tblCellMar>
        <w:tblLook w:val="0000" w:firstRow="0" w:lastRow="0" w:firstColumn="0" w:lastColumn="0" w:noHBand="0" w:noVBand="0"/>
      </w:tblPr>
      <w:tblGrid>
        <w:gridCol w:w="1418"/>
        <w:gridCol w:w="567"/>
        <w:gridCol w:w="6804"/>
      </w:tblGrid>
      <w:tr w:rsidR="007B63B9" w:rsidRPr="00FD448A" w14:paraId="2CB442FF" w14:textId="77777777" w:rsidTr="006B2D7B">
        <w:trPr>
          <w:trHeight w:val="509"/>
        </w:trPr>
        <w:tc>
          <w:tcPr>
            <w:tcW w:w="1418" w:type="dxa"/>
            <w:tcBorders>
              <w:top w:val="single" w:sz="4" w:space="0" w:color="auto"/>
              <w:left w:val="single" w:sz="4" w:space="0" w:color="auto"/>
              <w:right w:val="single" w:sz="4" w:space="0" w:color="auto"/>
            </w:tcBorders>
            <w:shd w:val="pct20" w:color="000000" w:fill="FFFFFF"/>
          </w:tcPr>
          <w:p w14:paraId="130BB975" w14:textId="77777777" w:rsidR="007B63B9" w:rsidRPr="00FD448A" w:rsidRDefault="007B63B9" w:rsidP="007B63B9">
            <w:pPr>
              <w:spacing w:after="0" w:line="240" w:lineRule="auto"/>
              <w:jc w:val="center"/>
              <w:rPr>
                <w:rFonts w:ascii="Garamond" w:eastAsia="Times New Roman" w:hAnsi="Garamond" w:cs="Arial"/>
                <w:b/>
                <w:snapToGrid w:val="0"/>
                <w:color w:val="000000"/>
                <w:sz w:val="20"/>
                <w:szCs w:val="20"/>
              </w:rPr>
            </w:pPr>
            <w:r w:rsidRPr="00FD448A">
              <w:rPr>
                <w:rFonts w:ascii="Garamond" w:eastAsia="Times New Roman" w:hAnsi="Garamond" w:cs="Arial"/>
                <w:b/>
                <w:snapToGrid w:val="0"/>
                <w:color w:val="000000"/>
                <w:sz w:val="20"/>
                <w:szCs w:val="20"/>
              </w:rPr>
              <w:t>ВИД</w:t>
            </w:r>
          </w:p>
        </w:tc>
        <w:tc>
          <w:tcPr>
            <w:tcW w:w="567" w:type="dxa"/>
            <w:tcBorders>
              <w:top w:val="single" w:sz="4" w:space="0" w:color="auto"/>
              <w:left w:val="nil"/>
            </w:tcBorders>
            <w:shd w:val="pct20" w:color="000000" w:fill="FFFFFF"/>
          </w:tcPr>
          <w:p w14:paraId="43D66E35" w14:textId="77777777" w:rsidR="007B63B9" w:rsidRPr="00FD448A" w:rsidRDefault="007B63B9" w:rsidP="007B63B9">
            <w:pPr>
              <w:spacing w:after="0" w:line="240" w:lineRule="auto"/>
              <w:jc w:val="center"/>
              <w:rPr>
                <w:rFonts w:ascii="Garamond" w:eastAsia="Times New Roman" w:hAnsi="Garamond" w:cs="Arial"/>
                <w:b/>
                <w:snapToGrid w:val="0"/>
                <w:color w:val="000000"/>
                <w:sz w:val="20"/>
                <w:szCs w:val="20"/>
              </w:rPr>
            </w:pPr>
            <w:r w:rsidRPr="00FD448A">
              <w:rPr>
                <w:rFonts w:ascii="Garamond" w:eastAsia="Times New Roman" w:hAnsi="Garamond" w:cs="Arial"/>
                <w:b/>
                <w:snapToGrid w:val="0"/>
                <w:color w:val="000000"/>
                <w:sz w:val="20"/>
                <w:szCs w:val="20"/>
              </w:rPr>
              <w:t>СТЕПЕН</w:t>
            </w:r>
          </w:p>
        </w:tc>
        <w:tc>
          <w:tcPr>
            <w:tcW w:w="6804" w:type="dxa"/>
            <w:tcBorders>
              <w:top w:val="single" w:sz="4" w:space="0" w:color="auto"/>
              <w:left w:val="single" w:sz="4" w:space="0" w:color="auto"/>
              <w:bottom w:val="single" w:sz="4" w:space="0" w:color="auto"/>
              <w:right w:val="single" w:sz="4" w:space="0" w:color="auto"/>
            </w:tcBorders>
            <w:shd w:val="pct20" w:color="000000" w:fill="FFFFFF"/>
          </w:tcPr>
          <w:p w14:paraId="144EC3A5" w14:textId="77777777" w:rsidR="007B63B9" w:rsidRPr="00FD448A" w:rsidRDefault="007B63B9" w:rsidP="007B63B9">
            <w:pPr>
              <w:spacing w:after="0" w:line="240" w:lineRule="auto"/>
              <w:jc w:val="center"/>
              <w:rPr>
                <w:rFonts w:ascii="Garamond" w:eastAsia="Times New Roman" w:hAnsi="Garamond" w:cs="Arial"/>
                <w:b/>
                <w:snapToGrid w:val="0"/>
                <w:color w:val="000000"/>
                <w:sz w:val="20"/>
                <w:szCs w:val="20"/>
              </w:rPr>
            </w:pPr>
            <w:r w:rsidRPr="00FD448A">
              <w:rPr>
                <w:rFonts w:ascii="Garamond" w:eastAsia="Times New Roman" w:hAnsi="Garamond" w:cs="Arial"/>
                <w:b/>
                <w:snapToGrid w:val="0"/>
                <w:color w:val="000000"/>
                <w:sz w:val="20"/>
                <w:szCs w:val="20"/>
              </w:rPr>
              <w:t>ПРИЧИНИ / ОСНОВАНИЯ</w:t>
            </w:r>
          </w:p>
        </w:tc>
      </w:tr>
      <w:tr w:rsidR="007B63B9" w:rsidRPr="00FD448A" w14:paraId="7A88BC2E" w14:textId="77777777" w:rsidTr="006B2D7B">
        <w:trPr>
          <w:trHeight w:val="247"/>
        </w:trPr>
        <w:tc>
          <w:tcPr>
            <w:tcW w:w="1418" w:type="dxa"/>
            <w:tcBorders>
              <w:top w:val="single" w:sz="4" w:space="0" w:color="auto"/>
              <w:left w:val="single" w:sz="4" w:space="0" w:color="auto"/>
              <w:right w:val="single" w:sz="4" w:space="0" w:color="auto"/>
            </w:tcBorders>
          </w:tcPr>
          <w:p w14:paraId="2BF8C4D6" w14:textId="77777777" w:rsidR="007B63B9" w:rsidRPr="0091774D" w:rsidRDefault="007B63B9" w:rsidP="007B63B9">
            <w:pPr>
              <w:spacing w:after="0" w:line="240" w:lineRule="auto"/>
              <w:rPr>
                <w:rFonts w:ascii="Garamond" w:eastAsia="Times New Roman" w:hAnsi="Garamond" w:cs="Arial"/>
                <w:b/>
                <w:bCs/>
                <w:sz w:val="20"/>
                <w:szCs w:val="20"/>
              </w:rPr>
            </w:pPr>
            <w:r w:rsidRPr="0091774D">
              <w:rPr>
                <w:rFonts w:ascii="Garamond" w:eastAsia="Times New Roman" w:hAnsi="Garamond" w:cs="Arial"/>
                <w:b/>
                <w:bCs/>
                <w:sz w:val="20"/>
                <w:szCs w:val="20"/>
                <w:lang w:val="en-US"/>
              </w:rPr>
              <w:t>ПРИРОДНИ</w:t>
            </w:r>
            <w:r w:rsidRPr="0091774D">
              <w:rPr>
                <w:rFonts w:ascii="Garamond" w:eastAsia="Times New Roman" w:hAnsi="Garamond" w:cs="Arial"/>
                <w:sz w:val="20"/>
                <w:szCs w:val="20"/>
                <w:lang w:val="en-US"/>
              </w:rPr>
              <w:t xml:space="preserve"> </w:t>
            </w:r>
            <w:r w:rsidRPr="0091774D">
              <w:rPr>
                <w:rFonts w:ascii="Garamond" w:eastAsia="Times New Roman" w:hAnsi="Garamond" w:cs="Arial"/>
                <w:b/>
                <w:bCs/>
                <w:sz w:val="20"/>
                <w:szCs w:val="20"/>
                <w:lang w:val="en-US"/>
              </w:rPr>
              <w:t>МЕСТО</w:t>
            </w:r>
          </w:p>
          <w:p w14:paraId="01A420B6" w14:textId="77777777" w:rsidR="007B63B9" w:rsidRPr="00FD448A" w:rsidRDefault="007B63B9" w:rsidP="007B63B9">
            <w:pPr>
              <w:spacing w:after="0" w:line="240" w:lineRule="auto"/>
              <w:rPr>
                <w:rFonts w:ascii="Garamond" w:eastAsia="Times New Roman" w:hAnsi="Garamond" w:cs="Arial"/>
              </w:rPr>
            </w:pPr>
            <w:r w:rsidRPr="0091774D">
              <w:rPr>
                <w:rFonts w:ascii="Garamond" w:eastAsia="Times New Roman" w:hAnsi="Garamond" w:cs="Arial"/>
                <w:b/>
                <w:bCs/>
                <w:sz w:val="20"/>
                <w:szCs w:val="20"/>
                <w:lang w:val="en-US"/>
              </w:rPr>
              <w:t>ОБИТАНИЯ</w:t>
            </w:r>
          </w:p>
        </w:tc>
        <w:tc>
          <w:tcPr>
            <w:tcW w:w="567" w:type="dxa"/>
            <w:tcBorders>
              <w:top w:val="single" w:sz="4" w:space="0" w:color="auto"/>
              <w:left w:val="nil"/>
              <w:bottom w:val="single" w:sz="4" w:space="0" w:color="auto"/>
            </w:tcBorders>
          </w:tcPr>
          <w:p w14:paraId="108786DD" w14:textId="464436BE" w:rsidR="007B63B9" w:rsidRPr="00FD448A" w:rsidRDefault="00FD448A" w:rsidP="007B63B9">
            <w:pPr>
              <w:spacing w:after="0" w:line="240" w:lineRule="auto"/>
              <w:jc w:val="right"/>
              <w:rPr>
                <w:rFonts w:ascii="Garamond" w:eastAsia="Times New Roman" w:hAnsi="Garamond" w:cs="Arial"/>
                <w:b/>
                <w:snapToGrid w:val="0"/>
                <w:color w:val="000000"/>
              </w:rPr>
            </w:pPr>
            <w:r w:rsidRPr="00FD448A">
              <w:rPr>
                <w:rFonts w:ascii="Garamond" w:eastAsia="Times New Roman" w:hAnsi="Garamond" w:cs="Arial"/>
                <w:b/>
              </w:rPr>
              <w:t>+++</w:t>
            </w:r>
          </w:p>
        </w:tc>
        <w:tc>
          <w:tcPr>
            <w:tcW w:w="6804" w:type="dxa"/>
            <w:tcBorders>
              <w:top w:val="single" w:sz="4" w:space="0" w:color="auto"/>
              <w:left w:val="single" w:sz="4" w:space="0" w:color="auto"/>
              <w:bottom w:val="single" w:sz="4" w:space="0" w:color="auto"/>
              <w:right w:val="single" w:sz="4" w:space="0" w:color="auto"/>
            </w:tcBorders>
          </w:tcPr>
          <w:p w14:paraId="766370DC" w14:textId="77777777" w:rsidR="00550F00" w:rsidRPr="00FD448A" w:rsidRDefault="00550F00" w:rsidP="007B63B9">
            <w:pPr>
              <w:spacing w:after="0" w:line="240" w:lineRule="auto"/>
              <w:jc w:val="both"/>
              <w:rPr>
                <w:rFonts w:ascii="Garamond" w:eastAsia="Calibri" w:hAnsi="Garamond" w:cs="Times New Roman"/>
                <w:lang w:eastAsia="bg-BG"/>
              </w:rPr>
            </w:pPr>
            <w:r w:rsidRPr="00C56EAE">
              <w:rPr>
                <w:rFonts w:ascii="Garamond" w:eastAsia="Calibri" w:hAnsi="Garamond" w:cs="Times New Roman"/>
                <w:lang w:eastAsia="bg-BG"/>
              </w:rPr>
              <w:t xml:space="preserve">От природните местообитания, като най-уязвими са определени 6 типа: 1 храстово (40A0* Субконтинентални пери-панонски храстови съобщества), 3 тревни (6110* Отворени калцифилни или базифилни тревни съобщества от </w:t>
            </w:r>
            <w:r w:rsidRPr="00C56EAE">
              <w:rPr>
                <w:rFonts w:ascii="Garamond" w:eastAsia="Calibri" w:hAnsi="Garamond" w:cs="Times New Roman"/>
                <w:i/>
                <w:lang w:eastAsia="bg-BG"/>
              </w:rPr>
              <w:t>Alysso-Sedion albi</w:t>
            </w:r>
            <w:r w:rsidRPr="00C56EAE">
              <w:rPr>
                <w:rFonts w:ascii="Garamond" w:eastAsia="Calibri" w:hAnsi="Garamond" w:cs="Times New Roman"/>
                <w:lang w:eastAsia="bg-BG"/>
              </w:rPr>
              <w:t xml:space="preserve">, 6240* Субпанонски степни тревни съобщества и 6250* Панонски льосови степни тревни съобщества) и 2 типа горски </w:t>
            </w:r>
            <w:r w:rsidRPr="00C56EAE">
              <w:rPr>
                <w:rFonts w:ascii="Garamond" w:eastAsia="Calibri" w:hAnsi="Garamond" w:cs="Times New Roman"/>
                <w:lang w:val="en-US" w:eastAsia="bg-BG"/>
              </w:rPr>
              <w:t>(</w:t>
            </w:r>
            <w:r w:rsidRPr="00C56EAE">
              <w:rPr>
                <w:rFonts w:ascii="Garamond" w:eastAsia="Calibri" w:hAnsi="Garamond" w:cs="Times New Roman"/>
                <w:lang w:eastAsia="bg-BG"/>
              </w:rPr>
              <w:t xml:space="preserve">91Е0* Алувиални гори с </w:t>
            </w:r>
            <w:r w:rsidRPr="00C56EAE">
              <w:rPr>
                <w:rFonts w:ascii="Garamond" w:eastAsia="Calibri" w:hAnsi="Garamond" w:cs="Times New Roman"/>
                <w:i/>
                <w:lang w:eastAsia="bg-BG"/>
              </w:rPr>
              <w:t>Alnus glutinosa</w:t>
            </w:r>
            <w:r w:rsidRPr="00C56EAE">
              <w:rPr>
                <w:rFonts w:ascii="Garamond" w:eastAsia="Calibri" w:hAnsi="Garamond" w:cs="Times New Roman"/>
                <w:lang w:eastAsia="bg-BG"/>
              </w:rPr>
              <w:t xml:space="preserve"> и </w:t>
            </w:r>
            <w:r w:rsidRPr="00C56EAE">
              <w:rPr>
                <w:rFonts w:ascii="Garamond" w:eastAsia="Calibri" w:hAnsi="Garamond" w:cs="Times New Roman"/>
                <w:i/>
                <w:lang w:eastAsia="bg-BG"/>
              </w:rPr>
              <w:t xml:space="preserve">Fraxinus excelsior </w:t>
            </w:r>
            <w:r w:rsidRPr="00C56EAE">
              <w:rPr>
                <w:rFonts w:ascii="Garamond" w:eastAsia="Calibri" w:hAnsi="Garamond" w:cs="Times New Roman"/>
                <w:lang w:eastAsia="bg-BG"/>
              </w:rPr>
              <w:t>(</w:t>
            </w:r>
            <w:r w:rsidRPr="00C56EAE">
              <w:rPr>
                <w:rFonts w:ascii="Garamond" w:eastAsia="Calibri" w:hAnsi="Garamond" w:cs="Times New Roman"/>
                <w:i/>
                <w:lang w:eastAsia="bg-BG"/>
              </w:rPr>
              <w:t>Alno-Pandion</w:t>
            </w:r>
            <w:r w:rsidRPr="00C56EAE">
              <w:rPr>
                <w:rFonts w:ascii="Garamond" w:eastAsia="Calibri" w:hAnsi="Garamond" w:cs="Times New Roman"/>
                <w:lang w:eastAsia="bg-BG"/>
              </w:rPr>
              <w:t xml:space="preserve">, </w:t>
            </w:r>
            <w:r w:rsidRPr="00C56EAE">
              <w:rPr>
                <w:rFonts w:ascii="Garamond" w:eastAsia="Calibri" w:hAnsi="Garamond" w:cs="Times New Roman"/>
                <w:i/>
                <w:lang w:eastAsia="bg-BG"/>
              </w:rPr>
              <w:t xml:space="preserve">Alnion </w:t>
            </w:r>
            <w:proofErr w:type="spellStart"/>
            <w:r w:rsidRPr="00C56EAE">
              <w:rPr>
                <w:rFonts w:ascii="Garamond" w:eastAsia="Calibri" w:hAnsi="Garamond" w:cs="Times New Roman"/>
                <w:i/>
                <w:lang w:val="en-US" w:eastAsia="bg-BG"/>
              </w:rPr>
              <w:t>i</w:t>
            </w:r>
            <w:proofErr w:type="spellEnd"/>
            <w:r w:rsidRPr="00C56EAE">
              <w:rPr>
                <w:rFonts w:ascii="Garamond" w:eastAsia="Calibri" w:hAnsi="Garamond" w:cs="Times New Roman"/>
                <w:i/>
                <w:lang w:eastAsia="bg-BG"/>
              </w:rPr>
              <w:t>ncanae</w:t>
            </w:r>
            <w:r w:rsidRPr="00C56EAE">
              <w:rPr>
                <w:rFonts w:ascii="Garamond" w:eastAsia="Calibri" w:hAnsi="Garamond" w:cs="Times New Roman"/>
                <w:lang w:eastAsia="bg-BG"/>
              </w:rPr>
              <w:t xml:space="preserve">, </w:t>
            </w:r>
            <w:r w:rsidRPr="00C56EAE">
              <w:rPr>
                <w:rFonts w:ascii="Garamond" w:eastAsia="Calibri" w:hAnsi="Garamond" w:cs="Times New Roman"/>
                <w:i/>
                <w:lang w:eastAsia="bg-BG"/>
              </w:rPr>
              <w:t>Salicion albae</w:t>
            </w:r>
            <w:r w:rsidRPr="00C56EAE">
              <w:rPr>
                <w:rFonts w:ascii="Garamond" w:eastAsia="Calibri" w:hAnsi="Garamond" w:cs="Times New Roman"/>
                <w:lang w:eastAsia="bg-BG"/>
              </w:rPr>
              <w:t xml:space="preserve">) и </w:t>
            </w:r>
            <w:r w:rsidRPr="00C56EAE">
              <w:rPr>
                <w:rFonts w:ascii="Garamond" w:eastAsia="Calibri" w:hAnsi="Garamond" w:cs="Times New Roman"/>
                <w:lang w:val="en-US" w:eastAsia="bg-BG"/>
              </w:rPr>
              <w:t xml:space="preserve">91Z0 </w:t>
            </w:r>
            <w:r w:rsidRPr="00C56EAE">
              <w:rPr>
                <w:rFonts w:ascii="Garamond" w:eastAsia="Calibri" w:hAnsi="Garamond" w:cs="Times New Roman"/>
                <w:lang w:eastAsia="bg-BG"/>
              </w:rPr>
              <w:t>Мизийски гори от</w:t>
            </w:r>
            <w:r w:rsidRPr="00C56EAE">
              <w:rPr>
                <w:rFonts w:ascii="Garamond" w:eastAsia="Calibri" w:hAnsi="Garamond" w:cs="Times New Roman"/>
                <w:lang w:val="en-US" w:eastAsia="bg-BG"/>
              </w:rPr>
              <w:t xml:space="preserve"> </w:t>
            </w:r>
            <w:r w:rsidRPr="00C56EAE">
              <w:rPr>
                <w:rFonts w:ascii="Garamond" w:eastAsia="Calibri" w:hAnsi="Garamond" w:cs="Times New Roman"/>
                <w:lang w:eastAsia="bg-BG"/>
              </w:rPr>
              <w:t>сребролистна липа</w:t>
            </w:r>
            <w:r w:rsidRPr="00C56EAE">
              <w:rPr>
                <w:rFonts w:ascii="Garamond" w:eastAsia="Calibri" w:hAnsi="Garamond" w:cs="Times New Roman"/>
                <w:lang w:val="en-US" w:eastAsia="bg-BG"/>
              </w:rPr>
              <w:t xml:space="preserve"> </w:t>
            </w:r>
            <w:r w:rsidRPr="00C56EAE">
              <w:rPr>
                <w:rFonts w:ascii="Garamond" w:eastAsia="Calibri" w:hAnsi="Garamond" w:cs="Times New Roman"/>
                <w:lang w:eastAsia="bg-BG"/>
              </w:rPr>
              <w:t>(</w:t>
            </w:r>
            <w:proofErr w:type="spellStart"/>
            <w:r w:rsidRPr="00C56EAE">
              <w:rPr>
                <w:rFonts w:ascii="Garamond" w:eastAsia="Calibri" w:hAnsi="Garamond" w:cs="Times New Roman"/>
                <w:i/>
                <w:lang w:val="en-US" w:eastAsia="bg-BG"/>
              </w:rPr>
              <w:t>Tilia</w:t>
            </w:r>
            <w:proofErr w:type="spellEnd"/>
            <w:r w:rsidRPr="00C56EAE">
              <w:rPr>
                <w:rFonts w:ascii="Garamond" w:eastAsia="Calibri" w:hAnsi="Garamond" w:cs="Times New Roman"/>
                <w:i/>
                <w:lang w:val="en-US" w:eastAsia="bg-BG"/>
              </w:rPr>
              <w:t xml:space="preserve"> tomentosa</w:t>
            </w:r>
            <w:r w:rsidRPr="00C56EAE">
              <w:rPr>
                <w:rFonts w:ascii="Garamond" w:eastAsia="Calibri" w:hAnsi="Garamond" w:cs="Times New Roman"/>
                <w:lang w:eastAsia="bg-BG"/>
              </w:rPr>
              <w:t>)</w:t>
            </w:r>
            <w:r w:rsidRPr="00C56EAE">
              <w:rPr>
                <w:rFonts w:ascii="Garamond" w:eastAsia="Calibri" w:hAnsi="Garamond" w:cs="Times New Roman"/>
                <w:lang w:val="en-US" w:eastAsia="bg-BG"/>
              </w:rPr>
              <w:t>)</w:t>
            </w:r>
            <w:r w:rsidRPr="00C56EAE">
              <w:rPr>
                <w:rFonts w:ascii="Garamond" w:eastAsia="Calibri" w:hAnsi="Garamond" w:cs="Times New Roman"/>
                <w:lang w:eastAsia="bg-BG"/>
              </w:rPr>
              <w:t xml:space="preserve">. </w:t>
            </w:r>
          </w:p>
          <w:p w14:paraId="12FC77B3" w14:textId="4D550964" w:rsidR="007B63B9" w:rsidRPr="00FD448A" w:rsidRDefault="00550F00" w:rsidP="00550F00">
            <w:pPr>
              <w:spacing w:before="120" w:after="120" w:line="288" w:lineRule="auto"/>
              <w:jc w:val="both"/>
              <w:outlineLvl w:val="3"/>
              <w:rPr>
                <w:rFonts w:ascii="Garamond" w:eastAsia="Times New Roman" w:hAnsi="Garamond" w:cs="Arial"/>
                <w:snapToGrid w:val="0"/>
                <w:color w:val="000000"/>
              </w:rPr>
            </w:pPr>
            <w:r w:rsidRPr="00C56EAE">
              <w:rPr>
                <w:rFonts w:ascii="Garamond" w:eastAsia="Calibri" w:hAnsi="Garamond" w:cs="Times New Roman"/>
                <w:lang w:eastAsia="bg-BG"/>
              </w:rPr>
              <w:t xml:space="preserve">От естествените фактори, към които са уязвими местообитанията, това са пожарите, възникнали от екстремни природни явления за всички типове местообитания и захрастяването за тревните типове местообитания. От антропогенните фактори от особено значение са пожарите, вследствие на антропогенната дейност за всички местообитания, изземването на скална маса и липсата на паша за тревните местообитания, разпространението на инвазивни дървесни видове в естествените горски насаждения и сечите в крайречните гори при провеждане на дейности за прочистване на речните </w:t>
            </w:r>
            <w:r w:rsidR="00FD448A" w:rsidRPr="00C56EAE">
              <w:rPr>
                <w:rFonts w:ascii="Garamond" w:eastAsia="Calibri" w:hAnsi="Garamond" w:cs="Times New Roman"/>
                <w:lang w:eastAsia="bg-BG"/>
              </w:rPr>
              <w:t>корита</w:t>
            </w:r>
            <w:r w:rsidRPr="00C56EAE">
              <w:rPr>
                <w:rFonts w:ascii="Garamond" w:eastAsia="Calibri" w:hAnsi="Garamond" w:cs="Times New Roman"/>
                <w:lang w:eastAsia="bg-BG"/>
              </w:rPr>
              <w:t>.</w:t>
            </w:r>
          </w:p>
        </w:tc>
      </w:tr>
      <w:tr w:rsidR="007B63B9" w:rsidRPr="00FD448A" w14:paraId="784B4A3E"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50C859FF" w14:textId="3D360012" w:rsidR="007B63B9" w:rsidRPr="00C86B21" w:rsidRDefault="00C86B21" w:rsidP="007B63B9">
            <w:pPr>
              <w:spacing w:after="0" w:line="240" w:lineRule="auto"/>
              <w:rPr>
                <w:rFonts w:ascii="Garamond" w:eastAsia="Times New Roman" w:hAnsi="Garamond" w:cs="Arial"/>
                <w:b/>
                <w:bCs/>
              </w:rPr>
            </w:pPr>
            <w:r w:rsidRPr="00C86B21">
              <w:rPr>
                <w:rFonts w:ascii="Garamond" w:eastAsia="Times New Roman" w:hAnsi="Garamond" w:cs="Arial"/>
                <w:b/>
                <w:bCs/>
              </w:rPr>
              <w:t>ФЛОРА</w:t>
            </w:r>
          </w:p>
        </w:tc>
        <w:tc>
          <w:tcPr>
            <w:tcW w:w="567" w:type="dxa"/>
            <w:tcBorders>
              <w:top w:val="single" w:sz="4" w:space="0" w:color="auto"/>
              <w:left w:val="nil"/>
              <w:bottom w:val="single" w:sz="4" w:space="0" w:color="auto"/>
            </w:tcBorders>
          </w:tcPr>
          <w:p w14:paraId="33F07491" w14:textId="304B6666" w:rsidR="00FD448A" w:rsidRDefault="00FD448A" w:rsidP="007B63B9">
            <w:pPr>
              <w:spacing w:after="0" w:line="240" w:lineRule="auto"/>
              <w:jc w:val="right"/>
              <w:rPr>
                <w:rFonts w:ascii="Arial" w:eastAsia="Times New Roman" w:hAnsi="Arial" w:cs="Arial"/>
                <w:b/>
                <w:sz w:val="20"/>
                <w:szCs w:val="20"/>
              </w:rPr>
            </w:pPr>
            <w:r w:rsidRPr="007B63B9">
              <w:rPr>
                <w:rFonts w:ascii="Arial" w:eastAsia="Times New Roman" w:hAnsi="Arial" w:cs="Arial"/>
                <w:b/>
                <w:sz w:val="20"/>
                <w:szCs w:val="20"/>
              </w:rPr>
              <w:t>+++</w:t>
            </w:r>
            <w:r>
              <w:rPr>
                <w:rFonts w:ascii="Arial" w:eastAsia="Times New Roman" w:hAnsi="Arial" w:cs="Arial"/>
                <w:b/>
                <w:sz w:val="20"/>
                <w:szCs w:val="20"/>
              </w:rPr>
              <w:t>/</w:t>
            </w:r>
          </w:p>
          <w:p w14:paraId="31316C98" w14:textId="57A4129F" w:rsidR="007B63B9" w:rsidRPr="00FD448A" w:rsidRDefault="00FD448A" w:rsidP="00FD448A">
            <w:pPr>
              <w:spacing w:after="0" w:line="240" w:lineRule="auto"/>
              <w:jc w:val="right"/>
              <w:rPr>
                <w:rFonts w:ascii="Garamond" w:eastAsia="Times New Roman" w:hAnsi="Garamond" w:cs="Arial"/>
                <w:b/>
                <w:snapToGrid w:val="0"/>
                <w:color w:val="000000"/>
              </w:rPr>
            </w:pPr>
            <w:r w:rsidRPr="007B63B9">
              <w:rPr>
                <w:rFonts w:ascii="Arial" w:eastAsia="Times New Roman" w:hAnsi="Arial" w:cs="Arial"/>
                <w:b/>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71AF9746" w14:textId="48CFA035" w:rsidR="007B63B9" w:rsidRPr="00FD448A" w:rsidRDefault="00550F00" w:rsidP="00FD448A">
            <w:pPr>
              <w:spacing w:after="120" w:line="276" w:lineRule="auto"/>
              <w:jc w:val="both"/>
              <w:outlineLvl w:val="3"/>
              <w:rPr>
                <w:rFonts w:ascii="Garamond" w:eastAsia="Times New Roman" w:hAnsi="Garamond" w:cs="Arial"/>
                <w:snapToGrid w:val="0"/>
                <w:lang w:val="en-US"/>
              </w:rPr>
            </w:pPr>
            <w:r w:rsidRPr="00C56EAE">
              <w:rPr>
                <w:rFonts w:ascii="Garamond" w:eastAsia="Calibri" w:hAnsi="Garamond" w:cs="Times New Roman"/>
                <w:lang w:eastAsia="bg-BG"/>
              </w:rPr>
              <w:t xml:space="preserve">Четири вида </w:t>
            </w:r>
            <w:r w:rsidRPr="00C56EAE">
              <w:rPr>
                <w:rFonts w:ascii="Garamond" w:eastAsia="Calibri" w:hAnsi="Garamond" w:cs="Times New Roman"/>
                <w:b/>
                <w:lang w:eastAsia="bg-BG"/>
              </w:rPr>
              <w:t>растения</w:t>
            </w:r>
            <w:r w:rsidRPr="00C56EAE">
              <w:rPr>
                <w:rFonts w:ascii="Garamond" w:eastAsia="Calibri" w:hAnsi="Garamond" w:cs="Times New Roman"/>
                <w:lang w:eastAsia="bg-BG"/>
              </w:rPr>
              <w:t xml:space="preserve"> са с висока степен на уязвимиост - Ковачевият зановец, Четириръбата жълтуга, Сибирската телчарка и Пърчовката, като последните два вида са дори застрашени. Със средна степен на уязвимост са останалите четири вида, включени в Приложение 3 на ЗБР </w:t>
            </w:r>
            <w:r w:rsidRPr="00C56EAE">
              <w:rPr>
                <w:rFonts w:ascii="Garamond" w:eastAsia="Calibri" w:hAnsi="Garamond" w:cs="Times New Roman"/>
                <w:lang w:val="en-US" w:eastAsia="bg-BG"/>
              </w:rPr>
              <w:t>(</w:t>
            </w:r>
            <w:r w:rsidRPr="00C56EAE">
              <w:rPr>
                <w:rFonts w:ascii="Garamond" w:eastAsia="Calibri" w:hAnsi="Garamond" w:cs="Times New Roman"/>
                <w:i/>
                <w:lang w:eastAsia="bg-BG"/>
              </w:rPr>
              <w:t>Таблица 1.14.1</w:t>
            </w:r>
            <w:r w:rsidRPr="00C56EAE">
              <w:rPr>
                <w:rFonts w:ascii="Garamond" w:eastAsia="Calibri" w:hAnsi="Garamond" w:cs="Times New Roman"/>
                <w:i/>
                <w:lang w:val="en-US" w:eastAsia="bg-BG"/>
              </w:rPr>
              <w:t>(</w:t>
            </w:r>
            <w:r w:rsidRPr="00C56EAE">
              <w:rPr>
                <w:rFonts w:ascii="Garamond" w:eastAsia="Calibri" w:hAnsi="Garamond" w:cs="Times New Roman"/>
                <w:i/>
                <w:lang w:eastAsia="bg-BG"/>
              </w:rPr>
              <w:t>2</w:t>
            </w:r>
            <w:r w:rsidRPr="00C56EAE">
              <w:rPr>
                <w:rFonts w:ascii="Garamond" w:eastAsia="Calibri" w:hAnsi="Garamond" w:cs="Times New Roman"/>
                <w:i/>
                <w:lang w:val="en-US" w:eastAsia="bg-BG"/>
              </w:rPr>
              <w:t>)</w:t>
            </w:r>
            <w:r w:rsidRPr="00C56EAE">
              <w:rPr>
                <w:rFonts w:ascii="Garamond" w:eastAsia="Calibri" w:hAnsi="Garamond" w:cs="Times New Roman"/>
                <w:lang w:val="en-US" w:eastAsia="bg-BG"/>
              </w:rPr>
              <w:t>)</w:t>
            </w:r>
            <w:r w:rsidRPr="00C56EAE">
              <w:rPr>
                <w:rFonts w:ascii="Garamond" w:eastAsia="Calibri" w:hAnsi="Garamond" w:cs="Times New Roman"/>
                <w:lang w:eastAsia="bg-BG"/>
              </w:rPr>
              <w:t xml:space="preserve">. Тяхното опазване е свързано с опазването на находищата и местообитанията им. </w:t>
            </w:r>
          </w:p>
        </w:tc>
      </w:tr>
      <w:tr w:rsidR="00550F00" w:rsidRPr="00FD448A" w14:paraId="10077454" w14:textId="77777777" w:rsidTr="00261129">
        <w:trPr>
          <w:trHeight w:val="247"/>
        </w:trPr>
        <w:tc>
          <w:tcPr>
            <w:tcW w:w="8789" w:type="dxa"/>
            <w:gridSpan w:val="3"/>
            <w:tcBorders>
              <w:top w:val="single" w:sz="4" w:space="0" w:color="auto"/>
              <w:left w:val="single" w:sz="4" w:space="0" w:color="auto"/>
              <w:bottom w:val="single" w:sz="4" w:space="0" w:color="auto"/>
              <w:right w:val="single" w:sz="4" w:space="0" w:color="auto"/>
            </w:tcBorders>
          </w:tcPr>
          <w:p w14:paraId="64D30F86" w14:textId="27E3E1BA" w:rsidR="00550F00" w:rsidRPr="00FD448A" w:rsidRDefault="00550F00" w:rsidP="00550F00">
            <w:pPr>
              <w:spacing w:after="0" w:line="240" w:lineRule="auto"/>
              <w:jc w:val="both"/>
              <w:rPr>
                <w:rFonts w:ascii="Garamond" w:eastAsia="Times New Roman" w:hAnsi="Garamond" w:cs="Arial"/>
                <w:snapToGrid w:val="0"/>
                <w:color w:val="000000"/>
              </w:rPr>
            </w:pPr>
            <w:r w:rsidRPr="00FD448A">
              <w:rPr>
                <w:rFonts w:ascii="Garamond" w:eastAsia="Times New Roman" w:hAnsi="Garamond" w:cs="Arial"/>
                <w:b/>
                <w:bCs/>
                <w:lang w:val="ru-RU"/>
              </w:rPr>
              <w:t>ФАУНА</w:t>
            </w:r>
          </w:p>
        </w:tc>
      </w:tr>
      <w:tr w:rsidR="00550F00" w:rsidRPr="00FD448A" w14:paraId="6DBB237B"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3CC16D70" w14:textId="637FAF18" w:rsidR="00550F00" w:rsidRPr="00FD448A" w:rsidRDefault="00550F00" w:rsidP="00550F00">
            <w:pPr>
              <w:spacing w:after="0" w:line="240" w:lineRule="auto"/>
              <w:jc w:val="both"/>
              <w:rPr>
                <w:rFonts w:ascii="Garamond" w:eastAsia="Calibri" w:hAnsi="Garamond" w:cs="Times New Roman"/>
                <w:b/>
                <w:lang w:eastAsia="bg-BG"/>
              </w:rPr>
            </w:pPr>
            <w:r w:rsidRPr="00FD448A">
              <w:rPr>
                <w:rFonts w:ascii="Garamond" w:eastAsia="Calibri" w:hAnsi="Garamond" w:cs="Times New Roman"/>
                <w:b/>
                <w:lang w:eastAsia="bg-BG"/>
              </w:rPr>
              <w:t>Б</w:t>
            </w:r>
            <w:r w:rsidRPr="00C56EAE">
              <w:rPr>
                <w:rFonts w:ascii="Garamond" w:eastAsia="Calibri" w:hAnsi="Garamond" w:cs="Times New Roman"/>
                <w:b/>
                <w:lang w:eastAsia="bg-BG"/>
              </w:rPr>
              <w:t>озайници</w:t>
            </w:r>
          </w:p>
        </w:tc>
        <w:tc>
          <w:tcPr>
            <w:tcW w:w="567" w:type="dxa"/>
            <w:tcBorders>
              <w:top w:val="single" w:sz="4" w:space="0" w:color="auto"/>
              <w:left w:val="single" w:sz="4" w:space="0" w:color="auto"/>
              <w:bottom w:val="single" w:sz="4" w:space="0" w:color="auto"/>
            </w:tcBorders>
          </w:tcPr>
          <w:p w14:paraId="1C927515" w14:textId="77777777" w:rsidR="00FD448A" w:rsidRDefault="00FD448A" w:rsidP="00FD448A">
            <w:pPr>
              <w:spacing w:after="0" w:line="240" w:lineRule="auto"/>
              <w:jc w:val="right"/>
              <w:rPr>
                <w:rFonts w:ascii="Arial" w:eastAsia="Times New Roman" w:hAnsi="Arial" w:cs="Arial"/>
                <w:b/>
                <w:sz w:val="20"/>
                <w:szCs w:val="20"/>
              </w:rPr>
            </w:pPr>
            <w:r w:rsidRPr="007B63B9">
              <w:rPr>
                <w:rFonts w:ascii="Arial" w:eastAsia="Times New Roman" w:hAnsi="Arial" w:cs="Arial"/>
                <w:b/>
                <w:sz w:val="20"/>
                <w:szCs w:val="20"/>
              </w:rPr>
              <w:t>+++</w:t>
            </w:r>
            <w:r>
              <w:rPr>
                <w:rFonts w:ascii="Arial" w:eastAsia="Times New Roman" w:hAnsi="Arial" w:cs="Arial"/>
                <w:b/>
                <w:sz w:val="20"/>
                <w:szCs w:val="20"/>
              </w:rPr>
              <w:t>/</w:t>
            </w:r>
          </w:p>
          <w:p w14:paraId="6390268B" w14:textId="39A275FB" w:rsidR="00550F00" w:rsidRPr="00FD448A" w:rsidRDefault="00FD448A" w:rsidP="00FD448A">
            <w:pPr>
              <w:spacing w:after="0" w:line="240" w:lineRule="auto"/>
              <w:jc w:val="right"/>
              <w:rPr>
                <w:rFonts w:ascii="Garamond" w:eastAsia="Times New Roman" w:hAnsi="Garamond" w:cs="Arial"/>
                <w:b/>
                <w:snapToGrid w:val="0"/>
                <w:color w:val="000000"/>
              </w:rPr>
            </w:pPr>
            <w:r w:rsidRPr="007B63B9">
              <w:rPr>
                <w:rFonts w:ascii="Arial" w:eastAsia="Times New Roman" w:hAnsi="Arial" w:cs="Arial"/>
                <w:b/>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2C239FED" w14:textId="46593F46" w:rsidR="00550F00" w:rsidRPr="00FD448A" w:rsidRDefault="00550F00" w:rsidP="00FD448A">
            <w:pPr>
              <w:spacing w:after="120" w:line="276" w:lineRule="auto"/>
              <w:jc w:val="both"/>
              <w:outlineLvl w:val="3"/>
              <w:rPr>
                <w:rFonts w:ascii="Garamond" w:eastAsia="Times New Roman" w:hAnsi="Garamond" w:cs="Arial"/>
                <w:snapToGrid w:val="0"/>
                <w:color w:val="000000"/>
              </w:rPr>
            </w:pPr>
            <w:r w:rsidRPr="00C56EAE">
              <w:rPr>
                <w:rFonts w:ascii="Garamond" w:eastAsia="Calibri" w:hAnsi="Garamond" w:cs="Times New Roman"/>
                <w:b/>
                <w:lang w:eastAsia="bg-BG"/>
              </w:rPr>
              <w:t>с най-висока</w:t>
            </w:r>
            <w:r w:rsidRPr="00C56EAE">
              <w:rPr>
                <w:rFonts w:ascii="Garamond" w:eastAsia="Calibri" w:hAnsi="Garamond" w:cs="Times New Roman"/>
                <w:lang w:eastAsia="bg-BG"/>
              </w:rPr>
              <w:t xml:space="preserve"> степен на уязвимост са 4 вида - лалугер (Spermophilus citellus),  обикновен хомяк  (Cricetus cricetus), добруджански хомяк (Mesocricetus newtoni) и малък хомяк (Cricetulus migratorius). Обща заплаха за тези четири вида е редуцирането и влошаването на състоянието на откритите тревни съобщества, които се явяват тяхно основно местообитание. Тези четири вида, и най-вече лалугерът, представляват значим елемент от хранителната база за голям брой уязвими видове птици и бозайници. </w:t>
            </w:r>
            <w:r w:rsidRPr="00C56EAE">
              <w:rPr>
                <w:rFonts w:ascii="Garamond" w:eastAsia="Calibri" w:hAnsi="Garamond" w:cs="Times New Roman"/>
                <w:b/>
                <w:lang w:eastAsia="bg-BG"/>
              </w:rPr>
              <w:t>Със средна степен</w:t>
            </w:r>
            <w:r w:rsidRPr="00C56EAE">
              <w:rPr>
                <w:rFonts w:ascii="Garamond" w:eastAsia="Calibri" w:hAnsi="Garamond" w:cs="Times New Roman"/>
                <w:lang w:eastAsia="bg-BG"/>
              </w:rPr>
              <w:t xml:space="preserve"> на уязвимост са 27 вида бозайници. От тях степният пор (Mustela eversmanni) и пъстрият пор са пряко зависими от състоянието на посочените по-горе четири вида гризачи. Вълкът (Canis lupus) е уязвим от състоянието на ловно-стопанските видове бозайници, </w:t>
            </w:r>
            <w:r w:rsidRPr="00C56EAE">
              <w:rPr>
                <w:rFonts w:ascii="Garamond" w:eastAsia="Calibri" w:hAnsi="Garamond" w:cs="Times New Roman"/>
                <w:lang w:eastAsia="bg-BG"/>
              </w:rPr>
              <w:lastRenderedPageBreak/>
              <w:t xml:space="preserve">непряко от бракониерството и използването на отрови за регулиране на хищници и гризачи. Благородния елен (Cervus elaphus) е уязвим от бракониерство и отчасти от земеделските практики. Като средно уязвими са оценени всичките 23 вида прилепи. Най-значими общи заплахи за прилепите са химизацията в селското стопанство (преди всичко използването на инсектициди), състоянието на старите гори и безпокойството на колониите на видовете, обитаващи пещери. </w:t>
            </w:r>
          </w:p>
        </w:tc>
      </w:tr>
      <w:tr w:rsidR="00550F00" w:rsidRPr="00FD448A" w14:paraId="1AC2E346"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59822869" w14:textId="7CB3C28B" w:rsidR="00550F00" w:rsidRPr="00DE7AF5" w:rsidRDefault="00550F00" w:rsidP="00550F00">
            <w:pPr>
              <w:spacing w:after="0" w:line="240" w:lineRule="auto"/>
              <w:jc w:val="both"/>
              <w:rPr>
                <w:rFonts w:ascii="Garamond" w:eastAsia="Times New Roman" w:hAnsi="Garamond" w:cs="Arial"/>
                <w:sz w:val="20"/>
                <w:szCs w:val="20"/>
                <w:u w:val="single"/>
              </w:rPr>
            </w:pPr>
            <w:r w:rsidRPr="00DE7AF5">
              <w:rPr>
                <w:rFonts w:ascii="Garamond" w:eastAsia="Calibri" w:hAnsi="Garamond" w:cs="Times New Roman"/>
                <w:b/>
                <w:sz w:val="20"/>
                <w:szCs w:val="20"/>
                <w:lang w:eastAsia="bg-BG"/>
              </w:rPr>
              <w:lastRenderedPageBreak/>
              <w:t>Птици</w:t>
            </w:r>
          </w:p>
        </w:tc>
        <w:tc>
          <w:tcPr>
            <w:tcW w:w="567" w:type="dxa"/>
            <w:tcBorders>
              <w:top w:val="single" w:sz="4" w:space="0" w:color="auto"/>
              <w:left w:val="single" w:sz="4" w:space="0" w:color="auto"/>
              <w:bottom w:val="single" w:sz="4" w:space="0" w:color="auto"/>
            </w:tcBorders>
          </w:tcPr>
          <w:p w14:paraId="1FE3A18F" w14:textId="77777777" w:rsidR="00FD448A" w:rsidRDefault="00FD448A" w:rsidP="00FD448A">
            <w:pPr>
              <w:spacing w:after="0" w:line="240" w:lineRule="auto"/>
              <w:jc w:val="right"/>
              <w:rPr>
                <w:rFonts w:ascii="Arial" w:eastAsia="Times New Roman" w:hAnsi="Arial" w:cs="Arial"/>
                <w:b/>
                <w:sz w:val="20"/>
                <w:szCs w:val="20"/>
              </w:rPr>
            </w:pPr>
            <w:r w:rsidRPr="007B63B9">
              <w:rPr>
                <w:rFonts w:ascii="Arial" w:eastAsia="Times New Roman" w:hAnsi="Arial" w:cs="Arial"/>
                <w:b/>
                <w:sz w:val="20"/>
                <w:szCs w:val="20"/>
              </w:rPr>
              <w:t>+++</w:t>
            </w:r>
            <w:r>
              <w:rPr>
                <w:rFonts w:ascii="Arial" w:eastAsia="Times New Roman" w:hAnsi="Arial" w:cs="Arial"/>
                <w:b/>
                <w:sz w:val="20"/>
                <w:szCs w:val="20"/>
              </w:rPr>
              <w:t>/</w:t>
            </w:r>
          </w:p>
          <w:p w14:paraId="71552566" w14:textId="7AB9B101" w:rsidR="00550F00" w:rsidRPr="00FD448A" w:rsidRDefault="00FD448A" w:rsidP="00FD448A">
            <w:pPr>
              <w:spacing w:after="0" w:line="240" w:lineRule="auto"/>
              <w:jc w:val="right"/>
              <w:rPr>
                <w:rFonts w:ascii="Garamond" w:eastAsia="Times New Roman" w:hAnsi="Garamond" w:cs="Arial"/>
                <w:b/>
                <w:snapToGrid w:val="0"/>
                <w:color w:val="000000"/>
              </w:rPr>
            </w:pPr>
            <w:r w:rsidRPr="007B63B9">
              <w:rPr>
                <w:rFonts w:ascii="Arial" w:eastAsia="Times New Roman" w:hAnsi="Arial" w:cs="Arial"/>
                <w:b/>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6A88BCE1" w14:textId="74DA623A" w:rsidR="00550F00" w:rsidRPr="00FD448A" w:rsidRDefault="00550F00" w:rsidP="00FD448A">
            <w:pPr>
              <w:spacing w:after="120" w:line="276" w:lineRule="auto"/>
              <w:jc w:val="both"/>
              <w:outlineLvl w:val="3"/>
              <w:rPr>
                <w:rFonts w:ascii="Garamond" w:eastAsia="Times New Roman" w:hAnsi="Garamond" w:cs="Arial"/>
                <w:snapToGrid w:val="0"/>
                <w:color w:val="000000"/>
              </w:rPr>
            </w:pPr>
            <w:r w:rsidRPr="00C56EAE">
              <w:rPr>
                <w:rFonts w:ascii="Garamond" w:eastAsia="Calibri" w:hAnsi="Garamond" w:cs="Times New Roman"/>
                <w:lang w:eastAsia="bg-BG"/>
              </w:rPr>
              <w:t xml:space="preserve">с </w:t>
            </w:r>
            <w:r w:rsidRPr="00C56EAE">
              <w:rPr>
                <w:rFonts w:ascii="Garamond" w:eastAsia="Calibri" w:hAnsi="Garamond" w:cs="Times New Roman"/>
                <w:b/>
                <w:lang w:eastAsia="bg-BG"/>
              </w:rPr>
              <w:t>най-висока степен</w:t>
            </w:r>
            <w:r w:rsidRPr="00C56EAE">
              <w:rPr>
                <w:rFonts w:ascii="Garamond" w:eastAsia="Calibri" w:hAnsi="Garamond" w:cs="Times New Roman"/>
                <w:lang w:eastAsia="bg-BG"/>
              </w:rPr>
              <w:t xml:space="preserve"> на уязвимост са 18 вида: египетски лешояд (Neophron percnopterus), черен щъркел (Ciconia nigra), малък орел (Hieraaetus pennatus), малък креслив орел (Aquila pomarina), орел змияр (Circаеtus gallicus),  белоопашат мишелов (Buteo rufinus), орел рибар (Pandion haliaetus), бухал (Bubo bubo), синявица (Coracias garrulus), среден пъстър кълвач (Dendrocopos medius). В тази група на силно уязвими птици следва да се причислят и 8 вида птици, които са били типични за Поломието, но през втората половина на 20-ти век са изчезнали трайно (по реда на изчезването им от Поломието): черен лешояд (Aegypius monachus), белоглав лешояд (Gyps fulvus), царски орел (Aquila heliaca), гълъб хралупар (Columba oenas), белошипа ветрушка (Falco naumanni), ловен сокол (Falco cherrug), скален орел (Aquila chrysaetos) и червен ангъч (Tadorna ferruginea). При целенасочени мерки възстановяването на тези видове е възможно. Генерална заплаха за групата на силно уязвимите видове птици е маломерност и фрагментация на благоприятните местообитания в границите на парка. При всички от горепосочените видове индивидуалните гнездови територии са по-големи от парковата територия. Други общи заплахи са: интензивно земеделие в териториите около парка, употреба на пестициди, унищожаване на тревни местообитания, употреба на отрови за регулиране числеността на хищници и гризачи, необезопасена електропреносна мрежа, влошаване качеството на горските местообитания, безпокойство и бракониерство. Потенциална заплаха, която може да има критично силно негативно въздействие, е изграждане на ветроенергийни централи в близост до парковата територия. Допълнителни специфични заплахи за черния щъркел и орела рибар, а в близкото минало и за червения ангъч, са нестабилност в рибопроизводството и липса на акваекологични практики. Някои от рибовъдните басейни временно или дългосрочно са изоставени и не се стопанисват. При видовете птици със </w:t>
            </w:r>
            <w:r w:rsidRPr="00C56EAE">
              <w:rPr>
                <w:rFonts w:ascii="Garamond" w:eastAsia="Calibri" w:hAnsi="Garamond" w:cs="Times New Roman"/>
                <w:b/>
                <w:lang w:eastAsia="bg-BG"/>
              </w:rPr>
              <w:t>средна степен</w:t>
            </w:r>
            <w:r w:rsidRPr="00C56EAE">
              <w:rPr>
                <w:rFonts w:ascii="Garamond" w:eastAsia="Calibri" w:hAnsi="Garamond" w:cs="Times New Roman"/>
                <w:lang w:eastAsia="bg-BG"/>
              </w:rPr>
              <w:t xml:space="preserve"> на уязвимост (идентифицирани са 50 вида) заплахите са идентични с гореописаните за видовете със силна степен на уязвимост. Условно са приети за по-слабо уязвими поради по-висока екологична пластичност, по-малки индивидуални гнездови територии или по-многочислени популации.</w:t>
            </w:r>
          </w:p>
        </w:tc>
      </w:tr>
      <w:tr w:rsidR="00550F00" w:rsidRPr="00FD448A" w14:paraId="6DFEEA22"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51C1312A" w14:textId="0E03A3D9" w:rsidR="00550F00" w:rsidRPr="00DE7AF5" w:rsidRDefault="00550F00" w:rsidP="00550F00">
            <w:pPr>
              <w:spacing w:after="0" w:line="240" w:lineRule="auto"/>
              <w:jc w:val="both"/>
              <w:rPr>
                <w:rFonts w:ascii="Garamond" w:eastAsia="Times New Roman" w:hAnsi="Garamond" w:cs="Arial"/>
                <w:sz w:val="20"/>
                <w:szCs w:val="20"/>
                <w:u w:val="single"/>
              </w:rPr>
            </w:pPr>
            <w:r w:rsidRPr="00DE7AF5">
              <w:rPr>
                <w:rFonts w:ascii="Garamond" w:eastAsia="Times New Roman" w:hAnsi="Garamond" w:cs="Arial"/>
                <w:sz w:val="20"/>
                <w:szCs w:val="20"/>
              </w:rPr>
              <w:t>В</w:t>
            </w:r>
            <w:r w:rsidRPr="00DE7AF5">
              <w:rPr>
                <w:rFonts w:ascii="Garamond" w:eastAsia="Calibri" w:hAnsi="Garamond" w:cs="Times New Roman"/>
                <w:b/>
                <w:sz w:val="20"/>
                <w:szCs w:val="20"/>
                <w:lang w:eastAsia="bg-BG"/>
              </w:rPr>
              <w:t>лечуги</w:t>
            </w:r>
          </w:p>
        </w:tc>
        <w:tc>
          <w:tcPr>
            <w:tcW w:w="567" w:type="dxa"/>
            <w:tcBorders>
              <w:top w:val="single" w:sz="4" w:space="0" w:color="auto"/>
              <w:left w:val="single" w:sz="4" w:space="0" w:color="auto"/>
              <w:bottom w:val="single" w:sz="4" w:space="0" w:color="auto"/>
            </w:tcBorders>
          </w:tcPr>
          <w:p w14:paraId="215CEDC2" w14:textId="77777777" w:rsidR="00FD448A" w:rsidRDefault="00FD448A" w:rsidP="00FD448A">
            <w:pPr>
              <w:spacing w:after="0" w:line="240" w:lineRule="auto"/>
              <w:jc w:val="right"/>
              <w:rPr>
                <w:rFonts w:ascii="Arial" w:eastAsia="Times New Roman" w:hAnsi="Arial" w:cs="Arial"/>
                <w:b/>
                <w:sz w:val="20"/>
                <w:szCs w:val="20"/>
              </w:rPr>
            </w:pPr>
            <w:r w:rsidRPr="007B63B9">
              <w:rPr>
                <w:rFonts w:ascii="Arial" w:eastAsia="Times New Roman" w:hAnsi="Arial" w:cs="Arial"/>
                <w:b/>
                <w:sz w:val="20"/>
                <w:szCs w:val="20"/>
              </w:rPr>
              <w:t>+++</w:t>
            </w:r>
            <w:r>
              <w:rPr>
                <w:rFonts w:ascii="Arial" w:eastAsia="Times New Roman" w:hAnsi="Arial" w:cs="Arial"/>
                <w:b/>
                <w:sz w:val="20"/>
                <w:szCs w:val="20"/>
              </w:rPr>
              <w:t>/</w:t>
            </w:r>
          </w:p>
          <w:p w14:paraId="7B8804E7" w14:textId="0519F7FB" w:rsidR="00550F00" w:rsidRPr="00FD448A" w:rsidRDefault="00FD448A" w:rsidP="00FD448A">
            <w:pPr>
              <w:spacing w:after="0" w:line="240" w:lineRule="auto"/>
              <w:jc w:val="right"/>
              <w:rPr>
                <w:rFonts w:ascii="Garamond" w:eastAsia="Times New Roman" w:hAnsi="Garamond" w:cs="Arial"/>
                <w:b/>
                <w:snapToGrid w:val="0"/>
                <w:color w:val="000000"/>
              </w:rPr>
            </w:pPr>
            <w:r w:rsidRPr="007B63B9">
              <w:rPr>
                <w:rFonts w:ascii="Arial" w:eastAsia="Times New Roman" w:hAnsi="Arial" w:cs="Arial"/>
                <w:b/>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2C30FA4B" w14:textId="3F9B0B95" w:rsidR="00550F00" w:rsidRPr="00FD448A" w:rsidRDefault="00550F00" w:rsidP="00FD448A">
            <w:pPr>
              <w:spacing w:after="120" w:line="276" w:lineRule="auto"/>
              <w:jc w:val="both"/>
              <w:outlineLvl w:val="3"/>
              <w:rPr>
                <w:rFonts w:ascii="Garamond" w:eastAsia="Times New Roman" w:hAnsi="Garamond" w:cs="Arial"/>
                <w:snapToGrid w:val="0"/>
                <w:color w:val="000000"/>
              </w:rPr>
            </w:pPr>
            <w:r w:rsidRPr="00C56EAE">
              <w:rPr>
                <w:rFonts w:ascii="Garamond" w:eastAsia="Calibri" w:hAnsi="Garamond" w:cs="Times New Roman"/>
                <w:lang w:eastAsia="bg-BG"/>
              </w:rPr>
              <w:t xml:space="preserve">с </w:t>
            </w:r>
            <w:r w:rsidRPr="00C56EAE">
              <w:rPr>
                <w:rFonts w:ascii="Garamond" w:eastAsia="Calibri" w:hAnsi="Garamond" w:cs="Times New Roman"/>
                <w:b/>
                <w:lang w:eastAsia="bg-BG"/>
              </w:rPr>
              <w:t>висока степен</w:t>
            </w:r>
            <w:r w:rsidRPr="00C56EAE">
              <w:rPr>
                <w:rFonts w:ascii="Garamond" w:eastAsia="Calibri" w:hAnsi="Garamond" w:cs="Times New Roman"/>
                <w:lang w:eastAsia="bg-BG"/>
              </w:rPr>
              <w:t xml:space="preserve"> на уязвимост са двата вида сухоземни костенурки: шипобедрената костенурка (Testudo graeca) и шипоопашата костенурка (Testudo hermanni). И при двата вида се отчита фрагментация на местообитанията и понижаване на плътността на популациите. Допълнителен фактор с потенциално високо значение е бракониерството. Като особен случай на влечуги с висока степен на уязвимост следва да се </w:t>
            </w:r>
            <w:r w:rsidRPr="00C56EAE">
              <w:rPr>
                <w:rFonts w:ascii="Garamond" w:eastAsia="Calibri" w:hAnsi="Garamond" w:cs="Times New Roman"/>
                <w:lang w:eastAsia="bg-BG"/>
              </w:rPr>
              <w:lastRenderedPageBreak/>
              <w:t>разглеждат още пъстрият смок (Elaphe sauromates) и жълтокоремникът (Pseudopus apodus). Тези два вида се считат за изчезнали от района на Поломието, но предвид скрития им начин на живот, този им статус следва да се разглежда условно. През 2009 г. пъстър смок беше установен в хранителни остатъци на египетски лешояд, гнездящ на територията на парка. Това е указание, че пъстрият смок вероятно все още се среща в района, включително в границите на парка, но е твърде малочислен. Възможно е състоянието на жълтокоремника да е сходно с това на пъстрия смок. При земноводните и влечугите със средна степен на уязвимост са определени червенокоремната бумка (Bombina bombina), дунавският гребенест тритон (Triturus dobrogicus) и обикновената блатна костенурка (Emys orbicularis). Общи заплахи за тези видове са неустойчивост в стопанисването на рибовъдните стопанства, липса на акваекологични практики и влошено качество на водите в речната система. В малко по-ниска степен тези заплахи са относими и към всичките останали земноводни в парка (още 9 вида).</w:t>
            </w:r>
          </w:p>
        </w:tc>
      </w:tr>
      <w:tr w:rsidR="00550F00" w:rsidRPr="00FD448A" w14:paraId="0B9AA461"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221DE20B" w14:textId="72CE5C74" w:rsidR="00550F00" w:rsidRPr="00DE7AF5" w:rsidRDefault="00550F00" w:rsidP="00550F00">
            <w:pPr>
              <w:spacing w:after="0" w:line="240" w:lineRule="auto"/>
              <w:jc w:val="both"/>
              <w:rPr>
                <w:rFonts w:ascii="Garamond" w:eastAsia="Times New Roman" w:hAnsi="Garamond" w:cs="Arial"/>
                <w:b/>
                <w:sz w:val="20"/>
                <w:szCs w:val="20"/>
              </w:rPr>
            </w:pPr>
            <w:r w:rsidRPr="00DE7AF5">
              <w:rPr>
                <w:rFonts w:ascii="Garamond" w:eastAsia="Times New Roman" w:hAnsi="Garamond" w:cs="Arial"/>
                <w:b/>
                <w:sz w:val="20"/>
                <w:szCs w:val="20"/>
              </w:rPr>
              <w:lastRenderedPageBreak/>
              <w:t>Риби</w:t>
            </w:r>
          </w:p>
        </w:tc>
        <w:tc>
          <w:tcPr>
            <w:tcW w:w="567" w:type="dxa"/>
            <w:tcBorders>
              <w:top w:val="single" w:sz="4" w:space="0" w:color="auto"/>
              <w:left w:val="single" w:sz="4" w:space="0" w:color="auto"/>
              <w:bottom w:val="single" w:sz="4" w:space="0" w:color="auto"/>
            </w:tcBorders>
          </w:tcPr>
          <w:p w14:paraId="6F75774A" w14:textId="235B97D6" w:rsidR="00550F00" w:rsidRPr="00FD448A" w:rsidRDefault="00FD448A" w:rsidP="00FD448A">
            <w:pPr>
              <w:spacing w:after="0" w:line="240" w:lineRule="auto"/>
              <w:jc w:val="right"/>
              <w:rPr>
                <w:rFonts w:ascii="Garamond" w:eastAsia="Times New Roman" w:hAnsi="Garamond" w:cs="Arial"/>
                <w:b/>
                <w:snapToGrid w:val="0"/>
                <w:color w:val="000000"/>
              </w:rPr>
            </w:pPr>
            <w:r w:rsidRPr="007B63B9">
              <w:rPr>
                <w:rFonts w:ascii="Arial" w:eastAsia="Times New Roman" w:hAnsi="Arial" w:cs="Arial"/>
                <w:b/>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086E5409" w14:textId="09539764" w:rsidR="00550F00" w:rsidRPr="00FD448A" w:rsidRDefault="00550F00" w:rsidP="00FD448A">
            <w:pPr>
              <w:spacing w:after="120" w:line="276" w:lineRule="auto"/>
              <w:jc w:val="both"/>
              <w:outlineLvl w:val="3"/>
              <w:rPr>
                <w:rFonts w:ascii="Garamond" w:eastAsia="Times New Roman" w:hAnsi="Garamond" w:cs="Arial"/>
                <w:snapToGrid w:val="0"/>
                <w:color w:val="000000"/>
              </w:rPr>
            </w:pPr>
            <w:r w:rsidRPr="00C56EAE">
              <w:rPr>
                <w:rFonts w:ascii="Garamond" w:eastAsia="Calibri" w:hAnsi="Garamond" w:cs="Times New Roman"/>
                <w:lang w:eastAsia="bg-BG"/>
              </w:rPr>
              <w:t>За размножаването си рибата горчивка (Rhodeus amarus) е зависима от наличието на живи речни миди, което я прави силно уязвим вид. През последните години видът е установен в Поломието с единични екземпляри далеч от границите на парка. Това силно контрастира  със състоянието на вида в близко разположеното долно течение на р. Янтра, където горчивката е представена с многочислени популации. Основни заплахи за рибите в Поломието са лошото качество на водата, наличието на миграционни бариери и редуцирането на част от ценните местообитания. Понастоящем в парка се срещат само видове риби с широко разпространение и висока екологична пластичност, поради което условно всички видове риби освен горчивката се приемат за средно уязвими.</w:t>
            </w:r>
          </w:p>
        </w:tc>
      </w:tr>
      <w:tr w:rsidR="007B63B9" w:rsidRPr="00FD448A" w14:paraId="1D7AF826" w14:textId="77777777" w:rsidTr="006B2D7B">
        <w:trPr>
          <w:trHeight w:val="247"/>
        </w:trPr>
        <w:tc>
          <w:tcPr>
            <w:tcW w:w="1418" w:type="dxa"/>
            <w:tcBorders>
              <w:top w:val="single" w:sz="4" w:space="0" w:color="auto"/>
              <w:left w:val="single" w:sz="4" w:space="0" w:color="auto"/>
              <w:bottom w:val="single" w:sz="4" w:space="0" w:color="auto"/>
              <w:right w:val="single" w:sz="4" w:space="0" w:color="auto"/>
            </w:tcBorders>
          </w:tcPr>
          <w:p w14:paraId="59D650AF" w14:textId="216390DC" w:rsidR="007B63B9" w:rsidRPr="00DE7AF5" w:rsidRDefault="00550F00" w:rsidP="00550F00">
            <w:pPr>
              <w:spacing w:after="0" w:line="240" w:lineRule="auto"/>
              <w:jc w:val="both"/>
              <w:rPr>
                <w:rFonts w:ascii="Garamond" w:eastAsia="Times New Roman" w:hAnsi="Garamond" w:cs="Arial"/>
                <w:sz w:val="20"/>
                <w:szCs w:val="20"/>
                <w:u w:val="single"/>
              </w:rPr>
            </w:pPr>
            <w:r w:rsidRPr="00DE7AF5">
              <w:rPr>
                <w:rFonts w:ascii="Garamond" w:eastAsia="Calibri" w:hAnsi="Garamond" w:cs="Times New Roman"/>
                <w:b/>
                <w:sz w:val="20"/>
                <w:szCs w:val="20"/>
                <w:lang w:eastAsia="bg-BG"/>
              </w:rPr>
              <w:t xml:space="preserve">Безгръбначни </w:t>
            </w:r>
          </w:p>
        </w:tc>
        <w:tc>
          <w:tcPr>
            <w:tcW w:w="567" w:type="dxa"/>
            <w:tcBorders>
              <w:top w:val="single" w:sz="4" w:space="0" w:color="auto"/>
              <w:left w:val="single" w:sz="4" w:space="0" w:color="auto"/>
              <w:bottom w:val="single" w:sz="4" w:space="0" w:color="auto"/>
            </w:tcBorders>
          </w:tcPr>
          <w:p w14:paraId="0DE240A3" w14:textId="5854BEC4" w:rsidR="007B63B9" w:rsidRPr="00FD448A" w:rsidRDefault="00FD448A" w:rsidP="00FD448A">
            <w:pPr>
              <w:spacing w:after="0" w:line="240" w:lineRule="auto"/>
              <w:jc w:val="right"/>
              <w:rPr>
                <w:rFonts w:ascii="Garamond" w:eastAsia="Times New Roman" w:hAnsi="Garamond" w:cs="Arial"/>
                <w:b/>
                <w:snapToGrid w:val="0"/>
                <w:color w:val="000000"/>
              </w:rPr>
            </w:pPr>
            <w:r w:rsidRPr="007B63B9">
              <w:rPr>
                <w:rFonts w:ascii="Arial" w:eastAsia="Times New Roman" w:hAnsi="Arial" w:cs="Arial"/>
                <w:b/>
                <w:sz w:val="20"/>
                <w:szCs w:val="20"/>
              </w:rPr>
              <w:t>++</w:t>
            </w:r>
          </w:p>
        </w:tc>
        <w:tc>
          <w:tcPr>
            <w:tcW w:w="6804" w:type="dxa"/>
            <w:tcBorders>
              <w:top w:val="single" w:sz="4" w:space="0" w:color="auto"/>
              <w:left w:val="single" w:sz="4" w:space="0" w:color="auto"/>
              <w:bottom w:val="single" w:sz="4" w:space="0" w:color="auto"/>
              <w:right w:val="single" w:sz="4" w:space="0" w:color="auto"/>
            </w:tcBorders>
          </w:tcPr>
          <w:p w14:paraId="75E2EBBF" w14:textId="41433AAF" w:rsidR="007B63B9" w:rsidRPr="00FD448A" w:rsidRDefault="00550F00" w:rsidP="00FD448A">
            <w:pPr>
              <w:spacing w:after="120" w:line="276" w:lineRule="auto"/>
              <w:jc w:val="both"/>
              <w:outlineLvl w:val="3"/>
              <w:rPr>
                <w:rFonts w:ascii="Garamond" w:eastAsia="Times New Roman" w:hAnsi="Garamond" w:cs="Arial"/>
                <w:snapToGrid w:val="0"/>
                <w:color w:val="000000"/>
              </w:rPr>
            </w:pPr>
            <w:r w:rsidRPr="00C56EAE">
              <w:rPr>
                <w:rFonts w:ascii="Garamond" w:eastAsia="Calibri" w:hAnsi="Garamond" w:cs="Times New Roman"/>
                <w:lang w:eastAsia="bg-BG"/>
              </w:rPr>
              <w:t xml:space="preserve">От с </w:t>
            </w:r>
            <w:r w:rsidRPr="00C56EAE">
              <w:rPr>
                <w:rFonts w:ascii="Garamond" w:eastAsia="Calibri" w:hAnsi="Garamond" w:cs="Times New Roman"/>
                <w:b/>
                <w:lang w:eastAsia="bg-BG"/>
              </w:rPr>
              <w:t>висока степен</w:t>
            </w:r>
            <w:r w:rsidRPr="00C56EAE">
              <w:rPr>
                <w:rFonts w:ascii="Garamond" w:eastAsia="Calibri" w:hAnsi="Garamond" w:cs="Times New Roman"/>
                <w:lang w:eastAsia="bg-BG"/>
              </w:rPr>
              <w:t xml:space="preserve"> на уязвимост е бисерната мида (син. овална речна мида)(Unio crassus). През последните години в Поломието са намирани единични живи екземпляри. Най-голяма заплаха за вида е замърсяването на реките. Отчитани са концентрации на нитрати, превишаващи повече от 3 пъти стойностите, толерирани от вида.</w:t>
            </w:r>
          </w:p>
        </w:tc>
      </w:tr>
    </w:tbl>
    <w:p w14:paraId="118E83BA" w14:textId="77777777" w:rsidR="007B63B9" w:rsidRPr="007B63B9" w:rsidRDefault="007B63B9" w:rsidP="007B63B9">
      <w:pPr>
        <w:spacing w:after="0" w:line="240" w:lineRule="auto"/>
        <w:rPr>
          <w:rFonts w:ascii="Arial" w:eastAsia="Times New Roman" w:hAnsi="Arial" w:cs="Arial"/>
          <w:b/>
          <w:snapToGrid w:val="0"/>
          <w:color w:val="000000"/>
          <w:sz w:val="20"/>
          <w:szCs w:val="20"/>
        </w:rPr>
      </w:pPr>
    </w:p>
    <w:p w14:paraId="356DB486" w14:textId="77777777" w:rsidR="007B63B9" w:rsidRPr="007B63B9" w:rsidRDefault="007B63B9" w:rsidP="007B63B9">
      <w:pPr>
        <w:spacing w:after="0" w:line="240" w:lineRule="auto"/>
        <w:rPr>
          <w:rFonts w:ascii="Times New Roman" w:eastAsia="Times New Roman" w:hAnsi="Times New Roman" w:cs="Times New Roman"/>
          <w:sz w:val="20"/>
          <w:szCs w:val="20"/>
          <w:lang w:val="ru-RU"/>
        </w:rPr>
      </w:pPr>
    </w:p>
    <w:p w14:paraId="4CB343FB" w14:textId="77777777" w:rsidR="007B63B9" w:rsidRPr="007B63B9" w:rsidRDefault="007B63B9" w:rsidP="007B63B9">
      <w:pPr>
        <w:spacing w:after="0" w:line="240" w:lineRule="auto"/>
        <w:rPr>
          <w:rFonts w:ascii="Arial" w:eastAsia="Times New Roman" w:hAnsi="Arial" w:cs="Arial"/>
          <w:b/>
          <w:bCs/>
          <w:sz w:val="20"/>
          <w:szCs w:val="20"/>
        </w:rPr>
      </w:pPr>
    </w:p>
    <w:sectPr w:rsidR="007B63B9" w:rsidRPr="007B63B9">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86BD4" w14:textId="77777777" w:rsidR="00A92667" w:rsidRDefault="00A92667" w:rsidP="00033042">
      <w:pPr>
        <w:spacing w:after="0" w:line="240" w:lineRule="auto"/>
      </w:pPr>
      <w:r>
        <w:separator/>
      </w:r>
    </w:p>
  </w:endnote>
  <w:endnote w:type="continuationSeparator" w:id="0">
    <w:p w14:paraId="5E49F47F" w14:textId="77777777" w:rsidR="00A92667" w:rsidRDefault="00A92667" w:rsidP="000330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41C4" w14:textId="50685BC6" w:rsidR="00033042" w:rsidRPr="00183353" w:rsidRDefault="00033042" w:rsidP="00033042">
    <w:pPr>
      <w:pStyle w:val="Footer"/>
      <w:pBdr>
        <w:bottom w:val="single" w:sz="6" w:space="1" w:color="auto"/>
      </w:pBdr>
      <w:jc w:val="center"/>
      <w:rPr>
        <w:rFonts w:ascii="Garamond" w:eastAsia="Times New Roman" w:hAnsi="Garamond" w:cs="Cambria"/>
        <w:i/>
        <w:iCs/>
        <w:lang w:eastAsia="bg-BG"/>
      </w:rPr>
    </w:pPr>
    <w:r w:rsidRPr="00183353">
      <w:rPr>
        <w:rFonts w:ascii="Garamond" w:eastAsia="Times New Roman" w:hAnsi="Garamond" w:cs="Cambria"/>
        <w:i/>
        <w:iCs/>
        <w:lang w:eastAsia="bg-BG"/>
      </w:rPr>
      <w:t>Разработване на план за управление (актуализиран) на ПП „Русенски Лом“</w:t>
    </w:r>
  </w:p>
  <w:p w14:paraId="5D06FF40" w14:textId="77777777" w:rsidR="00033042" w:rsidRPr="00183353" w:rsidRDefault="00033042" w:rsidP="00033042">
    <w:pPr>
      <w:tabs>
        <w:tab w:val="center" w:pos="4536"/>
        <w:tab w:val="right" w:pos="9072"/>
      </w:tabs>
      <w:spacing w:after="0" w:line="240" w:lineRule="auto"/>
      <w:jc w:val="center"/>
      <w:rPr>
        <w:rFonts w:ascii="Garamond" w:eastAsia="Times New Roman" w:hAnsi="Garamond" w:cs="Cambria"/>
        <w:lang w:eastAsia="bg-BG"/>
      </w:rPr>
    </w:pPr>
    <w:r w:rsidRPr="00183353">
      <w:rPr>
        <w:rFonts w:ascii="Garamond" w:eastAsia="Times New Roman" w:hAnsi="Garamond" w:cs="Cambria"/>
        <w:lang w:eastAsia="bg-BG"/>
      </w:rPr>
      <w:t>Приложения</w:t>
    </w:r>
  </w:p>
  <w:p w14:paraId="7D9A2F0E" w14:textId="071F2202" w:rsidR="00033042" w:rsidRDefault="00033042">
    <w:pPr>
      <w:pStyle w:val="Footer"/>
    </w:pPr>
  </w:p>
  <w:p w14:paraId="52CCE47A" w14:textId="77777777" w:rsidR="00033042" w:rsidRDefault="000330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8E609D" w14:textId="77777777" w:rsidR="00A92667" w:rsidRDefault="00A92667" w:rsidP="00033042">
      <w:pPr>
        <w:spacing w:after="0" w:line="240" w:lineRule="auto"/>
      </w:pPr>
      <w:r>
        <w:separator/>
      </w:r>
    </w:p>
  </w:footnote>
  <w:footnote w:type="continuationSeparator" w:id="0">
    <w:p w14:paraId="4764C876" w14:textId="77777777" w:rsidR="00A92667" w:rsidRDefault="00A92667" w:rsidP="000330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6265"/>
    <w:multiLevelType w:val="hybridMultilevel"/>
    <w:tmpl w:val="B83C5D2A"/>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1A7488"/>
    <w:multiLevelType w:val="hybridMultilevel"/>
    <w:tmpl w:val="9ACC311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D01E13"/>
    <w:multiLevelType w:val="hybridMultilevel"/>
    <w:tmpl w:val="8BE4326E"/>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93964"/>
    <w:multiLevelType w:val="hybridMultilevel"/>
    <w:tmpl w:val="FAA66C90"/>
    <w:lvl w:ilvl="0" w:tplc="0809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634BC"/>
    <w:multiLevelType w:val="hybridMultilevel"/>
    <w:tmpl w:val="4476F030"/>
    <w:lvl w:ilvl="0" w:tplc="08090005">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8752BD"/>
    <w:multiLevelType w:val="hybridMultilevel"/>
    <w:tmpl w:val="1B5E23A2"/>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06D7BED"/>
    <w:multiLevelType w:val="hybridMultilevel"/>
    <w:tmpl w:val="5F26A312"/>
    <w:lvl w:ilvl="0" w:tplc="08090005">
      <w:start w:val="1"/>
      <w:numFmt w:val="bullet"/>
      <w:lvlText w:val=""/>
      <w:lvlJc w:val="left"/>
      <w:pPr>
        <w:tabs>
          <w:tab w:val="num" w:pos="720"/>
        </w:tabs>
        <w:ind w:left="720" w:hanging="360"/>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FF08BA"/>
    <w:multiLevelType w:val="hybridMultilevel"/>
    <w:tmpl w:val="007846D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0E5AA6"/>
    <w:multiLevelType w:val="hybridMultilevel"/>
    <w:tmpl w:val="99D88E54"/>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E8712B"/>
    <w:multiLevelType w:val="hybridMultilevel"/>
    <w:tmpl w:val="36081FF6"/>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F06A7"/>
    <w:multiLevelType w:val="hybridMultilevel"/>
    <w:tmpl w:val="BC20ABCC"/>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1D0FAE"/>
    <w:multiLevelType w:val="hybridMultilevel"/>
    <w:tmpl w:val="743458A8"/>
    <w:lvl w:ilvl="0" w:tplc="D2E2CAEC">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CF4B23"/>
    <w:multiLevelType w:val="hybridMultilevel"/>
    <w:tmpl w:val="6192BE02"/>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1D253F"/>
    <w:multiLevelType w:val="hybridMultilevel"/>
    <w:tmpl w:val="BAC6DABE"/>
    <w:lvl w:ilvl="0" w:tplc="CE182C86">
      <w:start w:val="1"/>
      <w:numFmt w:val="bullet"/>
      <w:lvlText w:val=""/>
      <w:lvlJc w:val="left"/>
      <w:pPr>
        <w:tabs>
          <w:tab w:val="num" w:pos="284"/>
        </w:tabs>
        <w:ind w:left="284" w:hanging="284"/>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B85CA2"/>
    <w:multiLevelType w:val="hybridMultilevel"/>
    <w:tmpl w:val="85CC5374"/>
    <w:lvl w:ilvl="0" w:tplc="0EE4C5A2">
      <w:start w:val="1"/>
      <w:numFmt w:val="bullet"/>
      <w:pStyle w:val="List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950E14"/>
    <w:multiLevelType w:val="hybridMultilevel"/>
    <w:tmpl w:val="9F82CA0A"/>
    <w:lvl w:ilvl="0" w:tplc="213A29A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412BD2"/>
    <w:multiLevelType w:val="hybridMultilevel"/>
    <w:tmpl w:val="62E8D334"/>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3657C8"/>
    <w:multiLevelType w:val="hybridMultilevel"/>
    <w:tmpl w:val="040CBB1C"/>
    <w:lvl w:ilvl="0" w:tplc="FFFFFFFF">
      <w:start w:val="1"/>
      <w:numFmt w:val="bullet"/>
      <w:lvlText w:val=""/>
      <w:lvlJc w:val="left"/>
      <w:pPr>
        <w:tabs>
          <w:tab w:val="num" w:pos="360"/>
        </w:tabs>
        <w:ind w:left="227" w:hanging="227"/>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1"/>
  </w:num>
  <w:num w:numId="4">
    <w:abstractNumId w:val="14"/>
  </w:num>
  <w:num w:numId="5">
    <w:abstractNumId w:val="16"/>
  </w:num>
  <w:num w:numId="6">
    <w:abstractNumId w:val="0"/>
  </w:num>
  <w:num w:numId="7">
    <w:abstractNumId w:val="12"/>
  </w:num>
  <w:num w:numId="8">
    <w:abstractNumId w:val="15"/>
  </w:num>
  <w:num w:numId="9">
    <w:abstractNumId w:val="7"/>
  </w:num>
  <w:num w:numId="10">
    <w:abstractNumId w:val="4"/>
  </w:num>
  <w:num w:numId="11">
    <w:abstractNumId w:val="3"/>
  </w:num>
  <w:num w:numId="12">
    <w:abstractNumId w:val="9"/>
  </w:num>
  <w:num w:numId="13">
    <w:abstractNumId w:val="11"/>
  </w:num>
  <w:num w:numId="14">
    <w:abstractNumId w:val="2"/>
  </w:num>
  <w:num w:numId="15">
    <w:abstractNumId w:val="8"/>
  </w:num>
  <w:num w:numId="16">
    <w:abstractNumId w:val="5"/>
  </w:num>
  <w:num w:numId="17">
    <w:abstractNumId w:val="10"/>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3B9"/>
    <w:rsid w:val="00033042"/>
    <w:rsid w:val="002239F4"/>
    <w:rsid w:val="0024609E"/>
    <w:rsid w:val="003E7794"/>
    <w:rsid w:val="004E34F8"/>
    <w:rsid w:val="00550F00"/>
    <w:rsid w:val="007972E4"/>
    <w:rsid w:val="007B63B9"/>
    <w:rsid w:val="007E2BF9"/>
    <w:rsid w:val="00841BF2"/>
    <w:rsid w:val="0091774D"/>
    <w:rsid w:val="00987E8F"/>
    <w:rsid w:val="00A109E2"/>
    <w:rsid w:val="00A92667"/>
    <w:rsid w:val="00B04DEF"/>
    <w:rsid w:val="00B05107"/>
    <w:rsid w:val="00C41B10"/>
    <w:rsid w:val="00C57B24"/>
    <w:rsid w:val="00C86B21"/>
    <w:rsid w:val="00D138E0"/>
    <w:rsid w:val="00DE7AF5"/>
    <w:rsid w:val="00FD44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A57DC"/>
  <w15:chartTrackingRefBased/>
  <w15:docId w15:val="{2DFB0A36-F552-435F-BBF8-BF4AD6356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autoRedefine/>
    <w:rsid w:val="007B63B9"/>
    <w:pPr>
      <w:numPr>
        <w:numId w:val="4"/>
      </w:numPr>
      <w:tabs>
        <w:tab w:val="clear" w:pos="720"/>
        <w:tab w:val="left" w:pos="360"/>
      </w:tabs>
      <w:spacing w:after="0" w:line="240" w:lineRule="auto"/>
      <w:ind w:left="0" w:firstLine="0"/>
    </w:pPr>
    <w:rPr>
      <w:rFonts w:ascii="Arial" w:eastAsia="Times New Roman" w:hAnsi="Arial" w:cs="Arial"/>
      <w:sz w:val="20"/>
      <w:szCs w:val="20"/>
      <w:lang w:val="en-GB"/>
    </w:rPr>
  </w:style>
  <w:style w:type="paragraph" w:styleId="Header">
    <w:name w:val="header"/>
    <w:basedOn w:val="Normal"/>
    <w:link w:val="HeaderChar"/>
    <w:uiPriority w:val="99"/>
    <w:unhideWhenUsed/>
    <w:rsid w:val="000330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3042"/>
    <w:rPr>
      <w:lang w:val="bg-BG"/>
    </w:rPr>
  </w:style>
  <w:style w:type="paragraph" w:styleId="Footer">
    <w:name w:val="footer"/>
    <w:basedOn w:val="Normal"/>
    <w:link w:val="FooterChar"/>
    <w:uiPriority w:val="99"/>
    <w:unhideWhenUsed/>
    <w:rsid w:val="000330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3042"/>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TotalTime>
  <Pages>3</Pages>
  <Words>1154</Words>
  <Characters>6583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Lyudmila Dimitrova</dc:creator>
  <cp:keywords/>
  <dc:description/>
  <cp:lastModifiedBy>Lyudmila Dimitrova</cp:lastModifiedBy>
  <cp:revision>6</cp:revision>
  <dcterms:created xsi:type="dcterms:W3CDTF">2020-04-22T06:24:00Z</dcterms:created>
  <dcterms:modified xsi:type="dcterms:W3CDTF">2022-03-31T08:44:00Z</dcterms:modified>
</cp:coreProperties>
</file>